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A4748" w14:textId="77777777" w:rsidR="00E33F73" w:rsidRPr="00E33F73" w:rsidRDefault="00E33F73" w:rsidP="00E33F73">
      <w:pPr>
        <w:keepNext/>
        <w:keepLines/>
        <w:spacing w:before="0" w:after="360"/>
        <w:ind w:left="788"/>
        <w:jc w:val="center"/>
        <w:outlineLvl w:val="0"/>
        <w:rPr>
          <w:rFonts w:ascii="Arial" w:eastAsiaTheme="majorEastAsia" w:hAnsi="Arial" w:cs="Arial"/>
          <w:bCs/>
          <w:color w:val="000080"/>
          <w:sz w:val="36"/>
          <w:szCs w:val="36"/>
        </w:rPr>
      </w:pPr>
      <w:r w:rsidRPr="00E33F73">
        <w:rPr>
          <w:rFonts w:ascii="Arial" w:eastAsiaTheme="majorEastAsia" w:hAnsi="Arial" w:cs="Arial"/>
          <w:b/>
          <w:bCs/>
          <w:color w:val="000080"/>
          <w:sz w:val="36"/>
          <w:szCs w:val="36"/>
        </w:rPr>
        <w:t>Medical Services Advisory Committee (MSAC)</w:t>
      </w:r>
      <w:r w:rsidRPr="00E33F73">
        <w:rPr>
          <w:rFonts w:ascii="Arial" w:eastAsiaTheme="majorEastAsia" w:hAnsi="Arial" w:cs="Arial"/>
          <w:b/>
          <w:bCs/>
          <w:color w:val="000080"/>
          <w:sz w:val="36"/>
          <w:szCs w:val="36"/>
        </w:rPr>
        <w:br/>
        <w:t>Public Summary Document</w:t>
      </w:r>
    </w:p>
    <w:p w14:paraId="7A128FDE" w14:textId="2BD6CFFA" w:rsidR="00772829" w:rsidRPr="00CE28E3" w:rsidRDefault="40C0D669" w:rsidP="00772829">
      <w:pPr>
        <w:pStyle w:val="Subtitle"/>
      </w:pPr>
      <w:r>
        <w:t xml:space="preserve">Application No. </w:t>
      </w:r>
      <w:r w:rsidR="1F98B049">
        <w:t>1749</w:t>
      </w:r>
      <w:r w:rsidR="08D32DB4">
        <w:t xml:space="preserve"> </w:t>
      </w:r>
      <w:r>
        <w:t xml:space="preserve">– </w:t>
      </w:r>
      <w:r w:rsidR="1F98B049">
        <w:t xml:space="preserve">Insertion of durable </w:t>
      </w:r>
      <w:r w:rsidR="5BC13869">
        <w:t xml:space="preserve">left </w:t>
      </w:r>
      <w:r w:rsidR="1F98B049">
        <w:t>ventricular assist device for use as destination therapy</w:t>
      </w:r>
    </w:p>
    <w:p w14:paraId="35263561" w14:textId="436CBAD7"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A7299C">
        <w:rPr>
          <w:rFonts w:ascii="Arial" w:hAnsi="Arial" w:cs="Arial"/>
          <w:b/>
          <w:szCs w:val="24"/>
        </w:rPr>
        <w:t>Abbott Medical Australia Pty Ltd.</w:t>
      </w:r>
    </w:p>
    <w:p w14:paraId="15DA9C4A" w14:textId="5501C90C" w:rsidR="009A3778" w:rsidRDefault="00772829" w:rsidP="5327BA16">
      <w:pPr>
        <w:tabs>
          <w:tab w:val="left" w:pos="3686"/>
        </w:tabs>
        <w:spacing w:after="360"/>
        <w:rPr>
          <w:rFonts w:ascii="Arial" w:hAnsi="Arial" w:cs="Arial"/>
          <w:b/>
          <w:bCs/>
        </w:rPr>
      </w:pPr>
      <w:r w:rsidRPr="5327BA16">
        <w:rPr>
          <w:rFonts w:ascii="Arial" w:hAnsi="Arial" w:cs="Arial"/>
          <w:b/>
          <w:bCs/>
        </w:rPr>
        <w:t>Date of MSAC consideration:</w:t>
      </w:r>
      <w:r>
        <w:tab/>
      </w:r>
      <w:r w:rsidR="00A7299C" w:rsidRPr="5327BA16">
        <w:rPr>
          <w:rFonts w:ascii="Arial" w:hAnsi="Arial" w:cs="Arial"/>
          <w:b/>
          <w:bCs/>
        </w:rPr>
        <w:t>29 November 2024</w:t>
      </w:r>
    </w:p>
    <w:p w14:paraId="0D01EDBB" w14:textId="77777777" w:rsidR="00E33F73" w:rsidRPr="00201854" w:rsidRDefault="00E33F73" w:rsidP="00E33F73">
      <w:pPr>
        <w:spacing w:after="360"/>
        <w:rPr>
          <w:color w:val="0000FF"/>
          <w:u w:val="single"/>
        </w:rPr>
      </w:pPr>
      <w:r w:rsidRPr="00201854">
        <w:t xml:space="preserve">Context for decision: MSAC makes its advice in accordance with its Terms of Reference, </w:t>
      </w:r>
      <w:hyperlink r:id="rId11" w:tooltip="Link to Medical Services Advisory Committee website" w:history="1">
        <w:r w:rsidRPr="00201854">
          <w:rPr>
            <w:rStyle w:val="Hyperlink"/>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4BA3C890" w14:textId="61D12024" w:rsidR="004D352A" w:rsidRDefault="004D352A" w:rsidP="00772829">
      <w:pPr>
        <w:spacing w:after="240"/>
        <w:rPr>
          <w:iCs/>
        </w:rPr>
      </w:pPr>
      <w:bookmarkStart w:id="1" w:name="_Hlk69734469"/>
      <w:r>
        <w:rPr>
          <w:iCs/>
        </w:rPr>
        <w:t xml:space="preserve">A </w:t>
      </w:r>
      <w:r w:rsidR="00CA31D8">
        <w:rPr>
          <w:iCs/>
        </w:rPr>
        <w:t>re</w:t>
      </w:r>
      <w:r w:rsidR="00D33DDC">
        <w:rPr>
          <w:iCs/>
        </w:rPr>
        <w:t>submission</w:t>
      </w:r>
      <w:r>
        <w:rPr>
          <w:iCs/>
        </w:rPr>
        <w:t xml:space="preserve"> requesting Medicare Benefits Schedule (MBS) listing </w:t>
      </w:r>
      <w:r w:rsidR="0073688A">
        <w:rPr>
          <w:iCs/>
        </w:rPr>
        <w:t>for</w:t>
      </w:r>
      <w:r>
        <w:rPr>
          <w:iCs/>
        </w:rPr>
        <w:t xml:space="preserve"> </w:t>
      </w:r>
      <w:r w:rsidR="00F65C7B">
        <w:rPr>
          <w:iCs/>
        </w:rPr>
        <w:t xml:space="preserve">the insertion of durable </w:t>
      </w:r>
      <w:r w:rsidR="003B425D">
        <w:rPr>
          <w:iCs/>
        </w:rPr>
        <w:t xml:space="preserve">left </w:t>
      </w:r>
      <w:r w:rsidR="00F65C7B">
        <w:rPr>
          <w:iCs/>
        </w:rPr>
        <w:t>ventricular assist device (</w:t>
      </w:r>
      <w:r w:rsidR="003B425D">
        <w:rPr>
          <w:iCs/>
        </w:rPr>
        <w:t>L</w:t>
      </w:r>
      <w:r w:rsidR="00F65C7B">
        <w:rPr>
          <w:iCs/>
        </w:rPr>
        <w:t>VA</w:t>
      </w:r>
      <w:r w:rsidR="001D5B53">
        <w:rPr>
          <w:iCs/>
        </w:rPr>
        <w:t>D</w:t>
      </w:r>
      <w:r w:rsidR="00F65C7B">
        <w:rPr>
          <w:iCs/>
        </w:rPr>
        <w:t xml:space="preserve">) </w:t>
      </w:r>
      <w:r w:rsidR="0073688A">
        <w:rPr>
          <w:iCs/>
        </w:rPr>
        <w:t xml:space="preserve">as </w:t>
      </w:r>
      <w:r w:rsidR="00F65C7B">
        <w:rPr>
          <w:iCs/>
        </w:rPr>
        <w:t>destination therapy (DT)</w:t>
      </w:r>
      <w:r w:rsidR="003D4CEE" w:rsidRPr="003D4CEE">
        <w:rPr>
          <w:iCs/>
        </w:rPr>
        <w:t xml:space="preserve"> in the management of refractory heart failure</w:t>
      </w:r>
      <w:r w:rsidR="004F763D">
        <w:rPr>
          <w:iCs/>
        </w:rPr>
        <w:t xml:space="preserve"> despite optimal medical management (OMM)</w:t>
      </w:r>
      <w:r w:rsidR="003D4CEE" w:rsidRPr="003D4CEE">
        <w:rPr>
          <w:iCs/>
        </w:rPr>
        <w:t xml:space="preserve">, </w:t>
      </w:r>
      <w:r w:rsidR="00F65C7B">
        <w:rPr>
          <w:iCs/>
        </w:rPr>
        <w:t>was received from Abbott Medical Australia Pty Ltd by the Department of Health</w:t>
      </w:r>
      <w:r w:rsidR="00B050B5">
        <w:rPr>
          <w:iCs/>
        </w:rPr>
        <w:t xml:space="preserve"> and Aged Care</w:t>
      </w:r>
      <w:r w:rsidR="00F65C7B">
        <w:rPr>
          <w:iCs/>
        </w:rPr>
        <w:t>.</w:t>
      </w:r>
    </w:p>
    <w:p w14:paraId="50A2504B" w14:textId="1DF337D7" w:rsidR="00E33F73" w:rsidRPr="00E33F73" w:rsidRDefault="00E33F73" w:rsidP="00E33F73">
      <w:pPr>
        <w:pStyle w:val="Heading2"/>
        <w:numPr>
          <w:ilvl w:val="0"/>
          <w:numId w:val="0"/>
        </w:numPr>
      </w:pPr>
      <w:r>
        <w:t>2.</w:t>
      </w:r>
      <w:r>
        <w:tab/>
      </w:r>
      <w:r w:rsidRPr="00201854">
        <w:t>MSAC’s advice to the Minister</w:t>
      </w:r>
    </w:p>
    <w:p w14:paraId="4D05DD28" w14:textId="7228186D" w:rsidR="00046573" w:rsidRDefault="00E33F73" w:rsidP="00046573">
      <w:r w:rsidRPr="00201854">
        <w:t>After considering the strength of the available evidence in relation to comparative safety, clinical effectiveness, cost-effectiveness and total cost, MSAC</w:t>
      </w:r>
      <w:r w:rsidR="00046573">
        <w:t xml:space="preserve"> </w:t>
      </w:r>
      <w:r w:rsidR="00046573" w:rsidRPr="718DB931">
        <w:rPr>
          <w:rFonts w:eastAsia="Franklin Gothic Book"/>
        </w:rPr>
        <w:t xml:space="preserve">supported the creation of </w:t>
      </w:r>
      <w:r w:rsidR="0073688A">
        <w:rPr>
          <w:rFonts w:eastAsia="Franklin Gothic Book"/>
        </w:rPr>
        <w:t xml:space="preserve">a </w:t>
      </w:r>
      <w:r w:rsidR="00046573" w:rsidRPr="718DB931">
        <w:rPr>
          <w:rFonts w:eastAsia="Franklin Gothic Book"/>
        </w:rPr>
        <w:t xml:space="preserve">new MBS item for the </w:t>
      </w:r>
      <w:r w:rsidR="00046573" w:rsidRPr="718DB931">
        <w:t xml:space="preserve">insertion of durable LVAD for use as </w:t>
      </w:r>
      <w:r w:rsidR="00525507">
        <w:t>DT</w:t>
      </w:r>
      <w:r w:rsidR="00046573" w:rsidRPr="718DB931">
        <w:t xml:space="preserve"> for patients with refractory heart failure who are not eligible for cardiac transplantation. MSAC considered that use of a LVAD had superior effectiveness compared to </w:t>
      </w:r>
      <w:r w:rsidR="00525507">
        <w:t>OMM</w:t>
      </w:r>
      <w:r w:rsidR="00046573" w:rsidRPr="718DB931">
        <w:t xml:space="preserve">. MSAC recalled that it previously deferred providing its advice and requested further information relating to the aftercare services needed </w:t>
      </w:r>
      <w:r w:rsidR="0003755B">
        <w:t xml:space="preserve">following </w:t>
      </w:r>
      <w:r w:rsidR="00046573" w:rsidRPr="718DB931">
        <w:t xml:space="preserve">LVAD insertion, including a more informed estimate of aftercare costs. MSAC requested that the economic and financial analyses be revised with these updated costs and that the economic model inputs be updated as specified by MSAC (including the incorporation of device replacement costs other than for pump thrombosis). </w:t>
      </w:r>
    </w:p>
    <w:p w14:paraId="2C14D1AF" w14:textId="5B352030" w:rsidR="004014C7" w:rsidRDefault="00046573" w:rsidP="00E33F73">
      <w:pPr>
        <w:widowControl w:val="0"/>
        <w:spacing w:before="0" w:after="240"/>
        <w:contextualSpacing/>
      </w:pPr>
      <w:r w:rsidRPr="718DB931">
        <w:t>MSAC noted from consultation feedback that the upper limit of contemporary aftercare costs within the first two years post LVAD implantation is approximately $39,130 per patient per year. MSAC considered that the revised economic evaluation which incorporated this upper limit of aftercare costs</w:t>
      </w:r>
      <w:r w:rsidR="0003755B">
        <w:t xml:space="preserve"> was</w:t>
      </w:r>
      <w:r w:rsidRPr="718DB931">
        <w:t xml:space="preserve"> broadly aligned with MSAC’s previous advice. Although the incremental cost-effectiveness ratio (ICER) was high, MSAC considered it to be acceptable for the </w:t>
      </w:r>
      <w:proofErr w:type="gramStart"/>
      <w:r w:rsidRPr="718DB931">
        <w:t>small proposed</w:t>
      </w:r>
      <w:proofErr w:type="gramEnd"/>
      <w:r w:rsidRPr="718DB931">
        <w:t xml:space="preserve"> patient population who currently have a poor prognosis and a lack of effective alternative treatments. MSAC noted that the revised financial analysis did not include device replacement costs for reasons other than pump </w:t>
      </w:r>
      <w:r w:rsidR="001F4537" w:rsidRPr="718DB931">
        <w:t>thrombosis but</w:t>
      </w:r>
      <w:r w:rsidR="0003755B">
        <w:t xml:space="preserve"> based on consultation feedback including from Australian LVAD implant centres, MSAC</w:t>
      </w:r>
      <w:r w:rsidRPr="718DB931">
        <w:t xml:space="preserve"> considered </w:t>
      </w:r>
      <w:r w:rsidR="00C455D7">
        <w:t>the rate of LVAD replacement would be very low and was</w:t>
      </w:r>
      <w:r w:rsidRPr="718DB931">
        <w:t xml:space="preserve"> unlikely to have a significant effect on the total financial impact. Given that the </w:t>
      </w:r>
      <w:r w:rsidR="00C455D7">
        <w:t xml:space="preserve">proposed MBS item for </w:t>
      </w:r>
      <w:r w:rsidRPr="718DB931">
        <w:t xml:space="preserve">LVAD implantation </w:t>
      </w:r>
      <w:r w:rsidR="00EB23C0">
        <w:t>would be</w:t>
      </w:r>
      <w:r w:rsidRPr="718DB931">
        <w:t xml:space="preserve"> restricted to once per lifetime, MSAC also supported the amendment of existing MBS item 38621 to include wording allowing for LVAD replacement. </w:t>
      </w:r>
    </w:p>
    <w:tbl>
      <w:tblPr>
        <w:tblStyle w:val="TableGrid"/>
        <w:tblW w:w="0" w:type="auto"/>
        <w:tblLook w:val="04A0" w:firstRow="1" w:lastRow="0" w:firstColumn="1" w:lastColumn="0" w:noHBand="0" w:noVBand="1"/>
        <w:tblDescription w:val="Consumer summary of MSAC consideration"/>
      </w:tblPr>
      <w:tblGrid>
        <w:gridCol w:w="9016"/>
      </w:tblGrid>
      <w:tr w:rsidR="00E33F73" w:rsidRPr="003F6F2A" w14:paraId="5B640DD3" w14:textId="77777777">
        <w:trPr>
          <w:tblHeader/>
        </w:trPr>
        <w:tc>
          <w:tcPr>
            <w:tcW w:w="9016" w:type="dxa"/>
            <w:shd w:val="clear" w:color="auto" w:fill="auto"/>
          </w:tcPr>
          <w:p w14:paraId="0E75E1CC" w14:textId="77777777" w:rsidR="00E33F73" w:rsidRPr="00E33F73" w:rsidRDefault="00E33F73">
            <w:pPr>
              <w:keepNext/>
              <w:keepLines/>
              <w:spacing w:after="200"/>
              <w:outlineLvl w:val="2"/>
              <w:rPr>
                <w:rFonts w:eastAsia="Calibri" w:cs="Times New Roman"/>
                <w:b/>
                <w:bCs/>
                <w:iCs/>
                <w:color w:val="1F3763"/>
              </w:rPr>
            </w:pPr>
            <w:r w:rsidRPr="00E33F73">
              <w:rPr>
                <w:rFonts w:eastAsia="Times New Roman" w:cs="Times New Roman"/>
                <w:b/>
                <w:bCs/>
              </w:rPr>
              <w:lastRenderedPageBreak/>
              <w:t>Consumer summary</w:t>
            </w:r>
          </w:p>
        </w:tc>
      </w:tr>
      <w:tr w:rsidR="00E33F73" w:rsidRPr="003F6F2A" w14:paraId="2EB7B5D7" w14:textId="77777777">
        <w:tc>
          <w:tcPr>
            <w:tcW w:w="9016" w:type="dxa"/>
          </w:tcPr>
          <w:p w14:paraId="2D416924" w14:textId="77777777" w:rsidR="001E7DDA" w:rsidRPr="001E7DDA" w:rsidRDefault="001E7DDA" w:rsidP="001E7DDA">
            <w:pPr>
              <w:keepNext/>
              <w:keepLines/>
              <w:outlineLvl w:val="2"/>
              <w:rPr>
                <w:rFonts w:eastAsia="Times New Roman" w:cs="Times New Roman"/>
              </w:rPr>
            </w:pPr>
            <w:r w:rsidRPr="001E7DDA">
              <w:rPr>
                <w:rFonts w:eastAsia="Times New Roman" w:cs="Times New Roman"/>
              </w:rPr>
              <w:t>This is an application from Abbott Medical Australia Pty Ltd requesting Medicare Benefits Schedule (MBS) listing of insertion of durable left ventricular assist device (LVAD) for use as destination therapy in patients with refractory heart failure.</w:t>
            </w:r>
          </w:p>
          <w:p w14:paraId="416B5156" w14:textId="77777777" w:rsidR="001E7DDA" w:rsidRPr="001E7DDA" w:rsidRDefault="001E7DDA" w:rsidP="001E7DDA">
            <w:pPr>
              <w:keepNext/>
              <w:keepLines/>
              <w:outlineLvl w:val="2"/>
              <w:rPr>
                <w:rFonts w:eastAsia="Times New Roman" w:cs="Times New Roman"/>
              </w:rPr>
            </w:pPr>
            <w:r w:rsidRPr="001E7DDA">
              <w:rPr>
                <w:rFonts w:eastAsia="Times New Roman" w:cs="Times New Roman"/>
              </w:rPr>
              <w:t>Heart failure is a chronic progressive condition where the ability of the heart to pump blood around the body is impaired. This can be caused by various diseases or conditions such as a heart attack. There are several stages of heart failure. Refractory heart failure, also known as end-stage or advanced heart failure, is where the patient experiences persistent and progressive worsening in their heart function and symptoms despite receiving optimised medical treatment, which mainly includes medicines. These patients often require frequent hospitalisation and have poor survival if they do not receive further specialised advanced treatments, such as a heart transplant. However, some patients with refractory heart failure cannot have a heart transplant for various reasons.</w:t>
            </w:r>
          </w:p>
          <w:p w14:paraId="4D1C201E" w14:textId="77777777" w:rsidR="001E7DDA" w:rsidRPr="001E7DDA" w:rsidRDefault="001E7DDA" w:rsidP="001E7DDA">
            <w:pPr>
              <w:keepNext/>
              <w:keepLines/>
              <w:outlineLvl w:val="2"/>
              <w:rPr>
                <w:rFonts w:eastAsia="Times New Roman" w:cs="Times New Roman"/>
              </w:rPr>
            </w:pPr>
            <w:r w:rsidRPr="001E7DDA">
              <w:rPr>
                <w:rFonts w:eastAsia="Times New Roman" w:cs="Times New Roman"/>
              </w:rPr>
              <w:t xml:space="preserve">An LVAD is a battery-operated mechanical pump that can help pump the patient’s blood from the heart to the body. A surgeon would insert the LVAD into the left lower heart chamber, called the left ventricle. Some patients may temporarily receive an LVAD while they are waiting for a heart transplant. However, this application is seeking public funding to insert an LVAD in patients with refractory heart failure who cannot have a heart transplant. For these patients, LVAD would be used as a permanent treatment and is called destination therapy. </w:t>
            </w:r>
          </w:p>
          <w:p w14:paraId="4B08EA80" w14:textId="6FA651AD" w:rsidR="001E7DDA" w:rsidRPr="001E7DDA" w:rsidRDefault="001E7DDA" w:rsidP="001E7DDA">
            <w:pPr>
              <w:keepNext/>
              <w:keepLines/>
              <w:outlineLvl w:val="2"/>
              <w:rPr>
                <w:rFonts w:eastAsia="Times New Roman" w:cs="Times New Roman"/>
              </w:rPr>
            </w:pPr>
            <w:r w:rsidRPr="001E7DDA">
              <w:rPr>
                <w:rFonts w:eastAsia="Times New Roman" w:cs="Times New Roman"/>
              </w:rPr>
              <w:t xml:space="preserve">MSAC had previously considered this application at its meeting in April 2024. </w:t>
            </w:r>
            <w:r w:rsidR="0066521F">
              <w:rPr>
                <w:rFonts w:eastAsia="Times New Roman" w:cs="Times New Roman"/>
              </w:rPr>
              <w:t xml:space="preserve">At that time </w:t>
            </w:r>
            <w:r w:rsidRPr="001E7DDA">
              <w:rPr>
                <w:rFonts w:eastAsia="Times New Roman" w:cs="Times New Roman"/>
              </w:rPr>
              <w:t xml:space="preserve">MSAC had concluded that LVAD was more effective than </w:t>
            </w:r>
            <w:r w:rsidR="00850653">
              <w:rPr>
                <w:rFonts w:eastAsia="Times New Roman" w:cs="Times New Roman"/>
              </w:rPr>
              <w:t>the current standard of care</w:t>
            </w:r>
            <w:r w:rsidRPr="001E7DDA">
              <w:rPr>
                <w:rFonts w:eastAsia="Times New Roman" w:cs="Times New Roman"/>
              </w:rPr>
              <w:t xml:space="preserve"> for these </w:t>
            </w:r>
            <w:r w:rsidR="00202E71" w:rsidRPr="001E7DDA">
              <w:rPr>
                <w:rFonts w:eastAsia="Times New Roman" w:cs="Times New Roman"/>
              </w:rPr>
              <w:t>patients but</w:t>
            </w:r>
            <w:r w:rsidRPr="001E7DDA">
              <w:rPr>
                <w:rFonts w:eastAsia="Times New Roman" w:cs="Times New Roman"/>
              </w:rPr>
              <w:t xml:space="preserve"> had asked for more information from the applicant </w:t>
            </w:r>
            <w:proofErr w:type="gramStart"/>
            <w:r w:rsidR="0066521F">
              <w:rPr>
                <w:rFonts w:eastAsia="Times New Roman" w:cs="Times New Roman"/>
              </w:rPr>
              <w:t>in order to</w:t>
            </w:r>
            <w:proofErr w:type="gramEnd"/>
            <w:r w:rsidRPr="001E7DDA">
              <w:rPr>
                <w:rFonts w:eastAsia="Times New Roman" w:cs="Times New Roman"/>
              </w:rPr>
              <w:t xml:space="preserve"> make a </w:t>
            </w:r>
            <w:r w:rsidR="0066521F">
              <w:rPr>
                <w:rFonts w:eastAsia="Times New Roman" w:cs="Times New Roman"/>
              </w:rPr>
              <w:t xml:space="preserve">well-informed </w:t>
            </w:r>
            <w:r w:rsidRPr="001E7DDA">
              <w:rPr>
                <w:rFonts w:eastAsia="Times New Roman" w:cs="Times New Roman"/>
              </w:rPr>
              <w:t>decision.</w:t>
            </w:r>
            <w:r w:rsidR="0066521F">
              <w:rPr>
                <w:rFonts w:eastAsia="Times New Roman" w:cs="Times New Roman"/>
              </w:rPr>
              <w:t xml:space="preserve"> MSAC requested further information from the applicant regarding aftercare services that would be accessed by patients after LVAD implantation, including the costs of these services. In the current resubmission the applicant </w:t>
            </w:r>
            <w:r w:rsidR="003E4DF4">
              <w:rPr>
                <w:rFonts w:eastAsia="Times New Roman" w:cs="Times New Roman"/>
              </w:rPr>
              <w:t>provided the requested information by consulting with experts in Australian healthcare centres (including the centres that undertake LVAD implantation).</w:t>
            </w:r>
            <w:r w:rsidRPr="001E7DDA">
              <w:rPr>
                <w:rFonts w:eastAsia="Times New Roman" w:cs="Times New Roman"/>
              </w:rPr>
              <w:t xml:space="preserve"> </w:t>
            </w:r>
            <w:r w:rsidR="00602D8F">
              <w:rPr>
                <w:rFonts w:eastAsia="Times New Roman" w:cs="Times New Roman"/>
              </w:rPr>
              <w:t xml:space="preserve">Based on </w:t>
            </w:r>
            <w:r w:rsidR="00E44452">
              <w:rPr>
                <w:rFonts w:eastAsia="Times New Roman" w:cs="Times New Roman"/>
              </w:rPr>
              <w:t>input from these experts</w:t>
            </w:r>
            <w:r w:rsidR="00602D8F">
              <w:rPr>
                <w:rFonts w:eastAsia="Times New Roman" w:cs="Times New Roman"/>
              </w:rPr>
              <w:t xml:space="preserve">, MSAC noted that aftercare services can be provided in person or </w:t>
            </w:r>
            <w:r w:rsidR="00E44452">
              <w:rPr>
                <w:rFonts w:eastAsia="Times New Roman" w:cs="Times New Roman"/>
              </w:rPr>
              <w:t xml:space="preserve">in some instances </w:t>
            </w:r>
            <w:r w:rsidR="00602D8F">
              <w:rPr>
                <w:rFonts w:eastAsia="Times New Roman" w:cs="Times New Roman"/>
              </w:rPr>
              <w:t xml:space="preserve">through telehealth, and that </w:t>
            </w:r>
            <w:r w:rsidR="00E44452">
              <w:rPr>
                <w:rFonts w:eastAsia="Times New Roman" w:cs="Times New Roman"/>
              </w:rPr>
              <w:t>the costs of these services</w:t>
            </w:r>
            <w:r w:rsidR="00602D8F">
              <w:rPr>
                <w:rFonts w:eastAsia="Times New Roman" w:cs="Times New Roman"/>
              </w:rPr>
              <w:t xml:space="preserve"> are </w:t>
            </w:r>
            <w:r w:rsidR="00257BD6">
              <w:rPr>
                <w:rFonts w:eastAsia="Times New Roman" w:cs="Times New Roman"/>
              </w:rPr>
              <w:t>reasonable</w:t>
            </w:r>
            <w:r w:rsidR="00602D8F">
              <w:rPr>
                <w:rFonts w:eastAsia="Times New Roman" w:cs="Times New Roman"/>
              </w:rPr>
              <w:t xml:space="preserve">. </w:t>
            </w:r>
            <w:r w:rsidRPr="001E7DDA">
              <w:rPr>
                <w:rFonts w:eastAsia="Times New Roman" w:cs="Times New Roman"/>
              </w:rPr>
              <w:t xml:space="preserve">With </w:t>
            </w:r>
            <w:r w:rsidR="00602D8F" w:rsidRPr="001E7DDA">
              <w:rPr>
                <w:rFonts w:eastAsia="Times New Roman" w:cs="Times New Roman"/>
              </w:rPr>
              <w:t>th</w:t>
            </w:r>
            <w:r w:rsidR="00602D8F">
              <w:rPr>
                <w:rFonts w:eastAsia="Times New Roman" w:cs="Times New Roman"/>
              </w:rPr>
              <w:t>e</w:t>
            </w:r>
            <w:r w:rsidR="00602D8F" w:rsidRPr="001E7DDA">
              <w:rPr>
                <w:rFonts w:eastAsia="Times New Roman" w:cs="Times New Roman"/>
              </w:rPr>
              <w:t xml:space="preserve"> </w:t>
            </w:r>
            <w:r w:rsidRPr="001E7DDA">
              <w:rPr>
                <w:rFonts w:eastAsia="Times New Roman" w:cs="Times New Roman"/>
              </w:rPr>
              <w:t>updated information, MSAC concluded that LVAD</w:t>
            </w:r>
            <w:r w:rsidR="005D4C83">
              <w:rPr>
                <w:rFonts w:eastAsia="Times New Roman" w:cs="Times New Roman"/>
              </w:rPr>
              <w:t xml:space="preserve"> for </w:t>
            </w:r>
            <w:r w:rsidR="009D3950">
              <w:rPr>
                <w:rFonts w:eastAsia="Times New Roman" w:cs="Times New Roman"/>
              </w:rPr>
              <w:t>destination therapy</w:t>
            </w:r>
            <w:r w:rsidRPr="001E7DDA">
              <w:rPr>
                <w:rFonts w:eastAsia="Times New Roman" w:cs="Times New Roman"/>
              </w:rPr>
              <w:t xml:space="preserve"> is effective and good value for money</w:t>
            </w:r>
            <w:r w:rsidR="006A23D6">
              <w:rPr>
                <w:rFonts w:eastAsia="Times New Roman" w:cs="Times New Roman"/>
              </w:rPr>
              <w:t xml:space="preserve"> for the patient population proposed in the application who </w:t>
            </w:r>
            <w:r w:rsidR="007418F4">
              <w:rPr>
                <w:rFonts w:eastAsia="Times New Roman" w:cs="Times New Roman"/>
              </w:rPr>
              <w:t xml:space="preserve">currently </w:t>
            </w:r>
            <w:r w:rsidR="006A23D6">
              <w:rPr>
                <w:rFonts w:eastAsia="Times New Roman" w:cs="Times New Roman"/>
              </w:rPr>
              <w:t>have a very poor prognosis with no other effective treatment options</w:t>
            </w:r>
            <w:r w:rsidRPr="001E7DDA">
              <w:rPr>
                <w:rFonts w:eastAsia="Times New Roman" w:cs="Times New Roman"/>
              </w:rPr>
              <w:t>.</w:t>
            </w:r>
          </w:p>
          <w:p w14:paraId="597F76F2" w14:textId="77777777" w:rsidR="00E33F73" w:rsidRPr="003F6F2A" w:rsidRDefault="00E33F73">
            <w:pPr>
              <w:keepNext/>
              <w:keepLines/>
              <w:outlineLvl w:val="2"/>
              <w:rPr>
                <w:rFonts w:eastAsia="Times New Roman" w:cs="Times New Roman"/>
                <w:b/>
                <w:bCs/>
              </w:rPr>
            </w:pPr>
            <w:r w:rsidRPr="003F6F2A">
              <w:rPr>
                <w:rFonts w:eastAsia="Times New Roman" w:cs="Times New Roman"/>
                <w:b/>
                <w:bCs/>
              </w:rPr>
              <w:t xml:space="preserve">MSAC’s advice to the </w:t>
            </w:r>
            <w:proofErr w:type="gramStart"/>
            <w:r w:rsidRPr="003F6F2A">
              <w:rPr>
                <w:rFonts w:eastAsia="Times New Roman" w:cs="Times New Roman"/>
                <w:b/>
                <w:bCs/>
              </w:rPr>
              <w:t>Commonwealth Minister</w:t>
            </w:r>
            <w:proofErr w:type="gramEnd"/>
            <w:r w:rsidRPr="003F6F2A">
              <w:rPr>
                <w:rFonts w:eastAsia="Times New Roman" w:cs="Times New Roman"/>
                <w:b/>
                <w:bCs/>
              </w:rPr>
              <w:t xml:space="preserve"> for Health and Aged Care</w:t>
            </w:r>
          </w:p>
          <w:p w14:paraId="0A02F683" w14:textId="064CB933" w:rsidR="00E33F73" w:rsidRPr="003F6F2A" w:rsidRDefault="00A735B9">
            <w:pPr>
              <w:spacing w:after="120"/>
              <w:rPr>
                <w:rFonts w:eastAsia="Calibri" w:cs="Times New Roman"/>
              </w:rPr>
            </w:pPr>
            <w:r w:rsidRPr="00A735B9">
              <w:rPr>
                <w:rFonts w:eastAsia="Calibri" w:cs="Times New Roman"/>
              </w:rPr>
              <w:t xml:space="preserve">MSAC supported </w:t>
            </w:r>
            <w:r w:rsidR="006E1F2D">
              <w:rPr>
                <w:rFonts w:eastAsia="Calibri" w:cs="Times New Roman"/>
              </w:rPr>
              <w:t xml:space="preserve">the </w:t>
            </w:r>
            <w:r w:rsidRPr="00A735B9">
              <w:rPr>
                <w:rFonts w:eastAsia="Calibri" w:cs="Times New Roman"/>
              </w:rPr>
              <w:t>MBS listing for the insertion of a durable LVAD for destination therapy in the management of patients with refractory heart failure who are not eligible for a heart transplant. MSAC considered the proposed intervention to be more effective than the current standard of care (optimal medical management) for the target patient population</w:t>
            </w:r>
            <w:r w:rsidR="008F4991">
              <w:rPr>
                <w:rFonts w:eastAsia="Calibri" w:cs="Times New Roman"/>
              </w:rPr>
              <w:t>,</w:t>
            </w:r>
            <w:r w:rsidRPr="00A735B9">
              <w:rPr>
                <w:rFonts w:eastAsia="Calibri" w:cs="Times New Roman"/>
              </w:rPr>
              <w:t xml:space="preserve"> who have no other treatment alternatives. </w:t>
            </w:r>
            <w:r w:rsidR="00154FB7">
              <w:rPr>
                <w:rFonts w:eastAsia="Calibri" w:cs="Times New Roman"/>
              </w:rPr>
              <w:t xml:space="preserve">MSAC considered that LVAD for </w:t>
            </w:r>
            <w:r w:rsidR="009D3950">
              <w:rPr>
                <w:rFonts w:eastAsia="Calibri" w:cs="Times New Roman"/>
              </w:rPr>
              <w:t>destination therapy</w:t>
            </w:r>
            <w:r w:rsidR="00154FB7">
              <w:rPr>
                <w:rFonts w:eastAsia="Calibri" w:cs="Times New Roman"/>
              </w:rPr>
              <w:t xml:space="preserve"> would address a clinical need in this well-defined patient population with poor prognosis and</w:t>
            </w:r>
            <w:r w:rsidRPr="00A735B9">
              <w:rPr>
                <w:rFonts w:eastAsia="Calibri" w:cs="Times New Roman"/>
              </w:rPr>
              <w:t xml:space="preserve"> accepted that LVAD </w:t>
            </w:r>
            <w:r w:rsidR="00154FB7">
              <w:rPr>
                <w:rFonts w:eastAsia="Calibri" w:cs="Times New Roman"/>
              </w:rPr>
              <w:t xml:space="preserve">for </w:t>
            </w:r>
            <w:r w:rsidR="009D3950">
              <w:rPr>
                <w:rFonts w:eastAsia="Calibri" w:cs="Times New Roman"/>
              </w:rPr>
              <w:t>destination therapy</w:t>
            </w:r>
            <w:r w:rsidR="00154FB7">
              <w:rPr>
                <w:rFonts w:eastAsia="Calibri" w:cs="Times New Roman"/>
              </w:rPr>
              <w:t xml:space="preserve"> </w:t>
            </w:r>
            <w:r w:rsidRPr="00A735B9">
              <w:rPr>
                <w:rFonts w:eastAsia="Calibri" w:cs="Times New Roman"/>
              </w:rPr>
              <w:t>was good value for money.</w:t>
            </w:r>
          </w:p>
        </w:tc>
      </w:tr>
    </w:tbl>
    <w:p w14:paraId="0220002E" w14:textId="3D692F19" w:rsidR="00E33F73" w:rsidRPr="00E33F73" w:rsidRDefault="00E33F73" w:rsidP="00E33F73">
      <w:pPr>
        <w:pStyle w:val="Heading2"/>
        <w:numPr>
          <w:ilvl w:val="0"/>
          <w:numId w:val="0"/>
        </w:numPr>
      </w:pPr>
      <w:r>
        <w:t>3.</w:t>
      </w:r>
      <w:r>
        <w:tab/>
      </w:r>
      <w:r w:rsidRPr="003F6F2A">
        <w:t>Summary of consideration and rationale for MSAC’s advice</w:t>
      </w:r>
    </w:p>
    <w:p w14:paraId="6C2D251E" w14:textId="58554624" w:rsidR="00EF7632" w:rsidRDefault="007D63F5" w:rsidP="007D63F5">
      <w:pPr>
        <w:spacing w:after="240"/>
        <w:rPr>
          <w:iCs/>
        </w:rPr>
      </w:pPr>
      <w:r w:rsidRPr="007D63F5">
        <w:rPr>
          <w:iCs/>
        </w:rPr>
        <w:t xml:space="preserve">MSAC noted that this was a resubmission for MBS listing of insertion of durable LVAD for use as </w:t>
      </w:r>
      <w:r w:rsidR="00014465">
        <w:rPr>
          <w:iCs/>
        </w:rPr>
        <w:t>DT</w:t>
      </w:r>
      <w:r w:rsidRPr="007D63F5">
        <w:rPr>
          <w:iCs/>
        </w:rPr>
        <w:t xml:space="preserve"> in patients with refractory heart failure</w:t>
      </w:r>
      <w:r w:rsidR="00BE3D95">
        <w:rPr>
          <w:iCs/>
        </w:rPr>
        <w:t xml:space="preserve"> despite OMM who </w:t>
      </w:r>
      <w:proofErr w:type="gramStart"/>
      <w:r w:rsidR="00BE3D95">
        <w:rPr>
          <w:iCs/>
        </w:rPr>
        <w:t>are ineligible for cardiac transplantation</w:t>
      </w:r>
      <w:proofErr w:type="gramEnd"/>
      <w:r w:rsidRPr="007D63F5">
        <w:rPr>
          <w:iCs/>
        </w:rPr>
        <w:t>.</w:t>
      </w:r>
      <w:r w:rsidR="00BE4A80">
        <w:rPr>
          <w:iCs/>
        </w:rPr>
        <w:t xml:space="preserve"> </w:t>
      </w:r>
      <w:r w:rsidR="0090603F">
        <w:rPr>
          <w:iCs/>
        </w:rPr>
        <w:t xml:space="preserve">MSAC recalled that </w:t>
      </w:r>
      <w:r w:rsidR="002649FB">
        <w:rPr>
          <w:iCs/>
        </w:rPr>
        <w:t>a</w:t>
      </w:r>
      <w:r w:rsidRPr="007D63F5">
        <w:rPr>
          <w:iCs/>
        </w:rPr>
        <w:t>t its April 2024</w:t>
      </w:r>
      <w:r w:rsidR="00305CB8">
        <w:rPr>
          <w:iCs/>
        </w:rPr>
        <w:t xml:space="preserve"> </w:t>
      </w:r>
      <w:r w:rsidRPr="007D63F5">
        <w:rPr>
          <w:iCs/>
        </w:rPr>
        <w:t xml:space="preserve">meeting, MSAC </w:t>
      </w:r>
      <w:r w:rsidR="00A44AA3">
        <w:rPr>
          <w:iCs/>
        </w:rPr>
        <w:t xml:space="preserve">considered and </w:t>
      </w:r>
      <w:r w:rsidR="00BE4A80">
        <w:rPr>
          <w:iCs/>
        </w:rPr>
        <w:t xml:space="preserve">deferred its </w:t>
      </w:r>
      <w:r w:rsidR="00BE3D95">
        <w:rPr>
          <w:iCs/>
        </w:rPr>
        <w:t>advice</w:t>
      </w:r>
      <w:r w:rsidR="00A44AA3">
        <w:rPr>
          <w:iCs/>
        </w:rPr>
        <w:t xml:space="preserve"> on public funding for LVAD for </w:t>
      </w:r>
      <w:r w:rsidR="00014465">
        <w:rPr>
          <w:iCs/>
        </w:rPr>
        <w:t>DT</w:t>
      </w:r>
      <w:r w:rsidR="00A44AA3">
        <w:rPr>
          <w:iCs/>
        </w:rPr>
        <w:t>.</w:t>
      </w:r>
      <w:r w:rsidR="00C343AD">
        <w:rPr>
          <w:iCs/>
        </w:rPr>
        <w:t xml:space="preserve"> </w:t>
      </w:r>
      <w:r w:rsidR="00145198">
        <w:rPr>
          <w:iCs/>
        </w:rPr>
        <w:t>MSAC recalled that the</w:t>
      </w:r>
      <w:r w:rsidR="00DB1A38">
        <w:rPr>
          <w:iCs/>
        </w:rPr>
        <w:t xml:space="preserve"> application had a</w:t>
      </w:r>
      <w:r w:rsidR="00145198">
        <w:rPr>
          <w:iCs/>
        </w:rPr>
        <w:t xml:space="preserve"> </w:t>
      </w:r>
      <w:r w:rsidR="00C15E69">
        <w:rPr>
          <w:iCs/>
        </w:rPr>
        <w:t>well-defined patient population</w:t>
      </w:r>
      <w:r w:rsidR="00DB1A38">
        <w:rPr>
          <w:iCs/>
        </w:rPr>
        <w:t>,</w:t>
      </w:r>
      <w:r w:rsidR="00C15E69">
        <w:rPr>
          <w:iCs/>
        </w:rPr>
        <w:t xml:space="preserve"> </w:t>
      </w:r>
      <w:r w:rsidR="00DB1A38">
        <w:rPr>
          <w:iCs/>
        </w:rPr>
        <w:t xml:space="preserve">who have a </w:t>
      </w:r>
      <w:r w:rsidR="00145198">
        <w:rPr>
          <w:iCs/>
        </w:rPr>
        <w:t>high unmet clinical need</w:t>
      </w:r>
      <w:r w:rsidR="00DB1A38">
        <w:rPr>
          <w:iCs/>
        </w:rPr>
        <w:t>,</w:t>
      </w:r>
      <w:r w:rsidR="00145198">
        <w:rPr>
          <w:iCs/>
        </w:rPr>
        <w:t xml:space="preserve"> </w:t>
      </w:r>
      <w:r w:rsidR="00DB1A38">
        <w:rPr>
          <w:iCs/>
        </w:rPr>
        <w:t>due to having a</w:t>
      </w:r>
      <w:r w:rsidR="00145198">
        <w:rPr>
          <w:iCs/>
        </w:rPr>
        <w:t xml:space="preserve"> very poor prognosis </w:t>
      </w:r>
      <w:r w:rsidR="00972308">
        <w:rPr>
          <w:iCs/>
        </w:rPr>
        <w:t>and no available effective</w:t>
      </w:r>
      <w:r w:rsidR="00145198">
        <w:rPr>
          <w:iCs/>
        </w:rPr>
        <w:t xml:space="preserve"> treatment </w:t>
      </w:r>
      <w:r w:rsidR="00030C68">
        <w:rPr>
          <w:iCs/>
        </w:rPr>
        <w:t>alternatives. Based on available indirect evidence</w:t>
      </w:r>
      <w:r w:rsidR="00972308">
        <w:rPr>
          <w:iCs/>
        </w:rPr>
        <w:t xml:space="preserve"> presented in </w:t>
      </w:r>
      <w:r w:rsidR="00972308">
        <w:rPr>
          <w:iCs/>
        </w:rPr>
        <w:lastRenderedPageBreak/>
        <w:t>the original submission</w:t>
      </w:r>
      <w:r w:rsidR="00030C68">
        <w:rPr>
          <w:iCs/>
        </w:rPr>
        <w:t>,</w:t>
      </w:r>
      <w:r w:rsidR="00145198">
        <w:rPr>
          <w:iCs/>
        </w:rPr>
        <w:t xml:space="preserve"> </w:t>
      </w:r>
      <w:r w:rsidR="00030C68">
        <w:rPr>
          <w:iCs/>
        </w:rPr>
        <w:t>MSAC</w:t>
      </w:r>
      <w:r w:rsidR="00145198">
        <w:rPr>
          <w:iCs/>
        </w:rPr>
        <w:t xml:space="preserve"> considered</w:t>
      </w:r>
      <w:r w:rsidR="00FE085D">
        <w:rPr>
          <w:iCs/>
        </w:rPr>
        <w:t xml:space="preserve"> </w:t>
      </w:r>
      <w:r w:rsidR="00030C68">
        <w:rPr>
          <w:iCs/>
        </w:rPr>
        <w:t xml:space="preserve">that </w:t>
      </w:r>
      <w:r w:rsidR="00FE085D">
        <w:rPr>
          <w:iCs/>
        </w:rPr>
        <w:t>use of a LVAD had superior effectiveness compared to OMM.</w:t>
      </w:r>
      <w:r w:rsidR="00972308">
        <w:rPr>
          <w:iCs/>
        </w:rPr>
        <w:t xml:space="preserve"> </w:t>
      </w:r>
      <w:r w:rsidR="00296229">
        <w:rPr>
          <w:iCs/>
        </w:rPr>
        <w:t>At the time</w:t>
      </w:r>
      <w:r w:rsidR="00EF7632">
        <w:rPr>
          <w:iCs/>
        </w:rPr>
        <w:t>,</w:t>
      </w:r>
      <w:r w:rsidR="00296229">
        <w:rPr>
          <w:iCs/>
        </w:rPr>
        <w:t xml:space="preserve"> </w:t>
      </w:r>
      <w:r w:rsidR="00972308">
        <w:rPr>
          <w:iCs/>
        </w:rPr>
        <w:t xml:space="preserve">MSAC deferred its advice </w:t>
      </w:r>
      <w:r w:rsidR="00296229">
        <w:rPr>
          <w:iCs/>
        </w:rPr>
        <w:t>on public funding</w:t>
      </w:r>
      <w:r w:rsidR="0066276F">
        <w:rPr>
          <w:iCs/>
        </w:rPr>
        <w:t xml:space="preserve"> due to uncertainties in the economic and financial analysis</w:t>
      </w:r>
      <w:r w:rsidR="00296229">
        <w:rPr>
          <w:iCs/>
        </w:rPr>
        <w:t xml:space="preserve"> </w:t>
      </w:r>
      <w:r w:rsidR="00972308">
        <w:rPr>
          <w:iCs/>
        </w:rPr>
        <w:t>and requested</w:t>
      </w:r>
      <w:r w:rsidR="00EF7632">
        <w:rPr>
          <w:iCs/>
        </w:rPr>
        <w:t xml:space="preserve"> the applicant:</w:t>
      </w:r>
    </w:p>
    <w:p w14:paraId="34737683" w14:textId="14749B69" w:rsidR="00EF7632" w:rsidRDefault="00EF7632" w:rsidP="00EF7632">
      <w:pPr>
        <w:pStyle w:val="ListParagraph"/>
        <w:numPr>
          <w:ilvl w:val="0"/>
          <w:numId w:val="23"/>
        </w:numPr>
        <w:spacing w:after="240"/>
        <w:rPr>
          <w:iCs/>
        </w:rPr>
      </w:pPr>
      <w:r>
        <w:rPr>
          <w:iCs/>
        </w:rPr>
        <w:t xml:space="preserve">undertake consultation with Australian healthcare centres </w:t>
      </w:r>
      <w:r w:rsidRPr="00EF7632">
        <w:rPr>
          <w:iCs/>
        </w:rPr>
        <w:t>to obtain a more contemporary and informed estimate on the aftercare costs</w:t>
      </w:r>
      <w:r w:rsidR="002301F4">
        <w:rPr>
          <w:iCs/>
        </w:rPr>
        <w:t>,</w:t>
      </w:r>
      <w:r w:rsidRPr="00EF7632">
        <w:rPr>
          <w:iCs/>
        </w:rPr>
        <w:t xml:space="preserve"> (broken down by payer) and the format of aftercare services (e.g. in-person, telehealth and/or hybrid) following LVAD implantation in Australia</w:t>
      </w:r>
    </w:p>
    <w:p w14:paraId="3302469B" w14:textId="7AA6EABF" w:rsidR="00EF7632" w:rsidRDefault="00EF7632" w:rsidP="00EF7632">
      <w:pPr>
        <w:pStyle w:val="ListParagraph"/>
        <w:numPr>
          <w:ilvl w:val="0"/>
          <w:numId w:val="23"/>
        </w:numPr>
        <w:spacing w:after="240"/>
        <w:rPr>
          <w:iCs/>
        </w:rPr>
      </w:pPr>
      <w:r w:rsidRPr="00EF7632">
        <w:rPr>
          <w:iCs/>
        </w:rPr>
        <w:t>describe how private patient funding</w:t>
      </w:r>
      <w:r w:rsidR="004C13DB">
        <w:rPr>
          <w:iCs/>
        </w:rPr>
        <w:t xml:space="preserve"> for aftercare</w:t>
      </w:r>
      <w:r w:rsidRPr="00EF7632">
        <w:rPr>
          <w:iCs/>
        </w:rPr>
        <w:t xml:space="preserve"> will be addressed by the public hospitals (the only sites where this service is currently available)</w:t>
      </w:r>
    </w:p>
    <w:p w14:paraId="4A00DB67" w14:textId="3D475E47" w:rsidR="00EF7632" w:rsidRPr="007C488A" w:rsidRDefault="00EF7632" w:rsidP="00EF7632">
      <w:pPr>
        <w:pStyle w:val="ListParagraph"/>
        <w:numPr>
          <w:ilvl w:val="0"/>
          <w:numId w:val="23"/>
        </w:numPr>
      </w:pPr>
      <w:r w:rsidRPr="007C488A">
        <w:rPr>
          <w:szCs w:val="24"/>
        </w:rPr>
        <w:t>re-specify the base case to use a time horizon of 10 years</w:t>
      </w:r>
      <w:r w:rsidR="00D6497E">
        <w:rPr>
          <w:szCs w:val="24"/>
        </w:rPr>
        <w:t>;</w:t>
      </w:r>
      <w:r w:rsidRPr="007C488A">
        <w:rPr>
          <w:szCs w:val="24"/>
        </w:rPr>
        <w:t xml:space="preserve"> apply OMM disease related costs in the 1st cycle of $0</w:t>
      </w:r>
      <w:r w:rsidR="00D6497E">
        <w:rPr>
          <w:szCs w:val="24"/>
        </w:rPr>
        <w:t>;</w:t>
      </w:r>
      <w:r w:rsidRPr="007C488A">
        <w:rPr>
          <w:szCs w:val="24"/>
        </w:rPr>
        <w:t xml:space="preserve"> apply a utility value of 0.64 for the 1</w:t>
      </w:r>
      <w:r w:rsidRPr="007C488A">
        <w:rPr>
          <w:szCs w:val="24"/>
          <w:vertAlign w:val="superscript"/>
        </w:rPr>
        <w:t>st</w:t>
      </w:r>
      <w:r w:rsidRPr="007C488A">
        <w:rPr>
          <w:szCs w:val="24"/>
        </w:rPr>
        <w:t xml:space="preserve"> cycle in both the OMM and the LVAD arms</w:t>
      </w:r>
      <w:r w:rsidR="00850A8F">
        <w:rPr>
          <w:szCs w:val="24"/>
        </w:rPr>
        <w:t>,</w:t>
      </w:r>
      <w:r w:rsidR="00A5153D">
        <w:rPr>
          <w:szCs w:val="24"/>
        </w:rPr>
        <w:t xml:space="preserve"> and</w:t>
      </w:r>
      <w:r w:rsidRPr="007C488A">
        <w:rPr>
          <w:szCs w:val="24"/>
        </w:rPr>
        <w:t xml:space="preserve"> in subsequent cycles of the OMM arm, and a utility value of 0.79 in the subsequent cycles of the LVAD arm</w:t>
      </w:r>
      <w:r w:rsidR="00D6497E">
        <w:rPr>
          <w:szCs w:val="24"/>
        </w:rPr>
        <w:t>;</w:t>
      </w:r>
      <w:r w:rsidRPr="007C488A">
        <w:rPr>
          <w:szCs w:val="24"/>
        </w:rPr>
        <w:t xml:space="preserve"> and further revise this base case to incorporate device replacement costs (other than for pump thrombosis) and aftercare costs informed by the above consultation with Australian hospitals</w:t>
      </w:r>
    </w:p>
    <w:p w14:paraId="1DEDE96B" w14:textId="77777777" w:rsidR="00EF7632" w:rsidRPr="007C488A" w:rsidRDefault="00EF7632" w:rsidP="00EF7632">
      <w:pPr>
        <w:pStyle w:val="ListParagraph"/>
        <w:numPr>
          <w:ilvl w:val="0"/>
          <w:numId w:val="23"/>
        </w:numPr>
      </w:pPr>
      <w:r w:rsidRPr="007C488A">
        <w:rPr>
          <w:szCs w:val="24"/>
        </w:rPr>
        <w:t>update the financial analysis to incorporate the updated additional costs (as above) associated with the proposed service</w:t>
      </w:r>
    </w:p>
    <w:p w14:paraId="4B207008" w14:textId="77777777" w:rsidR="00EF7632" w:rsidRPr="007C488A" w:rsidRDefault="00EF7632" w:rsidP="00EF7632">
      <w:pPr>
        <w:pStyle w:val="ListParagraph"/>
        <w:numPr>
          <w:ilvl w:val="0"/>
          <w:numId w:val="23"/>
        </w:numPr>
      </w:pPr>
      <w:r w:rsidRPr="007C488A">
        <w:rPr>
          <w:szCs w:val="24"/>
        </w:rPr>
        <w:t xml:space="preserve">provide a proposed MBS item descriptor for the re-implantation of an LVAD for DT. </w:t>
      </w:r>
    </w:p>
    <w:p w14:paraId="467B481F" w14:textId="43E50B28" w:rsidR="00D5365F" w:rsidRDefault="007D63F5" w:rsidP="007D63F5">
      <w:pPr>
        <w:spacing w:after="240"/>
        <w:rPr>
          <w:iCs/>
        </w:rPr>
      </w:pPr>
      <w:r w:rsidRPr="007D63F5">
        <w:rPr>
          <w:iCs/>
        </w:rPr>
        <w:t>The applicant was granted a hearing, during which</w:t>
      </w:r>
      <w:r w:rsidR="009D28E6">
        <w:rPr>
          <w:iCs/>
        </w:rPr>
        <w:t xml:space="preserve"> the</w:t>
      </w:r>
      <w:r w:rsidR="00BB6A82">
        <w:rPr>
          <w:iCs/>
        </w:rPr>
        <w:t xml:space="preserve"> applicant representatives</w:t>
      </w:r>
      <w:r w:rsidR="009D28E6">
        <w:rPr>
          <w:iCs/>
        </w:rPr>
        <w:t xml:space="preserve"> </w:t>
      </w:r>
      <w:r w:rsidR="00333881">
        <w:rPr>
          <w:iCs/>
        </w:rPr>
        <w:t>pr</w:t>
      </w:r>
      <w:r w:rsidR="00691395">
        <w:rPr>
          <w:iCs/>
        </w:rPr>
        <w:t>esented</w:t>
      </w:r>
      <w:r w:rsidR="00333881">
        <w:rPr>
          <w:iCs/>
        </w:rPr>
        <w:t xml:space="preserve"> information relating to</w:t>
      </w:r>
      <w:r w:rsidR="0088184F">
        <w:rPr>
          <w:iCs/>
        </w:rPr>
        <w:t xml:space="preserve"> aftercare</w:t>
      </w:r>
      <w:r w:rsidR="00333881">
        <w:rPr>
          <w:iCs/>
        </w:rPr>
        <w:t xml:space="preserve"> services</w:t>
      </w:r>
      <w:r w:rsidR="0088184F">
        <w:rPr>
          <w:iCs/>
        </w:rPr>
        <w:t xml:space="preserve"> provided to patients</w:t>
      </w:r>
      <w:r w:rsidR="00333881">
        <w:rPr>
          <w:iCs/>
        </w:rPr>
        <w:t xml:space="preserve"> implanted with LVAD</w:t>
      </w:r>
      <w:r w:rsidR="0088184F">
        <w:rPr>
          <w:iCs/>
        </w:rPr>
        <w:t>.</w:t>
      </w:r>
      <w:r w:rsidR="003F0E45">
        <w:rPr>
          <w:iCs/>
        </w:rPr>
        <w:t xml:space="preserve"> The </w:t>
      </w:r>
      <w:r w:rsidR="00806747">
        <w:rPr>
          <w:iCs/>
        </w:rPr>
        <w:t xml:space="preserve">applicant representatives </w:t>
      </w:r>
      <w:r w:rsidR="003F0E45">
        <w:rPr>
          <w:iCs/>
        </w:rPr>
        <w:t xml:space="preserve">noted that post-implantation patients require specialist </w:t>
      </w:r>
      <w:r w:rsidR="00D74572">
        <w:rPr>
          <w:iCs/>
        </w:rPr>
        <w:t>care</w:t>
      </w:r>
      <w:r w:rsidR="003F0E45">
        <w:rPr>
          <w:iCs/>
        </w:rPr>
        <w:t xml:space="preserve"> once a month</w:t>
      </w:r>
      <w:r w:rsidR="00D74572">
        <w:rPr>
          <w:iCs/>
        </w:rPr>
        <w:t xml:space="preserve">, with the majority of these provided in person. </w:t>
      </w:r>
      <w:r w:rsidR="00BB6A82">
        <w:rPr>
          <w:iCs/>
        </w:rPr>
        <w:t>It was n</w:t>
      </w:r>
      <w:r w:rsidR="00DD5E47">
        <w:rPr>
          <w:iCs/>
        </w:rPr>
        <w:t>oted that o</w:t>
      </w:r>
      <w:r w:rsidR="00510B77">
        <w:rPr>
          <w:iCs/>
        </w:rPr>
        <w:t xml:space="preserve">nce </w:t>
      </w:r>
      <w:r w:rsidR="00D74572">
        <w:rPr>
          <w:iCs/>
        </w:rPr>
        <w:t xml:space="preserve">stable, patients are also able to access this service through telehealth and provide the specialist with relevant information from their device. The </w:t>
      </w:r>
      <w:r w:rsidR="00806747">
        <w:rPr>
          <w:iCs/>
        </w:rPr>
        <w:t xml:space="preserve">representatives </w:t>
      </w:r>
      <w:r w:rsidR="00D74572">
        <w:rPr>
          <w:iCs/>
        </w:rPr>
        <w:t>further noted that t</w:t>
      </w:r>
      <w:r w:rsidR="00D74572" w:rsidRPr="007D63F5">
        <w:rPr>
          <w:iCs/>
        </w:rPr>
        <w:t>he number of additional general practitioner (GP) visits are likely to be low, as the</w:t>
      </w:r>
      <w:r w:rsidR="00D512D1">
        <w:rPr>
          <w:iCs/>
        </w:rPr>
        <w:t xml:space="preserve"> patients are equipped to monitor anticoagulation through </w:t>
      </w:r>
      <w:r w:rsidR="00D512D1" w:rsidRPr="001A66EE">
        <w:t>international normalised ratio</w:t>
      </w:r>
      <w:r w:rsidR="00D512D1" w:rsidRPr="007D63F5" w:rsidDel="00D512D1">
        <w:rPr>
          <w:iCs/>
        </w:rPr>
        <w:t xml:space="preserve"> </w:t>
      </w:r>
      <w:r w:rsidR="00D512D1">
        <w:rPr>
          <w:iCs/>
        </w:rPr>
        <w:t>(</w:t>
      </w:r>
      <w:r w:rsidR="00D74572" w:rsidRPr="007D63F5">
        <w:rPr>
          <w:iCs/>
        </w:rPr>
        <w:t>INR</w:t>
      </w:r>
      <w:r w:rsidR="00D512D1">
        <w:rPr>
          <w:iCs/>
        </w:rPr>
        <w:t>) testing</w:t>
      </w:r>
      <w:r w:rsidR="007A7D7B">
        <w:rPr>
          <w:iCs/>
        </w:rPr>
        <w:t xml:space="preserve"> and blood pressure monitoring</w:t>
      </w:r>
      <w:r w:rsidR="00D512D1">
        <w:rPr>
          <w:iCs/>
        </w:rPr>
        <w:t xml:space="preserve"> at home</w:t>
      </w:r>
      <w:r w:rsidR="00C808ED">
        <w:rPr>
          <w:iCs/>
        </w:rPr>
        <w:t>. It was also noted that</w:t>
      </w:r>
      <w:r w:rsidR="00D74572" w:rsidRPr="007D63F5">
        <w:rPr>
          <w:iCs/>
        </w:rPr>
        <w:t xml:space="preserve"> the specialist takes responsibility for </w:t>
      </w:r>
      <w:r w:rsidR="006A4E80">
        <w:rPr>
          <w:iCs/>
        </w:rPr>
        <w:t>anticoagulation</w:t>
      </w:r>
      <w:r w:rsidR="006A4E80" w:rsidRPr="007D63F5">
        <w:rPr>
          <w:iCs/>
        </w:rPr>
        <w:t xml:space="preserve"> </w:t>
      </w:r>
      <w:r w:rsidR="00D74572" w:rsidRPr="007D63F5">
        <w:rPr>
          <w:iCs/>
        </w:rPr>
        <w:t>management and driveline maintenance.</w:t>
      </w:r>
      <w:r w:rsidR="00D74572">
        <w:rPr>
          <w:iCs/>
        </w:rPr>
        <w:t xml:space="preserve"> </w:t>
      </w:r>
      <w:r w:rsidR="0047633B">
        <w:rPr>
          <w:iCs/>
        </w:rPr>
        <w:t xml:space="preserve">It was </w:t>
      </w:r>
      <w:r w:rsidR="0047633B" w:rsidRPr="0047633B">
        <w:rPr>
          <w:iCs/>
        </w:rPr>
        <w:t xml:space="preserve">noted that the newer LVAD, HeartMate 3, has more simplified aftercare compared to the older </w:t>
      </w:r>
      <w:proofErr w:type="spellStart"/>
      <w:r w:rsidR="0047633B" w:rsidRPr="0047633B">
        <w:rPr>
          <w:iCs/>
        </w:rPr>
        <w:t>HeartWare</w:t>
      </w:r>
      <w:proofErr w:type="spellEnd"/>
      <w:r w:rsidR="0047633B" w:rsidRPr="0047633B">
        <w:rPr>
          <w:iCs/>
        </w:rPr>
        <w:t xml:space="preserve"> pump due to the reduced number of complications associated with the newer LVAD model which would contribute to lower aftercare costs. </w:t>
      </w:r>
      <w:r w:rsidR="007A7D7B">
        <w:rPr>
          <w:iCs/>
        </w:rPr>
        <w:t xml:space="preserve">The </w:t>
      </w:r>
      <w:r w:rsidR="00510B77">
        <w:rPr>
          <w:iCs/>
        </w:rPr>
        <w:t xml:space="preserve">applicant representatives </w:t>
      </w:r>
      <w:r w:rsidR="007A7D7B">
        <w:rPr>
          <w:iCs/>
        </w:rPr>
        <w:t>noted that t</w:t>
      </w:r>
      <w:r w:rsidR="007A7D7B" w:rsidRPr="007D63F5">
        <w:rPr>
          <w:iCs/>
        </w:rPr>
        <w:t xml:space="preserve">here </w:t>
      </w:r>
      <w:proofErr w:type="gramStart"/>
      <w:r w:rsidR="007A7D7B" w:rsidRPr="007D63F5">
        <w:rPr>
          <w:iCs/>
        </w:rPr>
        <w:t>are</w:t>
      </w:r>
      <w:proofErr w:type="gramEnd"/>
      <w:r w:rsidR="007A7D7B" w:rsidRPr="007D63F5">
        <w:rPr>
          <w:iCs/>
        </w:rPr>
        <w:t xml:space="preserve"> no significant allied health costs related to post-discharge care, and patients are encouraged to attend a local rehabilitation clinic to improve exercise capacity and general fitness, as is done for all patients</w:t>
      </w:r>
      <w:r w:rsidR="00030923">
        <w:rPr>
          <w:iCs/>
        </w:rPr>
        <w:t xml:space="preserve"> </w:t>
      </w:r>
      <w:r w:rsidR="00C731EF">
        <w:rPr>
          <w:iCs/>
        </w:rPr>
        <w:t>after</w:t>
      </w:r>
      <w:r w:rsidR="00030923">
        <w:rPr>
          <w:iCs/>
        </w:rPr>
        <w:t xml:space="preserve"> a</w:t>
      </w:r>
      <w:r w:rsidR="00D5365F">
        <w:rPr>
          <w:iCs/>
        </w:rPr>
        <w:t xml:space="preserve"> </w:t>
      </w:r>
      <w:r w:rsidR="00030923">
        <w:rPr>
          <w:iCs/>
        </w:rPr>
        <w:t>cardiac procedure</w:t>
      </w:r>
      <w:r w:rsidR="007A7D7B" w:rsidRPr="007D63F5">
        <w:rPr>
          <w:iCs/>
        </w:rPr>
        <w:t>.</w:t>
      </w:r>
    </w:p>
    <w:p w14:paraId="34E662F5" w14:textId="2E4DDDAB" w:rsidR="002C7CEC" w:rsidRDefault="002C7CEC" w:rsidP="007D63F5">
      <w:pPr>
        <w:spacing w:after="240"/>
        <w:rPr>
          <w:iCs/>
        </w:rPr>
      </w:pPr>
      <w:r>
        <w:rPr>
          <w:iCs/>
        </w:rPr>
        <w:t xml:space="preserve">MSAC noted the resubmission presented two economic analyses. MSAC considered the analysis referred </w:t>
      </w:r>
      <w:r w:rsidR="000D4C78">
        <w:rPr>
          <w:iCs/>
        </w:rPr>
        <w:t xml:space="preserve">to </w:t>
      </w:r>
      <w:r>
        <w:rPr>
          <w:iCs/>
        </w:rPr>
        <w:t>by the applicant as the ‘likely overestimated base case’ aligned most closely with the model specifications MSAC had previously advised and considered this to be the more appropriate analysis.</w:t>
      </w:r>
      <w:r w:rsidRPr="002C7CEC">
        <w:rPr>
          <w:iCs/>
        </w:rPr>
        <w:t xml:space="preserve"> </w:t>
      </w:r>
      <w:r w:rsidRPr="007D63F5">
        <w:rPr>
          <w:iCs/>
        </w:rPr>
        <w:t>MSAC noted that th</w:t>
      </w:r>
      <w:r w:rsidR="00E47CFA">
        <w:rPr>
          <w:iCs/>
        </w:rPr>
        <w:t>is analysis</w:t>
      </w:r>
      <w:r w:rsidRPr="007D63F5">
        <w:rPr>
          <w:iCs/>
        </w:rPr>
        <w:t xml:space="preserve"> </w:t>
      </w:r>
      <w:r w:rsidR="00E47CFA">
        <w:rPr>
          <w:iCs/>
        </w:rPr>
        <w:t xml:space="preserve">reduced </w:t>
      </w:r>
      <w:r w:rsidRPr="007D63F5">
        <w:rPr>
          <w:iCs/>
        </w:rPr>
        <w:t>the time horizon to 1</w:t>
      </w:r>
      <w:r w:rsidR="00E47CFA">
        <w:rPr>
          <w:iCs/>
        </w:rPr>
        <w:t>0</w:t>
      </w:r>
      <w:r w:rsidRPr="007D63F5">
        <w:rPr>
          <w:iCs/>
        </w:rPr>
        <w:t xml:space="preserve"> years, updat</w:t>
      </w:r>
      <w:r w:rsidR="00E47CFA">
        <w:rPr>
          <w:iCs/>
        </w:rPr>
        <w:t>ed</w:t>
      </w:r>
      <w:r w:rsidRPr="007D63F5">
        <w:rPr>
          <w:iCs/>
        </w:rPr>
        <w:t xml:space="preserve"> the utility values to align with MSAC’s advice, increas</w:t>
      </w:r>
      <w:r w:rsidR="00E47CFA">
        <w:rPr>
          <w:iCs/>
        </w:rPr>
        <w:t>ed</w:t>
      </w:r>
      <w:r w:rsidRPr="007D63F5">
        <w:rPr>
          <w:iCs/>
        </w:rPr>
        <w:t xml:space="preserve"> the annual </w:t>
      </w:r>
      <w:r w:rsidR="00E47CFA">
        <w:rPr>
          <w:iCs/>
        </w:rPr>
        <w:t xml:space="preserve">device </w:t>
      </w:r>
      <w:r w:rsidRPr="007D63F5">
        <w:rPr>
          <w:iCs/>
        </w:rPr>
        <w:t>replacement rate</w:t>
      </w:r>
      <w:r w:rsidR="00E47CFA">
        <w:rPr>
          <w:iCs/>
        </w:rPr>
        <w:t xml:space="preserve"> in Years 2+</w:t>
      </w:r>
      <w:r w:rsidRPr="007D63F5">
        <w:rPr>
          <w:iCs/>
        </w:rPr>
        <w:t xml:space="preserve"> from 1</w:t>
      </w:r>
      <w:r w:rsidR="00E47CFA">
        <w:rPr>
          <w:iCs/>
        </w:rPr>
        <w:t>.1</w:t>
      </w:r>
      <w:r w:rsidRPr="007D63F5">
        <w:rPr>
          <w:iCs/>
        </w:rPr>
        <w:t>% to 2.2%</w:t>
      </w:r>
      <w:r w:rsidR="00E47CFA">
        <w:rPr>
          <w:iCs/>
        </w:rPr>
        <w:t>, reduced the OMM disease related costs in the first cycle to $0</w:t>
      </w:r>
      <w:r w:rsidR="00D668AF">
        <w:rPr>
          <w:iCs/>
        </w:rPr>
        <w:t>, and updated the aftercare costs</w:t>
      </w:r>
      <w:r w:rsidR="003B24A9">
        <w:rPr>
          <w:iCs/>
        </w:rPr>
        <w:t xml:space="preserve"> in Years 0-2</w:t>
      </w:r>
      <w:r w:rsidR="00D668AF">
        <w:rPr>
          <w:iCs/>
        </w:rPr>
        <w:t xml:space="preserve"> to </w:t>
      </w:r>
      <w:r w:rsidR="003B24A9">
        <w:rPr>
          <w:iCs/>
        </w:rPr>
        <w:t>$39,130.03/year</w:t>
      </w:r>
      <w:r w:rsidRPr="007D63F5">
        <w:rPr>
          <w:iCs/>
        </w:rPr>
        <w:t xml:space="preserve">. </w:t>
      </w:r>
      <w:r w:rsidR="00AB0A40">
        <w:rPr>
          <w:iCs/>
        </w:rPr>
        <w:t xml:space="preserve">MSAC noted that the </w:t>
      </w:r>
      <w:r w:rsidR="003B24A9">
        <w:rPr>
          <w:iCs/>
        </w:rPr>
        <w:t xml:space="preserve">revised aftercare costs in the resubmission were informed by applicant conducted consultations with clinicians from all four adult </w:t>
      </w:r>
      <w:r w:rsidR="00E25517">
        <w:rPr>
          <w:iCs/>
        </w:rPr>
        <w:t xml:space="preserve">heart </w:t>
      </w:r>
      <w:r w:rsidR="003B24A9">
        <w:rPr>
          <w:iCs/>
        </w:rPr>
        <w:t xml:space="preserve">transplant centres and </w:t>
      </w:r>
      <w:r w:rsidR="003735FD">
        <w:rPr>
          <w:iCs/>
        </w:rPr>
        <w:t>one</w:t>
      </w:r>
      <w:r w:rsidR="003B24A9">
        <w:rPr>
          <w:iCs/>
        </w:rPr>
        <w:t xml:space="preserve"> non-transplant centre. MSAC noted from the consultation</w:t>
      </w:r>
      <w:r w:rsidR="0029189A">
        <w:rPr>
          <w:iCs/>
        </w:rPr>
        <w:t xml:space="preserve"> input</w:t>
      </w:r>
      <w:r w:rsidR="003B24A9">
        <w:rPr>
          <w:iCs/>
        </w:rPr>
        <w:t xml:space="preserve"> that the upper limit of aftercare costs per year following LVAD implantation is approximately $39,130.03. </w:t>
      </w:r>
      <w:r w:rsidR="002E3691">
        <w:rPr>
          <w:iCs/>
        </w:rPr>
        <w:t xml:space="preserve">MSAC noted that this upper limit of aftercare costs does not include post-implantation rehabilitation costs, however considered that there are no reliable data sources to inform these costs and in addition </w:t>
      </w:r>
      <w:r w:rsidR="00BD225D">
        <w:rPr>
          <w:iCs/>
        </w:rPr>
        <w:t>considered</w:t>
      </w:r>
      <w:r w:rsidR="002E3691">
        <w:rPr>
          <w:iCs/>
        </w:rPr>
        <w:t xml:space="preserve"> from the applicant’s hearing that </w:t>
      </w:r>
      <w:r w:rsidR="0029189A">
        <w:rPr>
          <w:iCs/>
        </w:rPr>
        <w:t>these rehabilitation costs are unlikely to be substantial.</w:t>
      </w:r>
      <w:r w:rsidR="002E3691">
        <w:rPr>
          <w:iCs/>
        </w:rPr>
        <w:t xml:space="preserve"> </w:t>
      </w:r>
      <w:r w:rsidR="00232593">
        <w:rPr>
          <w:iCs/>
        </w:rPr>
        <w:t>MSAC noted that t</w:t>
      </w:r>
      <w:r w:rsidRPr="007D63F5">
        <w:rPr>
          <w:iCs/>
        </w:rPr>
        <w:t>he revised economic model resulted in an ICER of $</w:t>
      </w:r>
      <w:r w:rsidR="005073F5" w:rsidRPr="005073F5">
        <w:rPr>
          <w:b/>
          <w:bCs/>
          <w:iCs/>
        </w:rPr>
        <w:t>redacted</w:t>
      </w:r>
      <w:r w:rsidRPr="007D63F5">
        <w:rPr>
          <w:iCs/>
        </w:rPr>
        <w:t xml:space="preserve"> per quality-adjusted life year (QALY) gained</w:t>
      </w:r>
      <w:r w:rsidR="00232593">
        <w:rPr>
          <w:iCs/>
        </w:rPr>
        <w:t xml:space="preserve"> (corrected in the applicant’s pre-MSAC response to $</w:t>
      </w:r>
      <w:r w:rsidR="005073F5" w:rsidRPr="00DE5B29">
        <w:rPr>
          <w:b/>
          <w:bCs/>
          <w:iCs/>
        </w:rPr>
        <w:t>redacted</w:t>
      </w:r>
      <w:r w:rsidR="00232593">
        <w:rPr>
          <w:iCs/>
        </w:rPr>
        <w:t>)</w:t>
      </w:r>
      <w:r w:rsidRPr="007D63F5">
        <w:rPr>
          <w:iCs/>
        </w:rPr>
        <w:t>, compared with $</w:t>
      </w:r>
      <w:r w:rsidR="005073F5" w:rsidRPr="00DE5B29">
        <w:rPr>
          <w:b/>
          <w:bCs/>
          <w:iCs/>
        </w:rPr>
        <w:t>redacted</w:t>
      </w:r>
      <w:r w:rsidR="005073F5" w:rsidRPr="007D63F5" w:rsidDel="005073F5">
        <w:rPr>
          <w:iCs/>
        </w:rPr>
        <w:t xml:space="preserve"> </w:t>
      </w:r>
      <w:r w:rsidRPr="007D63F5">
        <w:rPr>
          <w:iCs/>
        </w:rPr>
        <w:t xml:space="preserve">per </w:t>
      </w:r>
      <w:r w:rsidRPr="007D63F5">
        <w:rPr>
          <w:iCs/>
        </w:rPr>
        <w:lastRenderedPageBreak/>
        <w:t xml:space="preserve">QALY gained in the original submission. </w:t>
      </w:r>
      <w:r w:rsidR="00712647">
        <w:rPr>
          <w:iCs/>
        </w:rPr>
        <w:t xml:space="preserve">Although the ICER was high, MSAC considered it to be acceptable for the </w:t>
      </w:r>
      <w:r w:rsidR="00BD225D">
        <w:rPr>
          <w:iCs/>
        </w:rPr>
        <w:t>well-defined</w:t>
      </w:r>
      <w:r w:rsidR="00712647">
        <w:rPr>
          <w:iCs/>
        </w:rPr>
        <w:t xml:space="preserve"> patient population who currently have a poor prognosis and a lack of effective alternative treatments.</w:t>
      </w:r>
    </w:p>
    <w:p w14:paraId="72936FC6" w14:textId="2D7A3498" w:rsidR="007D63F5" w:rsidRPr="007D63F5" w:rsidRDefault="007D63F5" w:rsidP="007D63F5">
      <w:pPr>
        <w:spacing w:after="240"/>
        <w:rPr>
          <w:iCs/>
        </w:rPr>
      </w:pPr>
      <w:r w:rsidRPr="007D63F5">
        <w:rPr>
          <w:iCs/>
        </w:rPr>
        <w:t>MSAC noted</w:t>
      </w:r>
      <w:r w:rsidR="00532AAA">
        <w:rPr>
          <w:iCs/>
        </w:rPr>
        <w:t xml:space="preserve"> from the applicant</w:t>
      </w:r>
      <w:r w:rsidR="00BD225D">
        <w:rPr>
          <w:iCs/>
        </w:rPr>
        <w:t>’</w:t>
      </w:r>
      <w:r w:rsidR="00532AAA">
        <w:rPr>
          <w:iCs/>
        </w:rPr>
        <w:t>s hearing</w:t>
      </w:r>
      <w:r w:rsidRPr="007D63F5">
        <w:rPr>
          <w:iCs/>
        </w:rPr>
        <w:t xml:space="preserve"> that the option of telehealth capability for aftercare would likely improve access and equity, particularly for rural and remote patients.</w:t>
      </w:r>
      <w:r w:rsidR="00921556">
        <w:rPr>
          <w:iCs/>
        </w:rPr>
        <w:t xml:space="preserve"> </w:t>
      </w:r>
      <w:r w:rsidR="004859E8">
        <w:rPr>
          <w:iCs/>
        </w:rPr>
        <w:t>MSAC</w:t>
      </w:r>
      <w:r w:rsidR="00DF5942">
        <w:rPr>
          <w:iCs/>
        </w:rPr>
        <w:t xml:space="preserve"> also </w:t>
      </w:r>
      <w:r w:rsidR="009A2A42">
        <w:rPr>
          <w:iCs/>
        </w:rPr>
        <w:t>considered</w:t>
      </w:r>
      <w:r w:rsidR="00DF5942">
        <w:rPr>
          <w:iCs/>
        </w:rPr>
        <w:t xml:space="preserve"> that</w:t>
      </w:r>
      <w:r w:rsidR="003735FD">
        <w:rPr>
          <w:iCs/>
        </w:rPr>
        <w:t xml:space="preserve"> technological</w:t>
      </w:r>
      <w:r w:rsidR="00DF5942">
        <w:rPr>
          <w:iCs/>
        </w:rPr>
        <w:t xml:space="preserve"> improvements in </w:t>
      </w:r>
      <w:r w:rsidR="00BD225D">
        <w:rPr>
          <w:iCs/>
        </w:rPr>
        <w:t>LVADs</w:t>
      </w:r>
      <w:r w:rsidR="009A2A42">
        <w:rPr>
          <w:iCs/>
        </w:rPr>
        <w:t xml:space="preserve"> (resulting in reduced complication rates)</w:t>
      </w:r>
      <w:r w:rsidR="00BD225D">
        <w:rPr>
          <w:iCs/>
        </w:rPr>
        <w:t xml:space="preserve"> </w:t>
      </w:r>
      <w:r w:rsidR="00DF5942">
        <w:rPr>
          <w:iCs/>
        </w:rPr>
        <w:t>and</w:t>
      </w:r>
      <w:r w:rsidR="009A2A42">
        <w:rPr>
          <w:iCs/>
        </w:rPr>
        <w:t xml:space="preserve"> changes in the model of patient care (where the patient </w:t>
      </w:r>
      <w:proofErr w:type="gramStart"/>
      <w:r w:rsidR="009A2A42">
        <w:rPr>
          <w:iCs/>
        </w:rPr>
        <w:t>is able to</w:t>
      </w:r>
      <w:proofErr w:type="gramEnd"/>
      <w:r w:rsidR="009A2A42">
        <w:rPr>
          <w:iCs/>
        </w:rPr>
        <w:t xml:space="preserve"> remote monitor/self-manage</w:t>
      </w:r>
      <w:r w:rsidR="00921556">
        <w:rPr>
          <w:iCs/>
        </w:rPr>
        <w:t xml:space="preserve"> and thus requir</w:t>
      </w:r>
      <w:r w:rsidR="00C908C8">
        <w:rPr>
          <w:iCs/>
        </w:rPr>
        <w:t>es fewer</w:t>
      </w:r>
      <w:r w:rsidR="00921556">
        <w:rPr>
          <w:iCs/>
        </w:rPr>
        <w:t xml:space="preserve"> GP visits</w:t>
      </w:r>
      <w:r w:rsidR="009A2A42">
        <w:rPr>
          <w:iCs/>
        </w:rPr>
        <w:t>)</w:t>
      </w:r>
      <w:r w:rsidR="00DF5942">
        <w:rPr>
          <w:iCs/>
        </w:rPr>
        <w:t xml:space="preserve"> ha</w:t>
      </w:r>
      <w:r w:rsidR="00DE6F9D">
        <w:rPr>
          <w:iCs/>
        </w:rPr>
        <w:t>ve</w:t>
      </w:r>
      <w:r w:rsidR="004B33C7">
        <w:rPr>
          <w:iCs/>
        </w:rPr>
        <w:t xml:space="preserve"> likely brought down </w:t>
      </w:r>
      <w:r w:rsidR="009A2A42">
        <w:rPr>
          <w:iCs/>
        </w:rPr>
        <w:t xml:space="preserve">aftercare </w:t>
      </w:r>
      <w:r w:rsidR="004B33C7">
        <w:rPr>
          <w:iCs/>
        </w:rPr>
        <w:t>costs</w:t>
      </w:r>
      <w:r w:rsidR="00921556">
        <w:rPr>
          <w:iCs/>
        </w:rPr>
        <w:t xml:space="preserve"> </w:t>
      </w:r>
      <w:r w:rsidR="00C908C8">
        <w:rPr>
          <w:iCs/>
        </w:rPr>
        <w:t>in recent</w:t>
      </w:r>
      <w:r w:rsidR="00921556">
        <w:rPr>
          <w:iCs/>
        </w:rPr>
        <w:t xml:space="preserve"> years</w:t>
      </w:r>
      <w:r w:rsidR="004B33C7">
        <w:rPr>
          <w:iCs/>
        </w:rPr>
        <w:t xml:space="preserve">. </w:t>
      </w:r>
    </w:p>
    <w:p w14:paraId="6DA1BAC0" w14:textId="24ABDD54" w:rsidR="007D63F5" w:rsidRPr="007D63F5" w:rsidRDefault="007D63F5" w:rsidP="007D63F5">
      <w:pPr>
        <w:spacing w:after="240"/>
        <w:rPr>
          <w:iCs/>
        </w:rPr>
      </w:pPr>
      <w:r w:rsidRPr="007D63F5">
        <w:rPr>
          <w:iCs/>
        </w:rPr>
        <w:t xml:space="preserve">MSAC </w:t>
      </w:r>
      <w:r w:rsidR="0001515A">
        <w:rPr>
          <w:iCs/>
        </w:rPr>
        <w:t>noted</w:t>
      </w:r>
      <w:r w:rsidRPr="007D63F5">
        <w:rPr>
          <w:iCs/>
        </w:rPr>
        <w:t xml:space="preserve"> the updated financial impact, including a cost to the MBS of $</w:t>
      </w:r>
      <w:r w:rsidR="005073F5" w:rsidRPr="005073F5">
        <w:rPr>
          <w:b/>
          <w:bCs/>
          <w:iCs/>
        </w:rPr>
        <w:t>redacted</w:t>
      </w:r>
      <w:r w:rsidRPr="007D63F5">
        <w:rPr>
          <w:iCs/>
        </w:rPr>
        <w:t xml:space="preserve"> to $</w:t>
      </w:r>
      <w:r w:rsidR="005073F5" w:rsidRPr="005073F5">
        <w:rPr>
          <w:b/>
          <w:bCs/>
          <w:iCs/>
        </w:rPr>
        <w:t>redacted</w:t>
      </w:r>
      <w:r w:rsidRPr="007D63F5">
        <w:rPr>
          <w:iCs/>
        </w:rPr>
        <w:t xml:space="preserve"> per year over 6 years, and a</w:t>
      </w:r>
      <w:r w:rsidR="008A3823">
        <w:rPr>
          <w:iCs/>
        </w:rPr>
        <w:t>n estimated</w:t>
      </w:r>
      <w:r w:rsidRPr="007D63F5">
        <w:rPr>
          <w:iCs/>
        </w:rPr>
        <w:t xml:space="preserve"> cost to private health insurers of $</w:t>
      </w:r>
      <w:r w:rsidR="005073F5" w:rsidRPr="005073F5">
        <w:rPr>
          <w:b/>
          <w:bCs/>
          <w:iCs/>
        </w:rPr>
        <w:t>redacted</w:t>
      </w:r>
      <w:r w:rsidR="008A3823">
        <w:rPr>
          <w:iCs/>
        </w:rPr>
        <w:t>-</w:t>
      </w:r>
      <w:r w:rsidR="008A3823" w:rsidRPr="007D63F5">
        <w:rPr>
          <w:iCs/>
        </w:rPr>
        <w:t xml:space="preserve"> </w:t>
      </w:r>
      <w:r w:rsidRPr="007D63F5">
        <w:rPr>
          <w:iCs/>
        </w:rPr>
        <w:t>$</w:t>
      </w:r>
      <w:r w:rsidR="005073F5" w:rsidRPr="005073F5">
        <w:rPr>
          <w:b/>
          <w:bCs/>
          <w:iCs/>
        </w:rPr>
        <w:t>redacted</w:t>
      </w:r>
      <w:r w:rsidR="005073F5">
        <w:rPr>
          <w:b/>
          <w:bCs/>
          <w:iCs/>
        </w:rPr>
        <w:t xml:space="preserve"> </w:t>
      </w:r>
      <w:r w:rsidRPr="007D63F5">
        <w:rPr>
          <w:iCs/>
        </w:rPr>
        <w:t xml:space="preserve">per year over 6 years. </w:t>
      </w:r>
      <w:r w:rsidR="0001515A">
        <w:rPr>
          <w:iCs/>
        </w:rPr>
        <w:t>This financial impact was based on the estimate that 20-22 LVAD procedures will be reimbursed on the MBS for DT per year.</w:t>
      </w:r>
      <w:r w:rsidR="00D47556">
        <w:rPr>
          <w:iCs/>
        </w:rPr>
        <w:t xml:space="preserve"> MSAC noted that although the ‘likely overestimated base case’ (the economic model presented in the resubmission which MSAC considered appropriate) included the upper limit of aftercare costs and an increased rate of LVAD replacement, these were not reflected in the budget impact analysis.</w:t>
      </w:r>
      <w:r w:rsidR="0001515A">
        <w:rPr>
          <w:iCs/>
        </w:rPr>
        <w:t xml:space="preserve"> </w:t>
      </w:r>
      <w:r w:rsidRPr="007D63F5">
        <w:rPr>
          <w:iCs/>
        </w:rPr>
        <w:t xml:space="preserve">MSAC noted that the updated financial impact did not include LVAD replacement </w:t>
      </w:r>
      <w:r w:rsidR="00176291" w:rsidRPr="007D63F5">
        <w:rPr>
          <w:iCs/>
        </w:rPr>
        <w:t>costs</w:t>
      </w:r>
      <w:r w:rsidR="002A1FE8">
        <w:rPr>
          <w:iCs/>
        </w:rPr>
        <w:t xml:space="preserve"> for reasons other than pump </w:t>
      </w:r>
      <w:r w:rsidR="00202E71">
        <w:rPr>
          <w:iCs/>
        </w:rPr>
        <w:t>thrombosis but</w:t>
      </w:r>
      <w:r w:rsidRPr="007D63F5">
        <w:rPr>
          <w:iCs/>
        </w:rPr>
        <w:t xml:space="preserve"> considered that this would have a small impact on total budget implications, even at an increased rate of replacement at 2</w:t>
      </w:r>
      <w:r w:rsidR="002A1FE8">
        <w:rPr>
          <w:iCs/>
        </w:rPr>
        <w:t>.2</w:t>
      </w:r>
      <w:r w:rsidRPr="007D63F5">
        <w:rPr>
          <w:iCs/>
        </w:rPr>
        <w:t>%</w:t>
      </w:r>
      <w:r w:rsidR="002A1FE8">
        <w:rPr>
          <w:iCs/>
        </w:rPr>
        <w:t xml:space="preserve"> as per the revised </w:t>
      </w:r>
      <w:r w:rsidR="00BB74F6">
        <w:rPr>
          <w:iCs/>
        </w:rPr>
        <w:t xml:space="preserve">economic </w:t>
      </w:r>
      <w:r w:rsidR="002A1FE8">
        <w:rPr>
          <w:iCs/>
        </w:rPr>
        <w:t>model</w:t>
      </w:r>
      <w:r w:rsidRPr="007D63F5">
        <w:rPr>
          <w:iCs/>
        </w:rPr>
        <w:t xml:space="preserve">. MSAC </w:t>
      </w:r>
      <w:r w:rsidR="009B7EF5">
        <w:rPr>
          <w:iCs/>
        </w:rPr>
        <w:t xml:space="preserve">also </w:t>
      </w:r>
      <w:r w:rsidRPr="007D63F5">
        <w:rPr>
          <w:iCs/>
        </w:rPr>
        <w:t>noted that the financial analyses did not include post-implantation rehabilitation costs</w:t>
      </w:r>
      <w:r w:rsidR="006054BA">
        <w:rPr>
          <w:iCs/>
        </w:rPr>
        <w:t xml:space="preserve">, </w:t>
      </w:r>
      <w:r w:rsidR="00C02A45">
        <w:rPr>
          <w:iCs/>
        </w:rPr>
        <w:t xml:space="preserve">consequently, </w:t>
      </w:r>
      <w:r w:rsidRPr="007D63F5">
        <w:rPr>
          <w:iCs/>
        </w:rPr>
        <w:t xml:space="preserve">the costs to the health system of adopting LVAD implantation as </w:t>
      </w:r>
      <w:r w:rsidR="00BB74F6">
        <w:rPr>
          <w:iCs/>
        </w:rPr>
        <w:t>DT</w:t>
      </w:r>
      <w:r w:rsidRPr="007D63F5">
        <w:rPr>
          <w:iCs/>
        </w:rPr>
        <w:t xml:space="preserve"> may be higher than estimated in the application.</w:t>
      </w:r>
      <w:r w:rsidR="003158F8">
        <w:rPr>
          <w:iCs/>
        </w:rPr>
        <w:t xml:space="preserve"> However, based on the </w:t>
      </w:r>
      <w:r w:rsidR="002D14AF">
        <w:rPr>
          <w:iCs/>
        </w:rPr>
        <w:t xml:space="preserve">information provided at the </w:t>
      </w:r>
      <w:r w:rsidR="003158F8">
        <w:rPr>
          <w:iCs/>
        </w:rPr>
        <w:t xml:space="preserve">applicant’s hearing, MSAC considered that </w:t>
      </w:r>
      <w:r w:rsidR="002D14AF">
        <w:rPr>
          <w:iCs/>
        </w:rPr>
        <w:t>post-discharge rehabilitation costs are unlikely to have a significant effect on the total financial impact.</w:t>
      </w:r>
      <w:r w:rsidR="003158F8">
        <w:rPr>
          <w:iCs/>
        </w:rPr>
        <w:t xml:space="preserve"> </w:t>
      </w:r>
    </w:p>
    <w:p w14:paraId="708649CA" w14:textId="1CF49849" w:rsidR="007D63F5" w:rsidRPr="007D63F5" w:rsidRDefault="007D63F5" w:rsidP="007D63F5">
      <w:pPr>
        <w:spacing w:after="240"/>
        <w:rPr>
          <w:iCs/>
        </w:rPr>
      </w:pPr>
      <w:r w:rsidRPr="007D63F5">
        <w:rPr>
          <w:iCs/>
        </w:rPr>
        <w:t>Overall, MSAC accepted that LVAD</w:t>
      </w:r>
      <w:r w:rsidR="00D85ECF">
        <w:rPr>
          <w:iCs/>
        </w:rPr>
        <w:t xml:space="preserve"> for DT</w:t>
      </w:r>
      <w:r w:rsidRPr="007D63F5">
        <w:rPr>
          <w:iCs/>
        </w:rPr>
        <w:t xml:space="preserve"> was cost-effective based on the total LVAD system price of $</w:t>
      </w:r>
      <w:r w:rsidR="00077B4B" w:rsidRPr="00077B4B">
        <w:rPr>
          <w:b/>
          <w:bCs/>
          <w:iCs/>
        </w:rPr>
        <w:t>redacted</w:t>
      </w:r>
      <w:r w:rsidRPr="007D63F5">
        <w:rPr>
          <w:iCs/>
        </w:rPr>
        <w:t xml:space="preserve"> which includes the LVAD implant kit, patient support kit bundle and the HeartMate 3 </w:t>
      </w:r>
      <w:proofErr w:type="spellStart"/>
      <w:r w:rsidRPr="007D63F5">
        <w:rPr>
          <w:iCs/>
        </w:rPr>
        <w:t>Mini.Apical</w:t>
      </w:r>
      <w:proofErr w:type="spellEnd"/>
      <w:r w:rsidRPr="007D63F5">
        <w:rPr>
          <w:iCs/>
        </w:rPr>
        <w:t xml:space="preserve"> cuff kit.</w:t>
      </w:r>
    </w:p>
    <w:p w14:paraId="6AC9B5E7" w14:textId="6A63F1BE" w:rsidR="007D63F5" w:rsidRPr="007D63F5" w:rsidRDefault="007D63F5" w:rsidP="007D63F5">
      <w:pPr>
        <w:spacing w:after="240"/>
        <w:rPr>
          <w:iCs/>
        </w:rPr>
      </w:pPr>
      <w:r w:rsidRPr="007D63F5">
        <w:rPr>
          <w:iCs/>
        </w:rPr>
        <w:t xml:space="preserve">MSAC </w:t>
      </w:r>
      <w:r w:rsidR="00D2571E">
        <w:rPr>
          <w:iCs/>
        </w:rPr>
        <w:t>supported</w:t>
      </w:r>
      <w:r w:rsidR="00D2571E" w:rsidRPr="007D63F5">
        <w:rPr>
          <w:iCs/>
        </w:rPr>
        <w:t xml:space="preserve"> </w:t>
      </w:r>
      <w:r w:rsidRPr="007D63F5">
        <w:rPr>
          <w:iCs/>
        </w:rPr>
        <w:t>the MBS item descriptor</w:t>
      </w:r>
      <w:r w:rsidR="00D2571E">
        <w:rPr>
          <w:iCs/>
        </w:rPr>
        <w:t xml:space="preserve"> in </w:t>
      </w:r>
      <w:r w:rsidR="00D2571E">
        <w:rPr>
          <w:iCs/>
        </w:rPr>
        <w:fldChar w:fldCharType="begin"/>
      </w:r>
      <w:r w:rsidR="00D2571E">
        <w:rPr>
          <w:iCs/>
        </w:rPr>
        <w:instrText xml:space="preserve"> REF _Ref184715884 \h </w:instrText>
      </w:r>
      <w:r w:rsidR="00D2571E">
        <w:rPr>
          <w:iCs/>
        </w:rPr>
      </w:r>
      <w:r w:rsidR="00D2571E">
        <w:rPr>
          <w:iCs/>
        </w:rPr>
        <w:fldChar w:fldCharType="separate"/>
      </w:r>
      <w:r w:rsidR="00D2571E">
        <w:t xml:space="preserve">Table </w:t>
      </w:r>
      <w:r w:rsidR="00D2571E">
        <w:rPr>
          <w:noProof/>
        </w:rPr>
        <w:t>1</w:t>
      </w:r>
      <w:r w:rsidR="00D2571E">
        <w:rPr>
          <w:iCs/>
        </w:rPr>
        <w:fldChar w:fldCharType="end"/>
      </w:r>
      <w:r w:rsidR="00D2571E">
        <w:rPr>
          <w:iCs/>
        </w:rPr>
        <w:t xml:space="preserve"> for the initial LVAD implantation, in alignment with the advice provided by MSAC on the original application</w:t>
      </w:r>
      <w:r w:rsidRPr="007D63F5">
        <w:rPr>
          <w:iCs/>
        </w:rPr>
        <w:t xml:space="preserve">. For the initial implantation item, MSAC confirmed the proposed wording, including limiting the item to once per lifetime. </w:t>
      </w:r>
      <w:r w:rsidR="009D486D">
        <w:rPr>
          <w:iCs/>
        </w:rPr>
        <w:t xml:space="preserve">In its previous consideration, MSAC considered restrictions based on frailty unwarranted </w:t>
      </w:r>
      <w:r w:rsidR="009D486D" w:rsidRPr="009D486D">
        <w:rPr>
          <w:iCs/>
        </w:rPr>
        <w:t>as eligible patients would have already been rejected for a heart transplant due to frailty, and frail patients are likely to benefit most from the insertion of an LVAD due to the consequent increase in their cardiac output</w:t>
      </w:r>
      <w:r w:rsidR="009D486D">
        <w:rPr>
          <w:iCs/>
        </w:rPr>
        <w:t xml:space="preserve"> (MSAC 1749 PSD). In alignment with this, post-MSAC the committee agreed with the removal of the reference to ‘frailty’ and additional updates to section (b) of the explanatory note</w:t>
      </w:r>
      <w:r w:rsidR="001240DB">
        <w:rPr>
          <w:iCs/>
        </w:rPr>
        <w:t xml:space="preserve"> of the item descriptor</w:t>
      </w:r>
      <w:r w:rsidR="009D486D">
        <w:rPr>
          <w:iCs/>
        </w:rPr>
        <w:t xml:space="preserve"> as proposed by the</w:t>
      </w:r>
      <w:r w:rsidR="00B10988">
        <w:rPr>
          <w:iCs/>
        </w:rPr>
        <w:t xml:space="preserve"> </w:t>
      </w:r>
      <w:r w:rsidR="009D486D">
        <w:rPr>
          <w:iCs/>
        </w:rPr>
        <w:t xml:space="preserve">Department. </w:t>
      </w:r>
      <w:r w:rsidR="00D2571E">
        <w:rPr>
          <w:iCs/>
        </w:rPr>
        <w:t xml:space="preserve">In its initial consideration, MSAC requested the applicant to propose an MBS item for re-implantation of an LVAD for DT. </w:t>
      </w:r>
      <w:r w:rsidR="00234782">
        <w:rPr>
          <w:iCs/>
        </w:rPr>
        <w:t>MSAC noted that an MBS item for re-implantation was not proposed in the resubmission as the applicant argued that re</w:t>
      </w:r>
      <w:r w:rsidR="00A57AA2">
        <w:rPr>
          <w:iCs/>
        </w:rPr>
        <w:t>-</w:t>
      </w:r>
      <w:r w:rsidR="00234782">
        <w:rPr>
          <w:iCs/>
        </w:rPr>
        <w:t>implantation would be exceedingly rare based on the input provided by experts in the four adult transplant centres and one non-implanter centre. However, given that there is a restriction of once per lifetime in the proposed initial LVAD implant item (</w:t>
      </w:r>
      <w:r w:rsidR="00234782">
        <w:rPr>
          <w:iCs/>
        </w:rPr>
        <w:fldChar w:fldCharType="begin"/>
      </w:r>
      <w:r w:rsidR="00234782">
        <w:rPr>
          <w:iCs/>
        </w:rPr>
        <w:instrText xml:space="preserve"> REF _Ref184715884 \h </w:instrText>
      </w:r>
      <w:r w:rsidR="00234782">
        <w:rPr>
          <w:iCs/>
        </w:rPr>
      </w:r>
      <w:r w:rsidR="00234782">
        <w:rPr>
          <w:iCs/>
        </w:rPr>
        <w:fldChar w:fldCharType="separate"/>
      </w:r>
      <w:r w:rsidR="00234782">
        <w:t xml:space="preserve">Table </w:t>
      </w:r>
      <w:r w:rsidR="00234782">
        <w:rPr>
          <w:noProof/>
        </w:rPr>
        <w:t>1</w:t>
      </w:r>
      <w:r w:rsidR="00234782">
        <w:rPr>
          <w:iCs/>
        </w:rPr>
        <w:fldChar w:fldCharType="end"/>
      </w:r>
      <w:r w:rsidR="00234782">
        <w:rPr>
          <w:iCs/>
        </w:rPr>
        <w:t>)</w:t>
      </w:r>
      <w:r w:rsidR="00A57AA2">
        <w:rPr>
          <w:iCs/>
        </w:rPr>
        <w:t>,</w:t>
      </w:r>
      <w:r w:rsidR="00234782">
        <w:rPr>
          <w:iCs/>
        </w:rPr>
        <w:t xml:space="preserve"> MSAC considered that a separate MBS item for device replacement would be needed. </w:t>
      </w:r>
      <w:r w:rsidRPr="007D63F5">
        <w:rPr>
          <w:iCs/>
        </w:rPr>
        <w:t>For th</w:t>
      </w:r>
      <w:r w:rsidR="00234782">
        <w:rPr>
          <w:iCs/>
        </w:rPr>
        <w:t>is purpose</w:t>
      </w:r>
      <w:r w:rsidRPr="007D63F5">
        <w:rPr>
          <w:iCs/>
        </w:rPr>
        <w:t xml:space="preserve">, MSAC </w:t>
      </w:r>
      <w:r w:rsidR="00234782">
        <w:rPr>
          <w:iCs/>
        </w:rPr>
        <w:t>supported</w:t>
      </w:r>
      <w:r w:rsidRPr="007D63F5">
        <w:rPr>
          <w:iCs/>
        </w:rPr>
        <w:t xml:space="preserve"> the Department’s propos</w:t>
      </w:r>
      <w:r w:rsidR="00424634">
        <w:rPr>
          <w:iCs/>
        </w:rPr>
        <w:t xml:space="preserve">al to amend existing MBS item for device removal, with no changes to the current fee (item 38621; </w:t>
      </w:r>
      <w:r w:rsidR="00424634">
        <w:rPr>
          <w:iCs/>
        </w:rPr>
        <w:fldChar w:fldCharType="begin"/>
      </w:r>
      <w:r w:rsidR="00424634">
        <w:rPr>
          <w:iCs/>
        </w:rPr>
        <w:instrText xml:space="preserve"> REF _Ref184716827 \h </w:instrText>
      </w:r>
      <w:r w:rsidR="00424634">
        <w:rPr>
          <w:iCs/>
        </w:rPr>
      </w:r>
      <w:r w:rsidR="00424634">
        <w:rPr>
          <w:iCs/>
        </w:rPr>
        <w:fldChar w:fldCharType="separate"/>
      </w:r>
      <w:r w:rsidR="00424634">
        <w:t xml:space="preserve">Table </w:t>
      </w:r>
      <w:r w:rsidR="00424634">
        <w:rPr>
          <w:noProof/>
        </w:rPr>
        <w:t>2</w:t>
      </w:r>
      <w:r w:rsidR="00424634">
        <w:rPr>
          <w:iCs/>
        </w:rPr>
        <w:fldChar w:fldCharType="end"/>
      </w:r>
      <w:r w:rsidR="00424634">
        <w:rPr>
          <w:iCs/>
        </w:rPr>
        <w:t xml:space="preserve">). </w:t>
      </w:r>
    </w:p>
    <w:p w14:paraId="575451EF" w14:textId="54987C8B" w:rsidR="007D63F5" w:rsidRPr="007D63F5" w:rsidRDefault="006461F2" w:rsidP="006461F2">
      <w:pPr>
        <w:pStyle w:val="Caption"/>
        <w:rPr>
          <w:iCs/>
        </w:rPr>
      </w:pPr>
      <w:bookmarkStart w:id="2" w:name="_Ref184715884"/>
      <w:r>
        <w:lastRenderedPageBreak/>
        <w:t xml:space="preserve">Table </w:t>
      </w:r>
      <w:r>
        <w:fldChar w:fldCharType="begin"/>
      </w:r>
      <w:r>
        <w:instrText xml:space="preserve"> SEQ Table \* ARABIC </w:instrText>
      </w:r>
      <w:r>
        <w:fldChar w:fldCharType="separate"/>
      </w:r>
      <w:r>
        <w:rPr>
          <w:noProof/>
        </w:rPr>
        <w:t>1</w:t>
      </w:r>
      <w:r>
        <w:rPr>
          <w:noProof/>
        </w:rPr>
        <w:fldChar w:fldCharType="end"/>
      </w:r>
      <w:bookmarkEnd w:id="2"/>
      <w:r>
        <w:t xml:space="preserve">: MSAC supported MBS item for </w:t>
      </w:r>
      <w:r>
        <w:rPr>
          <w:iCs/>
        </w:rPr>
        <w:t>i</w:t>
      </w:r>
      <w:r w:rsidR="007D63F5" w:rsidRPr="007D63F5">
        <w:rPr>
          <w:iCs/>
        </w:rPr>
        <w:t xml:space="preserve">nitial </w:t>
      </w:r>
      <w:r>
        <w:rPr>
          <w:iCs/>
        </w:rPr>
        <w:t xml:space="preserve">LVAD </w:t>
      </w:r>
      <w:r w:rsidR="007D63F5" w:rsidRPr="007D63F5">
        <w:rPr>
          <w:iCs/>
        </w:rPr>
        <w:t>implantation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D63F5" w:rsidRPr="007D63F5" w14:paraId="74083253" w14:textId="77777777" w:rsidTr="007D63F5">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810C5" w14:textId="201FFDCD" w:rsidR="007D63F5" w:rsidRPr="00276F6C" w:rsidRDefault="007D63F5" w:rsidP="00BA57B1">
            <w:pPr>
              <w:spacing w:before="0" w:after="0" w:line="276" w:lineRule="auto"/>
              <w:jc w:val="right"/>
              <w:rPr>
                <w:rFonts w:ascii="Arial Narrow" w:hAnsi="Arial Narrow"/>
                <w:iCs/>
                <w:sz w:val="20"/>
                <w:szCs w:val="20"/>
              </w:rPr>
            </w:pPr>
            <w:r w:rsidRPr="007D63F5">
              <w:rPr>
                <w:rFonts w:ascii="Arial Narrow" w:hAnsi="Arial Narrow"/>
                <w:b/>
                <w:bCs/>
                <w:iCs/>
                <w:sz w:val="20"/>
                <w:szCs w:val="20"/>
              </w:rPr>
              <w:t>Category 3 – Therapeutic Procedures</w:t>
            </w:r>
          </w:p>
        </w:tc>
      </w:tr>
      <w:tr w:rsidR="007D63F5" w:rsidRPr="007D63F5" w14:paraId="762E2179" w14:textId="77777777" w:rsidTr="007D63F5">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8241F" w14:textId="77777777" w:rsidR="00BA57B1" w:rsidRPr="007D63F5" w:rsidRDefault="00BA57B1" w:rsidP="00BA57B1">
            <w:pPr>
              <w:spacing w:before="0" w:after="0" w:line="276" w:lineRule="auto"/>
              <w:jc w:val="right"/>
              <w:rPr>
                <w:rFonts w:ascii="Arial Narrow" w:hAnsi="Arial Narrow"/>
                <w:iCs/>
                <w:sz w:val="20"/>
                <w:szCs w:val="20"/>
              </w:rPr>
            </w:pPr>
            <w:r w:rsidRPr="007D63F5">
              <w:rPr>
                <w:rFonts w:ascii="Arial Narrow" w:hAnsi="Arial Narrow"/>
                <w:b/>
                <w:bCs/>
                <w:iCs/>
                <w:sz w:val="20"/>
                <w:szCs w:val="20"/>
              </w:rPr>
              <w:t>Group</w:t>
            </w:r>
            <w:r w:rsidRPr="007D63F5">
              <w:rPr>
                <w:rFonts w:ascii="Arial Narrow" w:hAnsi="Arial Narrow"/>
                <w:iCs/>
                <w:sz w:val="20"/>
                <w:szCs w:val="20"/>
              </w:rPr>
              <w:t>T8 - Surgical Operations</w:t>
            </w:r>
          </w:p>
          <w:p w14:paraId="21469E9D" w14:textId="7A64B90C" w:rsidR="00BA57B1" w:rsidRDefault="00BA57B1" w:rsidP="00BA57B1">
            <w:pPr>
              <w:spacing w:before="0" w:after="0" w:line="276" w:lineRule="auto"/>
              <w:jc w:val="right"/>
              <w:rPr>
                <w:rFonts w:ascii="Arial Narrow" w:hAnsi="Arial Narrow"/>
                <w:iCs/>
                <w:sz w:val="20"/>
                <w:szCs w:val="20"/>
              </w:rPr>
            </w:pPr>
            <w:r w:rsidRPr="007D63F5">
              <w:rPr>
                <w:rFonts w:ascii="Arial Narrow" w:hAnsi="Arial Narrow"/>
                <w:b/>
                <w:bCs/>
                <w:iCs/>
                <w:sz w:val="20"/>
                <w:szCs w:val="20"/>
              </w:rPr>
              <w:t>Subgroup</w:t>
            </w:r>
            <w:r w:rsidRPr="007D63F5">
              <w:rPr>
                <w:rFonts w:ascii="Arial Narrow" w:hAnsi="Arial Narrow"/>
                <w:iCs/>
                <w:sz w:val="20"/>
                <w:szCs w:val="20"/>
              </w:rPr>
              <w:t xml:space="preserve"> 6 - Cardio-Thoracic</w:t>
            </w:r>
            <w:r>
              <w:rPr>
                <w:rFonts w:ascii="Arial Narrow" w:hAnsi="Arial Narrow"/>
                <w:iCs/>
                <w:sz w:val="20"/>
                <w:szCs w:val="20"/>
              </w:rPr>
              <w:br/>
            </w:r>
            <w:r w:rsidRPr="007D63F5">
              <w:rPr>
                <w:rFonts w:ascii="Arial Narrow" w:hAnsi="Arial Narrow"/>
                <w:b/>
                <w:bCs/>
                <w:iCs/>
                <w:sz w:val="20"/>
                <w:szCs w:val="20"/>
              </w:rPr>
              <w:t>Subheading</w:t>
            </w:r>
            <w:r w:rsidRPr="007D63F5">
              <w:rPr>
                <w:rFonts w:ascii="Arial Narrow" w:hAnsi="Arial Narrow"/>
                <w:iCs/>
                <w:sz w:val="20"/>
                <w:szCs w:val="20"/>
              </w:rPr>
              <w:t xml:space="preserve"> 12 - Circulatory Support Procedures</w:t>
            </w:r>
          </w:p>
          <w:p w14:paraId="797F9568" w14:textId="62097E7E" w:rsidR="007D63F5" w:rsidRPr="007D63F5" w:rsidRDefault="007D63F5" w:rsidP="007D63F5">
            <w:pPr>
              <w:spacing w:after="240"/>
              <w:rPr>
                <w:rFonts w:ascii="Arial Narrow" w:hAnsi="Arial Narrow"/>
                <w:iCs/>
                <w:sz w:val="20"/>
                <w:szCs w:val="20"/>
              </w:rPr>
            </w:pPr>
            <w:r w:rsidRPr="007D63F5">
              <w:rPr>
                <w:rFonts w:ascii="Arial Narrow" w:hAnsi="Arial Narrow"/>
                <w:iCs/>
                <w:sz w:val="20"/>
                <w:szCs w:val="20"/>
              </w:rPr>
              <w:t xml:space="preserve">MBS item </w:t>
            </w:r>
            <w:proofErr w:type="spellStart"/>
            <w:r w:rsidRPr="007D63F5">
              <w:rPr>
                <w:rFonts w:ascii="Arial Narrow" w:hAnsi="Arial Narrow"/>
                <w:iCs/>
                <w:sz w:val="20"/>
                <w:szCs w:val="20"/>
              </w:rPr>
              <w:t>xxxx</w:t>
            </w:r>
            <w:proofErr w:type="spellEnd"/>
            <w:r w:rsidRPr="007D63F5">
              <w:rPr>
                <w:rFonts w:ascii="Arial Narrow" w:hAnsi="Arial Narrow"/>
                <w:iCs/>
                <w:sz w:val="20"/>
                <w:szCs w:val="20"/>
              </w:rPr>
              <w:t xml:space="preserve"> </w:t>
            </w:r>
          </w:p>
          <w:p w14:paraId="2E93AF58" w14:textId="77777777" w:rsidR="007D63F5" w:rsidRPr="007D63F5" w:rsidRDefault="007D63F5" w:rsidP="007D63F5">
            <w:pPr>
              <w:spacing w:after="240"/>
              <w:rPr>
                <w:rFonts w:ascii="Arial Narrow" w:hAnsi="Arial Narrow"/>
                <w:iCs/>
                <w:sz w:val="20"/>
                <w:szCs w:val="20"/>
              </w:rPr>
            </w:pPr>
            <w:r w:rsidRPr="007D63F5">
              <w:rPr>
                <w:rFonts w:ascii="Arial Narrow" w:hAnsi="Arial Narrow"/>
                <w:iCs/>
                <w:sz w:val="20"/>
                <w:szCs w:val="20"/>
              </w:rPr>
              <w:t>Insertion of a durable left ventricular assist device (LVAD) capable of providing mechanical circulatory support for at least six months, in an LVAD Patient for use as:</w:t>
            </w:r>
          </w:p>
          <w:p w14:paraId="72BA807B" w14:textId="77777777" w:rsidR="007D63F5" w:rsidRPr="007D63F5" w:rsidRDefault="007D63F5" w:rsidP="007D63F5">
            <w:pPr>
              <w:spacing w:after="240"/>
              <w:rPr>
                <w:rFonts w:ascii="Arial Narrow" w:hAnsi="Arial Narrow"/>
                <w:iCs/>
                <w:sz w:val="20"/>
                <w:szCs w:val="20"/>
              </w:rPr>
            </w:pPr>
            <w:r w:rsidRPr="007D63F5">
              <w:rPr>
                <w:rFonts w:ascii="Arial Narrow" w:hAnsi="Arial Narrow"/>
                <w:iCs/>
                <w:sz w:val="20"/>
                <w:szCs w:val="20"/>
              </w:rPr>
              <w:t xml:space="preserve">(a) destination therapy in the management of a patient with refractory heart failure, despite optimal medical management including device use where appropriate, with INTERMACS profile 1–4, who is not eligible for cardiac transplantation; and (b) other than a service associated with a service to which item 11704, 11705, 11707, 11714, 18260, 33824, 38816, 38828 or 45503 applies. (H) </w:t>
            </w:r>
          </w:p>
          <w:p w14:paraId="324111FB" w14:textId="135C0B90" w:rsidR="00F075CE" w:rsidRPr="007D63F5" w:rsidRDefault="007D63F5" w:rsidP="007D63F5">
            <w:pPr>
              <w:spacing w:after="240"/>
              <w:rPr>
                <w:rFonts w:ascii="Arial Narrow" w:hAnsi="Arial Narrow"/>
                <w:iCs/>
                <w:sz w:val="20"/>
                <w:szCs w:val="20"/>
              </w:rPr>
            </w:pPr>
            <w:r w:rsidRPr="007D63F5">
              <w:rPr>
                <w:rFonts w:ascii="Arial Narrow" w:hAnsi="Arial Narrow"/>
                <w:iCs/>
                <w:sz w:val="20"/>
                <w:szCs w:val="20"/>
              </w:rPr>
              <w:t>Includes all associated intra-operative imaging.</w:t>
            </w:r>
          </w:p>
          <w:p w14:paraId="49B9E01D" w14:textId="1B74481B" w:rsidR="00F075CE" w:rsidRDefault="007D63F5" w:rsidP="00F075CE">
            <w:pPr>
              <w:spacing w:after="240"/>
              <w:rPr>
                <w:rFonts w:ascii="Arial Narrow" w:hAnsi="Arial Narrow"/>
                <w:iCs/>
                <w:sz w:val="20"/>
                <w:szCs w:val="20"/>
              </w:rPr>
            </w:pPr>
            <w:r w:rsidRPr="007D63F5">
              <w:rPr>
                <w:rFonts w:ascii="Arial Narrow" w:hAnsi="Arial Narrow"/>
                <w:iCs/>
                <w:sz w:val="20"/>
                <w:szCs w:val="20"/>
              </w:rPr>
              <w:t xml:space="preserve">Multiple Operation Rule </w:t>
            </w:r>
            <w:r w:rsidR="00F075CE">
              <w:rPr>
                <w:rFonts w:ascii="Arial Narrow" w:hAnsi="Arial Narrow"/>
                <w:iCs/>
                <w:sz w:val="20"/>
                <w:szCs w:val="20"/>
              </w:rPr>
              <w:br/>
            </w:r>
            <w:r w:rsidRPr="007D63F5">
              <w:rPr>
                <w:rFonts w:ascii="Arial Narrow" w:hAnsi="Arial Narrow"/>
                <w:iCs/>
                <w:sz w:val="20"/>
                <w:szCs w:val="20"/>
              </w:rPr>
              <w:t>(Anaes.) (Assist.)</w:t>
            </w:r>
          </w:p>
          <w:p w14:paraId="3B753B6F" w14:textId="0B2FF440" w:rsidR="00F075CE" w:rsidRPr="007D63F5" w:rsidRDefault="00F075CE" w:rsidP="00F075CE">
            <w:pPr>
              <w:spacing w:after="240"/>
              <w:rPr>
                <w:rFonts w:ascii="Arial Narrow" w:hAnsi="Arial Narrow"/>
                <w:iCs/>
                <w:sz w:val="20"/>
                <w:szCs w:val="20"/>
              </w:rPr>
            </w:pPr>
            <w:r>
              <w:rPr>
                <w:rFonts w:ascii="Arial Narrow" w:hAnsi="Arial Narrow"/>
                <w:iCs/>
                <w:sz w:val="20"/>
                <w:szCs w:val="20"/>
              </w:rPr>
              <w:t>Applicable only</w:t>
            </w:r>
            <w:r w:rsidRPr="007D63F5">
              <w:rPr>
                <w:rFonts w:ascii="Arial Narrow" w:hAnsi="Arial Narrow"/>
                <w:iCs/>
                <w:sz w:val="20"/>
                <w:szCs w:val="20"/>
              </w:rPr>
              <w:t xml:space="preserve"> once per lifetime.</w:t>
            </w:r>
          </w:p>
          <w:p w14:paraId="7FAA7B15" w14:textId="6ED22208" w:rsidR="007D63F5" w:rsidRPr="007D63F5" w:rsidRDefault="007D63F5" w:rsidP="007D63F5">
            <w:pPr>
              <w:spacing w:after="240"/>
              <w:rPr>
                <w:rFonts w:ascii="Arial Narrow" w:hAnsi="Arial Narrow"/>
                <w:iCs/>
                <w:sz w:val="20"/>
                <w:szCs w:val="20"/>
              </w:rPr>
            </w:pPr>
            <w:r w:rsidRPr="007D63F5">
              <w:rPr>
                <w:rFonts w:ascii="Arial Narrow" w:hAnsi="Arial Narrow"/>
                <w:iCs/>
                <w:sz w:val="20"/>
                <w:szCs w:val="20"/>
              </w:rPr>
              <w:t>Fee: $1,</w:t>
            </w:r>
            <w:r w:rsidR="008E1144">
              <w:rPr>
                <w:rFonts w:ascii="Arial Narrow" w:hAnsi="Arial Narrow"/>
                <w:iCs/>
                <w:sz w:val="20"/>
                <w:szCs w:val="20"/>
              </w:rPr>
              <w:t>745.25</w:t>
            </w:r>
            <w:r w:rsidRPr="007D63F5">
              <w:rPr>
                <w:rFonts w:ascii="Arial Narrow" w:hAnsi="Arial Narrow"/>
                <w:iCs/>
                <w:sz w:val="20"/>
                <w:szCs w:val="20"/>
              </w:rPr>
              <w:t xml:space="preserve"> Benefit: 75% = $1,</w:t>
            </w:r>
            <w:r w:rsidR="008E1144">
              <w:rPr>
                <w:rFonts w:ascii="Arial Narrow" w:hAnsi="Arial Narrow"/>
                <w:iCs/>
                <w:sz w:val="20"/>
                <w:szCs w:val="20"/>
              </w:rPr>
              <w:t>308.95</w:t>
            </w:r>
          </w:p>
          <w:p w14:paraId="31ADDE19" w14:textId="77777777" w:rsidR="007D63F5" w:rsidRPr="007D63F5" w:rsidRDefault="007D63F5" w:rsidP="007D63F5">
            <w:pPr>
              <w:spacing w:after="240"/>
              <w:rPr>
                <w:rFonts w:ascii="Arial Narrow" w:hAnsi="Arial Narrow"/>
                <w:iCs/>
                <w:sz w:val="20"/>
                <w:szCs w:val="20"/>
              </w:rPr>
            </w:pPr>
            <w:r w:rsidRPr="007D63F5">
              <w:rPr>
                <w:rFonts w:ascii="Arial Narrow" w:hAnsi="Arial Narrow"/>
                <w:iCs/>
                <w:sz w:val="20"/>
                <w:szCs w:val="20"/>
              </w:rPr>
              <w:t xml:space="preserve">(See </w:t>
            </w:r>
            <w:proofErr w:type="gramStart"/>
            <w:r w:rsidRPr="007D63F5">
              <w:rPr>
                <w:rFonts w:ascii="Arial Narrow" w:hAnsi="Arial Narrow"/>
                <w:iCs/>
                <w:sz w:val="20"/>
                <w:szCs w:val="20"/>
              </w:rPr>
              <w:t>para TN.</w:t>
            </w:r>
            <w:proofErr w:type="gramEnd"/>
            <w:r w:rsidRPr="007D63F5">
              <w:rPr>
                <w:rFonts w:ascii="Arial Narrow" w:hAnsi="Arial Narrow"/>
                <w:iCs/>
                <w:sz w:val="20"/>
                <w:szCs w:val="20"/>
              </w:rPr>
              <w:t xml:space="preserve">8.xx of explanatory notes to this Category) </w:t>
            </w:r>
          </w:p>
        </w:tc>
      </w:tr>
      <w:tr w:rsidR="007D63F5" w:rsidRPr="007D63F5" w14:paraId="49030F17" w14:textId="77777777" w:rsidTr="007D63F5">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3A138" w14:textId="4A2E24D9" w:rsidR="007D63F5" w:rsidRPr="007D63F5" w:rsidRDefault="007D63F5" w:rsidP="00276F6C">
            <w:pPr>
              <w:spacing w:after="240" w:line="276" w:lineRule="auto"/>
              <w:rPr>
                <w:rFonts w:ascii="Arial Narrow" w:hAnsi="Arial Narrow"/>
                <w:iCs/>
                <w:sz w:val="20"/>
                <w:szCs w:val="20"/>
              </w:rPr>
            </w:pPr>
            <w:r w:rsidRPr="007D63F5">
              <w:rPr>
                <w:rFonts w:ascii="Arial Narrow" w:hAnsi="Arial Narrow"/>
                <w:iCs/>
                <w:sz w:val="20"/>
                <w:szCs w:val="20"/>
              </w:rPr>
              <w:t xml:space="preserve">Explanatory Note TN.8.xx </w:t>
            </w:r>
            <w:r w:rsidR="00F075CE">
              <w:rPr>
                <w:rFonts w:ascii="Arial Narrow" w:hAnsi="Arial Narrow"/>
                <w:iCs/>
                <w:sz w:val="20"/>
                <w:szCs w:val="20"/>
              </w:rPr>
              <w:br/>
            </w:r>
            <w:r w:rsidRPr="007D63F5">
              <w:rPr>
                <w:rFonts w:ascii="Arial Narrow" w:hAnsi="Arial Narrow"/>
                <w:iCs/>
                <w:sz w:val="20"/>
                <w:szCs w:val="20"/>
              </w:rPr>
              <w:t xml:space="preserve">Item </w:t>
            </w:r>
            <w:proofErr w:type="spellStart"/>
            <w:r w:rsidRPr="007D63F5">
              <w:rPr>
                <w:rFonts w:ascii="Arial Narrow" w:hAnsi="Arial Narrow"/>
                <w:iCs/>
                <w:sz w:val="20"/>
                <w:szCs w:val="20"/>
              </w:rPr>
              <w:t>xxxx</w:t>
            </w:r>
            <w:proofErr w:type="spellEnd"/>
            <w:r w:rsidRPr="007D63F5">
              <w:rPr>
                <w:rFonts w:ascii="Arial Narrow" w:hAnsi="Arial Narrow"/>
                <w:iCs/>
                <w:sz w:val="20"/>
                <w:szCs w:val="20"/>
              </w:rPr>
              <w:t xml:space="preserve"> must be performed using open exposure or minimally invasive surgery which excludes percutaneous and transcatheter techniques unless otherwise stated in the item.</w:t>
            </w:r>
          </w:p>
          <w:p w14:paraId="229C9665" w14:textId="77777777" w:rsidR="007D63F5" w:rsidRPr="007D63F5" w:rsidRDefault="007D63F5" w:rsidP="00276F6C">
            <w:pPr>
              <w:spacing w:before="0" w:after="0" w:line="276" w:lineRule="auto"/>
              <w:rPr>
                <w:rFonts w:ascii="Arial Narrow" w:hAnsi="Arial Narrow"/>
                <w:iCs/>
                <w:sz w:val="20"/>
                <w:szCs w:val="20"/>
              </w:rPr>
            </w:pPr>
            <w:r w:rsidRPr="007D63F5">
              <w:rPr>
                <w:rFonts w:ascii="Arial Narrow" w:hAnsi="Arial Narrow"/>
                <w:iCs/>
                <w:sz w:val="20"/>
                <w:szCs w:val="20"/>
              </w:rPr>
              <w:t>LVAD Patient</w:t>
            </w:r>
          </w:p>
          <w:p w14:paraId="6C426B3E" w14:textId="77777777" w:rsidR="007D63F5" w:rsidRPr="007D63F5" w:rsidRDefault="007D63F5" w:rsidP="00276F6C">
            <w:pPr>
              <w:spacing w:before="0" w:after="0" w:line="276" w:lineRule="auto"/>
              <w:rPr>
                <w:rFonts w:ascii="Arial Narrow" w:hAnsi="Arial Narrow"/>
                <w:iCs/>
                <w:sz w:val="20"/>
                <w:szCs w:val="20"/>
              </w:rPr>
            </w:pPr>
            <w:r w:rsidRPr="007D63F5">
              <w:rPr>
                <w:rFonts w:ascii="Arial Narrow" w:hAnsi="Arial Narrow"/>
                <w:iCs/>
                <w:sz w:val="20"/>
                <w:szCs w:val="20"/>
              </w:rPr>
              <w:t xml:space="preserve">An LVAD Patient means a patient who, </w:t>
            </w:r>
            <w:proofErr w:type="gramStart"/>
            <w:r w:rsidRPr="007D63F5">
              <w:rPr>
                <w:rFonts w:ascii="Arial Narrow" w:hAnsi="Arial Narrow"/>
                <w:iCs/>
                <w:sz w:val="20"/>
                <w:szCs w:val="20"/>
              </w:rPr>
              <w:t>as a result of</w:t>
            </w:r>
            <w:proofErr w:type="gramEnd"/>
            <w:r w:rsidRPr="007D63F5">
              <w:rPr>
                <w:rFonts w:ascii="Arial Narrow" w:hAnsi="Arial Narrow"/>
                <w:iCs/>
                <w:sz w:val="20"/>
                <w:szCs w:val="20"/>
              </w:rPr>
              <w:t xml:space="preserve"> an LVAD Case Conference, has been assessed as suitable for LVAD based on the following: </w:t>
            </w:r>
          </w:p>
          <w:p w14:paraId="4B191F76" w14:textId="77777777" w:rsidR="007D63F5" w:rsidRPr="007D63F5" w:rsidRDefault="007D63F5" w:rsidP="00276F6C">
            <w:pPr>
              <w:numPr>
                <w:ilvl w:val="0"/>
                <w:numId w:val="18"/>
              </w:numPr>
              <w:spacing w:before="0" w:after="0" w:line="276" w:lineRule="auto"/>
              <w:rPr>
                <w:rFonts w:ascii="Arial Narrow" w:hAnsi="Arial Narrow"/>
                <w:iCs/>
                <w:sz w:val="20"/>
                <w:szCs w:val="20"/>
              </w:rPr>
            </w:pPr>
            <w:r w:rsidRPr="007D63F5">
              <w:rPr>
                <w:rFonts w:ascii="Arial Narrow" w:hAnsi="Arial Narrow"/>
                <w:iCs/>
                <w:sz w:val="20"/>
                <w:szCs w:val="20"/>
              </w:rPr>
              <w:t xml:space="preserve">destination therapy in the management of a patient with refractory heart failure, despite optimal medical management including device use where appropriate, with INTERMACS profile 1–4, who is not eligible for cardiac transplantation. </w:t>
            </w:r>
          </w:p>
          <w:p w14:paraId="1DD8C81D" w14:textId="77777777" w:rsidR="007D63F5" w:rsidRPr="007D63F5" w:rsidRDefault="007D63F5" w:rsidP="00276F6C">
            <w:pPr>
              <w:spacing w:before="0" w:after="0" w:line="276" w:lineRule="auto"/>
              <w:rPr>
                <w:rFonts w:ascii="Arial Narrow" w:hAnsi="Arial Narrow"/>
                <w:iCs/>
                <w:sz w:val="20"/>
                <w:szCs w:val="20"/>
              </w:rPr>
            </w:pPr>
            <w:r w:rsidRPr="007D63F5">
              <w:rPr>
                <w:rFonts w:ascii="Arial Narrow" w:hAnsi="Arial Narrow"/>
                <w:iCs/>
                <w:sz w:val="20"/>
                <w:szCs w:val="20"/>
              </w:rPr>
              <w:t>An LVAD Case Conference is a process by which:</w:t>
            </w:r>
          </w:p>
          <w:p w14:paraId="2081B6A3" w14:textId="77777777" w:rsidR="007D63F5" w:rsidRPr="007D63F5" w:rsidRDefault="007D63F5" w:rsidP="00276F6C">
            <w:pPr>
              <w:numPr>
                <w:ilvl w:val="0"/>
                <w:numId w:val="19"/>
              </w:numPr>
              <w:spacing w:before="0" w:after="0" w:line="276" w:lineRule="auto"/>
              <w:rPr>
                <w:rFonts w:ascii="Arial Narrow" w:hAnsi="Arial Narrow"/>
                <w:iCs/>
                <w:sz w:val="20"/>
                <w:szCs w:val="20"/>
              </w:rPr>
            </w:pPr>
            <w:r w:rsidRPr="007D63F5">
              <w:rPr>
                <w:rFonts w:ascii="Arial Narrow" w:hAnsi="Arial Narrow"/>
                <w:iCs/>
                <w:sz w:val="20"/>
                <w:szCs w:val="20"/>
              </w:rPr>
              <w:t xml:space="preserve">there is a team of 4 or more participants, where: </w:t>
            </w:r>
          </w:p>
          <w:p w14:paraId="2B48443D" w14:textId="77777777" w:rsidR="007D63F5" w:rsidRPr="007D63F5" w:rsidRDefault="007D63F5" w:rsidP="00276F6C">
            <w:pPr>
              <w:numPr>
                <w:ilvl w:val="0"/>
                <w:numId w:val="20"/>
              </w:numPr>
              <w:spacing w:before="0" w:after="0" w:line="276" w:lineRule="auto"/>
              <w:rPr>
                <w:rFonts w:ascii="Arial Narrow" w:hAnsi="Arial Narrow"/>
                <w:iCs/>
                <w:sz w:val="20"/>
                <w:szCs w:val="20"/>
              </w:rPr>
            </w:pPr>
            <w:r w:rsidRPr="007D63F5">
              <w:rPr>
                <w:rFonts w:ascii="Arial Narrow" w:hAnsi="Arial Narrow"/>
                <w:iCs/>
                <w:sz w:val="20"/>
                <w:szCs w:val="20"/>
              </w:rPr>
              <w:t>the first participant is a cardiothoracic surgeon</w:t>
            </w:r>
          </w:p>
          <w:p w14:paraId="0E6E9468" w14:textId="77777777" w:rsidR="007D63F5" w:rsidRPr="007D63F5" w:rsidRDefault="007D63F5" w:rsidP="00276F6C">
            <w:pPr>
              <w:numPr>
                <w:ilvl w:val="0"/>
                <w:numId w:val="20"/>
              </w:numPr>
              <w:spacing w:before="0" w:after="0" w:line="276" w:lineRule="auto"/>
              <w:rPr>
                <w:rFonts w:ascii="Arial Narrow" w:hAnsi="Arial Narrow"/>
                <w:iCs/>
                <w:sz w:val="20"/>
                <w:szCs w:val="20"/>
              </w:rPr>
            </w:pPr>
            <w:r w:rsidRPr="007D63F5">
              <w:rPr>
                <w:rFonts w:ascii="Arial Narrow" w:hAnsi="Arial Narrow"/>
                <w:iCs/>
                <w:sz w:val="20"/>
                <w:szCs w:val="20"/>
              </w:rPr>
              <w:t xml:space="preserve">the second participant is an intensive care specialist or consultant physician who does not perform a service described in item </w:t>
            </w:r>
            <w:proofErr w:type="spellStart"/>
            <w:r w:rsidRPr="007D63F5">
              <w:rPr>
                <w:rFonts w:ascii="Arial Narrow" w:hAnsi="Arial Narrow"/>
                <w:iCs/>
                <w:sz w:val="20"/>
                <w:szCs w:val="20"/>
              </w:rPr>
              <w:t>xxxx</w:t>
            </w:r>
            <w:proofErr w:type="spellEnd"/>
            <w:r w:rsidRPr="007D63F5">
              <w:rPr>
                <w:rFonts w:ascii="Arial Narrow" w:hAnsi="Arial Narrow"/>
                <w:iCs/>
                <w:sz w:val="20"/>
                <w:szCs w:val="20"/>
              </w:rPr>
              <w:t xml:space="preserve"> for the patient being assessed; and</w:t>
            </w:r>
          </w:p>
          <w:p w14:paraId="43400EC1" w14:textId="77777777" w:rsidR="007D63F5" w:rsidRPr="007D63F5" w:rsidRDefault="007D63F5" w:rsidP="00276F6C">
            <w:pPr>
              <w:numPr>
                <w:ilvl w:val="0"/>
                <w:numId w:val="20"/>
              </w:numPr>
              <w:spacing w:before="0" w:after="0" w:line="276" w:lineRule="auto"/>
              <w:rPr>
                <w:rFonts w:ascii="Arial Narrow" w:hAnsi="Arial Narrow"/>
                <w:iCs/>
                <w:sz w:val="20"/>
                <w:szCs w:val="20"/>
              </w:rPr>
            </w:pPr>
            <w:r w:rsidRPr="007D63F5">
              <w:rPr>
                <w:rFonts w:ascii="Arial Narrow" w:hAnsi="Arial Narrow"/>
                <w:iCs/>
                <w:sz w:val="20"/>
                <w:szCs w:val="20"/>
              </w:rPr>
              <w:t xml:space="preserve">the third participant is a transplant cardiologist who does not perform a service described in item </w:t>
            </w:r>
            <w:proofErr w:type="spellStart"/>
            <w:r w:rsidRPr="007D63F5">
              <w:rPr>
                <w:rFonts w:ascii="Arial Narrow" w:hAnsi="Arial Narrow"/>
                <w:iCs/>
                <w:sz w:val="20"/>
                <w:szCs w:val="20"/>
              </w:rPr>
              <w:t>xxxx</w:t>
            </w:r>
            <w:proofErr w:type="spellEnd"/>
            <w:r w:rsidRPr="007D63F5">
              <w:rPr>
                <w:rFonts w:ascii="Arial Narrow" w:hAnsi="Arial Narrow"/>
                <w:iCs/>
                <w:sz w:val="20"/>
                <w:szCs w:val="20"/>
              </w:rPr>
              <w:t xml:space="preserve"> for the patient being assessed; and </w:t>
            </w:r>
          </w:p>
          <w:p w14:paraId="0B82EC11" w14:textId="77777777" w:rsidR="007D63F5" w:rsidRPr="007D63F5" w:rsidRDefault="007D63F5" w:rsidP="00276F6C">
            <w:pPr>
              <w:numPr>
                <w:ilvl w:val="0"/>
                <w:numId w:val="20"/>
              </w:numPr>
              <w:spacing w:before="0" w:after="0" w:line="276" w:lineRule="auto"/>
              <w:rPr>
                <w:rFonts w:ascii="Arial Narrow" w:hAnsi="Arial Narrow"/>
                <w:iCs/>
                <w:sz w:val="20"/>
                <w:szCs w:val="20"/>
              </w:rPr>
            </w:pPr>
            <w:r w:rsidRPr="007D63F5">
              <w:rPr>
                <w:rFonts w:ascii="Arial Narrow" w:hAnsi="Arial Narrow"/>
                <w:iCs/>
                <w:sz w:val="20"/>
                <w:szCs w:val="20"/>
              </w:rPr>
              <w:t>the fourth participant is a transplant coordinator or LVAD coordinator; and</w:t>
            </w:r>
          </w:p>
          <w:p w14:paraId="38A6F582" w14:textId="77777777" w:rsidR="007D63F5" w:rsidRPr="007D63F5" w:rsidRDefault="007D63F5" w:rsidP="00276F6C">
            <w:pPr>
              <w:numPr>
                <w:ilvl w:val="0"/>
                <w:numId w:val="20"/>
              </w:numPr>
              <w:spacing w:before="0" w:after="0" w:line="276" w:lineRule="auto"/>
              <w:rPr>
                <w:rFonts w:ascii="Arial Narrow" w:hAnsi="Arial Narrow"/>
                <w:iCs/>
                <w:sz w:val="20"/>
                <w:szCs w:val="20"/>
              </w:rPr>
            </w:pPr>
            <w:r w:rsidRPr="007D63F5">
              <w:rPr>
                <w:rFonts w:ascii="Arial Narrow" w:hAnsi="Arial Narrow"/>
                <w:iCs/>
                <w:sz w:val="20"/>
                <w:szCs w:val="20"/>
              </w:rPr>
              <w:t xml:space="preserve">the first participant will perform the LVAD procedure </w:t>
            </w:r>
          </w:p>
          <w:p w14:paraId="782551F1" w14:textId="7E06D255" w:rsidR="007D63F5" w:rsidRPr="007D63F5" w:rsidRDefault="6513B467" w:rsidP="00276F6C">
            <w:pPr>
              <w:numPr>
                <w:ilvl w:val="0"/>
                <w:numId w:val="19"/>
              </w:numPr>
              <w:spacing w:before="0" w:after="0" w:line="276" w:lineRule="auto"/>
              <w:rPr>
                <w:rFonts w:ascii="Arial Narrow" w:hAnsi="Arial Narrow"/>
                <w:iCs/>
                <w:sz w:val="20"/>
                <w:szCs w:val="20"/>
              </w:rPr>
            </w:pPr>
            <w:r w:rsidRPr="4298F19F">
              <w:rPr>
                <w:rFonts w:ascii="Arial Narrow" w:hAnsi="Arial Narrow"/>
                <w:sz w:val="20"/>
                <w:szCs w:val="20"/>
              </w:rPr>
              <w:t xml:space="preserve">to receive the service described in item </w:t>
            </w:r>
            <w:proofErr w:type="spellStart"/>
            <w:r w:rsidRPr="4298F19F">
              <w:rPr>
                <w:rFonts w:ascii="Arial Narrow" w:hAnsi="Arial Narrow"/>
                <w:sz w:val="20"/>
                <w:szCs w:val="20"/>
              </w:rPr>
              <w:t>xxxx</w:t>
            </w:r>
            <w:proofErr w:type="spellEnd"/>
            <w:r w:rsidRPr="4298F19F">
              <w:rPr>
                <w:rFonts w:ascii="Arial Narrow" w:hAnsi="Arial Narrow"/>
                <w:sz w:val="20"/>
                <w:szCs w:val="20"/>
              </w:rPr>
              <w:t xml:space="preserve">, </w:t>
            </w:r>
            <w:r w:rsidR="007D63F5" w:rsidRPr="007D63F5">
              <w:rPr>
                <w:rFonts w:ascii="Arial Narrow" w:hAnsi="Arial Narrow"/>
                <w:iCs/>
                <w:sz w:val="20"/>
                <w:szCs w:val="20"/>
              </w:rPr>
              <w:t xml:space="preserve">the team </w:t>
            </w:r>
            <w:r w:rsidR="2050D91A" w:rsidRPr="4298F19F">
              <w:rPr>
                <w:rFonts w:ascii="Arial Narrow" w:hAnsi="Arial Narrow"/>
                <w:sz w:val="20"/>
                <w:szCs w:val="20"/>
              </w:rPr>
              <w:t xml:space="preserve">should </w:t>
            </w:r>
            <w:r w:rsidR="007D63F5" w:rsidRPr="007D63F5">
              <w:rPr>
                <w:rFonts w:ascii="Arial Narrow" w:hAnsi="Arial Narrow"/>
                <w:iCs/>
                <w:sz w:val="20"/>
                <w:szCs w:val="20"/>
              </w:rPr>
              <w:t xml:space="preserve">assess </w:t>
            </w:r>
            <w:r w:rsidR="535EB769" w:rsidRPr="4298F19F">
              <w:rPr>
                <w:rFonts w:ascii="Arial Narrow" w:hAnsi="Arial Narrow"/>
                <w:sz w:val="20"/>
                <w:szCs w:val="20"/>
              </w:rPr>
              <w:t>the following</w:t>
            </w:r>
            <w:r w:rsidR="007D63F5" w:rsidRPr="007D63F5">
              <w:rPr>
                <w:rFonts w:ascii="Arial Narrow" w:hAnsi="Arial Narrow"/>
                <w:iCs/>
                <w:sz w:val="20"/>
                <w:szCs w:val="20"/>
              </w:rPr>
              <w:t xml:space="preserve">: </w:t>
            </w:r>
          </w:p>
          <w:p w14:paraId="4AC582F6" w14:textId="77777777" w:rsidR="007D63F5" w:rsidRPr="007D63F5" w:rsidRDefault="007D63F5" w:rsidP="00276F6C">
            <w:pPr>
              <w:numPr>
                <w:ilvl w:val="0"/>
                <w:numId w:val="21"/>
              </w:numPr>
              <w:spacing w:before="0" w:after="0" w:line="276" w:lineRule="auto"/>
              <w:rPr>
                <w:rFonts w:ascii="Arial Narrow" w:hAnsi="Arial Narrow"/>
                <w:iCs/>
                <w:sz w:val="20"/>
                <w:szCs w:val="20"/>
              </w:rPr>
            </w:pPr>
            <w:r w:rsidRPr="007D63F5">
              <w:rPr>
                <w:rFonts w:ascii="Arial Narrow" w:hAnsi="Arial Narrow"/>
                <w:iCs/>
                <w:sz w:val="20"/>
                <w:szCs w:val="20"/>
              </w:rPr>
              <w:t xml:space="preserve">the patient’s risk and technical suitability for a ventricular assist device implantation; and </w:t>
            </w:r>
          </w:p>
          <w:p w14:paraId="32CBD638" w14:textId="038817B8" w:rsidR="33927AA9" w:rsidRDefault="33927AA9" w:rsidP="4298F19F">
            <w:pPr>
              <w:numPr>
                <w:ilvl w:val="0"/>
                <w:numId w:val="21"/>
              </w:numPr>
              <w:spacing w:before="0" w:after="0" w:line="276" w:lineRule="auto"/>
              <w:rPr>
                <w:rFonts w:ascii="Arial Narrow" w:eastAsia="Arial Narrow" w:hAnsi="Arial Narrow" w:cs="Arial Narrow"/>
                <w:sz w:val="20"/>
                <w:szCs w:val="20"/>
              </w:rPr>
            </w:pPr>
            <w:r w:rsidRPr="005B13D1">
              <w:rPr>
                <w:rFonts w:ascii="Arial Narrow" w:eastAsia="Arial Narrow" w:hAnsi="Arial Narrow" w:cs="Arial Narrow"/>
                <w:color w:val="333333"/>
                <w:sz w:val="20"/>
                <w:szCs w:val="20"/>
              </w:rPr>
              <w:t>factors which limit life expectancy at the onset, such as ongoing malignancy or irreversible end-organ failure</w:t>
            </w:r>
            <w:r w:rsidR="1E61B0EF" w:rsidRPr="4298F19F">
              <w:rPr>
                <w:rFonts w:ascii="Arial Narrow" w:eastAsia="Arial Narrow" w:hAnsi="Arial Narrow" w:cs="Arial Narrow"/>
                <w:color w:val="333333"/>
                <w:sz w:val="20"/>
                <w:szCs w:val="20"/>
              </w:rPr>
              <w:t>; and</w:t>
            </w:r>
          </w:p>
          <w:p w14:paraId="3A3F03C0" w14:textId="412E5F0F" w:rsidR="22677BBF" w:rsidRDefault="52635495">
            <w:pPr>
              <w:numPr>
                <w:ilvl w:val="0"/>
                <w:numId w:val="21"/>
              </w:numPr>
              <w:spacing w:before="0" w:after="0" w:line="276" w:lineRule="auto"/>
              <w:rPr>
                <w:rFonts w:ascii="Arial Narrow" w:hAnsi="Arial Narrow"/>
                <w:sz w:val="20"/>
                <w:szCs w:val="20"/>
              </w:rPr>
            </w:pPr>
            <w:r w:rsidRPr="715E66E4">
              <w:rPr>
                <w:rFonts w:ascii="Arial Narrow" w:hAnsi="Arial Narrow"/>
                <w:sz w:val="20"/>
                <w:szCs w:val="20"/>
              </w:rPr>
              <w:t xml:space="preserve">the patient’s cognitive </w:t>
            </w:r>
            <w:r w:rsidR="190BF6D6" w:rsidRPr="715E66E4">
              <w:rPr>
                <w:rFonts w:ascii="Arial Narrow" w:hAnsi="Arial Narrow"/>
                <w:sz w:val="20"/>
                <w:szCs w:val="20"/>
              </w:rPr>
              <w:t>and psychosocial functioning</w:t>
            </w:r>
            <w:r w:rsidR="675ED959" w:rsidRPr="715E66E4">
              <w:rPr>
                <w:rFonts w:ascii="Arial Narrow" w:hAnsi="Arial Narrow"/>
                <w:sz w:val="20"/>
                <w:szCs w:val="20"/>
              </w:rPr>
              <w:t xml:space="preserve"> is adequate</w:t>
            </w:r>
            <w:r w:rsidR="63FB3DF7" w:rsidRPr="715E66E4">
              <w:rPr>
                <w:rFonts w:ascii="Arial Narrow" w:hAnsi="Arial Narrow"/>
                <w:sz w:val="20"/>
                <w:szCs w:val="20"/>
              </w:rPr>
              <w:t>,</w:t>
            </w:r>
            <w:r w:rsidR="2F2D4B04" w:rsidRPr="4298F19F">
              <w:rPr>
                <w:rFonts w:ascii="Arial Narrow" w:hAnsi="Arial Narrow"/>
                <w:sz w:val="20"/>
                <w:szCs w:val="20"/>
              </w:rPr>
              <w:t xml:space="preserve"> and</w:t>
            </w:r>
          </w:p>
          <w:p w14:paraId="60C5D6A6" w14:textId="77777777" w:rsidR="007D63F5" w:rsidRPr="007D63F5" w:rsidRDefault="007D63F5" w:rsidP="00276F6C">
            <w:pPr>
              <w:numPr>
                <w:ilvl w:val="0"/>
                <w:numId w:val="19"/>
              </w:numPr>
              <w:spacing w:before="0" w:after="0" w:line="276" w:lineRule="auto"/>
              <w:rPr>
                <w:rFonts w:ascii="Arial Narrow" w:hAnsi="Arial Narrow"/>
                <w:iCs/>
                <w:sz w:val="20"/>
                <w:szCs w:val="20"/>
              </w:rPr>
            </w:pPr>
            <w:r w:rsidRPr="007D63F5">
              <w:rPr>
                <w:rFonts w:ascii="Arial Narrow" w:hAnsi="Arial Narrow"/>
                <w:iCs/>
                <w:sz w:val="20"/>
                <w:szCs w:val="20"/>
              </w:rPr>
              <w:t xml:space="preserve">the result of the assessment is that the team makes a recommendation about </w:t>
            </w:r>
            <w:proofErr w:type="gramStart"/>
            <w:r w:rsidRPr="007D63F5">
              <w:rPr>
                <w:rFonts w:ascii="Arial Narrow" w:hAnsi="Arial Narrow"/>
                <w:iCs/>
                <w:sz w:val="20"/>
                <w:szCs w:val="20"/>
              </w:rPr>
              <w:t>whether or not</w:t>
            </w:r>
            <w:proofErr w:type="gramEnd"/>
            <w:r w:rsidRPr="007D63F5">
              <w:rPr>
                <w:rFonts w:ascii="Arial Narrow" w:hAnsi="Arial Narrow"/>
                <w:iCs/>
                <w:sz w:val="20"/>
                <w:szCs w:val="20"/>
              </w:rPr>
              <w:t xml:space="preserve"> the patient is suitable to receive the service described in item </w:t>
            </w:r>
            <w:proofErr w:type="spellStart"/>
            <w:r w:rsidRPr="007D63F5">
              <w:rPr>
                <w:rFonts w:ascii="Arial Narrow" w:hAnsi="Arial Narrow"/>
                <w:iCs/>
                <w:sz w:val="20"/>
                <w:szCs w:val="20"/>
              </w:rPr>
              <w:t>xxxx</w:t>
            </w:r>
            <w:proofErr w:type="spellEnd"/>
            <w:r w:rsidRPr="007D63F5">
              <w:rPr>
                <w:rFonts w:ascii="Arial Narrow" w:hAnsi="Arial Narrow"/>
                <w:iCs/>
                <w:sz w:val="20"/>
                <w:szCs w:val="20"/>
              </w:rPr>
              <w:t>; and</w:t>
            </w:r>
          </w:p>
          <w:p w14:paraId="20C88E2D" w14:textId="77777777" w:rsidR="007D63F5" w:rsidRPr="007D63F5" w:rsidRDefault="007D63F5" w:rsidP="00276F6C">
            <w:pPr>
              <w:numPr>
                <w:ilvl w:val="0"/>
                <w:numId w:val="19"/>
              </w:numPr>
              <w:spacing w:before="0" w:after="0" w:line="276" w:lineRule="auto"/>
              <w:rPr>
                <w:rFonts w:ascii="Arial Narrow" w:hAnsi="Arial Narrow"/>
                <w:iCs/>
                <w:sz w:val="20"/>
                <w:szCs w:val="20"/>
              </w:rPr>
            </w:pPr>
            <w:r w:rsidRPr="007D63F5">
              <w:rPr>
                <w:rFonts w:ascii="Arial Narrow" w:hAnsi="Arial Narrow"/>
                <w:iCs/>
                <w:sz w:val="20"/>
                <w:szCs w:val="20"/>
              </w:rPr>
              <w:lastRenderedPageBreak/>
              <w:t xml:space="preserve">the particulars of the assessment and recommendation are recorded in writing. </w:t>
            </w:r>
          </w:p>
        </w:tc>
      </w:tr>
    </w:tbl>
    <w:p w14:paraId="241797F0" w14:textId="2721247A" w:rsidR="007D63F5" w:rsidRPr="007D63F5" w:rsidRDefault="006461F2" w:rsidP="006461F2">
      <w:pPr>
        <w:pStyle w:val="Caption"/>
        <w:rPr>
          <w:iCs/>
        </w:rPr>
      </w:pPr>
      <w:bookmarkStart w:id="3" w:name="_Ref184716827"/>
      <w:r>
        <w:lastRenderedPageBreak/>
        <w:t xml:space="preserve">Table </w:t>
      </w:r>
      <w:r>
        <w:fldChar w:fldCharType="begin"/>
      </w:r>
      <w:r>
        <w:instrText xml:space="preserve"> SEQ Table \* ARABIC </w:instrText>
      </w:r>
      <w:r>
        <w:fldChar w:fldCharType="separate"/>
      </w:r>
      <w:r>
        <w:rPr>
          <w:noProof/>
        </w:rPr>
        <w:t>2</w:t>
      </w:r>
      <w:r>
        <w:rPr>
          <w:noProof/>
        </w:rPr>
        <w:fldChar w:fldCharType="end"/>
      </w:r>
      <w:bookmarkEnd w:id="3"/>
      <w:r>
        <w:t>: MSAC supported</w:t>
      </w:r>
      <w:r w:rsidR="00BA57B1">
        <w:t xml:space="preserve"> the amendment of MBS item 38621</w:t>
      </w:r>
      <w:r>
        <w:t xml:space="preserve"> for </w:t>
      </w:r>
      <w:r w:rsidR="00424634">
        <w:t>d</w:t>
      </w:r>
      <w:r w:rsidR="007D63F5" w:rsidRPr="007D63F5">
        <w:rPr>
          <w:iCs/>
        </w:rPr>
        <w:t>evice replacement</w:t>
      </w:r>
      <w:r w:rsidR="00AE4885">
        <w:rPr>
          <w:iCs/>
        </w:rPr>
        <w:t xml:space="preserve"> (amendment denoted in blue text)</w:t>
      </w:r>
    </w:p>
    <w:tbl>
      <w:tblPr>
        <w:tblW w:w="7799" w:type="dxa"/>
        <w:tblInd w:w="-5" w:type="dxa"/>
        <w:tblLayout w:type="fixed"/>
        <w:tblLook w:val="01E0" w:firstRow="1" w:lastRow="1" w:firstColumn="1" w:lastColumn="1" w:noHBand="0" w:noVBand="0"/>
      </w:tblPr>
      <w:tblGrid>
        <w:gridCol w:w="7799"/>
      </w:tblGrid>
      <w:tr w:rsidR="00276F6C" w:rsidRPr="007D63F5" w14:paraId="6C0A7441" w14:textId="77777777" w:rsidTr="00276F6C">
        <w:tc>
          <w:tcPr>
            <w:tcW w:w="7799" w:type="dxa"/>
            <w:tcBorders>
              <w:top w:val="single" w:sz="4" w:space="0" w:color="auto"/>
              <w:left w:val="single" w:sz="4" w:space="0" w:color="auto"/>
              <w:bottom w:val="single" w:sz="4" w:space="0" w:color="auto"/>
              <w:right w:val="single" w:sz="4" w:space="0" w:color="auto"/>
            </w:tcBorders>
            <w:hideMark/>
          </w:tcPr>
          <w:p w14:paraId="1AF60AD6" w14:textId="6C4BC1C6" w:rsidR="00276F6C" w:rsidRPr="007D63F5" w:rsidRDefault="00276F6C" w:rsidP="00276F6C">
            <w:pPr>
              <w:spacing w:before="0" w:after="0" w:line="276" w:lineRule="auto"/>
              <w:rPr>
                <w:rFonts w:ascii="Arial Narrow" w:hAnsi="Arial Narrow"/>
                <w:iCs/>
                <w:sz w:val="20"/>
                <w:szCs w:val="20"/>
              </w:rPr>
            </w:pPr>
            <w:r w:rsidRPr="007D63F5">
              <w:rPr>
                <w:rFonts w:ascii="Arial Narrow" w:hAnsi="Arial Narrow"/>
                <w:b/>
                <w:bCs/>
                <w:iCs/>
                <w:sz w:val="20"/>
                <w:szCs w:val="20"/>
              </w:rPr>
              <w:t>Category 3 – Therapeutic Procedures</w:t>
            </w:r>
          </w:p>
        </w:tc>
      </w:tr>
      <w:tr w:rsidR="00276F6C" w:rsidRPr="007D63F5" w14:paraId="2B7715C3" w14:textId="77777777" w:rsidTr="00276F6C">
        <w:tc>
          <w:tcPr>
            <w:tcW w:w="7799" w:type="dxa"/>
            <w:tcBorders>
              <w:top w:val="single" w:sz="4" w:space="0" w:color="auto"/>
              <w:left w:val="single" w:sz="4" w:space="0" w:color="auto"/>
              <w:bottom w:val="single" w:sz="4" w:space="0" w:color="auto"/>
              <w:right w:val="single" w:sz="4" w:space="0" w:color="auto"/>
            </w:tcBorders>
            <w:hideMark/>
          </w:tcPr>
          <w:p w14:paraId="6D9619C3" w14:textId="77777777" w:rsidR="00BA57B1" w:rsidRPr="007D63F5" w:rsidRDefault="00BA57B1" w:rsidP="00AE4885">
            <w:pPr>
              <w:spacing w:before="0" w:after="0" w:line="276" w:lineRule="auto"/>
              <w:jc w:val="right"/>
              <w:rPr>
                <w:rFonts w:ascii="Arial Narrow" w:hAnsi="Arial Narrow"/>
                <w:iCs/>
                <w:sz w:val="20"/>
                <w:szCs w:val="20"/>
              </w:rPr>
            </w:pPr>
            <w:r w:rsidRPr="007D63F5">
              <w:rPr>
                <w:rFonts w:ascii="Arial Narrow" w:hAnsi="Arial Narrow"/>
                <w:b/>
                <w:bCs/>
                <w:iCs/>
                <w:sz w:val="20"/>
                <w:szCs w:val="20"/>
              </w:rPr>
              <w:t>Group</w:t>
            </w:r>
            <w:r w:rsidRPr="007D63F5">
              <w:rPr>
                <w:rFonts w:ascii="Arial Narrow" w:hAnsi="Arial Narrow"/>
                <w:iCs/>
                <w:sz w:val="20"/>
                <w:szCs w:val="20"/>
              </w:rPr>
              <w:t>T8 - Surgical Operations</w:t>
            </w:r>
          </w:p>
          <w:p w14:paraId="6DE36229" w14:textId="197D29A4" w:rsidR="00BA57B1" w:rsidRDefault="00BA57B1" w:rsidP="00AE4885">
            <w:pPr>
              <w:tabs>
                <w:tab w:val="right" w:pos="7583"/>
              </w:tabs>
              <w:spacing w:before="0" w:after="0" w:line="276" w:lineRule="auto"/>
              <w:jc w:val="right"/>
              <w:rPr>
                <w:rFonts w:ascii="Arial Narrow" w:hAnsi="Arial Narrow"/>
                <w:iCs/>
                <w:sz w:val="20"/>
                <w:szCs w:val="20"/>
              </w:rPr>
            </w:pPr>
            <w:r w:rsidRPr="00AE4885">
              <w:rPr>
                <w:rFonts w:ascii="Arial Narrow" w:hAnsi="Arial Narrow"/>
                <w:iCs/>
                <w:sz w:val="20"/>
                <w:szCs w:val="20"/>
              </w:rPr>
              <w:t>38621</w:t>
            </w:r>
            <w:r>
              <w:rPr>
                <w:rFonts w:ascii="Arial Narrow" w:hAnsi="Arial Narrow"/>
                <w:b/>
                <w:bCs/>
                <w:iCs/>
                <w:sz w:val="20"/>
                <w:szCs w:val="20"/>
              </w:rPr>
              <w:tab/>
            </w:r>
            <w:r w:rsidRPr="007D63F5">
              <w:rPr>
                <w:rFonts w:ascii="Arial Narrow" w:hAnsi="Arial Narrow"/>
                <w:b/>
                <w:bCs/>
                <w:iCs/>
                <w:sz w:val="20"/>
                <w:szCs w:val="20"/>
              </w:rPr>
              <w:t>Subgroup</w:t>
            </w:r>
            <w:r w:rsidRPr="007D63F5">
              <w:rPr>
                <w:rFonts w:ascii="Arial Narrow" w:hAnsi="Arial Narrow"/>
                <w:iCs/>
                <w:sz w:val="20"/>
                <w:szCs w:val="20"/>
              </w:rPr>
              <w:t xml:space="preserve"> 6 - Cardio-Thoracic</w:t>
            </w:r>
            <w:r>
              <w:rPr>
                <w:rFonts w:ascii="Arial Narrow" w:hAnsi="Arial Narrow"/>
                <w:iCs/>
                <w:sz w:val="20"/>
                <w:szCs w:val="20"/>
              </w:rPr>
              <w:br/>
            </w:r>
            <w:r w:rsidRPr="007D63F5">
              <w:rPr>
                <w:rFonts w:ascii="Arial Narrow" w:hAnsi="Arial Narrow"/>
                <w:b/>
                <w:bCs/>
                <w:iCs/>
                <w:sz w:val="20"/>
                <w:szCs w:val="20"/>
              </w:rPr>
              <w:t>Subheading</w:t>
            </w:r>
            <w:r w:rsidRPr="007D63F5">
              <w:rPr>
                <w:rFonts w:ascii="Arial Narrow" w:hAnsi="Arial Narrow"/>
                <w:iCs/>
                <w:sz w:val="20"/>
                <w:szCs w:val="20"/>
              </w:rPr>
              <w:t xml:space="preserve"> 12 - Circulatory Support Procedures</w:t>
            </w:r>
          </w:p>
          <w:p w14:paraId="3893F423" w14:textId="77777777" w:rsidR="00AE4885" w:rsidRDefault="00276F6C" w:rsidP="007D63F5">
            <w:pPr>
              <w:spacing w:after="240"/>
              <w:rPr>
                <w:rFonts w:ascii="Arial Narrow" w:hAnsi="Arial Narrow"/>
                <w:iCs/>
                <w:sz w:val="20"/>
                <w:szCs w:val="20"/>
              </w:rPr>
            </w:pPr>
            <w:r w:rsidRPr="007D63F5">
              <w:rPr>
                <w:rFonts w:ascii="Arial Narrow" w:hAnsi="Arial Narrow"/>
                <w:iCs/>
                <w:sz w:val="20"/>
                <w:szCs w:val="20"/>
              </w:rPr>
              <w:t xml:space="preserve">Left or right ventricular assist device, removal </w:t>
            </w:r>
            <w:r w:rsidRPr="00E845A6">
              <w:rPr>
                <w:rFonts w:ascii="Arial Narrow" w:hAnsi="Arial Narrow"/>
                <w:iCs/>
                <w:color w:val="007BB8"/>
                <w:sz w:val="20"/>
                <w:szCs w:val="20"/>
              </w:rPr>
              <w:t>or replacement</w:t>
            </w:r>
            <w:r w:rsidRPr="007D63F5">
              <w:rPr>
                <w:rFonts w:ascii="Arial Narrow" w:hAnsi="Arial Narrow"/>
                <w:iCs/>
                <w:sz w:val="20"/>
                <w:szCs w:val="20"/>
              </w:rPr>
              <w:t xml:space="preserve"> of, as an independent procedure, other than a service associated with a service to which item 11704, 11705, 11707, 11714, 18260, 33824, 38627, 38816, 38828 or 45503 applies (H) </w:t>
            </w:r>
          </w:p>
          <w:p w14:paraId="6A4A6130" w14:textId="49C7524A" w:rsidR="00276F6C" w:rsidRPr="007D63F5" w:rsidRDefault="00AE4885" w:rsidP="007D63F5">
            <w:pPr>
              <w:spacing w:after="240"/>
              <w:rPr>
                <w:rFonts w:ascii="Arial Narrow" w:hAnsi="Arial Narrow"/>
                <w:iCs/>
                <w:sz w:val="20"/>
                <w:szCs w:val="20"/>
                <w:lang w:val="en-US"/>
              </w:rPr>
            </w:pPr>
            <w:r>
              <w:rPr>
                <w:rFonts w:ascii="Arial Narrow" w:hAnsi="Arial Narrow"/>
                <w:iCs/>
                <w:sz w:val="20"/>
                <w:szCs w:val="20"/>
              </w:rPr>
              <w:t>Multiple Operation Rule</w:t>
            </w:r>
            <w:r>
              <w:rPr>
                <w:rFonts w:ascii="Arial Narrow" w:hAnsi="Arial Narrow"/>
                <w:iCs/>
                <w:sz w:val="20"/>
                <w:szCs w:val="20"/>
              </w:rPr>
              <w:br/>
            </w:r>
            <w:r w:rsidR="00276F6C" w:rsidRPr="007D63F5">
              <w:rPr>
                <w:rFonts w:ascii="Arial Narrow" w:hAnsi="Arial Narrow"/>
                <w:iCs/>
                <w:sz w:val="20"/>
                <w:szCs w:val="20"/>
              </w:rPr>
              <w:t>(Anaes.) (Assist.)</w:t>
            </w:r>
          </w:p>
          <w:p w14:paraId="69683E71" w14:textId="77777777" w:rsidR="00276F6C" w:rsidRDefault="00276F6C" w:rsidP="007D63F5">
            <w:pPr>
              <w:spacing w:after="240"/>
              <w:rPr>
                <w:rFonts w:ascii="Arial Narrow" w:hAnsi="Arial Narrow"/>
                <w:iCs/>
                <w:sz w:val="20"/>
                <w:szCs w:val="20"/>
              </w:rPr>
            </w:pPr>
            <w:r w:rsidRPr="007D63F5">
              <w:rPr>
                <w:rFonts w:ascii="Arial Narrow" w:hAnsi="Arial Narrow"/>
                <w:iCs/>
                <w:sz w:val="20"/>
                <w:szCs w:val="20"/>
              </w:rPr>
              <w:t>Fee: $868.45</w:t>
            </w:r>
            <w:r w:rsidR="00AE4885">
              <w:rPr>
                <w:rFonts w:ascii="Arial Narrow" w:hAnsi="Arial Narrow"/>
                <w:iCs/>
                <w:sz w:val="20"/>
                <w:szCs w:val="20"/>
              </w:rPr>
              <w:t xml:space="preserve"> Benefit: 75% = $651.35</w:t>
            </w:r>
          </w:p>
          <w:p w14:paraId="427F5F48" w14:textId="58B760D3" w:rsidR="00AE4885" w:rsidRPr="007D63F5" w:rsidRDefault="00AE4885" w:rsidP="007D63F5">
            <w:pPr>
              <w:spacing w:after="240"/>
              <w:rPr>
                <w:rFonts w:ascii="Arial Narrow" w:hAnsi="Arial Narrow"/>
                <w:iCs/>
                <w:sz w:val="20"/>
                <w:szCs w:val="20"/>
              </w:rPr>
            </w:pPr>
            <w:r w:rsidRPr="00AE4885">
              <w:rPr>
                <w:rFonts w:ascii="Arial Narrow" w:hAnsi="Arial Narrow"/>
                <w:iCs/>
                <w:sz w:val="20"/>
                <w:szCs w:val="20"/>
              </w:rPr>
              <w:t xml:space="preserve">(See </w:t>
            </w:r>
            <w:proofErr w:type="gramStart"/>
            <w:r w:rsidRPr="00AE4885">
              <w:rPr>
                <w:rFonts w:ascii="Arial Narrow" w:hAnsi="Arial Narrow"/>
                <w:iCs/>
                <w:sz w:val="20"/>
                <w:szCs w:val="20"/>
              </w:rPr>
              <w:t>para TN.</w:t>
            </w:r>
            <w:proofErr w:type="gramEnd"/>
            <w:r w:rsidRPr="00AE4885">
              <w:rPr>
                <w:rFonts w:ascii="Arial Narrow" w:hAnsi="Arial Narrow"/>
                <w:iCs/>
                <w:sz w:val="20"/>
                <w:szCs w:val="20"/>
              </w:rPr>
              <w:t>8.67 of explanatory notes to this Category)</w:t>
            </w:r>
          </w:p>
        </w:tc>
      </w:tr>
    </w:tbl>
    <w:p w14:paraId="6710B69D" w14:textId="568C145B" w:rsidR="00772829" w:rsidRPr="00CE28E3" w:rsidRDefault="00E33F73" w:rsidP="002A18BE">
      <w:pPr>
        <w:pStyle w:val="Heading2"/>
        <w:numPr>
          <w:ilvl w:val="0"/>
          <w:numId w:val="0"/>
        </w:numPr>
      </w:pPr>
      <w:bookmarkStart w:id="4" w:name="_Toc69491416"/>
      <w:bookmarkEnd w:id="1"/>
      <w:r>
        <w:t>4</w:t>
      </w:r>
      <w:r w:rsidR="00C36633">
        <w:t>.</w:t>
      </w:r>
      <w:r w:rsidR="00C36633">
        <w:tab/>
      </w:r>
      <w:r w:rsidR="00772829" w:rsidRPr="00CE28E3">
        <w:t>Background</w:t>
      </w:r>
      <w:bookmarkEnd w:id="4"/>
    </w:p>
    <w:p w14:paraId="6D72F8CD" w14:textId="7A4A4394" w:rsidR="00473807" w:rsidRPr="00AD5249" w:rsidRDefault="00544FBA" w:rsidP="00994BE3">
      <w:bookmarkStart w:id="5" w:name="_Hlk69734494"/>
      <w:r w:rsidRPr="00544FBA">
        <w:t>T</w:t>
      </w:r>
      <w:r w:rsidR="001D5B53" w:rsidRPr="00544FBA">
        <w:t>he Medical Services Advisory Committee (MSAC)</w:t>
      </w:r>
      <w:r w:rsidRPr="00544FBA">
        <w:t xml:space="preserve">, at their meeting in April 2024, </w:t>
      </w:r>
      <w:r w:rsidR="001D5B53" w:rsidRPr="00544FBA">
        <w:t xml:space="preserve">deferred </w:t>
      </w:r>
      <w:r w:rsidR="00903C7C">
        <w:t>its advice for public funding</w:t>
      </w:r>
      <w:r w:rsidR="001D5B53" w:rsidRPr="00544FBA">
        <w:t xml:space="preserve"> </w:t>
      </w:r>
      <w:r w:rsidR="00903C7C">
        <w:t xml:space="preserve">of insertion of durable </w:t>
      </w:r>
      <w:r w:rsidR="003B425D">
        <w:t>L</w:t>
      </w:r>
      <w:r w:rsidR="00ED6CA5">
        <w:t>VAD</w:t>
      </w:r>
      <w:r w:rsidR="00903C7C">
        <w:t xml:space="preserve"> for use as DT for patients with refractory heart failure, despite OMM, with an INTERMACS profile between 1-4 and who are not eligible for cardiac transplantation.</w:t>
      </w:r>
      <w:r w:rsidR="00903C7C" w:rsidRPr="00544FBA" w:rsidDel="00903C7C">
        <w:t xml:space="preserve"> </w:t>
      </w:r>
      <w:r w:rsidR="00473807" w:rsidRPr="00AD5249">
        <w:t xml:space="preserve">MSAC considered that the clinical claim of superior efficacy and inferior safety of </w:t>
      </w:r>
      <w:r w:rsidR="003B425D">
        <w:t>L</w:t>
      </w:r>
      <w:r w:rsidR="00473807" w:rsidRPr="00AD5249">
        <w:t xml:space="preserve">VAD compared to the OMM made in the original </w:t>
      </w:r>
      <w:r w:rsidR="00AD5249" w:rsidRPr="00AD5249">
        <w:t>applicant developed assessment report (</w:t>
      </w:r>
      <w:r w:rsidR="00473807" w:rsidRPr="00AD5249">
        <w:t>ADAR</w:t>
      </w:r>
      <w:r w:rsidR="00AD5249" w:rsidRPr="00AD5249">
        <w:t>)</w:t>
      </w:r>
      <w:r w:rsidR="00473807" w:rsidRPr="00AD5249">
        <w:t xml:space="preserve"> (MSAC </w:t>
      </w:r>
      <w:r w:rsidR="00D15765">
        <w:t>A</w:t>
      </w:r>
      <w:r w:rsidR="00D15765" w:rsidRPr="00AD5249">
        <w:t xml:space="preserve">pplication </w:t>
      </w:r>
      <w:r w:rsidR="00473807" w:rsidRPr="00AD5249">
        <w:t>1749) was reasonable</w:t>
      </w:r>
      <w:r w:rsidR="00AD5249" w:rsidRPr="00AD5249">
        <w:t xml:space="preserve">. However, MSAC considered </w:t>
      </w:r>
      <w:r w:rsidR="00903C7C">
        <w:t xml:space="preserve">that </w:t>
      </w:r>
      <w:r w:rsidR="00AD5249" w:rsidRPr="00AD5249">
        <w:t xml:space="preserve">the magnitude of these effects </w:t>
      </w:r>
      <w:r w:rsidR="00903C7C">
        <w:t>was</w:t>
      </w:r>
      <w:r w:rsidR="00903C7C" w:rsidRPr="00AD5249">
        <w:t xml:space="preserve"> </w:t>
      </w:r>
      <w:r w:rsidR="00AD5249" w:rsidRPr="00AD5249">
        <w:t xml:space="preserve">uncertain due to limitations in the available evidence. Furthermore, </w:t>
      </w:r>
      <w:r w:rsidR="00473807" w:rsidRPr="00AD5249">
        <w:t>MSAC</w:t>
      </w:r>
      <w:r w:rsidR="00AD5249" w:rsidRPr="00AD5249">
        <w:t xml:space="preserve"> </w:t>
      </w:r>
      <w:r w:rsidR="00903C7C">
        <w:t>noted</w:t>
      </w:r>
      <w:r w:rsidR="00903C7C" w:rsidRPr="00AD5249">
        <w:t xml:space="preserve"> </w:t>
      </w:r>
      <w:r w:rsidR="00AD5249" w:rsidRPr="00AD5249">
        <w:t>that</w:t>
      </w:r>
      <w:r w:rsidR="00473807" w:rsidRPr="00AD5249">
        <w:t xml:space="preserve"> the aftercare costs following </w:t>
      </w:r>
      <w:r w:rsidR="003B425D">
        <w:t>L</w:t>
      </w:r>
      <w:r w:rsidR="00473807" w:rsidRPr="00AD5249">
        <w:t xml:space="preserve">VAD implantation had </w:t>
      </w:r>
      <w:r w:rsidR="00AD5249" w:rsidRPr="00AD5249">
        <w:t xml:space="preserve">not </w:t>
      </w:r>
      <w:r w:rsidR="00473807" w:rsidRPr="00AD5249">
        <w:t>been adequately captured in the economic and financial analyses and considered that the resultant incremental cost-effectiveness ratio (ICER) and the financial impact may potentially be underestimated.</w:t>
      </w:r>
    </w:p>
    <w:p w14:paraId="6EA3B282" w14:textId="315B90AA" w:rsidR="001D5B53" w:rsidRPr="00AD5249" w:rsidRDefault="00994BE3" w:rsidP="00994BE3">
      <w:r w:rsidRPr="00AD5249">
        <w:t xml:space="preserve">MSAC requested </w:t>
      </w:r>
      <w:r w:rsidR="00AD5249" w:rsidRPr="00AD5249">
        <w:t xml:space="preserve">the applicant to </w:t>
      </w:r>
      <w:r w:rsidRPr="00AD5249">
        <w:t xml:space="preserve">consult Australian healthcare centres to obtain a more contemporary estimate of the aftercare costs following </w:t>
      </w:r>
      <w:r w:rsidR="003B425D">
        <w:t>L</w:t>
      </w:r>
      <w:r w:rsidRPr="00AD5249">
        <w:t>VAD implantation in Australia</w:t>
      </w:r>
      <w:r w:rsidR="00AD5249" w:rsidRPr="00AD5249">
        <w:t xml:space="preserve">. </w:t>
      </w:r>
      <w:r w:rsidR="00903C7C">
        <w:t>Furthermore,</w:t>
      </w:r>
      <w:r w:rsidR="00AD5249" w:rsidRPr="00AD5249">
        <w:t xml:space="preserve"> MSAC advised the applicant to revise the economic and financial analyses to incorporate the updated additional costs (particularly aftercare costs) associated with the </w:t>
      </w:r>
      <w:r w:rsidR="003B425D">
        <w:t>L</w:t>
      </w:r>
      <w:r w:rsidR="00AD5249" w:rsidRPr="00AD5249">
        <w:t xml:space="preserve">VAD implantation. </w:t>
      </w:r>
      <w:r w:rsidRPr="00AD5249">
        <w:t>MSAC considered that the resubmission could proceed via the direct MSAC assessment pathway</w:t>
      </w:r>
      <w:r w:rsidR="00162AB2" w:rsidRPr="00AD5249">
        <w:t>.</w:t>
      </w:r>
    </w:p>
    <w:p w14:paraId="7C7F5425" w14:textId="709B4007" w:rsidR="005E59A3" w:rsidRDefault="003B425D" w:rsidP="129C1EDE">
      <w:r>
        <w:t>Insertion of ventricular assist devices in patients with refractory heart failure is</w:t>
      </w:r>
      <w:r w:rsidR="005E59A3">
        <w:t xml:space="preserve"> listed on the MBS for other populations, including </w:t>
      </w:r>
      <w:r w:rsidR="00544FBA">
        <w:t xml:space="preserve">MBS item 38615 </w:t>
      </w:r>
      <w:r w:rsidR="00874FC2">
        <w:t xml:space="preserve">(insertion of a </w:t>
      </w:r>
      <w:r w:rsidR="23699D7F">
        <w:t>left or right device</w:t>
      </w:r>
      <w:r w:rsidR="00874FC2">
        <w:t>)</w:t>
      </w:r>
      <w:r w:rsidR="23699D7F">
        <w:t xml:space="preserve"> </w:t>
      </w:r>
      <w:r w:rsidR="002323DB">
        <w:t xml:space="preserve">and MBS item 38618 </w:t>
      </w:r>
      <w:r w:rsidR="00874FC2">
        <w:t>(</w:t>
      </w:r>
      <w:r w:rsidR="002323DB">
        <w:t>insertion of a left and right device</w:t>
      </w:r>
      <w:r w:rsidR="00874FC2">
        <w:t>)</w:t>
      </w:r>
      <w:r w:rsidR="002323DB">
        <w:t xml:space="preserve"> </w:t>
      </w:r>
      <w:r w:rsidR="23699D7F">
        <w:t>for</w:t>
      </w:r>
      <w:r w:rsidR="006C19DD">
        <w:t xml:space="preserve"> use as</w:t>
      </w:r>
      <w:r w:rsidR="23699D7F">
        <w:t xml:space="preserve"> </w:t>
      </w:r>
      <w:r w:rsidR="00544FBA">
        <w:t>bridge to transplant (BTT)</w:t>
      </w:r>
      <w:r w:rsidR="000A37EE">
        <w:t>,</w:t>
      </w:r>
      <w:r w:rsidR="00544FBA">
        <w:t xml:space="preserve"> </w:t>
      </w:r>
      <w:r w:rsidR="005E59A3">
        <w:t>bridge to candidacy (BTC)</w:t>
      </w:r>
      <w:r w:rsidR="00F07A99">
        <w:t>, support for failure to wean from cardiopulmonary transplantation</w:t>
      </w:r>
      <w:r w:rsidR="72877F88">
        <w:t xml:space="preserve"> or support for acute ca</w:t>
      </w:r>
      <w:r w:rsidR="00193782">
        <w:t>r</w:t>
      </w:r>
      <w:r w:rsidR="72877F88">
        <w:t>diac failure &lt;6 weeks</w:t>
      </w:r>
      <w:r w:rsidR="00544FBA">
        <w:t>.</w:t>
      </w:r>
      <w:r w:rsidR="005E59A3">
        <w:t xml:space="preserve"> These items have been listed on the MBS since </w:t>
      </w:r>
      <w:r w:rsidR="00DF212A">
        <w:t>1 November</w:t>
      </w:r>
      <w:r w:rsidR="005E59A3">
        <w:t xml:space="preserve"> 1992</w:t>
      </w:r>
      <w:r w:rsidR="005C6C02">
        <w:t>, as per the MBS website for item</w:t>
      </w:r>
      <w:r w:rsidR="00545773">
        <w:t>s</w:t>
      </w:r>
      <w:r w:rsidR="005C6C02">
        <w:t xml:space="preserve"> </w:t>
      </w:r>
      <w:hyperlink r:id="rId12">
        <w:r w:rsidR="005C6C02" w:rsidRPr="129C1EDE">
          <w:rPr>
            <w:rStyle w:val="Hyperlink"/>
          </w:rPr>
          <w:t>38615</w:t>
        </w:r>
      </w:hyperlink>
      <w:r w:rsidR="005C6C02">
        <w:t xml:space="preserve"> and </w:t>
      </w:r>
      <w:hyperlink r:id="rId13">
        <w:r w:rsidR="005C6C02" w:rsidRPr="129C1EDE">
          <w:rPr>
            <w:rStyle w:val="Hyperlink"/>
          </w:rPr>
          <w:t>38618</w:t>
        </w:r>
      </w:hyperlink>
      <w:r w:rsidR="005E59A3">
        <w:t>.</w:t>
      </w:r>
    </w:p>
    <w:p w14:paraId="06AECD46" w14:textId="6DFFB9D7" w:rsidR="00544FBA" w:rsidRPr="00310C3F" w:rsidRDefault="00544FBA" w:rsidP="00544FBA">
      <w:r>
        <w:fldChar w:fldCharType="begin"/>
      </w:r>
      <w:r>
        <w:instrText xml:space="preserve"> REF _Ref69480768 \h </w:instrText>
      </w:r>
      <w:r>
        <w:fldChar w:fldCharType="separate"/>
      </w:r>
      <w:r w:rsidRPr="00CE28E3">
        <w:t>Table</w:t>
      </w:r>
      <w:r>
        <w:t> </w:t>
      </w:r>
      <w:r>
        <w:rPr>
          <w:noProof/>
        </w:rPr>
        <w:t>1</w:t>
      </w:r>
      <w:r>
        <w:fldChar w:fldCharType="end"/>
      </w:r>
      <w:r>
        <w:t xml:space="preserve"> summarise</w:t>
      </w:r>
      <w:r w:rsidR="00DF212A">
        <w:t>s</w:t>
      </w:r>
      <w:r>
        <w:t xml:space="preserve"> the </w:t>
      </w:r>
      <w:r w:rsidRPr="00544FBA">
        <w:t>key matters of concern</w:t>
      </w:r>
      <w:r>
        <w:t xml:space="preserve"> </w:t>
      </w:r>
      <w:r w:rsidR="00DF212A">
        <w:t>raised by</w:t>
      </w:r>
      <w:r>
        <w:t xml:space="preserve"> MSAC in </w:t>
      </w:r>
      <w:r w:rsidR="00DF212A">
        <w:t>its consideration of the</w:t>
      </w:r>
      <w:r>
        <w:t xml:space="preserve"> </w:t>
      </w:r>
      <w:r w:rsidR="00AD5249">
        <w:t>original</w:t>
      </w:r>
      <w:r>
        <w:t xml:space="preserve"> submission</w:t>
      </w:r>
      <w:r w:rsidR="00A22073">
        <w:t xml:space="preserve"> ADAR</w:t>
      </w:r>
      <w:r>
        <w:t xml:space="preserve"> (MSAC </w:t>
      </w:r>
      <w:r w:rsidR="00B56AB6">
        <w:t>A</w:t>
      </w:r>
      <w:r>
        <w:t xml:space="preserve">pplication 1749). </w:t>
      </w:r>
    </w:p>
    <w:p w14:paraId="6EC12EDF" w14:textId="3F9DF963" w:rsidR="0068682C" w:rsidRPr="00CE28E3" w:rsidRDefault="0068682C" w:rsidP="0068682C">
      <w:pPr>
        <w:pStyle w:val="Caption"/>
      </w:pPr>
      <w:bookmarkStart w:id="6" w:name="_Ref69480768"/>
      <w:bookmarkStart w:id="7" w:name="_Hlk69734557"/>
      <w:bookmarkEnd w:id="5"/>
      <w:r w:rsidRPr="00CE28E3">
        <w:lastRenderedPageBreak/>
        <w:t>Table</w:t>
      </w:r>
      <w:r w:rsidR="004A4FDF">
        <w:t> </w:t>
      </w:r>
      <w:r w:rsidR="006461F2">
        <w:fldChar w:fldCharType="begin"/>
      </w:r>
      <w:r w:rsidR="006461F2">
        <w:instrText xml:space="preserve"> SEQ Table \* ARABIC </w:instrText>
      </w:r>
      <w:r w:rsidR="006461F2">
        <w:fldChar w:fldCharType="separate"/>
      </w:r>
      <w:r w:rsidR="006461F2">
        <w:rPr>
          <w:noProof/>
        </w:rPr>
        <w:t>3</w:t>
      </w:r>
      <w:r w:rsidR="006461F2">
        <w:rPr>
          <w:noProof/>
        </w:rPr>
        <w:fldChar w:fldCharType="end"/>
      </w:r>
      <w:bookmarkEnd w:id="6"/>
      <w:r w:rsidRPr="00CE28E3">
        <w:tab/>
        <w:t>Summary of key matters of concern</w:t>
      </w:r>
      <w:r w:rsidR="00ED30C5">
        <w:t xml:space="preserve"> and the Commentary’s view on how these were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4059"/>
      </w:tblGrid>
      <w:tr w:rsidR="00F57885" w:rsidRPr="00CE28E3" w14:paraId="2BDCC27B" w14:textId="77777777" w:rsidTr="00586705">
        <w:trPr>
          <w:cantSplit/>
          <w:tblHeader/>
        </w:trPr>
        <w:tc>
          <w:tcPr>
            <w:tcW w:w="1098" w:type="pct"/>
            <w:shd w:val="clear" w:color="auto" w:fill="auto"/>
          </w:tcPr>
          <w:p w14:paraId="58F6A808" w14:textId="77777777" w:rsidR="00F57885" w:rsidRPr="00CE28E3" w:rsidRDefault="00F57885" w:rsidP="00824458">
            <w:pPr>
              <w:pStyle w:val="In-tableHeading"/>
            </w:pPr>
            <w:bookmarkStart w:id="8" w:name="ColumnTitle_Table1"/>
            <w:bookmarkStart w:id="9" w:name="_Hlk68275590"/>
            <w:bookmarkEnd w:id="8"/>
            <w:r w:rsidRPr="00CE28E3">
              <w:t>Component</w:t>
            </w:r>
          </w:p>
        </w:tc>
        <w:tc>
          <w:tcPr>
            <w:tcW w:w="1651" w:type="pct"/>
            <w:shd w:val="clear" w:color="auto" w:fill="auto"/>
          </w:tcPr>
          <w:p w14:paraId="09992FB9" w14:textId="77777777" w:rsidR="00F57885" w:rsidRPr="00CE28E3" w:rsidRDefault="00F57885" w:rsidP="00824458">
            <w:pPr>
              <w:pStyle w:val="In-tableHeading"/>
            </w:pPr>
            <w:r w:rsidRPr="00CE28E3">
              <w:t>Matter of concern</w:t>
            </w:r>
          </w:p>
        </w:tc>
        <w:tc>
          <w:tcPr>
            <w:tcW w:w="2251" w:type="pct"/>
            <w:shd w:val="clear" w:color="auto" w:fill="auto"/>
          </w:tcPr>
          <w:p w14:paraId="54C88680" w14:textId="542FAA92" w:rsidR="00F57885" w:rsidRPr="00CE28E3" w:rsidRDefault="00ED30C5" w:rsidP="00824458">
            <w:pPr>
              <w:pStyle w:val="In-tableHeading"/>
            </w:pPr>
            <w:r>
              <w:t>Commentary’s view on h</w:t>
            </w:r>
            <w:r w:rsidR="00F57885" w:rsidRPr="00CE28E3">
              <w:t>ow the current assessment report addresses it</w:t>
            </w:r>
          </w:p>
        </w:tc>
      </w:tr>
      <w:tr w:rsidR="00463F12" w:rsidRPr="00CE28E3" w14:paraId="584365D6" w14:textId="77777777" w:rsidTr="00586705">
        <w:trPr>
          <w:cantSplit/>
        </w:trPr>
        <w:tc>
          <w:tcPr>
            <w:tcW w:w="1098" w:type="pct"/>
            <w:vMerge w:val="restart"/>
          </w:tcPr>
          <w:p w14:paraId="51DB034F" w14:textId="5575E1C8" w:rsidR="00463F12" w:rsidRDefault="00463F12" w:rsidP="0074672C">
            <w:pPr>
              <w:pStyle w:val="Tabletext0"/>
            </w:pPr>
            <w:r>
              <w:t>MBS item for LVAD implantation</w:t>
            </w:r>
          </w:p>
        </w:tc>
        <w:tc>
          <w:tcPr>
            <w:tcW w:w="1651" w:type="pct"/>
          </w:tcPr>
          <w:p w14:paraId="5A1ACEA8" w14:textId="7D834C63" w:rsidR="00463F12" w:rsidRDefault="00463F12" w:rsidP="0074672C">
            <w:pPr>
              <w:pStyle w:val="Tabletext0"/>
              <w:rPr>
                <w:rFonts w:cs="Arial"/>
                <w:snapToGrid w:val="0"/>
              </w:rPr>
            </w:pPr>
            <w:r>
              <w:rPr>
                <w:rFonts w:cs="Arial"/>
                <w:snapToGrid w:val="0"/>
              </w:rPr>
              <w:t xml:space="preserve">MSAC considered restrictions based on frailty unwarranted because eligible patients would be rejected for a heart transplant due to frailty </w:t>
            </w:r>
            <w:r w:rsidRPr="009B2CCC">
              <w:rPr>
                <w:rFonts w:cs="Arial"/>
                <w:snapToGrid w:val="0"/>
              </w:rPr>
              <w:t xml:space="preserve">(p3, MSAC 1749 PSD, </w:t>
            </w:r>
            <w:r>
              <w:rPr>
                <w:rFonts w:cs="Arial"/>
                <w:snapToGrid w:val="0"/>
              </w:rPr>
              <w:t>April</w:t>
            </w:r>
            <w:r w:rsidRPr="009B2CCC">
              <w:rPr>
                <w:rFonts w:cs="Arial"/>
                <w:snapToGrid w:val="0"/>
              </w:rPr>
              <w:t xml:space="preserve"> 2024 meeting).</w:t>
            </w:r>
            <w:r>
              <w:rPr>
                <w:rFonts w:cs="Arial"/>
                <w:snapToGrid w:val="0"/>
              </w:rPr>
              <w:t xml:space="preserve"> </w:t>
            </w:r>
          </w:p>
        </w:tc>
        <w:tc>
          <w:tcPr>
            <w:tcW w:w="2251" w:type="pct"/>
          </w:tcPr>
          <w:p w14:paraId="756FEE20" w14:textId="6AB6EF4D" w:rsidR="00463F12" w:rsidRDefault="00463F12" w:rsidP="0074672C">
            <w:pPr>
              <w:pStyle w:val="Tabletext0"/>
            </w:pPr>
            <w:r>
              <w:t>Not addressed</w:t>
            </w:r>
          </w:p>
          <w:p w14:paraId="5176DE85" w14:textId="31167D55" w:rsidR="00463F12" w:rsidRDefault="00463F12" w:rsidP="0074672C">
            <w:pPr>
              <w:pStyle w:val="Tabletext0"/>
            </w:pPr>
            <w:r>
              <w:t>No amendments were made to the MBS item descriptor (p17, 1749 resubmission ADAR).</w:t>
            </w:r>
          </w:p>
        </w:tc>
      </w:tr>
      <w:tr w:rsidR="00463F12" w:rsidRPr="00CE28E3" w14:paraId="3F689B53" w14:textId="77777777" w:rsidTr="00586705">
        <w:trPr>
          <w:cantSplit/>
        </w:trPr>
        <w:tc>
          <w:tcPr>
            <w:tcW w:w="1098" w:type="pct"/>
            <w:vMerge/>
          </w:tcPr>
          <w:p w14:paraId="59C0CA7E" w14:textId="77777777" w:rsidR="00463F12" w:rsidRDefault="00463F12" w:rsidP="0074672C">
            <w:pPr>
              <w:pStyle w:val="Tabletext0"/>
            </w:pPr>
          </w:p>
        </w:tc>
        <w:tc>
          <w:tcPr>
            <w:tcW w:w="1651" w:type="pct"/>
          </w:tcPr>
          <w:p w14:paraId="54252E9F" w14:textId="46D2FA06" w:rsidR="00463F12" w:rsidRDefault="00463F12" w:rsidP="0074672C">
            <w:pPr>
              <w:pStyle w:val="Tabletext0"/>
              <w:rPr>
                <w:rFonts w:cs="Arial"/>
                <w:snapToGrid w:val="0"/>
              </w:rPr>
            </w:pPr>
            <w:r>
              <w:rPr>
                <w:rFonts w:cs="Arial"/>
                <w:snapToGrid w:val="0"/>
              </w:rPr>
              <w:t>MSAC considered that the proposed MBS item fee should include all intra-operative imaging required during implantation (p3, MSAC 1749 PSD, April 2024 meeting).</w:t>
            </w:r>
          </w:p>
        </w:tc>
        <w:tc>
          <w:tcPr>
            <w:tcW w:w="2251" w:type="pct"/>
          </w:tcPr>
          <w:p w14:paraId="356FD517" w14:textId="77777777" w:rsidR="00463F12" w:rsidRDefault="00463F12" w:rsidP="0074672C">
            <w:pPr>
              <w:pStyle w:val="Tabletext0"/>
            </w:pPr>
            <w:r>
              <w:t>Addressed.</w:t>
            </w:r>
          </w:p>
          <w:p w14:paraId="317A645A" w14:textId="67D2E0D8" w:rsidR="00463F12" w:rsidRPr="00BB7EDD" w:rsidRDefault="003F6679" w:rsidP="0074672C">
            <w:pPr>
              <w:pStyle w:val="Tabletext0"/>
              <w:rPr>
                <w:lang w:val="en-US"/>
              </w:rPr>
            </w:pPr>
            <w:r>
              <w:t>T</w:t>
            </w:r>
            <w:r w:rsidR="00463F12">
              <w:t>he proposed MBS item descriptor stat</w:t>
            </w:r>
            <w:r>
              <w:t>es</w:t>
            </w:r>
            <w:r w:rsidR="00463F12">
              <w:t xml:space="preserve"> that the proposed fee included</w:t>
            </w:r>
            <w:r w:rsidR="00463F12" w:rsidRPr="00BB7EDD">
              <w:t xml:space="preserve"> all associated intra-operative imaging.</w:t>
            </w:r>
          </w:p>
        </w:tc>
      </w:tr>
      <w:tr w:rsidR="00463F12" w:rsidRPr="00CE28E3" w14:paraId="42C41A03" w14:textId="77777777" w:rsidTr="00586705">
        <w:trPr>
          <w:cantSplit/>
        </w:trPr>
        <w:tc>
          <w:tcPr>
            <w:tcW w:w="1098" w:type="pct"/>
            <w:vMerge/>
          </w:tcPr>
          <w:p w14:paraId="39EA8EB9" w14:textId="77777777" w:rsidR="00463F12" w:rsidRDefault="00463F12" w:rsidP="0074672C">
            <w:pPr>
              <w:pStyle w:val="Tabletext0"/>
            </w:pPr>
          </w:p>
        </w:tc>
        <w:tc>
          <w:tcPr>
            <w:tcW w:w="1651" w:type="pct"/>
          </w:tcPr>
          <w:p w14:paraId="767221B3" w14:textId="26CE9159" w:rsidR="00463F12" w:rsidRDefault="00463F12" w:rsidP="0074672C">
            <w:pPr>
              <w:pStyle w:val="Tabletext0"/>
              <w:rPr>
                <w:rFonts w:cs="Arial"/>
                <w:snapToGrid w:val="0"/>
              </w:rPr>
            </w:pPr>
            <w:r>
              <w:rPr>
                <w:rFonts w:cs="Arial"/>
                <w:snapToGrid w:val="0"/>
              </w:rPr>
              <w:t xml:space="preserve">MSAC considered it unnecessary to specify that the </w:t>
            </w:r>
            <w:r w:rsidRPr="011444EE">
              <w:rPr>
                <w:rFonts w:cs="Arial"/>
              </w:rPr>
              <w:t>L</w:t>
            </w:r>
            <w:r>
              <w:rPr>
                <w:rFonts w:cs="Arial"/>
                <w:snapToGrid w:val="0"/>
              </w:rPr>
              <w:t xml:space="preserve">VAD should only be inserted into the left ventricle of the heart, given minimal evidence on the insertion into the right ventricle (p3, MSAC 1749 PSD, </w:t>
            </w:r>
            <w:r w:rsidRPr="011444EE">
              <w:rPr>
                <w:rFonts w:cs="Arial"/>
              </w:rPr>
              <w:t>April</w:t>
            </w:r>
            <w:r>
              <w:rPr>
                <w:rFonts w:cs="Arial"/>
                <w:snapToGrid w:val="0"/>
              </w:rPr>
              <w:t xml:space="preserve"> 2024 meeting).</w:t>
            </w:r>
          </w:p>
        </w:tc>
        <w:tc>
          <w:tcPr>
            <w:tcW w:w="2251" w:type="pct"/>
          </w:tcPr>
          <w:p w14:paraId="5F81BB6E" w14:textId="77777777" w:rsidR="00C22BC7" w:rsidRDefault="003945A1" w:rsidP="0074672C">
            <w:pPr>
              <w:pStyle w:val="Tabletext0"/>
            </w:pPr>
            <w:r>
              <w:t>Addressed.</w:t>
            </w:r>
          </w:p>
          <w:p w14:paraId="41603404" w14:textId="1283A5F1" w:rsidR="00463F12" w:rsidRDefault="00463F12" w:rsidP="0074672C">
            <w:pPr>
              <w:pStyle w:val="Tabletext0"/>
            </w:pPr>
            <w:r>
              <w:t xml:space="preserve">The proposed MBS items align with MSAC advice. </w:t>
            </w:r>
          </w:p>
          <w:p w14:paraId="1383CFB5" w14:textId="3FCAE32E" w:rsidR="00463F12" w:rsidRDefault="00463F12" w:rsidP="00E360A0">
            <w:pPr>
              <w:pStyle w:val="Tabletext0"/>
            </w:pPr>
          </w:p>
        </w:tc>
      </w:tr>
      <w:tr w:rsidR="003F6679" w:rsidRPr="00CE28E3" w14:paraId="76671619" w14:textId="77777777" w:rsidTr="00586705">
        <w:trPr>
          <w:cantSplit/>
        </w:trPr>
        <w:tc>
          <w:tcPr>
            <w:tcW w:w="1098" w:type="pct"/>
          </w:tcPr>
          <w:p w14:paraId="53F3F3EA" w14:textId="6A0AF8F4" w:rsidR="003F6679" w:rsidRDefault="003F6679" w:rsidP="0074672C">
            <w:pPr>
              <w:pStyle w:val="Tabletext0"/>
            </w:pPr>
            <w:r w:rsidRPr="00CF22ED">
              <w:t xml:space="preserve">MBS item for LVAD </w:t>
            </w:r>
            <w:r w:rsidR="006F2534">
              <w:br/>
            </w:r>
            <w:r w:rsidRPr="00CF22ED">
              <w:t>re-implantation</w:t>
            </w:r>
          </w:p>
        </w:tc>
        <w:tc>
          <w:tcPr>
            <w:tcW w:w="1651" w:type="pct"/>
          </w:tcPr>
          <w:p w14:paraId="50E1397D" w14:textId="641CF1B5" w:rsidR="003F6679" w:rsidRDefault="003F6679" w:rsidP="0074672C">
            <w:pPr>
              <w:pStyle w:val="Tabletext0"/>
              <w:rPr>
                <w:rFonts w:cs="Arial"/>
                <w:snapToGrid w:val="0"/>
              </w:rPr>
            </w:pPr>
            <w:r>
              <w:rPr>
                <w:rFonts w:cs="Arial"/>
                <w:snapToGrid w:val="0"/>
              </w:rPr>
              <w:t>MSAC considered the MBS item for the initial insertion of LVAD should be restricted to once per lifetime, with a separate MBS item created and designated for re-implantation (p3, MSAC 1749 PSD, April 2024 meeting).</w:t>
            </w:r>
          </w:p>
        </w:tc>
        <w:tc>
          <w:tcPr>
            <w:tcW w:w="2251" w:type="pct"/>
          </w:tcPr>
          <w:p w14:paraId="2EDC9C9C" w14:textId="77777777" w:rsidR="003F6679" w:rsidRDefault="003F6679" w:rsidP="003F6679">
            <w:pPr>
              <w:pStyle w:val="Tabletext0"/>
            </w:pPr>
            <w:r w:rsidRPr="0074672C">
              <w:t>Not addressed</w:t>
            </w:r>
            <w:r>
              <w:t>.</w:t>
            </w:r>
          </w:p>
          <w:p w14:paraId="6B67564F" w14:textId="6070CCCF" w:rsidR="003F6679" w:rsidDel="003F6679" w:rsidRDefault="003F6679" w:rsidP="003F6679">
            <w:pPr>
              <w:pStyle w:val="Tabletext0"/>
            </w:pPr>
            <w:r>
              <w:t>The resubmission did not propose an MBS item for re-implantation. It argued that that such an item is not necessary, given that re-implantation is extremely rare. This is based on the feedback from experts in four adult ventricular assist device implant centres in Australia.</w:t>
            </w:r>
          </w:p>
        </w:tc>
      </w:tr>
      <w:tr w:rsidR="00607941" w:rsidRPr="00CE28E3" w14:paraId="08CABC40" w14:textId="77777777" w:rsidTr="00586705">
        <w:trPr>
          <w:cantSplit/>
        </w:trPr>
        <w:tc>
          <w:tcPr>
            <w:tcW w:w="5000" w:type="pct"/>
            <w:gridSpan w:val="3"/>
          </w:tcPr>
          <w:p w14:paraId="0C6138BF" w14:textId="77A48CE6" w:rsidR="00607941" w:rsidRDefault="00607941" w:rsidP="0074672C">
            <w:pPr>
              <w:pStyle w:val="Tabletext0"/>
            </w:pPr>
            <w:r w:rsidRPr="009B2CCC">
              <w:rPr>
                <w:b/>
                <w:bCs/>
              </w:rPr>
              <w:t>Economic evaluation</w:t>
            </w:r>
          </w:p>
        </w:tc>
      </w:tr>
      <w:tr w:rsidR="009B2CCC" w:rsidRPr="00CE28E3" w14:paraId="58F51125" w14:textId="77777777" w:rsidTr="00586705">
        <w:trPr>
          <w:cantSplit/>
          <w:trHeight w:val="1896"/>
        </w:trPr>
        <w:tc>
          <w:tcPr>
            <w:tcW w:w="1098" w:type="pct"/>
          </w:tcPr>
          <w:p w14:paraId="04A654A2" w14:textId="4850E8AD" w:rsidR="009B2CCC" w:rsidRPr="009B2CCC" w:rsidRDefault="009B2CCC" w:rsidP="0074672C">
            <w:pPr>
              <w:pStyle w:val="Tabletext0"/>
              <w:rPr>
                <w:b/>
                <w:bCs/>
              </w:rPr>
            </w:pPr>
            <w:r>
              <w:t>Time horizon</w:t>
            </w:r>
          </w:p>
        </w:tc>
        <w:tc>
          <w:tcPr>
            <w:tcW w:w="1651" w:type="pct"/>
          </w:tcPr>
          <w:p w14:paraId="7C098D3C" w14:textId="657A388C" w:rsidR="009B2CCC" w:rsidRPr="0002500B" w:rsidRDefault="0062599D" w:rsidP="0074672C">
            <w:pPr>
              <w:pStyle w:val="Tabletext0"/>
              <w:rPr>
                <w:rFonts w:cs="Arial"/>
                <w:snapToGrid w:val="0"/>
              </w:rPr>
            </w:pPr>
            <w:r w:rsidRPr="0062599D">
              <w:rPr>
                <w:rFonts w:cs="Arial"/>
                <w:snapToGrid w:val="0"/>
              </w:rPr>
              <w:t>MSAC agreed with ESC that a time horizon of 40 years with a baseline age of 65 years is unreasonable as it extends beyond the average life expectancy and considered a time horizon of 10 years more appropriate</w:t>
            </w:r>
            <w:r>
              <w:rPr>
                <w:rFonts w:cs="Arial"/>
                <w:snapToGrid w:val="0"/>
              </w:rPr>
              <w:t xml:space="preserve"> (p4, MSAC 1749 PSD, </w:t>
            </w:r>
            <w:r w:rsidR="00DF212A">
              <w:rPr>
                <w:rFonts w:cs="Arial"/>
                <w:snapToGrid w:val="0"/>
              </w:rPr>
              <w:t>April</w:t>
            </w:r>
            <w:r>
              <w:rPr>
                <w:rFonts w:cs="Arial"/>
                <w:snapToGrid w:val="0"/>
              </w:rPr>
              <w:t xml:space="preserve"> 2024 meeting).</w:t>
            </w:r>
            <w:r w:rsidRPr="0062599D">
              <w:rPr>
                <w:rFonts w:cs="Arial"/>
                <w:snapToGrid w:val="0"/>
              </w:rPr>
              <w:t xml:space="preserve"> </w:t>
            </w:r>
          </w:p>
        </w:tc>
        <w:tc>
          <w:tcPr>
            <w:tcW w:w="2251" w:type="pct"/>
          </w:tcPr>
          <w:p w14:paraId="4BC1441A" w14:textId="5AC1FAFA" w:rsidR="0062599D" w:rsidRDefault="00305598" w:rsidP="0074672C">
            <w:pPr>
              <w:pStyle w:val="Tabletext0"/>
            </w:pPr>
            <w:r>
              <w:t>Not adequately a</w:t>
            </w:r>
            <w:r w:rsidR="0062599D" w:rsidRPr="0062599D">
              <w:t>ddressed</w:t>
            </w:r>
            <w:r>
              <w:t xml:space="preserve"> in the “revised base case”</w:t>
            </w:r>
            <w:r w:rsidR="0062599D" w:rsidRPr="0062599D">
              <w:t>.</w:t>
            </w:r>
          </w:p>
          <w:p w14:paraId="0A358FF6" w14:textId="36D26FBD" w:rsidR="0062599D" w:rsidRDefault="0062599D" w:rsidP="0074672C">
            <w:pPr>
              <w:pStyle w:val="Tabletext0"/>
            </w:pPr>
            <w:r>
              <w:t xml:space="preserve">The resubmission ADAR </w:t>
            </w:r>
            <w:r w:rsidR="00F2798C">
              <w:t>proposed</w:t>
            </w:r>
            <w:r>
              <w:t xml:space="preserve"> 15 years as the time horizon for the</w:t>
            </w:r>
            <w:r w:rsidR="00D86FE1">
              <w:t xml:space="preserve"> </w:t>
            </w:r>
            <w:r w:rsidR="002335F0">
              <w:t>“</w:t>
            </w:r>
            <w:r w:rsidR="00D86FE1">
              <w:t>revised</w:t>
            </w:r>
            <w:r>
              <w:t xml:space="preserve"> base case</w:t>
            </w:r>
            <w:r w:rsidR="002335F0">
              <w:t>”</w:t>
            </w:r>
            <w:r w:rsidR="00F2798C">
              <w:t xml:space="preserve">. The resubmission ADAR included </w:t>
            </w:r>
            <w:r>
              <w:t>10</w:t>
            </w:r>
            <w:r w:rsidR="00E360A0">
              <w:t>-</w:t>
            </w:r>
            <w:r>
              <w:t>year</w:t>
            </w:r>
            <w:r w:rsidRPr="0062599D">
              <w:t xml:space="preserve"> time horizon</w:t>
            </w:r>
            <w:r w:rsidR="00E945D7">
              <w:t>, as per MSAC advice</w:t>
            </w:r>
            <w:r w:rsidRPr="0062599D">
              <w:t xml:space="preserve"> </w:t>
            </w:r>
            <w:r w:rsidR="001008A4">
              <w:t xml:space="preserve">in </w:t>
            </w:r>
            <w:r>
              <w:t xml:space="preserve">the </w:t>
            </w:r>
            <w:r w:rsidR="002335F0">
              <w:t>“</w:t>
            </w:r>
            <w:r>
              <w:t>likely overestimated case</w:t>
            </w:r>
            <w:r w:rsidR="00E360A0">
              <w:t>”</w:t>
            </w:r>
            <w:r w:rsidR="00E945D7">
              <w:t>.</w:t>
            </w:r>
          </w:p>
          <w:p w14:paraId="441FE690" w14:textId="77777777" w:rsidR="0062599D" w:rsidRDefault="0062599D" w:rsidP="0074672C">
            <w:pPr>
              <w:pStyle w:val="Tabletext0"/>
            </w:pPr>
          </w:p>
          <w:p w14:paraId="157C3474" w14:textId="56750E3E" w:rsidR="0062599D" w:rsidRDefault="0062599D" w:rsidP="0074672C">
            <w:pPr>
              <w:pStyle w:val="Tabletext0"/>
            </w:pPr>
          </w:p>
        </w:tc>
      </w:tr>
      <w:tr w:rsidR="0074672C" w:rsidRPr="00CE28E3" w14:paraId="08AD26ED" w14:textId="77777777" w:rsidTr="00586705">
        <w:trPr>
          <w:cantSplit/>
        </w:trPr>
        <w:tc>
          <w:tcPr>
            <w:tcW w:w="1098" w:type="pct"/>
          </w:tcPr>
          <w:p w14:paraId="398A2A84" w14:textId="7EF1BA4F" w:rsidR="0074672C" w:rsidRDefault="0074672C" w:rsidP="0074672C">
            <w:pPr>
              <w:pStyle w:val="Tabletext0"/>
            </w:pPr>
            <w:r>
              <w:t>Utility value</w:t>
            </w:r>
          </w:p>
        </w:tc>
        <w:tc>
          <w:tcPr>
            <w:tcW w:w="1651" w:type="pct"/>
          </w:tcPr>
          <w:p w14:paraId="048DCC0B" w14:textId="52F68A8A" w:rsidR="0074672C" w:rsidRDefault="0074672C" w:rsidP="0074672C">
            <w:pPr>
              <w:pStyle w:val="Tabletext0"/>
              <w:rPr>
                <w:rFonts w:cs="Arial"/>
                <w:snapToGrid w:val="0"/>
              </w:rPr>
            </w:pPr>
            <w:r w:rsidRPr="0002500B">
              <w:rPr>
                <w:rFonts w:cs="Arial"/>
                <w:snapToGrid w:val="0"/>
              </w:rPr>
              <w:t>MSAC agreed with ESC that utility values should be from the same source</w:t>
            </w:r>
            <w:r>
              <w:rPr>
                <w:rFonts w:cs="Arial"/>
                <w:snapToGrid w:val="0"/>
              </w:rPr>
              <w:t>. MSAC considered that using utility values from Sato</w:t>
            </w:r>
            <w:r w:rsidR="006E4F03">
              <w:rPr>
                <w:rFonts w:cs="Arial"/>
                <w:snapToGrid w:val="0"/>
              </w:rPr>
              <w:t xml:space="preserve"> et al.</w:t>
            </w:r>
            <w:r w:rsidR="00132E3B">
              <w:rPr>
                <w:rFonts w:cs="Arial"/>
                <w:snapToGrid w:val="0"/>
              </w:rPr>
              <w:t>,</w:t>
            </w:r>
            <w:r>
              <w:rPr>
                <w:rFonts w:cs="Arial"/>
                <w:snapToGrid w:val="0"/>
              </w:rPr>
              <w:t xml:space="preserve"> </w:t>
            </w:r>
            <w:r w:rsidR="00D86FE1">
              <w:rPr>
                <w:rFonts w:cs="Arial"/>
                <w:snapToGrid w:val="0"/>
              </w:rPr>
              <w:t xml:space="preserve">2022 </w:t>
            </w:r>
            <w:r>
              <w:rPr>
                <w:rFonts w:cs="Arial"/>
                <w:snapToGrid w:val="0"/>
              </w:rPr>
              <w:t xml:space="preserve">of 0.64 (OMM all cycles; </w:t>
            </w:r>
            <w:r w:rsidR="00587F0F">
              <w:rPr>
                <w:rFonts w:cs="Arial"/>
                <w:snapToGrid w:val="0"/>
              </w:rPr>
              <w:t>L</w:t>
            </w:r>
            <w:r>
              <w:rPr>
                <w:rFonts w:cs="Arial"/>
                <w:snapToGrid w:val="0"/>
              </w:rPr>
              <w:t xml:space="preserve">VAD first cycle) and 0.79 (all other </w:t>
            </w:r>
            <w:r w:rsidR="00587F0F">
              <w:rPr>
                <w:rFonts w:cs="Arial"/>
                <w:snapToGrid w:val="0"/>
              </w:rPr>
              <w:t>L</w:t>
            </w:r>
            <w:r>
              <w:rPr>
                <w:rFonts w:cs="Arial"/>
                <w:snapToGrid w:val="0"/>
              </w:rPr>
              <w:t>VAD cycles) would have been more appropriate.</w:t>
            </w:r>
          </w:p>
        </w:tc>
        <w:tc>
          <w:tcPr>
            <w:tcW w:w="2251" w:type="pct"/>
          </w:tcPr>
          <w:p w14:paraId="6624DC2D" w14:textId="77777777" w:rsidR="0074672C" w:rsidRDefault="0074672C" w:rsidP="0074672C">
            <w:pPr>
              <w:pStyle w:val="Tabletext0"/>
            </w:pPr>
            <w:r>
              <w:t>Addressed.</w:t>
            </w:r>
          </w:p>
          <w:p w14:paraId="4ED97D6A" w14:textId="333A703B" w:rsidR="0074672C" w:rsidRDefault="0074672C" w:rsidP="0074672C">
            <w:pPr>
              <w:pStyle w:val="Tabletext0"/>
            </w:pPr>
            <w:r>
              <w:t>Utility values were changed to be consistent with MSAC advice.</w:t>
            </w:r>
          </w:p>
        </w:tc>
      </w:tr>
      <w:tr w:rsidR="0074672C" w:rsidRPr="00CE28E3" w14:paraId="5C098FC7" w14:textId="77777777" w:rsidTr="00586705">
        <w:trPr>
          <w:cantSplit/>
        </w:trPr>
        <w:tc>
          <w:tcPr>
            <w:tcW w:w="1098" w:type="pct"/>
          </w:tcPr>
          <w:p w14:paraId="2E3A9B10" w14:textId="0BF622FD" w:rsidR="0074672C" w:rsidRDefault="0074672C" w:rsidP="0074672C">
            <w:pPr>
              <w:pStyle w:val="Tabletext0"/>
            </w:pPr>
            <w:r>
              <w:lastRenderedPageBreak/>
              <w:t>Device replacement rate</w:t>
            </w:r>
          </w:p>
        </w:tc>
        <w:tc>
          <w:tcPr>
            <w:tcW w:w="1651" w:type="pct"/>
          </w:tcPr>
          <w:p w14:paraId="195B72B5" w14:textId="0FFEC706" w:rsidR="0074672C" w:rsidRPr="003758F0" w:rsidRDefault="0074672C" w:rsidP="0074672C">
            <w:pPr>
              <w:pStyle w:val="Tabletext0"/>
              <w:rPr>
                <w:rFonts w:cs="Arial"/>
                <w:snapToGrid w:val="0"/>
              </w:rPr>
            </w:pPr>
            <w:r w:rsidRPr="003758F0">
              <w:rPr>
                <w:rFonts w:cs="Arial"/>
                <w:snapToGrid w:val="0"/>
              </w:rPr>
              <w:t xml:space="preserve">MSAC noted that the ADAR model applied a 1% annual risk of pump thrombosis resulting in replacement from year 2 onwards. MSAC agreed with ESC and considered that device replacement for other reasons within the proposed </w:t>
            </w:r>
            <w:r w:rsidR="00D42517" w:rsidRPr="003758F0">
              <w:rPr>
                <w:rFonts w:cs="Arial"/>
                <w:snapToGrid w:val="0"/>
              </w:rPr>
              <w:t>10-year</w:t>
            </w:r>
            <w:r w:rsidRPr="003758F0">
              <w:rPr>
                <w:rFonts w:cs="Arial"/>
                <w:snapToGrid w:val="0"/>
              </w:rPr>
              <w:t xml:space="preserve"> time horizon should be considered.</w:t>
            </w:r>
          </w:p>
        </w:tc>
        <w:tc>
          <w:tcPr>
            <w:tcW w:w="2251" w:type="pct"/>
          </w:tcPr>
          <w:p w14:paraId="7A6DCD46" w14:textId="7667D583" w:rsidR="0074672C" w:rsidRPr="003758F0" w:rsidRDefault="00CB7739" w:rsidP="0074672C">
            <w:pPr>
              <w:pStyle w:val="Tabletext0"/>
            </w:pPr>
            <w:r>
              <w:t>Not adequately a</w:t>
            </w:r>
            <w:r w:rsidR="0074672C" w:rsidRPr="003758F0">
              <w:t>ddressed</w:t>
            </w:r>
            <w:r w:rsidR="00BD7AEF">
              <w:t xml:space="preserve"> in the “revised base case”</w:t>
            </w:r>
            <w:r w:rsidR="0074672C" w:rsidRPr="003758F0">
              <w:t xml:space="preserve">. </w:t>
            </w:r>
          </w:p>
          <w:p w14:paraId="644C3E94" w14:textId="4AEA3708" w:rsidR="0074672C" w:rsidRPr="003758F0" w:rsidRDefault="0074672C" w:rsidP="0074672C">
            <w:pPr>
              <w:pStyle w:val="Tabletext0"/>
            </w:pPr>
            <w:r w:rsidRPr="003758F0">
              <w:t>The applicant doubled the device replacement rate to 2.2% from year 2 onwards</w:t>
            </w:r>
            <w:r w:rsidR="00D86FE1" w:rsidRPr="003758F0">
              <w:t xml:space="preserve"> </w:t>
            </w:r>
            <w:r w:rsidR="00FD6698">
              <w:t xml:space="preserve">in the sensitivity analysis </w:t>
            </w:r>
            <w:r w:rsidR="00D86FE1" w:rsidRPr="003758F0">
              <w:t xml:space="preserve">(in the </w:t>
            </w:r>
            <w:r w:rsidR="002335F0" w:rsidRPr="003758F0">
              <w:t>“</w:t>
            </w:r>
            <w:r w:rsidR="00D86FE1" w:rsidRPr="003758F0">
              <w:t>likely overestimated case</w:t>
            </w:r>
            <w:r w:rsidR="002335F0" w:rsidRPr="003758F0">
              <w:t>”</w:t>
            </w:r>
            <w:r w:rsidR="00D86FE1" w:rsidRPr="003758F0">
              <w:t>)</w:t>
            </w:r>
            <w:r w:rsidRPr="003758F0">
              <w:t>, to address MSAC uncertainty but acknowledged the rate was not consistent with the evidence provided</w:t>
            </w:r>
            <w:r w:rsidR="00E360A0">
              <w:t xml:space="preserve"> as</w:t>
            </w:r>
            <w:r w:rsidR="00E360A0" w:rsidRPr="003758F0">
              <w:t xml:space="preserve"> </w:t>
            </w:r>
            <w:r w:rsidRPr="003758F0">
              <w:t>MOMENTUM 3 trial reported no device replacement in the HM3 group in a 5-year follow-up</w:t>
            </w:r>
            <w:r w:rsidR="00D3213B">
              <w:t>,</w:t>
            </w:r>
            <w:r w:rsidRPr="003758F0">
              <w:t xml:space="preserve"> and </w:t>
            </w:r>
            <w:r w:rsidR="00A1021F" w:rsidRPr="003758F0">
              <w:t>a</w:t>
            </w:r>
            <w:r w:rsidR="00405896">
              <w:t xml:space="preserve"> Western Australian study </w:t>
            </w:r>
            <w:r w:rsidR="00A1021F" w:rsidRPr="003758F0">
              <w:t>published by</w:t>
            </w:r>
            <w:r w:rsidR="00C22BC7">
              <w:t xml:space="preserve"> Silbert et al 2023</w:t>
            </w:r>
            <w:r w:rsidR="00C22BC7">
              <w:rPr>
                <w:rStyle w:val="FootnoteReference"/>
              </w:rPr>
              <w:footnoteReference w:id="2"/>
            </w:r>
            <w:r w:rsidR="005F0D3A">
              <w:t xml:space="preserve"> found no device replacement among DT patients implanted with </w:t>
            </w:r>
            <w:r w:rsidR="00405896">
              <w:t>LVAD</w:t>
            </w:r>
            <w:r w:rsidR="00E7456C" w:rsidRPr="00E7456C">
              <w:t xml:space="preserve"> devices.</w:t>
            </w:r>
            <w:r w:rsidRPr="003758F0">
              <w:t xml:space="preserve"> </w:t>
            </w:r>
          </w:p>
        </w:tc>
      </w:tr>
      <w:tr w:rsidR="00C9019C" w:rsidRPr="00CE28E3" w14:paraId="3C91E05E" w14:textId="77777777" w:rsidTr="00586705">
        <w:trPr>
          <w:cantSplit/>
        </w:trPr>
        <w:tc>
          <w:tcPr>
            <w:tcW w:w="1098" w:type="pct"/>
            <w:vMerge w:val="restart"/>
          </w:tcPr>
          <w:p w14:paraId="2DE86336" w14:textId="7C096C02" w:rsidR="00C9019C" w:rsidRDefault="00C9019C" w:rsidP="000D029A">
            <w:pPr>
              <w:pStyle w:val="Tabletext0"/>
            </w:pPr>
            <w:r>
              <w:t>Aftercare costs</w:t>
            </w:r>
          </w:p>
        </w:tc>
        <w:tc>
          <w:tcPr>
            <w:tcW w:w="1651" w:type="pct"/>
          </w:tcPr>
          <w:p w14:paraId="234A06A2" w14:textId="0E89F778" w:rsidR="00C9019C" w:rsidRDefault="00C9019C" w:rsidP="0074672C">
            <w:pPr>
              <w:pStyle w:val="Tabletext0"/>
              <w:rPr>
                <w:rFonts w:cs="Arial"/>
                <w:snapToGrid w:val="0"/>
              </w:rPr>
            </w:pPr>
            <w:r w:rsidRPr="00D74EDF">
              <w:rPr>
                <w:rFonts w:cs="Arial"/>
                <w:snapToGrid w:val="0"/>
              </w:rPr>
              <w:t xml:space="preserve">MSAC </w:t>
            </w:r>
            <w:r>
              <w:rPr>
                <w:rFonts w:cs="Arial"/>
                <w:snapToGrid w:val="0"/>
              </w:rPr>
              <w:t>raised concerns</w:t>
            </w:r>
            <w:r w:rsidRPr="00D74EDF">
              <w:rPr>
                <w:rFonts w:cs="Arial"/>
                <w:snapToGrid w:val="0"/>
              </w:rPr>
              <w:t xml:space="preserve"> whether aftercare costs post </w:t>
            </w:r>
            <w:r>
              <w:rPr>
                <w:rFonts w:cs="Arial"/>
                <w:snapToGrid w:val="0"/>
              </w:rPr>
              <w:t>L</w:t>
            </w:r>
            <w:r w:rsidRPr="00D74EDF">
              <w:rPr>
                <w:rFonts w:cs="Arial"/>
                <w:snapToGrid w:val="0"/>
              </w:rPr>
              <w:t xml:space="preserve">VAD implantation had been adequately captured in the economic analysis. </w:t>
            </w:r>
          </w:p>
          <w:p w14:paraId="32139903" w14:textId="4DC7A230" w:rsidR="00C9019C" w:rsidRPr="00D74EDF" w:rsidRDefault="00C9019C" w:rsidP="0074672C">
            <w:pPr>
              <w:pStyle w:val="Tabletext0"/>
              <w:rPr>
                <w:rFonts w:cs="Arial"/>
                <w:snapToGrid w:val="0"/>
              </w:rPr>
            </w:pPr>
            <w:r w:rsidRPr="00D74EDF">
              <w:rPr>
                <w:rFonts w:cs="Arial"/>
                <w:snapToGrid w:val="0"/>
              </w:rPr>
              <w:t xml:space="preserve">This was based on anecdotal information that aftercare costs were possibly up </w:t>
            </w:r>
            <w:r w:rsidRPr="005817F4">
              <w:rPr>
                <w:rFonts w:cs="Arial"/>
                <w:snapToGrid w:val="0"/>
              </w:rPr>
              <w:t xml:space="preserve">to $ 1 million per </w:t>
            </w:r>
            <w:r>
              <w:rPr>
                <w:rFonts w:cs="Arial"/>
                <w:snapToGrid w:val="0"/>
              </w:rPr>
              <w:t>L</w:t>
            </w:r>
            <w:r w:rsidRPr="005817F4">
              <w:rPr>
                <w:rFonts w:cs="Arial"/>
                <w:snapToGrid w:val="0"/>
              </w:rPr>
              <w:t>VAD</w:t>
            </w:r>
            <w:r w:rsidRPr="00D74EDF">
              <w:rPr>
                <w:rFonts w:cs="Arial"/>
                <w:snapToGrid w:val="0"/>
              </w:rPr>
              <w:t xml:space="preserve"> patient in the first year after implantation. Therefore, MSAC considered that the ICER may potentially be underestimated and requested further information on additional costs of the service (especially aftercare costs) to be </w:t>
            </w:r>
          </w:p>
          <w:p w14:paraId="4732CF5B" w14:textId="1F88031A" w:rsidR="00C9019C" w:rsidRDefault="00C9019C" w:rsidP="0074672C">
            <w:pPr>
              <w:pStyle w:val="Tabletext0"/>
              <w:rPr>
                <w:rFonts w:cs="Arial"/>
                <w:snapToGrid w:val="0"/>
              </w:rPr>
            </w:pPr>
            <w:r w:rsidRPr="00D74EDF">
              <w:rPr>
                <w:rFonts w:cs="Arial"/>
                <w:snapToGrid w:val="0"/>
              </w:rPr>
              <w:t xml:space="preserve">sourced from Australian hospitals that provide </w:t>
            </w:r>
            <w:r>
              <w:rPr>
                <w:rFonts w:cs="Arial"/>
                <w:snapToGrid w:val="0"/>
              </w:rPr>
              <w:t>L</w:t>
            </w:r>
            <w:r w:rsidRPr="00D74EDF">
              <w:rPr>
                <w:rFonts w:cs="Arial"/>
                <w:snapToGrid w:val="0"/>
              </w:rPr>
              <w:t>VAD insertion for other indications, as well as secondary and tertiary healthcare centres that may be involved in patient post-management, to better inform the economic assessment.</w:t>
            </w:r>
            <w:r>
              <w:rPr>
                <w:rFonts w:cs="Arial"/>
                <w:snapToGrid w:val="0"/>
              </w:rPr>
              <w:t xml:space="preserve"> </w:t>
            </w:r>
          </w:p>
        </w:tc>
        <w:tc>
          <w:tcPr>
            <w:tcW w:w="2251" w:type="pct"/>
          </w:tcPr>
          <w:p w14:paraId="0DACB9CF" w14:textId="034141A5" w:rsidR="00C9019C" w:rsidRDefault="00C9019C" w:rsidP="0074672C">
            <w:pPr>
              <w:pStyle w:val="Tabletext0"/>
            </w:pPr>
            <w:r>
              <w:t>Not adequately addressed.</w:t>
            </w:r>
          </w:p>
          <w:p w14:paraId="791E68CF" w14:textId="7C6821C1" w:rsidR="00C9019C" w:rsidRDefault="00C9019C" w:rsidP="0074672C">
            <w:pPr>
              <w:pStyle w:val="Tabletext0"/>
            </w:pPr>
            <w:r>
              <w:t>The resubmission ADAR did not present c</w:t>
            </w:r>
            <w:r w:rsidRPr="00D96C5E">
              <w:t xml:space="preserve">ontemporary and informed aftercare costs (e.g. rehabilitation services by nursing and allied health staff) following </w:t>
            </w:r>
            <w:r>
              <w:t>LVAD</w:t>
            </w:r>
            <w:r w:rsidRPr="00D96C5E">
              <w:t xml:space="preserve"> implantation in Australia</w:t>
            </w:r>
            <w:r>
              <w:t>. Instead, the resubmission ADAR validated the costs proposed in the original ADAR through consultation with clinical experts in Australia. The consultation included interviews and a survey which sought feedback on the expected magnitude of aftercare costs, namely the health care costs following the LVAD index hospitalisation, in a DT population treated with the HM3 device (refer to MSAC Application 1749 Resubmission ADAR Attachment 2).</w:t>
            </w:r>
          </w:p>
          <w:p w14:paraId="0D27D34D" w14:textId="1BA62B95" w:rsidR="00C9019C" w:rsidRDefault="00C9019C" w:rsidP="0074672C">
            <w:pPr>
              <w:pStyle w:val="Tabletext0"/>
            </w:pPr>
            <w:r>
              <w:t>Overall, the results of the survey support the magnitude of LVAD aftercare costs applied in the original submission ADAR ($</w:t>
            </w:r>
            <w:r w:rsidR="006C5C9B" w:rsidRPr="006C5C9B">
              <w:rPr>
                <w:b/>
                <w:bCs/>
              </w:rPr>
              <w:t>redacted</w:t>
            </w:r>
            <w:r>
              <w:t xml:space="preserve"> Year 1) which is approximately between Prichard et al., 2020 and Marasco et al., 2016 ($11,669.22 to $39,130.03). Of note, Prichard et al., 2020 and Marasco et al., 2016 reported LVAD aftercare costs in BTT/BTC patients implanted with older generation devices.</w:t>
            </w:r>
          </w:p>
          <w:p w14:paraId="1A79D3BF" w14:textId="50E2A93A" w:rsidR="00C9019C" w:rsidRDefault="00C9019C" w:rsidP="0074672C">
            <w:pPr>
              <w:pStyle w:val="Tabletext0"/>
            </w:pPr>
            <w:r>
              <w:t>The applicant maintained the aftercare costs as per original submission ADAR for the “revised base case” (Annual cost: Months 0-24 $</w:t>
            </w:r>
            <w:r w:rsidR="00FD37BC" w:rsidRPr="00FD37BC">
              <w:rPr>
                <w:b/>
                <w:bCs/>
              </w:rPr>
              <w:t>redacted</w:t>
            </w:r>
            <w:r>
              <w:t>; Months 25+</w:t>
            </w:r>
          </w:p>
          <w:p w14:paraId="0349AD81" w14:textId="05F38BBA" w:rsidR="00C9019C" w:rsidRDefault="00C9019C" w:rsidP="00545773">
            <w:pPr>
              <w:pStyle w:val="Tabletext0"/>
            </w:pPr>
            <w:r>
              <w:t>$</w:t>
            </w:r>
            <w:r w:rsidR="00FD37BC" w:rsidRPr="008C0B41">
              <w:rPr>
                <w:b/>
                <w:bCs/>
              </w:rPr>
              <w:t>redacted</w:t>
            </w:r>
            <w:r>
              <w:t>. Additionally, the applicant proposed a “likely overestimated case” by applying aftercare costs from Prichard et al., 2020 (Annual cost: $39,130.03, inflated to 2024 index) in the first year.</w:t>
            </w:r>
          </w:p>
        </w:tc>
      </w:tr>
      <w:tr w:rsidR="00C9019C" w:rsidRPr="00CE28E3" w14:paraId="55D230EC" w14:textId="77777777" w:rsidTr="00586705">
        <w:trPr>
          <w:cantSplit/>
        </w:trPr>
        <w:tc>
          <w:tcPr>
            <w:tcW w:w="1098" w:type="pct"/>
            <w:vMerge/>
          </w:tcPr>
          <w:p w14:paraId="1070068B" w14:textId="77777777" w:rsidR="00C9019C" w:rsidRDefault="00C9019C" w:rsidP="0074672C">
            <w:pPr>
              <w:pStyle w:val="Tabletext0"/>
            </w:pPr>
          </w:p>
        </w:tc>
        <w:tc>
          <w:tcPr>
            <w:tcW w:w="1651" w:type="pct"/>
          </w:tcPr>
          <w:p w14:paraId="34B7B599" w14:textId="40E30E66" w:rsidR="00C9019C" w:rsidRPr="00D74EDF" w:rsidRDefault="00C9019C" w:rsidP="0074672C">
            <w:pPr>
              <w:pStyle w:val="Tabletext0"/>
              <w:rPr>
                <w:rFonts w:cs="Arial"/>
                <w:snapToGrid w:val="0"/>
              </w:rPr>
            </w:pPr>
            <w:r>
              <w:rPr>
                <w:rFonts w:cs="Arial"/>
                <w:snapToGrid w:val="0"/>
              </w:rPr>
              <w:t>MSAC requested for</w:t>
            </w:r>
            <w:r w:rsidRPr="00163C04">
              <w:rPr>
                <w:rFonts w:cs="Arial"/>
                <w:snapToGrid w:val="0"/>
              </w:rPr>
              <w:t xml:space="preserve"> a contemporary and informed estimate on the</w:t>
            </w:r>
            <w:r>
              <w:rPr>
                <w:rFonts w:cs="Arial"/>
                <w:snapToGrid w:val="0"/>
              </w:rPr>
              <w:t xml:space="preserve"> </w:t>
            </w:r>
            <w:r w:rsidRPr="00163C04">
              <w:rPr>
                <w:rFonts w:cs="Arial"/>
                <w:snapToGrid w:val="0"/>
              </w:rPr>
              <w:t>aftercare costs (broken down by payer) and the format of aftercare services (e.g. in</w:t>
            </w:r>
            <w:r>
              <w:rPr>
                <w:rFonts w:cs="Arial"/>
                <w:snapToGrid w:val="0"/>
              </w:rPr>
              <w:t>-</w:t>
            </w:r>
            <w:r w:rsidRPr="00163C04">
              <w:rPr>
                <w:rFonts w:cs="Arial"/>
                <w:snapToGrid w:val="0"/>
              </w:rPr>
              <w:t xml:space="preserve">person, telehealth and/or hybrid) following </w:t>
            </w:r>
            <w:r>
              <w:rPr>
                <w:rFonts w:cs="Arial"/>
                <w:snapToGrid w:val="0"/>
              </w:rPr>
              <w:t>L</w:t>
            </w:r>
            <w:r w:rsidRPr="00163C04">
              <w:rPr>
                <w:rFonts w:cs="Arial"/>
                <w:snapToGrid w:val="0"/>
              </w:rPr>
              <w:t>VAD implantation in Australia</w:t>
            </w:r>
            <w:r>
              <w:rPr>
                <w:rFonts w:cs="Arial"/>
                <w:snapToGrid w:val="0"/>
              </w:rPr>
              <w:t xml:space="preserve"> </w:t>
            </w:r>
            <w:r w:rsidRPr="009B2CCC">
              <w:rPr>
                <w:rFonts w:cs="Arial"/>
                <w:snapToGrid w:val="0"/>
              </w:rPr>
              <w:t>(p</w:t>
            </w:r>
            <w:r>
              <w:rPr>
                <w:rFonts w:cs="Arial"/>
                <w:snapToGrid w:val="0"/>
              </w:rPr>
              <w:t>6</w:t>
            </w:r>
            <w:r w:rsidRPr="009B2CCC">
              <w:rPr>
                <w:rFonts w:cs="Arial"/>
                <w:snapToGrid w:val="0"/>
              </w:rPr>
              <w:t xml:space="preserve">, MSAC 1749 PSD, </w:t>
            </w:r>
            <w:r>
              <w:rPr>
                <w:rFonts w:cs="Arial"/>
                <w:snapToGrid w:val="0"/>
              </w:rPr>
              <w:t>April</w:t>
            </w:r>
            <w:r w:rsidRPr="009B2CCC">
              <w:rPr>
                <w:rFonts w:cs="Arial"/>
                <w:snapToGrid w:val="0"/>
              </w:rPr>
              <w:t xml:space="preserve"> 2024 meeting)</w:t>
            </w:r>
            <w:r>
              <w:rPr>
                <w:rFonts w:cs="Arial"/>
                <w:snapToGrid w:val="0"/>
              </w:rPr>
              <w:t>.</w:t>
            </w:r>
          </w:p>
        </w:tc>
        <w:tc>
          <w:tcPr>
            <w:tcW w:w="2251" w:type="pct"/>
          </w:tcPr>
          <w:p w14:paraId="705D7119" w14:textId="585578FB" w:rsidR="00C9019C" w:rsidRDefault="00C9019C" w:rsidP="0074672C">
            <w:pPr>
              <w:pStyle w:val="Tabletext0"/>
            </w:pPr>
            <w:r>
              <w:t>Not adequately addressed.</w:t>
            </w:r>
          </w:p>
          <w:p w14:paraId="17DABAB5" w14:textId="5F2CF96E" w:rsidR="00C9019C" w:rsidRDefault="00C9019C" w:rsidP="0074672C">
            <w:pPr>
              <w:pStyle w:val="Tabletext0"/>
            </w:pPr>
            <w:r w:rsidRPr="00A26A18">
              <w:t xml:space="preserve">Relevant payer distribution </w:t>
            </w:r>
            <w:r>
              <w:t>wa</w:t>
            </w:r>
            <w:r w:rsidRPr="00A26A18">
              <w:t xml:space="preserve">s </w:t>
            </w:r>
            <w:r>
              <w:t xml:space="preserve">partially </w:t>
            </w:r>
            <w:r w:rsidRPr="00A26A18">
              <w:t>addressed in Table 10</w:t>
            </w:r>
            <w:r>
              <w:t xml:space="preserve"> of the resubmission ADAR.</w:t>
            </w:r>
          </w:p>
          <w:p w14:paraId="06BE83C8" w14:textId="4D99E1D9" w:rsidR="00C9019C" w:rsidRDefault="00C9019C" w:rsidP="0074672C">
            <w:pPr>
              <w:pStyle w:val="Tabletext0"/>
            </w:pPr>
            <w:r>
              <w:t>T</w:t>
            </w:r>
            <w:r w:rsidRPr="0088657C">
              <w:t xml:space="preserve">he resubmission did not provide a breakdown of aftercare costs by </w:t>
            </w:r>
            <w:r>
              <w:t xml:space="preserve">payer and </w:t>
            </w:r>
            <w:r w:rsidRPr="0088657C">
              <w:t>format (e.g., in-person or telehealth). It argued, based on experts’ input, that the format of aftercare services should not matter, and the cost for these visits are included in the aftercare costs</w:t>
            </w:r>
            <w:r>
              <w:t>.</w:t>
            </w:r>
          </w:p>
        </w:tc>
      </w:tr>
      <w:tr w:rsidR="0074672C" w:rsidRPr="00CE28E3" w14:paraId="68EEF2F7" w14:textId="77777777" w:rsidTr="00586705">
        <w:trPr>
          <w:cantSplit/>
        </w:trPr>
        <w:tc>
          <w:tcPr>
            <w:tcW w:w="1098" w:type="pct"/>
          </w:tcPr>
          <w:p w14:paraId="0D01B25F" w14:textId="77777777" w:rsidR="0074672C" w:rsidRDefault="0074672C" w:rsidP="0074672C">
            <w:pPr>
              <w:pStyle w:val="Tabletext0"/>
            </w:pPr>
          </w:p>
        </w:tc>
        <w:tc>
          <w:tcPr>
            <w:tcW w:w="1651" w:type="pct"/>
          </w:tcPr>
          <w:p w14:paraId="1524B1AB" w14:textId="5B69E7B9" w:rsidR="0074672C" w:rsidRDefault="0074672C" w:rsidP="0074672C">
            <w:pPr>
              <w:pStyle w:val="Tabletext0"/>
              <w:rPr>
                <w:rFonts w:cs="Arial"/>
                <w:snapToGrid w:val="0"/>
              </w:rPr>
            </w:pPr>
            <w:r>
              <w:rPr>
                <w:rFonts w:cs="Arial"/>
                <w:snapToGrid w:val="0"/>
              </w:rPr>
              <w:t>MSAC suggested that consultation should be undertaken to describe how private patient funding will be addressed (for aftercare) by the public hospitals</w:t>
            </w:r>
            <w:r w:rsidR="00507818">
              <w:rPr>
                <w:rFonts w:cs="Arial"/>
                <w:snapToGrid w:val="0"/>
              </w:rPr>
              <w:t xml:space="preserve"> </w:t>
            </w:r>
            <w:r w:rsidR="00507818" w:rsidRPr="009B2CCC">
              <w:rPr>
                <w:rFonts w:cs="Arial"/>
                <w:snapToGrid w:val="0"/>
              </w:rPr>
              <w:t>(p</w:t>
            </w:r>
            <w:r w:rsidR="00507818">
              <w:rPr>
                <w:rFonts w:cs="Arial"/>
                <w:snapToGrid w:val="0"/>
              </w:rPr>
              <w:t>6</w:t>
            </w:r>
            <w:r w:rsidR="00507818" w:rsidRPr="009B2CCC">
              <w:rPr>
                <w:rFonts w:cs="Arial"/>
                <w:snapToGrid w:val="0"/>
              </w:rPr>
              <w:t xml:space="preserve">, MSAC 1749 PSD, </w:t>
            </w:r>
            <w:r w:rsidR="00DF212A">
              <w:rPr>
                <w:rFonts w:cs="Arial"/>
                <w:snapToGrid w:val="0"/>
              </w:rPr>
              <w:t>April</w:t>
            </w:r>
            <w:r w:rsidR="00507818" w:rsidRPr="009B2CCC">
              <w:rPr>
                <w:rFonts w:cs="Arial"/>
                <w:snapToGrid w:val="0"/>
              </w:rPr>
              <w:t xml:space="preserve"> 2024 meeting)</w:t>
            </w:r>
            <w:r>
              <w:rPr>
                <w:rFonts w:cs="Arial"/>
                <w:snapToGrid w:val="0"/>
              </w:rPr>
              <w:t>.</w:t>
            </w:r>
          </w:p>
        </w:tc>
        <w:tc>
          <w:tcPr>
            <w:tcW w:w="2251" w:type="pct"/>
          </w:tcPr>
          <w:p w14:paraId="3BC0A7B7" w14:textId="32BEDB52" w:rsidR="0074672C" w:rsidRDefault="000C63C2" w:rsidP="0074672C">
            <w:pPr>
              <w:pStyle w:val="Tabletext0"/>
            </w:pPr>
            <w:r>
              <w:t xml:space="preserve">Not </w:t>
            </w:r>
            <w:r w:rsidR="00301AD7">
              <w:t>addressed.</w:t>
            </w:r>
          </w:p>
        </w:tc>
      </w:tr>
      <w:tr w:rsidR="00507818" w:rsidRPr="00CE28E3" w14:paraId="584B8411" w14:textId="77777777" w:rsidTr="00586705">
        <w:trPr>
          <w:cantSplit/>
        </w:trPr>
        <w:tc>
          <w:tcPr>
            <w:tcW w:w="1098" w:type="pct"/>
          </w:tcPr>
          <w:p w14:paraId="5155A9B7" w14:textId="72A589BA" w:rsidR="00507818" w:rsidRDefault="00BC70AB" w:rsidP="0074672C">
            <w:pPr>
              <w:pStyle w:val="Tabletext0"/>
            </w:pPr>
            <w:r>
              <w:t>Revision to base case</w:t>
            </w:r>
          </w:p>
        </w:tc>
        <w:tc>
          <w:tcPr>
            <w:tcW w:w="1651" w:type="pct"/>
          </w:tcPr>
          <w:p w14:paraId="5E5CC41F" w14:textId="08EB7A3A" w:rsidR="00507818" w:rsidRDefault="007971E3" w:rsidP="0074672C">
            <w:pPr>
              <w:pStyle w:val="Tabletext0"/>
              <w:rPr>
                <w:rFonts w:cs="Arial"/>
                <w:snapToGrid w:val="0"/>
              </w:rPr>
            </w:pPr>
            <w:r>
              <w:rPr>
                <w:rFonts w:cs="Arial"/>
                <w:snapToGrid w:val="0"/>
              </w:rPr>
              <w:t xml:space="preserve">MSAC requested to </w:t>
            </w:r>
            <w:r w:rsidR="00507818" w:rsidRPr="00507818">
              <w:rPr>
                <w:rFonts w:cs="Arial"/>
                <w:snapToGrid w:val="0"/>
              </w:rPr>
              <w:t xml:space="preserve">re-specify the base case to use a time horizon of 10 years, apply OMM disease related costs in the 1st cycle of $0, apply a utility value of 0.64 for the 1st cycle in both the OMM and the </w:t>
            </w:r>
            <w:r w:rsidR="00587F0F">
              <w:rPr>
                <w:rFonts w:cs="Arial"/>
                <w:snapToGrid w:val="0"/>
              </w:rPr>
              <w:t>L</w:t>
            </w:r>
            <w:r w:rsidR="00507818" w:rsidRPr="00507818">
              <w:rPr>
                <w:rFonts w:cs="Arial"/>
                <w:snapToGrid w:val="0"/>
              </w:rPr>
              <w:t xml:space="preserve">VAD arms and in subsequent cycles of the OMM arm, and a utility value of 0.79 in the subsequent cycles of the </w:t>
            </w:r>
            <w:r w:rsidR="00587F0F">
              <w:rPr>
                <w:rFonts w:cs="Arial"/>
                <w:snapToGrid w:val="0"/>
              </w:rPr>
              <w:t>L</w:t>
            </w:r>
            <w:r w:rsidR="00507818" w:rsidRPr="00507818">
              <w:rPr>
                <w:rFonts w:cs="Arial"/>
                <w:snapToGrid w:val="0"/>
              </w:rPr>
              <w:t>VAD arm, and further revise this base case to incorporate device replacement costs (other than for pump thrombosis) and aftercare costs informed by the above consultation with Australian hospitals</w:t>
            </w:r>
            <w:r w:rsidR="00507818">
              <w:rPr>
                <w:rFonts w:cs="Arial"/>
                <w:snapToGrid w:val="0"/>
              </w:rPr>
              <w:t xml:space="preserve"> </w:t>
            </w:r>
            <w:r w:rsidR="00507818" w:rsidRPr="009B2CCC">
              <w:rPr>
                <w:rFonts w:cs="Arial"/>
                <w:snapToGrid w:val="0"/>
              </w:rPr>
              <w:t>(p</w:t>
            </w:r>
            <w:r w:rsidR="00507818">
              <w:rPr>
                <w:rFonts w:cs="Arial"/>
                <w:snapToGrid w:val="0"/>
              </w:rPr>
              <w:t>6</w:t>
            </w:r>
            <w:r w:rsidR="00507818" w:rsidRPr="009B2CCC">
              <w:rPr>
                <w:rFonts w:cs="Arial"/>
                <w:snapToGrid w:val="0"/>
              </w:rPr>
              <w:t xml:space="preserve">, MSAC 1749 PSD, </w:t>
            </w:r>
            <w:r w:rsidR="00DF212A">
              <w:rPr>
                <w:rFonts w:cs="Arial"/>
                <w:snapToGrid w:val="0"/>
              </w:rPr>
              <w:t>April</w:t>
            </w:r>
            <w:r w:rsidR="00507818" w:rsidRPr="009B2CCC">
              <w:rPr>
                <w:rFonts w:cs="Arial"/>
                <w:snapToGrid w:val="0"/>
              </w:rPr>
              <w:t xml:space="preserve"> 2024 meeting).</w:t>
            </w:r>
          </w:p>
        </w:tc>
        <w:tc>
          <w:tcPr>
            <w:tcW w:w="2251" w:type="pct"/>
          </w:tcPr>
          <w:p w14:paraId="3C8172E2" w14:textId="39AC794E" w:rsidR="00507818" w:rsidRDefault="00B57C24" w:rsidP="0074672C">
            <w:pPr>
              <w:pStyle w:val="Tabletext0"/>
            </w:pPr>
            <w:r>
              <w:t>Not adequately</w:t>
            </w:r>
            <w:r w:rsidR="001807A5">
              <w:t xml:space="preserve"> a</w:t>
            </w:r>
            <w:r w:rsidR="00BC70AB">
              <w:t>ddressed.</w:t>
            </w:r>
          </w:p>
          <w:p w14:paraId="070D8E2E" w14:textId="0A67D10D" w:rsidR="00BC70AB" w:rsidRDefault="00BC70AB" w:rsidP="0074672C">
            <w:pPr>
              <w:pStyle w:val="Tabletext0"/>
            </w:pPr>
            <w:r>
              <w:t xml:space="preserve">A “revised base case” was proposed in the resubmission </w:t>
            </w:r>
            <w:r w:rsidR="00810B03">
              <w:t>ADAR,</w:t>
            </w:r>
            <w:r>
              <w:t xml:space="preserve"> but the inputs were </w:t>
            </w:r>
            <w:r w:rsidR="001807A5">
              <w:t xml:space="preserve">largely </w:t>
            </w:r>
            <w:r w:rsidR="00E360A0">
              <w:t xml:space="preserve">not aligned </w:t>
            </w:r>
            <w:r>
              <w:t>with MSAC’s request</w:t>
            </w:r>
            <w:r w:rsidR="00E360A0">
              <w:t>s given that</w:t>
            </w:r>
            <w:r w:rsidR="00602C1B">
              <w:t xml:space="preserve"> a 15-year time horizon </w:t>
            </w:r>
            <w:r w:rsidR="00E360A0">
              <w:t xml:space="preserve">(instead of 10 years requested by MSAC) </w:t>
            </w:r>
            <w:r w:rsidR="00602C1B">
              <w:t>and first year disease related cost in OMM arm of $4,862.80</w:t>
            </w:r>
            <w:r w:rsidR="006C70E7">
              <w:t xml:space="preserve"> </w:t>
            </w:r>
            <w:r w:rsidR="00E360A0">
              <w:t xml:space="preserve">(instead of $0 requested by MSAC) </w:t>
            </w:r>
            <w:r w:rsidR="006C70E7">
              <w:t>were applied</w:t>
            </w:r>
            <w:r w:rsidR="00602C1B">
              <w:t xml:space="preserve">. </w:t>
            </w:r>
            <w:r w:rsidR="00E360A0">
              <w:t>Furthermore, no</w:t>
            </w:r>
            <w:r w:rsidR="00602C1B">
              <w:t xml:space="preserve"> changes were made on the device replacement rate </w:t>
            </w:r>
            <w:r w:rsidR="000F2EA0">
              <w:t xml:space="preserve">and </w:t>
            </w:r>
            <w:r w:rsidR="00602C1B">
              <w:t>aftercare costs, from the original submission</w:t>
            </w:r>
            <w:r w:rsidR="00A22073">
              <w:t xml:space="preserve"> ADAR</w:t>
            </w:r>
            <w:r w:rsidR="00602C1B">
              <w:t>.</w:t>
            </w:r>
          </w:p>
          <w:p w14:paraId="5EB6A905" w14:textId="77777777" w:rsidR="00BC70AB" w:rsidRDefault="00BC70AB" w:rsidP="0074672C">
            <w:pPr>
              <w:pStyle w:val="Tabletext0"/>
            </w:pPr>
          </w:p>
          <w:p w14:paraId="27DCAFA8" w14:textId="0F978F7E" w:rsidR="00BC70AB" w:rsidRDefault="00BC70AB" w:rsidP="0074672C">
            <w:pPr>
              <w:pStyle w:val="Tabletext0"/>
            </w:pPr>
            <w:r w:rsidRPr="00BC70AB">
              <w:t xml:space="preserve">A </w:t>
            </w:r>
            <w:r>
              <w:t>“</w:t>
            </w:r>
            <w:r w:rsidRPr="00BC70AB">
              <w:t>likely overestimated case</w:t>
            </w:r>
            <w:r>
              <w:t>”</w:t>
            </w:r>
            <w:r w:rsidRPr="00BC70AB">
              <w:t xml:space="preserve"> was proposed in the resubmission</w:t>
            </w:r>
            <w:r>
              <w:t xml:space="preserve"> ADAR</w:t>
            </w:r>
            <w:r w:rsidRPr="00BC70AB">
              <w:t xml:space="preserve"> with the incorporation of MSAC’s request</w:t>
            </w:r>
            <w:r w:rsidR="0081040C">
              <w:t>.</w:t>
            </w:r>
            <w:r w:rsidR="001807A5">
              <w:t xml:space="preserve"> </w:t>
            </w:r>
            <w:r w:rsidR="0081040C">
              <w:t xml:space="preserve">However, there is still uncertainty in the aftercare costs. </w:t>
            </w:r>
          </w:p>
        </w:tc>
      </w:tr>
      <w:tr w:rsidR="00507818" w:rsidRPr="00CE28E3" w14:paraId="280C00AB" w14:textId="77777777" w:rsidTr="00586705">
        <w:trPr>
          <w:cantSplit/>
        </w:trPr>
        <w:tc>
          <w:tcPr>
            <w:tcW w:w="1098" w:type="pct"/>
          </w:tcPr>
          <w:p w14:paraId="7076ECD1" w14:textId="221334B6" w:rsidR="00507818" w:rsidRPr="00507818" w:rsidRDefault="00BC70AB" w:rsidP="0074672C">
            <w:pPr>
              <w:pStyle w:val="Tabletext0"/>
              <w:rPr>
                <w:b/>
                <w:bCs/>
              </w:rPr>
            </w:pPr>
            <w:r>
              <w:rPr>
                <w:b/>
                <w:bCs/>
              </w:rPr>
              <w:t>F</w:t>
            </w:r>
            <w:r w:rsidR="00507818" w:rsidRPr="00507818">
              <w:rPr>
                <w:b/>
                <w:bCs/>
              </w:rPr>
              <w:t>inancial analysis</w:t>
            </w:r>
          </w:p>
        </w:tc>
        <w:tc>
          <w:tcPr>
            <w:tcW w:w="1651" w:type="pct"/>
          </w:tcPr>
          <w:p w14:paraId="1D67FFD2" w14:textId="4CBCCAA0" w:rsidR="00507818" w:rsidRPr="00507818" w:rsidRDefault="00E47641" w:rsidP="0074672C">
            <w:pPr>
              <w:pStyle w:val="Tabletext0"/>
              <w:rPr>
                <w:rFonts w:cs="Arial"/>
                <w:snapToGrid w:val="0"/>
              </w:rPr>
            </w:pPr>
            <w:r>
              <w:rPr>
                <w:rFonts w:cs="Arial"/>
                <w:snapToGrid w:val="0"/>
              </w:rPr>
              <w:t xml:space="preserve">MSAC requested for </w:t>
            </w:r>
            <w:r w:rsidR="00507818" w:rsidRPr="00507818">
              <w:rPr>
                <w:rFonts w:cs="Arial"/>
                <w:snapToGrid w:val="0"/>
              </w:rPr>
              <w:t>update</w:t>
            </w:r>
            <w:r>
              <w:rPr>
                <w:rFonts w:cs="Arial"/>
                <w:snapToGrid w:val="0"/>
              </w:rPr>
              <w:t xml:space="preserve"> in</w:t>
            </w:r>
            <w:r w:rsidR="00507818" w:rsidRPr="00507818">
              <w:rPr>
                <w:rFonts w:cs="Arial"/>
                <w:snapToGrid w:val="0"/>
              </w:rPr>
              <w:t xml:space="preserve"> the financial analysis to incorporate the updated additional </w:t>
            </w:r>
            <w:r w:rsidR="00150EE1" w:rsidRPr="00507818">
              <w:rPr>
                <w:rFonts w:cs="Arial"/>
                <w:snapToGrid w:val="0"/>
              </w:rPr>
              <w:t>costs associated</w:t>
            </w:r>
            <w:r w:rsidR="00507818" w:rsidRPr="00507818">
              <w:rPr>
                <w:rFonts w:cs="Arial"/>
                <w:snapToGrid w:val="0"/>
              </w:rPr>
              <w:t xml:space="preserve"> with the proposed service</w:t>
            </w:r>
            <w:r w:rsidR="00507818">
              <w:rPr>
                <w:rFonts w:cs="Arial"/>
                <w:snapToGrid w:val="0"/>
              </w:rPr>
              <w:t xml:space="preserve"> </w:t>
            </w:r>
            <w:r w:rsidR="00507818" w:rsidRPr="009B2CCC">
              <w:rPr>
                <w:rFonts w:cs="Arial"/>
                <w:snapToGrid w:val="0"/>
              </w:rPr>
              <w:t>(p</w:t>
            </w:r>
            <w:r w:rsidR="00507818">
              <w:rPr>
                <w:rFonts w:cs="Arial"/>
                <w:snapToGrid w:val="0"/>
              </w:rPr>
              <w:t>6</w:t>
            </w:r>
            <w:r w:rsidR="00507818" w:rsidRPr="009B2CCC">
              <w:rPr>
                <w:rFonts w:cs="Arial"/>
                <w:snapToGrid w:val="0"/>
              </w:rPr>
              <w:t xml:space="preserve">, MSAC 1749 PSD, </w:t>
            </w:r>
            <w:r w:rsidR="00DF212A">
              <w:rPr>
                <w:rFonts w:cs="Arial"/>
                <w:snapToGrid w:val="0"/>
              </w:rPr>
              <w:t>April</w:t>
            </w:r>
            <w:r w:rsidR="00507818" w:rsidRPr="009B2CCC">
              <w:rPr>
                <w:rFonts w:cs="Arial"/>
                <w:snapToGrid w:val="0"/>
              </w:rPr>
              <w:t xml:space="preserve"> 2024 meeting)</w:t>
            </w:r>
            <w:r w:rsidR="00507818">
              <w:rPr>
                <w:rFonts w:cs="Arial"/>
                <w:snapToGrid w:val="0"/>
              </w:rPr>
              <w:t>.</w:t>
            </w:r>
          </w:p>
        </w:tc>
        <w:tc>
          <w:tcPr>
            <w:tcW w:w="2251" w:type="pct"/>
          </w:tcPr>
          <w:p w14:paraId="5145C235" w14:textId="10B2D965" w:rsidR="00E47641" w:rsidRDefault="00A41024" w:rsidP="0074672C">
            <w:pPr>
              <w:pStyle w:val="Tabletext0"/>
            </w:pPr>
            <w:r>
              <w:t>Not adequately</w:t>
            </w:r>
            <w:r w:rsidR="00E47641">
              <w:t xml:space="preserve"> addressed.</w:t>
            </w:r>
          </w:p>
          <w:p w14:paraId="39CDD25D" w14:textId="57E05C6D" w:rsidR="00E47641" w:rsidRDefault="00E47641" w:rsidP="0074672C">
            <w:pPr>
              <w:pStyle w:val="Tabletext0"/>
            </w:pPr>
            <w:r>
              <w:t xml:space="preserve">Device and disease related costs resulting in hospitalisation were presented in the resubmission </w:t>
            </w:r>
            <w:proofErr w:type="gramStart"/>
            <w:r>
              <w:t>ADAR</w:t>
            </w:r>
            <w:proofErr w:type="gramEnd"/>
            <w:r>
              <w:t xml:space="preserve"> but the costs did not incorporate revised risk and cost of pump replacement due to reasons other than pump </w:t>
            </w:r>
            <w:r w:rsidR="00BC7087">
              <w:t>thrombosis</w:t>
            </w:r>
            <w:r w:rsidR="00FA586C">
              <w:t>, or rehabilitation services within the</w:t>
            </w:r>
            <w:r>
              <w:t xml:space="preserve"> aftercare costs. </w:t>
            </w:r>
          </w:p>
        </w:tc>
      </w:tr>
    </w:tbl>
    <w:p w14:paraId="30A38ADB" w14:textId="01B647E0" w:rsidR="00E2789A" w:rsidRDefault="00607941" w:rsidP="00197A4B">
      <w:pPr>
        <w:pStyle w:val="TableFooter"/>
      </w:pPr>
      <w:bookmarkStart w:id="10" w:name="_Hlk68275617"/>
      <w:bookmarkEnd w:id="9"/>
      <w:r>
        <w:t xml:space="preserve">Source: </w:t>
      </w:r>
      <w:r w:rsidR="00347CF4">
        <w:t xml:space="preserve">Table 1, p9-11 of MSAC </w:t>
      </w:r>
      <w:r w:rsidR="009D4C82">
        <w:t>Application</w:t>
      </w:r>
      <w:r w:rsidR="00314452">
        <w:t xml:space="preserve"> </w:t>
      </w:r>
      <w:r w:rsidR="009A5664">
        <w:t>1749 Resubmission</w:t>
      </w:r>
      <w:r w:rsidR="00347CF4">
        <w:t xml:space="preserve"> ADAR</w:t>
      </w:r>
      <w:r w:rsidR="00E2789A">
        <w:t xml:space="preserve">; </w:t>
      </w:r>
      <w:r w:rsidR="00E2789A" w:rsidRPr="00E2789A">
        <w:t>MSAC 1749 PSD</w:t>
      </w:r>
      <w:r w:rsidR="00314452">
        <w:t>.</w:t>
      </w:r>
      <w:r w:rsidR="00E2789A">
        <w:t xml:space="preserve"> </w:t>
      </w:r>
    </w:p>
    <w:p w14:paraId="3EA0F47E" w14:textId="3DC222AE" w:rsidR="00F57885" w:rsidRPr="00CE28E3" w:rsidRDefault="00E2789A" w:rsidP="00197A4B">
      <w:pPr>
        <w:pStyle w:val="TableFooter"/>
      </w:pPr>
      <w:r>
        <w:t xml:space="preserve">ADAR = </w:t>
      </w:r>
      <w:r w:rsidR="008332A7">
        <w:t>a</w:t>
      </w:r>
      <w:r w:rsidR="008332A7" w:rsidRPr="008332A7">
        <w:t>pplicant developed assessment report</w:t>
      </w:r>
      <w:r w:rsidR="008332A7">
        <w:t>;</w:t>
      </w:r>
      <w:r w:rsidR="008332A7" w:rsidRPr="008332A7" w:rsidDel="00E2789A">
        <w:t xml:space="preserve"> </w:t>
      </w:r>
      <w:r w:rsidR="00197A4B" w:rsidRPr="00197A4B">
        <w:t>BTT = bridge to transplant; BTC = bridge to candidacy</w:t>
      </w:r>
      <w:r w:rsidR="00197A4B">
        <w:t>;</w:t>
      </w:r>
      <w:r w:rsidR="003F0FF5">
        <w:t xml:space="preserve"> DT = destination therapy;</w:t>
      </w:r>
      <w:r w:rsidR="00197A4B" w:rsidRPr="00197A4B">
        <w:t xml:space="preserve"> </w:t>
      </w:r>
      <w:r w:rsidR="008332A7">
        <w:t xml:space="preserve">ESC = </w:t>
      </w:r>
      <w:r w:rsidR="00072602" w:rsidRPr="00072602">
        <w:t>Evaluation Sub-Committee</w:t>
      </w:r>
      <w:r w:rsidR="00072602">
        <w:t>;</w:t>
      </w:r>
      <w:r w:rsidR="00D801B7">
        <w:t xml:space="preserve"> </w:t>
      </w:r>
      <w:r w:rsidR="005961CB">
        <w:t xml:space="preserve">HM2 = HeartMate 2; </w:t>
      </w:r>
      <w:r w:rsidR="00D801B7">
        <w:t>HM3 = HeartMate 3;</w:t>
      </w:r>
      <w:r w:rsidR="00072602" w:rsidRPr="00072602" w:rsidDel="00E2789A">
        <w:t xml:space="preserve"> </w:t>
      </w:r>
      <w:r w:rsidR="00F2711C">
        <w:t>ICER = i</w:t>
      </w:r>
      <w:r w:rsidR="00F2711C" w:rsidRPr="00F2711C">
        <w:t xml:space="preserve">ncremental </w:t>
      </w:r>
      <w:r w:rsidR="00F2711C">
        <w:t>c</w:t>
      </w:r>
      <w:r w:rsidR="00F2711C" w:rsidRPr="00F2711C">
        <w:t>ost-</w:t>
      </w:r>
      <w:r w:rsidR="00F2711C">
        <w:t>e</w:t>
      </w:r>
      <w:r w:rsidR="00F2711C" w:rsidRPr="00F2711C">
        <w:t xml:space="preserve">ffectiveness </w:t>
      </w:r>
      <w:r w:rsidR="00F2711C">
        <w:t>r</w:t>
      </w:r>
      <w:r w:rsidR="00F2711C" w:rsidRPr="00F2711C">
        <w:t>atio</w:t>
      </w:r>
      <w:r w:rsidR="00F2711C">
        <w:t>;</w:t>
      </w:r>
      <w:r w:rsidR="00F2711C" w:rsidRPr="00F2711C">
        <w:t xml:space="preserve"> </w:t>
      </w:r>
      <w:r w:rsidR="00587F0F">
        <w:t>LVAD = left ventricular assist device;</w:t>
      </w:r>
      <w:r w:rsidR="00587F0F" w:rsidRPr="00CE28E3">
        <w:t xml:space="preserve"> </w:t>
      </w:r>
      <w:r w:rsidR="00F57885" w:rsidRPr="00CE28E3">
        <w:t>MSAC = Medical Services Advisory Committee;</w:t>
      </w:r>
      <w:r w:rsidR="00072602">
        <w:t xml:space="preserve"> OMM =</w:t>
      </w:r>
      <w:r w:rsidR="00F57885" w:rsidRPr="00CE28E3">
        <w:t xml:space="preserve"> </w:t>
      </w:r>
      <w:r w:rsidR="00072602">
        <w:t>o</w:t>
      </w:r>
      <w:r w:rsidR="00072602" w:rsidRPr="00072602">
        <w:t>ptimal medical management</w:t>
      </w:r>
      <w:r w:rsidR="00072602">
        <w:t>;</w:t>
      </w:r>
      <w:r w:rsidR="00072602" w:rsidRPr="00072602">
        <w:t xml:space="preserve"> </w:t>
      </w:r>
      <w:r w:rsidR="00F57885" w:rsidRPr="00CE28E3">
        <w:t>PSD = Public Summary Document</w:t>
      </w:r>
      <w:r w:rsidR="00587F0F">
        <w:t>.</w:t>
      </w:r>
      <w:r w:rsidR="008332A7">
        <w:t xml:space="preserve"> </w:t>
      </w:r>
    </w:p>
    <w:p w14:paraId="76721672" w14:textId="77777777" w:rsidR="00724214" w:rsidRDefault="00724214" w:rsidP="002A18BE">
      <w:pPr>
        <w:pStyle w:val="Heading2"/>
        <w:numPr>
          <w:ilvl w:val="0"/>
          <w:numId w:val="0"/>
        </w:numPr>
        <w:sectPr w:rsidR="00724214" w:rsidSect="00D74C1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bookmarkStart w:id="11" w:name="_Toc69491417"/>
      <w:bookmarkEnd w:id="7"/>
      <w:bookmarkEnd w:id="10"/>
    </w:p>
    <w:p w14:paraId="6F52500A" w14:textId="2DA8181D" w:rsidR="00772829" w:rsidRPr="00CE28E3" w:rsidRDefault="00E33F73" w:rsidP="002A18BE">
      <w:pPr>
        <w:pStyle w:val="Heading2"/>
        <w:numPr>
          <w:ilvl w:val="0"/>
          <w:numId w:val="0"/>
        </w:numPr>
      </w:pPr>
      <w:r>
        <w:lastRenderedPageBreak/>
        <w:t>5</w:t>
      </w:r>
      <w:r w:rsidR="00C36633">
        <w:t>.</w:t>
      </w:r>
      <w:r w:rsidR="00C36633">
        <w:tab/>
      </w:r>
      <w:r w:rsidR="00772829" w:rsidRPr="00CE28E3">
        <w:t>Prerequisites to implementation of any funding advice</w:t>
      </w:r>
      <w:bookmarkEnd w:id="11"/>
    </w:p>
    <w:p w14:paraId="0E71CF03" w14:textId="7C69C297" w:rsidR="00162AB2" w:rsidRDefault="00162AB2" w:rsidP="00EA1066">
      <w:pPr>
        <w:rPr>
          <w:lang w:val="en-US"/>
        </w:rPr>
      </w:pPr>
      <w:r>
        <w:rPr>
          <w:lang w:val="en-US"/>
        </w:rPr>
        <w:t xml:space="preserve">In the </w:t>
      </w:r>
      <w:r w:rsidR="00AD5249">
        <w:rPr>
          <w:lang w:val="en-US"/>
        </w:rPr>
        <w:t>original</w:t>
      </w:r>
      <w:r>
        <w:rPr>
          <w:lang w:val="en-US"/>
        </w:rPr>
        <w:t xml:space="preserve"> submission</w:t>
      </w:r>
      <w:r w:rsidR="00A22073">
        <w:rPr>
          <w:lang w:val="en-US"/>
        </w:rPr>
        <w:t xml:space="preserve"> ADAR</w:t>
      </w:r>
      <w:r>
        <w:rPr>
          <w:lang w:val="en-US"/>
        </w:rPr>
        <w:t xml:space="preserve"> (MSAC </w:t>
      </w:r>
      <w:r w:rsidR="0011229D">
        <w:rPr>
          <w:lang w:val="en-US"/>
        </w:rPr>
        <w:t xml:space="preserve">Application </w:t>
      </w:r>
      <w:r>
        <w:rPr>
          <w:lang w:val="en-US"/>
        </w:rPr>
        <w:t xml:space="preserve">1749), MSAC noted that the HeartMate 3 (HM3) is the most recent and current generation </w:t>
      </w:r>
      <w:r w:rsidR="00FE1129">
        <w:rPr>
          <w:lang w:val="en-US"/>
        </w:rPr>
        <w:t xml:space="preserve">left </w:t>
      </w:r>
      <w:r w:rsidR="00FE1129" w:rsidRPr="00FE1129">
        <w:rPr>
          <w:lang w:val="en-US"/>
        </w:rPr>
        <w:t xml:space="preserve">ventricular assist device </w:t>
      </w:r>
      <w:r w:rsidR="00FE1129">
        <w:rPr>
          <w:lang w:val="en-US"/>
        </w:rPr>
        <w:t>(</w:t>
      </w:r>
      <w:r w:rsidR="004473D2">
        <w:rPr>
          <w:lang w:val="en-US"/>
        </w:rPr>
        <w:t>L</w:t>
      </w:r>
      <w:r w:rsidR="00ED6CA5">
        <w:rPr>
          <w:lang w:val="en-US"/>
        </w:rPr>
        <w:t>VAD</w:t>
      </w:r>
      <w:r w:rsidR="00FE1129">
        <w:rPr>
          <w:lang w:val="en-US"/>
        </w:rPr>
        <w:t>)</w:t>
      </w:r>
      <w:r>
        <w:rPr>
          <w:lang w:val="en-US"/>
        </w:rPr>
        <w:t xml:space="preserve"> available in Australia. It is a third generation, fully magnetically levitated centrifugal</w:t>
      </w:r>
      <w:r w:rsidR="00F32304">
        <w:rPr>
          <w:lang w:val="en-US"/>
        </w:rPr>
        <w:t xml:space="preserve"> </w:t>
      </w:r>
      <w:r>
        <w:rPr>
          <w:lang w:val="en-US"/>
        </w:rPr>
        <w:t xml:space="preserve">flow </w:t>
      </w:r>
      <w:r w:rsidR="004473D2">
        <w:rPr>
          <w:lang w:val="en-US"/>
        </w:rPr>
        <w:t>ventricular assist device</w:t>
      </w:r>
      <w:r>
        <w:rPr>
          <w:lang w:val="en-US"/>
        </w:rPr>
        <w:t xml:space="preserve">, listed on the </w:t>
      </w:r>
      <w:r w:rsidR="00396555" w:rsidRPr="00396555">
        <w:rPr>
          <w:lang w:val="en-US"/>
        </w:rPr>
        <w:t xml:space="preserve">Australian Register of Therapeutic Goods </w:t>
      </w:r>
      <w:r w:rsidR="00396555">
        <w:rPr>
          <w:lang w:val="en-US"/>
        </w:rPr>
        <w:t>(</w:t>
      </w:r>
      <w:r>
        <w:rPr>
          <w:lang w:val="en-US"/>
        </w:rPr>
        <w:t>ARTG</w:t>
      </w:r>
      <w:r w:rsidR="00396555">
        <w:rPr>
          <w:lang w:val="en-US"/>
        </w:rPr>
        <w:t>)</w:t>
      </w:r>
      <w:r>
        <w:rPr>
          <w:lang w:val="en-US"/>
        </w:rPr>
        <w:t xml:space="preserve"> and the </w:t>
      </w:r>
      <w:r w:rsidR="00602087">
        <w:rPr>
          <w:lang w:val="en-US"/>
        </w:rPr>
        <w:t xml:space="preserve">Prescribed List of Medical Devices and Human Tissue Products </w:t>
      </w:r>
      <w:r>
        <w:rPr>
          <w:lang w:val="en-US"/>
        </w:rPr>
        <w:t>(PL)</w:t>
      </w:r>
      <w:r w:rsidR="00602087" w:rsidRPr="00602087">
        <w:t xml:space="preserve"> </w:t>
      </w:r>
      <w:r w:rsidR="00602087" w:rsidRPr="00602087">
        <w:rPr>
          <w:lang w:val="en-US"/>
        </w:rPr>
        <w:t>(</w:t>
      </w:r>
      <w:hyperlink r:id="rId20" w:history="1">
        <w:r w:rsidR="00602087" w:rsidRPr="00E17D45">
          <w:rPr>
            <w:rStyle w:val="Hyperlink"/>
            <w:lang w:val="en-US"/>
          </w:rPr>
          <w:t xml:space="preserve">MSAC 1749 </w:t>
        </w:r>
        <w:r w:rsidR="00E17D45">
          <w:rPr>
            <w:rStyle w:val="Hyperlink"/>
            <w:lang w:val="en-US"/>
          </w:rPr>
          <w:t>Public Summary Document [</w:t>
        </w:r>
        <w:r w:rsidR="00602087" w:rsidRPr="00E17D45">
          <w:rPr>
            <w:rStyle w:val="Hyperlink"/>
            <w:lang w:val="en-US"/>
          </w:rPr>
          <w:t>PSD</w:t>
        </w:r>
      </w:hyperlink>
      <w:r w:rsidR="00E17D45">
        <w:rPr>
          <w:lang w:val="en-US"/>
        </w:rPr>
        <w:t>]</w:t>
      </w:r>
      <w:r w:rsidR="00602087" w:rsidRPr="00602087">
        <w:rPr>
          <w:lang w:val="en-US"/>
        </w:rPr>
        <w:t>, pg</w:t>
      </w:r>
      <w:r w:rsidR="00602087">
        <w:rPr>
          <w:lang w:val="en-US"/>
        </w:rPr>
        <w:t>2</w:t>
      </w:r>
      <w:r w:rsidR="00602087" w:rsidRPr="00602087">
        <w:rPr>
          <w:lang w:val="en-US"/>
        </w:rPr>
        <w:t>).</w:t>
      </w:r>
    </w:p>
    <w:p w14:paraId="52573CA7" w14:textId="73000B7D" w:rsidR="00162AB2" w:rsidRDefault="00162AB2" w:rsidP="00EA1066">
      <w:pPr>
        <w:rPr>
          <w:lang w:val="en-US"/>
        </w:rPr>
      </w:pPr>
      <w:r>
        <w:rPr>
          <w:lang w:val="en-US"/>
        </w:rPr>
        <w:t xml:space="preserve">The indication for the </w:t>
      </w:r>
      <w:bookmarkStart w:id="12" w:name="_Hlk150257455"/>
      <w:r>
        <w:rPr>
          <w:lang w:val="en-US"/>
        </w:rPr>
        <w:t xml:space="preserve">HM3 </w:t>
      </w:r>
      <w:r w:rsidR="00587F0F">
        <w:rPr>
          <w:lang w:val="en-US"/>
        </w:rPr>
        <w:t>L</w:t>
      </w:r>
      <w:r w:rsidR="00ED6CA5">
        <w:rPr>
          <w:lang w:val="en-US"/>
        </w:rPr>
        <w:t>VAD</w:t>
      </w:r>
      <w:r>
        <w:rPr>
          <w:lang w:val="en-US"/>
        </w:rPr>
        <w:t xml:space="preserve"> </w:t>
      </w:r>
      <w:bookmarkEnd w:id="12"/>
      <w:r>
        <w:rPr>
          <w:lang w:val="en-US"/>
        </w:rPr>
        <w:t>as per the ARTG entry (ARTG ID: 300895) is:</w:t>
      </w:r>
    </w:p>
    <w:p w14:paraId="47539065" w14:textId="09255F79" w:rsidR="00602087" w:rsidRPr="00602087" w:rsidRDefault="00162AB2" w:rsidP="00EA1066">
      <w:pPr>
        <w:pStyle w:val="ListParagraph"/>
        <w:numPr>
          <w:ilvl w:val="0"/>
          <w:numId w:val="10"/>
        </w:numPr>
        <w:spacing w:line="256" w:lineRule="auto"/>
        <w:rPr>
          <w:lang w:val="en-US"/>
        </w:rPr>
      </w:pPr>
      <w:r>
        <w:rPr>
          <w:lang w:val="en-US"/>
        </w:rPr>
        <w:t>“The HeartMate 3 Left Ventricular Assist System is intended to provide long term hemodynamic support in patients with advanced, refractory left ventricular heart failure. It is intended either for temporary support, such as a bridge to cardiac transplantation (BTT), or as permanent destination therapy (DT). The HeartMate 3 is intended for use inside or outside the hospital”.</w:t>
      </w:r>
    </w:p>
    <w:p w14:paraId="32F1AD82" w14:textId="7BBD0A41" w:rsidR="00602087" w:rsidRDefault="00602087" w:rsidP="00EA1066">
      <w:r w:rsidRPr="00602087">
        <w:rPr>
          <w:shd w:val="clear" w:color="auto" w:fill="FFFFFF"/>
        </w:rPr>
        <w:t xml:space="preserve">On February 19, 2024, </w:t>
      </w:r>
      <w:r w:rsidRPr="00602087">
        <w:rPr>
          <w:lang w:val="en-US"/>
        </w:rPr>
        <w:t xml:space="preserve">the U.S Food and Drugs Authority (FDA) reported </w:t>
      </w:r>
      <w:r w:rsidRPr="00602087">
        <w:rPr>
          <w:shd w:val="clear" w:color="auto" w:fill="FFFFFF"/>
        </w:rPr>
        <w:t xml:space="preserve">Class I recall (i.e., the most serious type of recall which denotes the use of these devices may cause serious injuries or death) for </w:t>
      </w:r>
      <w:r w:rsidR="005B0577">
        <w:rPr>
          <w:shd w:val="clear" w:color="auto" w:fill="FFFFFF"/>
        </w:rPr>
        <w:t>HeartMate 2 (</w:t>
      </w:r>
      <w:r w:rsidRPr="00602087">
        <w:rPr>
          <w:shd w:val="clear" w:color="auto" w:fill="FFFFFF"/>
        </w:rPr>
        <w:t>HM2</w:t>
      </w:r>
      <w:r w:rsidR="005B0577">
        <w:rPr>
          <w:shd w:val="clear" w:color="auto" w:fill="FFFFFF"/>
        </w:rPr>
        <w:t>)</w:t>
      </w:r>
      <w:r w:rsidRPr="00602087">
        <w:rPr>
          <w:shd w:val="clear" w:color="auto" w:fill="FFFFFF"/>
        </w:rPr>
        <w:t xml:space="preserve"> and HM3 by the </w:t>
      </w:r>
      <w:r>
        <w:t>Abbott/</w:t>
      </w:r>
      <w:proofErr w:type="spellStart"/>
      <w:r>
        <w:t>Thoratec</w:t>
      </w:r>
      <w:proofErr w:type="spellEnd"/>
      <w:r>
        <w:t xml:space="preserve"> Corp</w:t>
      </w:r>
      <w:r w:rsidRPr="00602087">
        <w:rPr>
          <w:shd w:val="clear" w:color="auto" w:fill="FFFFFF"/>
        </w:rPr>
        <w:t>.</w:t>
      </w:r>
      <w:r>
        <w:rPr>
          <w:rStyle w:val="FootnoteReference"/>
          <w:shd w:val="clear" w:color="auto" w:fill="FFFFFF"/>
        </w:rPr>
        <w:footnoteReference w:id="3"/>
      </w:r>
      <w:r w:rsidRPr="00602087">
        <w:rPr>
          <w:lang w:val="en-US"/>
        </w:rPr>
        <w:t xml:space="preserve"> Of note, this recall was initiated by the company, and it was for </w:t>
      </w:r>
      <w:r w:rsidR="00E8275A">
        <w:rPr>
          <w:lang w:val="en-US"/>
        </w:rPr>
        <w:t xml:space="preserve">the </w:t>
      </w:r>
      <w:r w:rsidRPr="00602087">
        <w:rPr>
          <w:lang w:val="en-US"/>
        </w:rPr>
        <w:t xml:space="preserve">correction of affected devices and not a product removal. The reason for recalling was </w:t>
      </w:r>
      <w:r>
        <w:t xml:space="preserve">due to an Extrinsic Outflow Graft Obstruction (EOGO), which </w:t>
      </w:r>
      <w:r w:rsidR="00736116">
        <w:t>refers</w:t>
      </w:r>
      <w:r>
        <w:t xml:space="preserve"> to development of biological material between the HeartMate Outflow Graft and the Outflow Graft Bend relief or additional components added during surgery. The EOGO can obstruct the device and reduce the device's ability to help the heart properly.</w:t>
      </w:r>
      <w:r w:rsidRPr="007A1291">
        <w:t xml:space="preserve"> </w:t>
      </w:r>
      <w:r>
        <w:t>There were 273 injuries, and 14 deaths associated with this issue.</w:t>
      </w:r>
    </w:p>
    <w:p w14:paraId="44C3B242" w14:textId="5434E7B1" w:rsidR="00772829" w:rsidRPr="00CE28E3" w:rsidRDefault="00E33F73" w:rsidP="002A18BE">
      <w:pPr>
        <w:pStyle w:val="Heading2"/>
        <w:numPr>
          <w:ilvl w:val="0"/>
          <w:numId w:val="0"/>
        </w:numPr>
      </w:pPr>
      <w:bookmarkStart w:id="13" w:name="_Toc69491418"/>
      <w:r>
        <w:t>6</w:t>
      </w:r>
      <w:r w:rsidR="00C36633">
        <w:t>.</w:t>
      </w:r>
      <w:r w:rsidR="00C36633">
        <w:tab/>
      </w:r>
      <w:r w:rsidR="00772829" w:rsidRPr="00CE28E3">
        <w:t>Proposal for public funding</w:t>
      </w:r>
      <w:bookmarkEnd w:id="13"/>
    </w:p>
    <w:p w14:paraId="06AE4B04" w14:textId="41053104" w:rsidR="007B6946" w:rsidRPr="006A1272" w:rsidRDefault="007B6946" w:rsidP="00C22BC7">
      <w:r>
        <w:t xml:space="preserve">The resubmission ADAR presented a new proposed MBS item for the insertion of durable </w:t>
      </w:r>
      <w:r w:rsidR="00587F0F">
        <w:t>L</w:t>
      </w:r>
      <w:r>
        <w:t xml:space="preserve">VAD for DT. </w:t>
      </w:r>
      <w:r w:rsidR="00803E57">
        <w:t>The MBS item proposed in the resubmission ADAR was identical to that in the 1749 PSD, apart from the update to the fee</w:t>
      </w:r>
      <w:r w:rsidR="00803E57" w:rsidRPr="00803E57">
        <w:t xml:space="preserve"> to $1,745.25 to be in line with the scheduled fee update for MBS item 38615</w:t>
      </w:r>
      <w:r w:rsidR="000601F0">
        <w:t xml:space="preserve"> (insertion of left or right ventricular assist device)</w:t>
      </w:r>
      <w:r w:rsidR="00803E57" w:rsidRPr="00803E57">
        <w:t xml:space="preserve"> on 1 July 2024.</w:t>
      </w:r>
      <w:r w:rsidR="00930C7A">
        <w:t xml:space="preserve"> </w:t>
      </w:r>
      <w:r w:rsidR="00803E57" w:rsidRPr="006A1272">
        <w:t>The proposed fee includes all intra-operative imaging required during implantation as recommen</w:t>
      </w:r>
      <w:r w:rsidR="00803E57">
        <w:t xml:space="preserve">ded by the MSAC. </w:t>
      </w:r>
      <w:r>
        <w:t xml:space="preserve">The item descriptor </w:t>
      </w:r>
      <w:r w:rsidR="0053526D">
        <w:t>wa</w:t>
      </w:r>
      <w:r>
        <w:t xml:space="preserve">s device agnostic. However, it </w:t>
      </w:r>
      <w:r w:rsidR="0053526D">
        <w:t>wa</w:t>
      </w:r>
      <w:r>
        <w:t xml:space="preserve">s noted that the HM3 is the only </w:t>
      </w:r>
      <w:r w:rsidR="00587F0F">
        <w:t>L</w:t>
      </w:r>
      <w:r w:rsidR="00ED6CA5">
        <w:t>VAD</w:t>
      </w:r>
      <w:r>
        <w:t xml:space="preserve"> indicated for DT currently included on the ARTG (300895).</w:t>
      </w:r>
      <w:r w:rsidR="00EB625C" w:rsidRPr="006A1272">
        <w:t xml:space="preserve"> </w:t>
      </w:r>
    </w:p>
    <w:p w14:paraId="66F6827F" w14:textId="18BFD753" w:rsidR="00EA1066" w:rsidRPr="00EA1066" w:rsidRDefault="00EB625C" w:rsidP="00EA1066">
      <w:pPr>
        <w:rPr>
          <w:lang w:val="en-US"/>
        </w:rPr>
      </w:pPr>
      <w:bookmarkStart w:id="14" w:name="_Ref69481033"/>
      <w:r>
        <w:rPr>
          <w:lang w:val="en-US"/>
        </w:rPr>
        <w:t xml:space="preserve">The proposed new MBS item </w:t>
      </w:r>
      <w:r w:rsidR="00602087" w:rsidRPr="00602087">
        <w:rPr>
          <w:lang w:val="en-US"/>
        </w:rPr>
        <w:t xml:space="preserve">descriptors for durable </w:t>
      </w:r>
      <w:r w:rsidR="00587F0F">
        <w:rPr>
          <w:lang w:val="en-US"/>
        </w:rPr>
        <w:t>L</w:t>
      </w:r>
      <w:r w:rsidR="00602087" w:rsidRPr="00602087">
        <w:rPr>
          <w:lang w:val="en-US"/>
        </w:rPr>
        <w:t xml:space="preserve">VAD for DT including </w:t>
      </w:r>
      <w:r w:rsidR="008C0E8B">
        <w:rPr>
          <w:lang w:val="en-US"/>
        </w:rPr>
        <w:t xml:space="preserve">recommendations </w:t>
      </w:r>
      <w:r w:rsidR="008C0E8B" w:rsidRPr="00602087">
        <w:rPr>
          <w:lang w:val="en-US"/>
        </w:rPr>
        <w:t>based</w:t>
      </w:r>
      <w:r w:rsidR="00602087" w:rsidRPr="00602087">
        <w:rPr>
          <w:lang w:val="en-US"/>
        </w:rPr>
        <w:t xml:space="preserve"> on </w:t>
      </w:r>
      <w:r w:rsidR="008C0E8B">
        <w:rPr>
          <w:lang w:val="en-US"/>
        </w:rPr>
        <w:t>the Evaluation Sub Committee (</w:t>
      </w:r>
      <w:r w:rsidR="00602087" w:rsidRPr="00602087">
        <w:rPr>
          <w:lang w:val="en-US"/>
        </w:rPr>
        <w:t>ESC</w:t>
      </w:r>
      <w:r w:rsidR="008C0E8B">
        <w:rPr>
          <w:lang w:val="en-US"/>
        </w:rPr>
        <w:t>) and MSAC</w:t>
      </w:r>
      <w:r w:rsidR="00602087" w:rsidRPr="00602087">
        <w:rPr>
          <w:lang w:val="en-US"/>
        </w:rPr>
        <w:t xml:space="preserve"> advice of </w:t>
      </w:r>
      <w:r w:rsidR="008C0E8B">
        <w:rPr>
          <w:lang w:val="en-US"/>
        </w:rPr>
        <w:t xml:space="preserve">previous submission (MSAC </w:t>
      </w:r>
      <w:r w:rsidR="00602087" w:rsidRPr="00602087">
        <w:rPr>
          <w:lang w:val="en-US"/>
        </w:rPr>
        <w:t>Application 1749</w:t>
      </w:r>
      <w:r w:rsidR="008C0E8B">
        <w:rPr>
          <w:lang w:val="en-US"/>
        </w:rPr>
        <w:t>)</w:t>
      </w:r>
      <w:r w:rsidR="00602087" w:rsidRPr="00602087">
        <w:rPr>
          <w:lang w:val="en-US"/>
        </w:rPr>
        <w:t xml:space="preserve"> </w:t>
      </w:r>
      <w:r>
        <w:rPr>
          <w:lang w:val="en-US"/>
        </w:rPr>
        <w:t xml:space="preserve">is provided in </w:t>
      </w:r>
      <w:r w:rsidR="008C0E8B">
        <w:rPr>
          <w:lang w:val="en-US"/>
        </w:rPr>
        <w:fldChar w:fldCharType="begin"/>
      </w:r>
      <w:r w:rsidR="008C0E8B">
        <w:rPr>
          <w:lang w:val="en-US"/>
        </w:rPr>
        <w:instrText xml:space="preserve"> REF _Ref177981628 \h </w:instrText>
      </w:r>
      <w:r w:rsidR="008C0E8B">
        <w:rPr>
          <w:lang w:val="en-US"/>
        </w:rPr>
      </w:r>
      <w:r w:rsidR="008C0E8B">
        <w:rPr>
          <w:lang w:val="en-US"/>
        </w:rPr>
        <w:fldChar w:fldCharType="separate"/>
      </w:r>
      <w:r w:rsidR="0031666B" w:rsidRPr="00F559E3">
        <w:rPr>
          <w:szCs w:val="20"/>
        </w:rPr>
        <w:t>Table </w:t>
      </w:r>
      <w:r w:rsidR="0031666B">
        <w:rPr>
          <w:noProof/>
          <w:szCs w:val="20"/>
        </w:rPr>
        <w:t>2</w:t>
      </w:r>
      <w:r w:rsidR="008C0E8B">
        <w:rPr>
          <w:lang w:val="en-US"/>
        </w:rPr>
        <w:fldChar w:fldCharType="end"/>
      </w:r>
      <w:r>
        <w:rPr>
          <w:lang w:val="en-US"/>
        </w:rPr>
        <w:t xml:space="preserve">. </w:t>
      </w:r>
      <w:bookmarkStart w:id="15" w:name="_Ref177981628"/>
      <w:r w:rsidR="00EA1066">
        <w:rPr>
          <w:szCs w:val="20"/>
        </w:rPr>
        <w:br w:type="page"/>
      </w:r>
    </w:p>
    <w:p w14:paraId="39392CFD" w14:textId="78D38DDE" w:rsidR="003328A9" w:rsidRPr="00F559E3" w:rsidRDefault="00310C3F" w:rsidP="00FF258D">
      <w:pPr>
        <w:pStyle w:val="TableHeading0"/>
        <w:rPr>
          <w:rFonts w:cs="Arial"/>
        </w:rPr>
      </w:pPr>
      <w:r w:rsidRPr="00F559E3">
        <w:rPr>
          <w:szCs w:val="20"/>
        </w:rPr>
        <w:lastRenderedPageBreak/>
        <w:t>Table</w:t>
      </w:r>
      <w:r w:rsidR="004A4FDF" w:rsidRPr="00F559E3">
        <w:rPr>
          <w:szCs w:val="20"/>
        </w:rPr>
        <w:t> </w:t>
      </w:r>
      <w:r w:rsidR="0099088A" w:rsidRPr="00F559E3">
        <w:rPr>
          <w:szCs w:val="20"/>
        </w:rPr>
        <w:fldChar w:fldCharType="begin"/>
      </w:r>
      <w:r w:rsidR="0099088A" w:rsidRPr="00F559E3">
        <w:rPr>
          <w:szCs w:val="20"/>
        </w:rPr>
        <w:instrText xml:space="preserve"> SEQ Table \* ARABIC </w:instrText>
      </w:r>
      <w:r w:rsidR="0099088A" w:rsidRPr="00F559E3">
        <w:rPr>
          <w:szCs w:val="20"/>
        </w:rPr>
        <w:fldChar w:fldCharType="separate"/>
      </w:r>
      <w:r w:rsidR="006461F2">
        <w:rPr>
          <w:noProof/>
          <w:szCs w:val="20"/>
        </w:rPr>
        <w:t>4</w:t>
      </w:r>
      <w:r w:rsidR="0099088A" w:rsidRPr="00F559E3">
        <w:rPr>
          <w:noProof/>
          <w:szCs w:val="20"/>
        </w:rPr>
        <w:fldChar w:fldCharType="end"/>
      </w:r>
      <w:bookmarkEnd w:id="14"/>
      <w:bookmarkEnd w:id="15"/>
      <w:r w:rsidR="008C0E8B" w:rsidRPr="00F559E3">
        <w:rPr>
          <w:noProof/>
          <w:szCs w:val="20"/>
        </w:rPr>
        <w:t xml:space="preserve">: </w:t>
      </w:r>
      <w:r w:rsidR="006A1272" w:rsidRPr="00F559E3">
        <w:rPr>
          <w:rFonts w:cs="Arial"/>
          <w:szCs w:val="20"/>
        </w:rPr>
        <w:t>P</w:t>
      </w:r>
      <w:r w:rsidR="008C0E8B" w:rsidRPr="00F559E3">
        <w:rPr>
          <w:rFonts w:cs="Arial"/>
          <w:szCs w:val="20"/>
        </w:rPr>
        <w:t xml:space="preserve">roposed new MBS item descriptors for durable </w:t>
      </w:r>
      <w:r w:rsidR="00587F0F">
        <w:rPr>
          <w:rFonts w:cs="Arial"/>
          <w:szCs w:val="20"/>
        </w:rPr>
        <w:t>L</w:t>
      </w:r>
      <w:r w:rsidR="008C0E8B" w:rsidRPr="00F559E3">
        <w:rPr>
          <w:rFonts w:cs="Arial"/>
          <w:szCs w:val="20"/>
        </w:rPr>
        <w:t>VAD for DT</w:t>
      </w:r>
      <w:r w:rsidR="003328A9" w:rsidRPr="00F559E3">
        <w:rPr>
          <w:rFonts w:cs="Arial"/>
          <w:szCs w:val="20"/>
        </w:rPr>
        <w:t xml:space="preserve"> </w:t>
      </w:r>
      <w:r w:rsidR="006A1272" w:rsidRPr="00FF258D">
        <w:rPr>
          <w:szCs w:val="20"/>
        </w:rPr>
        <w:t xml:space="preserve">including edits based on ESC and MSAC advice on original submission (MSAC </w:t>
      </w:r>
      <w:r w:rsidR="00132CE1">
        <w:rPr>
          <w:szCs w:val="20"/>
        </w:rPr>
        <w:t>A</w:t>
      </w:r>
      <w:r w:rsidR="006A1272" w:rsidRPr="00FF258D">
        <w:rPr>
          <w:szCs w:val="20"/>
        </w:rPr>
        <w:t>pplication 1749)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58CC8D8B">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AF30" w14:textId="66FCB450" w:rsidR="003328A9" w:rsidRPr="00F12649" w:rsidRDefault="003328A9" w:rsidP="00824458">
            <w:pPr>
              <w:pStyle w:val="TableText"/>
              <w:rPr>
                <w:b/>
                <w:bCs/>
                <w:sz w:val="24"/>
              </w:rPr>
            </w:pPr>
            <w:r w:rsidRPr="00F12649">
              <w:rPr>
                <w:b/>
                <w:bCs/>
              </w:rPr>
              <w:t xml:space="preserve">Category </w:t>
            </w:r>
            <w:r w:rsidR="00F12649" w:rsidRPr="00F12649">
              <w:rPr>
                <w:b/>
                <w:bCs/>
              </w:rPr>
              <w:t>3 – Therapeutic Procedures</w:t>
            </w:r>
          </w:p>
        </w:tc>
      </w:tr>
      <w:tr w:rsidR="003328A9" w:rsidRPr="00CE28E3" w14:paraId="05A9B76F" w14:textId="77777777" w:rsidTr="58CC8D8B">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12E98" w14:textId="77777777" w:rsidR="00F12649" w:rsidRPr="00F12649" w:rsidRDefault="39BDC4AD" w:rsidP="00F12649">
            <w:pPr>
              <w:spacing w:after="120" w:line="240" w:lineRule="auto"/>
              <w:rPr>
                <w:rFonts w:ascii="Arial Narrow" w:hAnsi="Arial Narrow"/>
                <w:sz w:val="20"/>
                <w:szCs w:val="20"/>
                <w:lang w:val="en-US" w:eastAsia="ja-JP"/>
              </w:rPr>
            </w:pPr>
            <w:r w:rsidRPr="5327BA16">
              <w:rPr>
                <w:rFonts w:ascii="Arial Narrow" w:hAnsi="Arial Narrow"/>
                <w:sz w:val="20"/>
                <w:szCs w:val="20"/>
                <w:lang w:val="en-US" w:eastAsia="ja-JP"/>
              </w:rPr>
              <w:t>MBS item XXXX</w:t>
            </w:r>
          </w:p>
          <w:p w14:paraId="6ED580A4" w14:textId="3D64C0AD" w:rsidR="00F12649" w:rsidRPr="00F12649" w:rsidRDefault="39BDC4AD" w:rsidP="00F12649">
            <w:pPr>
              <w:spacing w:after="120" w:line="240" w:lineRule="auto"/>
              <w:rPr>
                <w:rFonts w:ascii="Arial Narrow" w:hAnsi="Arial Narrow"/>
                <w:sz w:val="20"/>
                <w:szCs w:val="20"/>
                <w:lang w:val="en-US" w:eastAsia="ja-JP"/>
              </w:rPr>
            </w:pPr>
            <w:r w:rsidRPr="58CC8D8B">
              <w:rPr>
                <w:rFonts w:ascii="Arial Narrow" w:hAnsi="Arial Narrow"/>
                <w:sz w:val="20"/>
                <w:szCs w:val="20"/>
                <w:lang w:val="en-US" w:eastAsia="ja-JP"/>
              </w:rPr>
              <w:t xml:space="preserve">Insertion of a </w:t>
            </w:r>
            <w:r w:rsidRPr="00587F0F">
              <w:rPr>
                <w:rFonts w:ascii="Arial Narrow" w:hAnsi="Arial Narrow"/>
                <w:sz w:val="20"/>
                <w:szCs w:val="20"/>
                <w:lang w:val="en-US" w:eastAsia="ja-JP"/>
              </w:rPr>
              <w:t xml:space="preserve">durable </w:t>
            </w:r>
            <w:r w:rsidRPr="0079297C">
              <w:rPr>
                <w:rFonts w:ascii="Arial Narrow" w:hAnsi="Arial Narrow"/>
                <w:sz w:val="20"/>
                <w:szCs w:val="20"/>
                <w:lang w:val="en-US" w:eastAsia="ja-JP"/>
              </w:rPr>
              <w:t>left</w:t>
            </w:r>
            <w:r w:rsidR="65F47C60" w:rsidRPr="58CC8D8B">
              <w:rPr>
                <w:rFonts w:ascii="Arial Narrow" w:hAnsi="Arial Narrow"/>
                <w:sz w:val="20"/>
                <w:szCs w:val="20"/>
                <w:lang w:val="en-US" w:eastAsia="ja-JP"/>
              </w:rPr>
              <w:t xml:space="preserve"> </w:t>
            </w:r>
            <w:r w:rsidRPr="58CC8D8B">
              <w:rPr>
                <w:rFonts w:ascii="Arial Narrow" w:hAnsi="Arial Narrow"/>
                <w:sz w:val="20"/>
                <w:szCs w:val="20"/>
                <w:lang w:val="en-US" w:eastAsia="ja-JP"/>
              </w:rPr>
              <w:t>ventricular assist device (</w:t>
            </w:r>
            <w:r w:rsidR="000124B3" w:rsidRPr="0079297C">
              <w:rPr>
                <w:rFonts w:ascii="Arial Narrow" w:hAnsi="Arial Narrow"/>
                <w:sz w:val="20"/>
                <w:szCs w:val="20"/>
                <w:lang w:val="en-US" w:eastAsia="ja-JP"/>
              </w:rPr>
              <w:t>L</w:t>
            </w:r>
            <w:r w:rsidR="00ED6CA5" w:rsidRPr="58CC8D8B">
              <w:rPr>
                <w:rFonts w:ascii="Arial Narrow" w:hAnsi="Arial Narrow"/>
                <w:sz w:val="20"/>
                <w:szCs w:val="20"/>
                <w:lang w:val="en-US" w:eastAsia="ja-JP"/>
              </w:rPr>
              <w:t>VAD</w:t>
            </w:r>
            <w:r w:rsidRPr="58CC8D8B">
              <w:rPr>
                <w:rFonts w:ascii="Arial Narrow" w:hAnsi="Arial Narrow"/>
                <w:sz w:val="20"/>
                <w:szCs w:val="20"/>
                <w:lang w:val="en-US" w:eastAsia="ja-JP"/>
              </w:rPr>
              <w:t>) capable of providing mechanical circulatory support for at least six months, in a</w:t>
            </w:r>
            <w:r w:rsidR="000124B3">
              <w:rPr>
                <w:rFonts w:ascii="Arial Narrow" w:hAnsi="Arial Narrow"/>
                <w:sz w:val="20"/>
                <w:szCs w:val="20"/>
                <w:lang w:val="en-US" w:eastAsia="ja-JP"/>
              </w:rPr>
              <w:t>n</w:t>
            </w:r>
            <w:r w:rsidRPr="58CC8D8B">
              <w:rPr>
                <w:rFonts w:ascii="Arial Narrow" w:hAnsi="Arial Narrow"/>
                <w:sz w:val="20"/>
                <w:szCs w:val="20"/>
                <w:lang w:val="en-US" w:eastAsia="ja-JP"/>
              </w:rPr>
              <w:t xml:space="preserve"> </w:t>
            </w:r>
            <w:r w:rsidR="000124B3">
              <w:rPr>
                <w:rFonts w:ascii="Arial Narrow" w:hAnsi="Arial Narrow"/>
                <w:sz w:val="20"/>
                <w:szCs w:val="20"/>
                <w:lang w:val="en-US" w:eastAsia="ja-JP"/>
              </w:rPr>
              <w:t>L</w:t>
            </w:r>
            <w:r w:rsidRPr="5327BA16">
              <w:rPr>
                <w:rFonts w:ascii="Arial Narrow" w:hAnsi="Arial Narrow"/>
                <w:sz w:val="20"/>
                <w:szCs w:val="20"/>
                <w:lang w:val="en-US" w:eastAsia="ja-JP"/>
              </w:rPr>
              <w:t>VAD</w:t>
            </w:r>
            <w:r w:rsidRPr="58CC8D8B">
              <w:rPr>
                <w:rFonts w:ascii="Arial Narrow" w:hAnsi="Arial Narrow"/>
                <w:sz w:val="20"/>
                <w:szCs w:val="20"/>
                <w:lang w:val="en-US" w:eastAsia="ja-JP"/>
              </w:rPr>
              <w:t xml:space="preserve"> Patient for use as:</w:t>
            </w:r>
          </w:p>
          <w:p w14:paraId="404D4623" w14:textId="15A07D4F" w:rsidR="00F12649" w:rsidRPr="00F12649" w:rsidRDefault="00F12649" w:rsidP="58CC8D8B">
            <w:pPr>
              <w:spacing w:after="120" w:line="240" w:lineRule="auto"/>
              <w:rPr>
                <w:rFonts w:ascii="Arial Narrow" w:hAnsi="Arial Narrow"/>
                <w:sz w:val="20"/>
                <w:szCs w:val="20"/>
                <w:lang w:val="en-US" w:eastAsia="ja-JP"/>
              </w:rPr>
            </w:pPr>
            <w:r w:rsidRPr="58CC8D8B">
              <w:rPr>
                <w:rFonts w:ascii="Arial Narrow" w:hAnsi="Arial Narrow"/>
                <w:sz w:val="20"/>
                <w:szCs w:val="20"/>
                <w:lang w:val="en-US" w:eastAsia="ja-JP"/>
              </w:rPr>
              <w:t>(a) destination therapy in the management of a patient with refractory heart failure, despite optimal medical management including device use where appropriate, with INTERMACS profile 1–4, who is not eligible for cardiac transplantation; and</w:t>
            </w:r>
          </w:p>
          <w:p w14:paraId="0FB50480" w14:textId="5D408C74" w:rsidR="00F12649" w:rsidRPr="00F12649" w:rsidRDefault="00F12649" w:rsidP="00F12649">
            <w:pPr>
              <w:spacing w:after="120" w:line="240" w:lineRule="auto"/>
              <w:rPr>
                <w:rFonts w:ascii="Arial Narrow" w:hAnsi="Arial Narrow"/>
                <w:sz w:val="20"/>
                <w:szCs w:val="20"/>
                <w:lang w:val="en-US" w:eastAsia="ja-JP"/>
              </w:rPr>
            </w:pPr>
            <w:r w:rsidRPr="58CC8D8B">
              <w:rPr>
                <w:rFonts w:ascii="Arial Narrow" w:hAnsi="Arial Narrow"/>
                <w:sz w:val="20"/>
                <w:szCs w:val="20"/>
                <w:lang w:val="en-US" w:eastAsia="ja-JP"/>
              </w:rPr>
              <w:t>(b) other than a service associated with a service to which item 11704, 11705, 11707, 11714, 18260, 33824, 38816, 38828 or 45503 applies. (H)</w:t>
            </w:r>
          </w:p>
          <w:p w14:paraId="2E7A4BC9" w14:textId="77777777" w:rsidR="00F12649" w:rsidRPr="00F12649" w:rsidRDefault="00F12649" w:rsidP="00F12649">
            <w:pPr>
              <w:spacing w:after="120" w:line="240" w:lineRule="auto"/>
              <w:rPr>
                <w:rFonts w:ascii="Arial Narrow" w:hAnsi="Arial Narrow"/>
                <w:sz w:val="20"/>
                <w:szCs w:val="20"/>
                <w:lang w:val="en-US" w:eastAsia="ja-JP"/>
              </w:rPr>
            </w:pPr>
            <w:r w:rsidRPr="00F12649">
              <w:rPr>
                <w:rFonts w:ascii="Arial Narrow" w:hAnsi="Arial Narrow"/>
                <w:sz w:val="20"/>
                <w:szCs w:val="20"/>
                <w:lang w:val="en-US" w:eastAsia="ja-JP"/>
              </w:rPr>
              <w:t>Includes all associated intra-operative imaging.</w:t>
            </w:r>
          </w:p>
          <w:p w14:paraId="24BA3B15" w14:textId="77777777" w:rsidR="00F12649" w:rsidRPr="00F12649" w:rsidRDefault="00F12649" w:rsidP="00F12649">
            <w:pPr>
              <w:spacing w:after="120" w:line="240" w:lineRule="auto"/>
              <w:rPr>
                <w:rFonts w:ascii="Arial Narrow" w:hAnsi="Arial Narrow"/>
                <w:sz w:val="20"/>
                <w:szCs w:val="20"/>
                <w:lang w:val="en-US" w:eastAsia="ja-JP"/>
              </w:rPr>
            </w:pPr>
            <w:r w:rsidRPr="00F12649">
              <w:rPr>
                <w:rFonts w:ascii="Arial Narrow" w:hAnsi="Arial Narrow"/>
                <w:sz w:val="20"/>
                <w:szCs w:val="20"/>
                <w:lang w:val="en-US" w:eastAsia="ja-JP"/>
              </w:rPr>
              <w:t>Multiple Operation Rule</w:t>
            </w:r>
          </w:p>
          <w:p w14:paraId="17795F09" w14:textId="77777777" w:rsidR="00F12649" w:rsidRDefault="00F12649" w:rsidP="00F12649">
            <w:pPr>
              <w:spacing w:after="120" w:line="240" w:lineRule="auto"/>
              <w:rPr>
                <w:rFonts w:ascii="Arial Narrow" w:hAnsi="Arial Narrow"/>
                <w:sz w:val="20"/>
                <w:szCs w:val="20"/>
                <w:lang w:val="en-US" w:eastAsia="ja-JP"/>
              </w:rPr>
            </w:pPr>
            <w:r w:rsidRPr="00F12649">
              <w:rPr>
                <w:rFonts w:ascii="Arial Narrow" w:hAnsi="Arial Narrow"/>
                <w:sz w:val="20"/>
                <w:szCs w:val="20"/>
                <w:lang w:val="en-US" w:eastAsia="ja-JP"/>
              </w:rPr>
              <w:t>(Anaes.) (Assist.)</w:t>
            </w:r>
          </w:p>
          <w:p w14:paraId="14D30084" w14:textId="2A20DA53" w:rsidR="00AF22CD" w:rsidRPr="00F12649" w:rsidRDefault="00AF22CD" w:rsidP="00F12649">
            <w:pPr>
              <w:spacing w:after="120" w:line="240" w:lineRule="auto"/>
              <w:rPr>
                <w:rFonts w:ascii="Arial Narrow" w:hAnsi="Arial Narrow"/>
                <w:sz w:val="20"/>
                <w:szCs w:val="20"/>
                <w:lang w:val="en-US" w:eastAsia="ja-JP"/>
              </w:rPr>
            </w:pPr>
            <w:r w:rsidRPr="00B92A2F">
              <w:rPr>
                <w:rFonts w:ascii="Arial Narrow" w:hAnsi="Arial Narrow"/>
                <w:sz w:val="20"/>
                <w:szCs w:val="20"/>
                <w:lang w:val="en-US" w:eastAsia="ja-JP"/>
              </w:rPr>
              <w:t>Once per lifetime</w:t>
            </w:r>
          </w:p>
          <w:p w14:paraId="263F9DE9" w14:textId="77777777" w:rsidR="00F12649" w:rsidRPr="00F12649" w:rsidRDefault="00F12649" w:rsidP="00F12649">
            <w:pPr>
              <w:spacing w:after="120" w:line="240" w:lineRule="auto"/>
              <w:rPr>
                <w:rFonts w:ascii="Arial Narrow" w:hAnsi="Arial Narrow"/>
                <w:sz w:val="20"/>
                <w:szCs w:val="20"/>
                <w:lang w:val="en-US" w:eastAsia="ja-JP"/>
              </w:rPr>
            </w:pPr>
            <w:r w:rsidRPr="00F12649">
              <w:rPr>
                <w:rFonts w:ascii="Arial Narrow" w:hAnsi="Arial Narrow"/>
                <w:sz w:val="20"/>
                <w:szCs w:val="20"/>
                <w:lang w:val="en-US" w:eastAsia="ja-JP"/>
              </w:rPr>
              <w:t>Fee: $1,745.25 Benefit: 75% = $1,308.95</w:t>
            </w:r>
          </w:p>
          <w:p w14:paraId="3EEC2DE6" w14:textId="7199AB9D" w:rsidR="003328A9" w:rsidRPr="00170D5B" w:rsidRDefault="39BDC4AD" w:rsidP="00F12649">
            <w:pPr>
              <w:spacing w:after="120" w:line="240" w:lineRule="auto"/>
              <w:rPr>
                <w:rFonts w:ascii="Arial Narrow" w:hAnsi="Arial Narrow"/>
                <w:sz w:val="20"/>
                <w:szCs w:val="20"/>
                <w:lang w:val="en-US" w:eastAsia="ja-JP"/>
              </w:rPr>
            </w:pPr>
            <w:r w:rsidRPr="5327BA16">
              <w:rPr>
                <w:rFonts w:ascii="Arial Narrow" w:hAnsi="Arial Narrow"/>
                <w:sz w:val="20"/>
                <w:szCs w:val="20"/>
                <w:lang w:val="en-US" w:eastAsia="ja-JP"/>
              </w:rPr>
              <w:t xml:space="preserve">(See </w:t>
            </w:r>
            <w:proofErr w:type="gramStart"/>
            <w:r w:rsidRPr="5327BA16">
              <w:rPr>
                <w:rFonts w:ascii="Arial Narrow" w:hAnsi="Arial Narrow"/>
                <w:sz w:val="20"/>
                <w:szCs w:val="20"/>
                <w:lang w:val="en-US" w:eastAsia="ja-JP"/>
              </w:rPr>
              <w:t>para TN.</w:t>
            </w:r>
            <w:proofErr w:type="gramEnd"/>
            <w:r w:rsidRPr="5327BA16">
              <w:rPr>
                <w:rFonts w:ascii="Arial Narrow" w:hAnsi="Arial Narrow"/>
                <w:sz w:val="20"/>
                <w:szCs w:val="20"/>
                <w:lang w:val="en-US" w:eastAsia="ja-JP"/>
              </w:rPr>
              <w:t>8.xx of explanatory notes to this Category)</w:t>
            </w:r>
          </w:p>
        </w:tc>
      </w:tr>
      <w:tr w:rsidR="003328A9" w:rsidRPr="005D749D" w14:paraId="190EE027" w14:textId="77777777" w:rsidTr="58CC8D8B">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C23F2" w14:textId="77777777" w:rsidR="00F12649" w:rsidRPr="00F12649" w:rsidRDefault="00F12649" w:rsidP="00F12649">
            <w:pPr>
              <w:pStyle w:val="TableText"/>
              <w:rPr>
                <w:szCs w:val="20"/>
              </w:rPr>
            </w:pPr>
            <w:r w:rsidRPr="00F12649">
              <w:rPr>
                <w:szCs w:val="20"/>
              </w:rPr>
              <w:t>Explanatory Note TN.8.xx</w:t>
            </w:r>
          </w:p>
          <w:p w14:paraId="2CFBEBC2" w14:textId="77777777" w:rsidR="00F12649" w:rsidRPr="00F12649" w:rsidRDefault="00F12649" w:rsidP="00F12649">
            <w:pPr>
              <w:pStyle w:val="TableText"/>
              <w:rPr>
                <w:szCs w:val="20"/>
              </w:rPr>
            </w:pPr>
            <w:r w:rsidRPr="00F12649">
              <w:rPr>
                <w:szCs w:val="20"/>
              </w:rPr>
              <w:t xml:space="preserve">Item </w:t>
            </w:r>
            <w:proofErr w:type="spellStart"/>
            <w:r w:rsidRPr="00F12649">
              <w:rPr>
                <w:szCs w:val="20"/>
              </w:rPr>
              <w:t>xxxx</w:t>
            </w:r>
            <w:proofErr w:type="spellEnd"/>
            <w:r w:rsidRPr="00F12649">
              <w:rPr>
                <w:szCs w:val="20"/>
              </w:rPr>
              <w:t xml:space="preserve"> must be performed using open exposure or minimally invasive surgery which excludes percutaneous and transcatheter techniques unless otherwise stated in the item.</w:t>
            </w:r>
          </w:p>
          <w:p w14:paraId="57903A15" w14:textId="64CC19EE" w:rsidR="00F12649" w:rsidRPr="00F12649" w:rsidRDefault="000124B3" w:rsidP="00F12649">
            <w:pPr>
              <w:pStyle w:val="TableText"/>
            </w:pPr>
            <w:r w:rsidRPr="0079297C">
              <w:t>L</w:t>
            </w:r>
            <w:r w:rsidR="00ED6CA5">
              <w:t>VAD</w:t>
            </w:r>
            <w:r w:rsidR="00F12649">
              <w:t xml:space="preserve"> Patient</w:t>
            </w:r>
          </w:p>
          <w:p w14:paraId="531111D7" w14:textId="127483F7" w:rsidR="00F12649" w:rsidRPr="00F12649" w:rsidRDefault="00F12649" w:rsidP="00F12649">
            <w:pPr>
              <w:pStyle w:val="TableText"/>
            </w:pPr>
            <w:r>
              <w:t xml:space="preserve">An </w:t>
            </w:r>
            <w:r w:rsidR="000124B3" w:rsidRPr="0079297C">
              <w:t>L</w:t>
            </w:r>
            <w:r w:rsidR="00ED6CA5">
              <w:t>VAD</w:t>
            </w:r>
            <w:r>
              <w:t xml:space="preserve"> Patient means a patient who, </w:t>
            </w:r>
            <w:proofErr w:type="gramStart"/>
            <w:r>
              <w:t>as a result of</w:t>
            </w:r>
            <w:proofErr w:type="gramEnd"/>
            <w:r>
              <w:t xml:space="preserve"> a</w:t>
            </w:r>
            <w:r w:rsidR="00FB296F">
              <w:t>n</w:t>
            </w:r>
            <w:r>
              <w:t xml:space="preserve"> </w:t>
            </w:r>
            <w:r w:rsidR="000124B3">
              <w:t>L</w:t>
            </w:r>
            <w:r>
              <w:t xml:space="preserve">VAD Case Conference, has been assessed as suitable for </w:t>
            </w:r>
            <w:r w:rsidR="000124B3" w:rsidRPr="0079297C">
              <w:t>L</w:t>
            </w:r>
            <w:r w:rsidR="00ED6CA5">
              <w:t>VAD</w:t>
            </w:r>
            <w:r>
              <w:t xml:space="preserve"> based on the following:</w:t>
            </w:r>
          </w:p>
          <w:p w14:paraId="3008ED8C" w14:textId="21A705C8" w:rsidR="00F12649" w:rsidRDefault="00F12649" w:rsidP="003F2B9C">
            <w:pPr>
              <w:pStyle w:val="TableText"/>
              <w:numPr>
                <w:ilvl w:val="0"/>
                <w:numId w:val="11"/>
              </w:numPr>
              <w:ind w:left="470" w:hanging="357"/>
              <w:rPr>
                <w:szCs w:val="20"/>
              </w:rPr>
            </w:pPr>
            <w:r w:rsidRPr="00F12649">
              <w:rPr>
                <w:szCs w:val="20"/>
              </w:rPr>
              <w:t>destination therapy in the management of a patient with refractory heart failure, despite optimal medical management including device use where appropriate, with INTERMACS profile 1–4, who is not eligible for cardiac transplantation.</w:t>
            </w:r>
          </w:p>
          <w:p w14:paraId="2FD931E6" w14:textId="77777777" w:rsidR="00F12649" w:rsidRPr="00F12649" w:rsidRDefault="00F12649" w:rsidP="00F12649">
            <w:pPr>
              <w:pStyle w:val="TableText"/>
              <w:rPr>
                <w:szCs w:val="20"/>
              </w:rPr>
            </w:pPr>
          </w:p>
          <w:p w14:paraId="618DE3F5" w14:textId="2548B549" w:rsidR="00F12649" w:rsidRPr="00F12649" w:rsidRDefault="00F12649" w:rsidP="00F12649">
            <w:pPr>
              <w:pStyle w:val="TableText"/>
              <w:rPr>
                <w:szCs w:val="20"/>
              </w:rPr>
            </w:pPr>
            <w:r w:rsidRPr="00F12649">
              <w:rPr>
                <w:szCs w:val="20"/>
              </w:rPr>
              <w:t xml:space="preserve">An </w:t>
            </w:r>
            <w:r w:rsidR="000124B3" w:rsidRPr="0079297C">
              <w:rPr>
                <w:szCs w:val="20"/>
              </w:rPr>
              <w:t>L</w:t>
            </w:r>
            <w:r w:rsidR="00ED6CA5" w:rsidRPr="00D74C1B">
              <w:rPr>
                <w:szCs w:val="20"/>
              </w:rPr>
              <w:t>VAD</w:t>
            </w:r>
            <w:r w:rsidRPr="00F12649">
              <w:rPr>
                <w:szCs w:val="20"/>
              </w:rPr>
              <w:t xml:space="preserve"> Case Conference is a process by which:</w:t>
            </w:r>
          </w:p>
          <w:p w14:paraId="0E8C8FA2" w14:textId="5F38C9CA" w:rsidR="00F12649" w:rsidRPr="00F12649" w:rsidRDefault="00F12649" w:rsidP="003F2B9C">
            <w:pPr>
              <w:pStyle w:val="TableText"/>
              <w:numPr>
                <w:ilvl w:val="0"/>
                <w:numId w:val="12"/>
              </w:numPr>
              <w:ind w:left="470" w:hanging="357"/>
              <w:rPr>
                <w:szCs w:val="20"/>
              </w:rPr>
            </w:pPr>
            <w:r w:rsidRPr="00F12649">
              <w:rPr>
                <w:szCs w:val="20"/>
              </w:rPr>
              <w:t>there is a team of 4 or more participants, where:</w:t>
            </w:r>
          </w:p>
          <w:p w14:paraId="5A0904DD" w14:textId="57C06E9E" w:rsidR="00F12649" w:rsidRPr="00F12649" w:rsidRDefault="009943B5" w:rsidP="00F12649">
            <w:pPr>
              <w:pStyle w:val="TableText"/>
              <w:rPr>
                <w:szCs w:val="20"/>
              </w:rPr>
            </w:pPr>
            <w:r>
              <w:rPr>
                <w:szCs w:val="20"/>
              </w:rPr>
              <w:t xml:space="preserve">          </w:t>
            </w:r>
            <w:r w:rsidR="00F12649" w:rsidRPr="00F12649">
              <w:rPr>
                <w:szCs w:val="20"/>
              </w:rPr>
              <w:t>(</w:t>
            </w:r>
            <w:proofErr w:type="spellStart"/>
            <w:r w:rsidR="00F12649" w:rsidRPr="00F12649">
              <w:rPr>
                <w:szCs w:val="20"/>
              </w:rPr>
              <w:t>i</w:t>
            </w:r>
            <w:proofErr w:type="spellEnd"/>
            <w:r w:rsidR="00F12649" w:rsidRPr="00F12649">
              <w:rPr>
                <w:szCs w:val="20"/>
              </w:rPr>
              <w:t>)</w:t>
            </w:r>
            <w:r w:rsidR="00F12649">
              <w:rPr>
                <w:szCs w:val="20"/>
              </w:rPr>
              <w:t xml:space="preserve">  </w:t>
            </w:r>
            <w:r w:rsidR="00F12649" w:rsidRPr="00F12649">
              <w:rPr>
                <w:szCs w:val="20"/>
              </w:rPr>
              <w:t>the first participant is a cardiothoracic surgeon</w:t>
            </w:r>
          </w:p>
          <w:p w14:paraId="25461AA6" w14:textId="3751A8C5" w:rsidR="00F12649" w:rsidRPr="00F12649" w:rsidRDefault="009943B5" w:rsidP="00F12649">
            <w:pPr>
              <w:pStyle w:val="TableText"/>
              <w:rPr>
                <w:szCs w:val="20"/>
              </w:rPr>
            </w:pPr>
            <w:r>
              <w:rPr>
                <w:szCs w:val="20"/>
              </w:rPr>
              <w:t xml:space="preserve">      </w:t>
            </w:r>
            <w:r w:rsidR="00F12649" w:rsidRPr="00F12649">
              <w:rPr>
                <w:szCs w:val="20"/>
              </w:rPr>
              <w:t>(ii)</w:t>
            </w:r>
            <w:r w:rsidR="00F12649">
              <w:rPr>
                <w:szCs w:val="20"/>
              </w:rPr>
              <w:t xml:space="preserve"> </w:t>
            </w:r>
            <w:r w:rsidR="00F12649" w:rsidRPr="00F12649">
              <w:rPr>
                <w:szCs w:val="20"/>
              </w:rPr>
              <w:t xml:space="preserve">the second participant is an intensive care specialist or consultant physician who does not perform a service described in item </w:t>
            </w:r>
            <w:proofErr w:type="spellStart"/>
            <w:r w:rsidR="00F12649" w:rsidRPr="00F12649">
              <w:rPr>
                <w:szCs w:val="20"/>
              </w:rPr>
              <w:t>xxxx</w:t>
            </w:r>
            <w:proofErr w:type="spellEnd"/>
            <w:r w:rsidR="00F12649" w:rsidRPr="00F12649">
              <w:rPr>
                <w:szCs w:val="20"/>
              </w:rPr>
              <w:t xml:space="preserve"> for the patient being assessed; and</w:t>
            </w:r>
          </w:p>
          <w:p w14:paraId="79EA9847" w14:textId="53F429F3" w:rsidR="00F12649" w:rsidRPr="00F12649" w:rsidRDefault="009943B5" w:rsidP="00F12649">
            <w:pPr>
              <w:pStyle w:val="TableText"/>
              <w:rPr>
                <w:szCs w:val="20"/>
              </w:rPr>
            </w:pPr>
            <w:r>
              <w:rPr>
                <w:szCs w:val="20"/>
              </w:rPr>
              <w:t xml:space="preserve">       </w:t>
            </w:r>
            <w:r w:rsidR="00F12649" w:rsidRPr="00F12649">
              <w:rPr>
                <w:szCs w:val="20"/>
              </w:rPr>
              <w:t>(iii)</w:t>
            </w:r>
            <w:r w:rsidR="00F12649">
              <w:rPr>
                <w:szCs w:val="20"/>
              </w:rPr>
              <w:t xml:space="preserve"> </w:t>
            </w:r>
            <w:r w:rsidR="00F12649" w:rsidRPr="00F12649">
              <w:rPr>
                <w:szCs w:val="20"/>
              </w:rPr>
              <w:t xml:space="preserve">the third participant is a transplant cardiologist who does not perform a service described in item </w:t>
            </w:r>
            <w:proofErr w:type="spellStart"/>
            <w:r w:rsidR="00F12649" w:rsidRPr="00F12649">
              <w:rPr>
                <w:szCs w:val="20"/>
              </w:rPr>
              <w:t>xxxx</w:t>
            </w:r>
            <w:proofErr w:type="spellEnd"/>
            <w:r w:rsidR="00F12649" w:rsidRPr="00F12649">
              <w:rPr>
                <w:szCs w:val="20"/>
              </w:rPr>
              <w:t xml:space="preserve"> for the patient being assessed; and</w:t>
            </w:r>
          </w:p>
          <w:p w14:paraId="47AF7F75" w14:textId="715F68AA" w:rsidR="00F12649" w:rsidRPr="00F12649" w:rsidRDefault="009943B5" w:rsidP="00F12649">
            <w:pPr>
              <w:pStyle w:val="TableText"/>
            </w:pPr>
            <w:r>
              <w:t xml:space="preserve">       </w:t>
            </w:r>
            <w:r w:rsidR="00F12649">
              <w:t xml:space="preserve">(iv) the fourth participant is a transplant coordinator or </w:t>
            </w:r>
            <w:r w:rsidR="000124B3" w:rsidRPr="0079297C">
              <w:t>L</w:t>
            </w:r>
            <w:r w:rsidR="00ED6CA5">
              <w:t>VAD</w:t>
            </w:r>
            <w:r w:rsidR="00F12649">
              <w:t xml:space="preserve"> coordinator; and</w:t>
            </w:r>
          </w:p>
          <w:p w14:paraId="10D602CF" w14:textId="743F35F8" w:rsidR="00F12649" w:rsidRPr="00F12649" w:rsidRDefault="009943B5" w:rsidP="00F12649">
            <w:pPr>
              <w:pStyle w:val="TableText"/>
            </w:pPr>
            <w:r>
              <w:t xml:space="preserve">        </w:t>
            </w:r>
            <w:r w:rsidR="00F12649">
              <w:t xml:space="preserve">(v) the first participant will perform the </w:t>
            </w:r>
            <w:r w:rsidR="000124B3" w:rsidRPr="0079297C">
              <w:t>L</w:t>
            </w:r>
            <w:r w:rsidR="00ED6CA5">
              <w:t>VAD</w:t>
            </w:r>
            <w:r w:rsidR="00F12649">
              <w:t xml:space="preserve"> procedure</w:t>
            </w:r>
          </w:p>
          <w:p w14:paraId="2709AF97" w14:textId="77777777" w:rsidR="00F12649" w:rsidRDefault="00F12649" w:rsidP="00F12649">
            <w:pPr>
              <w:pStyle w:val="TableText"/>
              <w:rPr>
                <w:szCs w:val="20"/>
              </w:rPr>
            </w:pPr>
          </w:p>
          <w:p w14:paraId="2F3E6CF9" w14:textId="4D95401F" w:rsidR="00F12649" w:rsidRPr="00F12649" w:rsidRDefault="00F12649" w:rsidP="003F2B9C">
            <w:pPr>
              <w:pStyle w:val="TableText"/>
              <w:numPr>
                <w:ilvl w:val="0"/>
                <w:numId w:val="11"/>
              </w:numPr>
              <w:ind w:left="470" w:hanging="357"/>
              <w:rPr>
                <w:szCs w:val="20"/>
              </w:rPr>
            </w:pPr>
            <w:r w:rsidRPr="00F12649">
              <w:rPr>
                <w:szCs w:val="20"/>
              </w:rPr>
              <w:t xml:space="preserve">the team assesses a patient’s risk and technical suitability to receive the service described in item </w:t>
            </w:r>
            <w:proofErr w:type="spellStart"/>
            <w:r w:rsidRPr="00F12649">
              <w:rPr>
                <w:szCs w:val="20"/>
              </w:rPr>
              <w:t>xxxx</w:t>
            </w:r>
            <w:proofErr w:type="spellEnd"/>
            <w:r w:rsidRPr="00F12649">
              <w:rPr>
                <w:szCs w:val="20"/>
              </w:rPr>
              <w:t xml:space="preserve">, </w:t>
            </w:r>
            <w:proofErr w:type="gramStart"/>
            <w:r w:rsidRPr="00F12649">
              <w:rPr>
                <w:szCs w:val="20"/>
              </w:rPr>
              <w:t>taking into account</w:t>
            </w:r>
            <w:proofErr w:type="gramEnd"/>
            <w:r w:rsidRPr="00F12649">
              <w:rPr>
                <w:szCs w:val="20"/>
              </w:rPr>
              <w:t xml:space="preserve"> matters such as:</w:t>
            </w:r>
          </w:p>
          <w:p w14:paraId="30ED3C0A" w14:textId="2EDB8054" w:rsidR="00F12649" w:rsidRPr="000124B3" w:rsidRDefault="009943B5" w:rsidP="00F12649">
            <w:pPr>
              <w:pStyle w:val="TableText"/>
              <w:rPr>
                <w:szCs w:val="20"/>
              </w:rPr>
            </w:pPr>
            <w:r>
              <w:rPr>
                <w:szCs w:val="20"/>
              </w:rPr>
              <w:t xml:space="preserve">         </w:t>
            </w:r>
            <w:r w:rsidR="00F12649" w:rsidRPr="00F12649">
              <w:rPr>
                <w:szCs w:val="20"/>
              </w:rPr>
              <w:t>(</w:t>
            </w:r>
            <w:proofErr w:type="spellStart"/>
            <w:r w:rsidR="00F12649" w:rsidRPr="00F12649">
              <w:rPr>
                <w:szCs w:val="20"/>
              </w:rPr>
              <w:t>i</w:t>
            </w:r>
            <w:proofErr w:type="spellEnd"/>
            <w:r w:rsidR="00F12649" w:rsidRPr="00F12649">
              <w:rPr>
                <w:szCs w:val="20"/>
              </w:rPr>
              <w:t>)</w:t>
            </w:r>
            <w:r w:rsidR="00F12649" w:rsidRPr="000124B3">
              <w:rPr>
                <w:szCs w:val="20"/>
              </w:rPr>
              <w:t xml:space="preserve"> the patient’s risk and technical suitability for a ventricular assist device implantation; and</w:t>
            </w:r>
          </w:p>
          <w:p w14:paraId="63F32670" w14:textId="54718028" w:rsidR="00F12649" w:rsidRPr="00AF22CD" w:rsidRDefault="009943B5" w:rsidP="00F12649">
            <w:pPr>
              <w:pStyle w:val="TableText"/>
              <w:rPr>
                <w:strike/>
                <w:szCs w:val="20"/>
              </w:rPr>
            </w:pPr>
            <w:r w:rsidRPr="000124B3">
              <w:rPr>
                <w:szCs w:val="20"/>
              </w:rPr>
              <w:t xml:space="preserve">         </w:t>
            </w:r>
            <w:r w:rsidR="00F12649" w:rsidRPr="0079297C">
              <w:rPr>
                <w:szCs w:val="20"/>
              </w:rPr>
              <w:t>(ii) the patient’s cognitive function</w:t>
            </w:r>
            <w:r w:rsidR="00F12649" w:rsidRPr="00AF22CD">
              <w:rPr>
                <w:strike/>
                <w:szCs w:val="20"/>
              </w:rPr>
              <w:t xml:space="preserve"> and frailty;</w:t>
            </w:r>
            <w:r w:rsidR="00F12649" w:rsidRPr="0079297C">
              <w:rPr>
                <w:szCs w:val="20"/>
              </w:rPr>
              <w:t xml:space="preserve"> and</w:t>
            </w:r>
          </w:p>
          <w:p w14:paraId="34BC1C20" w14:textId="52063543" w:rsidR="00F12649" w:rsidRPr="00F12649" w:rsidRDefault="00F12649" w:rsidP="003F2B9C">
            <w:pPr>
              <w:pStyle w:val="TableText"/>
              <w:numPr>
                <w:ilvl w:val="0"/>
                <w:numId w:val="11"/>
              </w:numPr>
              <w:ind w:left="470" w:hanging="357"/>
              <w:rPr>
                <w:szCs w:val="20"/>
              </w:rPr>
            </w:pPr>
            <w:r w:rsidRPr="00F12649">
              <w:rPr>
                <w:szCs w:val="20"/>
              </w:rPr>
              <w:t xml:space="preserve">the result of the assessment is that the team makes a recommendation about </w:t>
            </w:r>
            <w:proofErr w:type="gramStart"/>
            <w:r w:rsidRPr="00F12649">
              <w:rPr>
                <w:szCs w:val="20"/>
              </w:rPr>
              <w:t>whether or not</w:t>
            </w:r>
            <w:proofErr w:type="gramEnd"/>
            <w:r w:rsidRPr="00F12649">
              <w:rPr>
                <w:szCs w:val="20"/>
              </w:rPr>
              <w:t xml:space="preserve"> the patient is suitable to receive the service described in item </w:t>
            </w:r>
            <w:proofErr w:type="spellStart"/>
            <w:r w:rsidRPr="00F12649">
              <w:rPr>
                <w:szCs w:val="20"/>
              </w:rPr>
              <w:t>xxxx</w:t>
            </w:r>
            <w:proofErr w:type="spellEnd"/>
            <w:r w:rsidRPr="00F12649">
              <w:rPr>
                <w:szCs w:val="20"/>
              </w:rPr>
              <w:t>; and</w:t>
            </w:r>
          </w:p>
          <w:p w14:paraId="5AEEDFDC" w14:textId="68C781B8" w:rsidR="003328A9" w:rsidRPr="005D749D" w:rsidRDefault="00F12649" w:rsidP="003F2B9C">
            <w:pPr>
              <w:pStyle w:val="TableText"/>
              <w:numPr>
                <w:ilvl w:val="0"/>
                <w:numId w:val="11"/>
              </w:numPr>
              <w:ind w:left="470" w:hanging="357"/>
              <w:rPr>
                <w:szCs w:val="20"/>
              </w:rPr>
            </w:pPr>
            <w:r w:rsidRPr="00F12649">
              <w:rPr>
                <w:szCs w:val="20"/>
              </w:rPr>
              <w:t>the particulars of the assessment and recommendation are recorded in writing.</w:t>
            </w:r>
          </w:p>
        </w:tc>
      </w:tr>
    </w:tbl>
    <w:p w14:paraId="4CA2406B" w14:textId="380660CF" w:rsidR="009943B5" w:rsidRPr="006A1272" w:rsidRDefault="009943B5" w:rsidP="006A1272">
      <w:pPr>
        <w:pStyle w:val="Tablenotes"/>
      </w:pPr>
      <w:r w:rsidRPr="006A1272">
        <w:t xml:space="preserve">Source: Table 6, p18 of the MSAC </w:t>
      </w:r>
      <w:r w:rsidR="002A42A2">
        <w:t>A</w:t>
      </w:r>
      <w:r w:rsidRPr="006A1272">
        <w:t xml:space="preserve">pplication </w:t>
      </w:r>
      <w:r w:rsidR="009A5664">
        <w:t>1749 Resubmission</w:t>
      </w:r>
      <w:r w:rsidRPr="006A1272">
        <w:t xml:space="preserve"> ADAR</w:t>
      </w:r>
      <w:r w:rsidR="00314452">
        <w:t>.</w:t>
      </w:r>
    </w:p>
    <w:p w14:paraId="69BD9B11" w14:textId="0EE12014" w:rsidR="00AF22CD" w:rsidRPr="006A1272" w:rsidRDefault="006A1272" w:rsidP="006A1272">
      <w:pPr>
        <w:pStyle w:val="Tablenotes"/>
      </w:pPr>
      <w:r>
        <w:t xml:space="preserve">DT = Destination therapy; ESC = Evaluation subcommittee; </w:t>
      </w:r>
      <w:r w:rsidR="009943B5" w:rsidRPr="006A1272">
        <w:t>INTERMACS = Interagency Registry for Mechanically Assisted Circulatory Support;</w:t>
      </w:r>
      <w:r w:rsidR="006728F5">
        <w:t xml:space="preserve"> </w:t>
      </w:r>
      <w:r w:rsidR="00635D52">
        <w:t>L</w:t>
      </w:r>
      <w:r w:rsidR="00635D52" w:rsidRPr="006A1272">
        <w:t xml:space="preserve">VAD = </w:t>
      </w:r>
      <w:r w:rsidR="00635D52">
        <w:t>left</w:t>
      </w:r>
      <w:r w:rsidR="00635D52" w:rsidRPr="006A1272">
        <w:t xml:space="preserve"> ventricular assist device;</w:t>
      </w:r>
      <w:r w:rsidR="00635D52">
        <w:t xml:space="preserve"> </w:t>
      </w:r>
      <w:r w:rsidR="006728F5">
        <w:t>MBS = Medicare Benefits Schedule;</w:t>
      </w:r>
      <w:r w:rsidR="009943B5" w:rsidRPr="006A1272">
        <w:t xml:space="preserve"> </w:t>
      </w:r>
      <w:r>
        <w:t xml:space="preserve">MSAC = </w:t>
      </w:r>
      <w:r w:rsidRPr="006A1272">
        <w:t>Medical Services Advisory Committee</w:t>
      </w:r>
      <w:r>
        <w:t>;</w:t>
      </w:r>
      <w:r w:rsidRPr="006A1272">
        <w:t xml:space="preserve"> </w:t>
      </w:r>
      <w:r w:rsidR="009943B5" w:rsidRPr="006A1272">
        <w:t>TN = technical notes</w:t>
      </w:r>
    </w:p>
    <w:p w14:paraId="54AFCD09" w14:textId="4B4ADEB9" w:rsidR="006A1272" w:rsidRDefault="009943B5" w:rsidP="00DA4FB1">
      <w:pPr>
        <w:pStyle w:val="Tablenotes"/>
      </w:pPr>
      <w:r w:rsidRPr="006A1272">
        <w:t xml:space="preserve">Notes: </w:t>
      </w:r>
      <w:r w:rsidR="00AF22CD" w:rsidRPr="006A1272">
        <w:t>Yellow highlight indicates text added by the assessment group</w:t>
      </w:r>
      <w:r w:rsidR="006A1272" w:rsidRPr="006A1272">
        <w:t xml:space="preserve"> based on the MSAC advi</w:t>
      </w:r>
      <w:r w:rsidR="00455F83">
        <w:t>c</w:t>
      </w:r>
      <w:r w:rsidR="006A1272" w:rsidRPr="006A1272">
        <w:t>e on original submission</w:t>
      </w:r>
      <w:r w:rsidR="00AF22CD" w:rsidRPr="006A1272">
        <w:t>.</w:t>
      </w:r>
      <w:r w:rsidR="006A1272" w:rsidRPr="006A1272">
        <w:t xml:space="preserve"> </w:t>
      </w:r>
      <w:r w:rsidR="00AF22CD" w:rsidRPr="006A1272">
        <w:t>Strikethrough text indicates text deletions suggested by the assessment group</w:t>
      </w:r>
      <w:r w:rsidR="006A1272" w:rsidRPr="006A1272">
        <w:t xml:space="preserve"> based on the MSAC advi</w:t>
      </w:r>
      <w:r w:rsidR="00455F83">
        <w:t>c</w:t>
      </w:r>
      <w:r w:rsidR="006A1272" w:rsidRPr="006A1272">
        <w:t>e on original submission</w:t>
      </w:r>
      <w:r w:rsidR="00AF22CD" w:rsidRPr="006A1272">
        <w:t>.</w:t>
      </w:r>
    </w:p>
    <w:p w14:paraId="2AE54904" w14:textId="34CDB7A8" w:rsidR="00041F47" w:rsidRDefault="00041F47" w:rsidP="00E33F73">
      <w:pPr>
        <w:spacing w:before="240"/>
      </w:pPr>
      <w:r w:rsidRPr="006A7C1F">
        <w:lastRenderedPageBreak/>
        <w:t xml:space="preserve">At the April 2024 Meeting, MSAC </w:t>
      </w:r>
      <w:r w:rsidR="0074672C" w:rsidRPr="0074672C">
        <w:t xml:space="preserve">considered </w:t>
      </w:r>
      <w:r w:rsidR="00E8275A">
        <w:t xml:space="preserve">that </w:t>
      </w:r>
      <w:r w:rsidR="0074672C" w:rsidRPr="0074672C">
        <w:t xml:space="preserve">the MBS item for the initial insertion of </w:t>
      </w:r>
      <w:r w:rsidR="00587F0F">
        <w:t>L</w:t>
      </w:r>
      <w:r w:rsidR="0074672C" w:rsidRPr="0074672C">
        <w:t>VAD should be restricted to once per lifetime</w:t>
      </w:r>
      <w:r w:rsidR="0074672C" w:rsidRPr="006A7C1F">
        <w:t xml:space="preserve"> </w:t>
      </w:r>
      <w:r w:rsidR="0074672C">
        <w:t xml:space="preserve">and </w:t>
      </w:r>
      <w:r w:rsidR="00E8275A">
        <w:t>requested</w:t>
      </w:r>
      <w:r w:rsidR="00E8275A" w:rsidRPr="006A7C1F">
        <w:t xml:space="preserve"> </w:t>
      </w:r>
      <w:r w:rsidRPr="006A7C1F">
        <w:t xml:space="preserve">the applicant to provide a proposed MBS item descriptor for the re-implantation of </w:t>
      </w:r>
      <w:r w:rsidR="00FC5164">
        <w:t>a</w:t>
      </w:r>
      <w:r w:rsidR="00587F0F">
        <w:t>n</w:t>
      </w:r>
      <w:r w:rsidR="00FC5164">
        <w:t xml:space="preserve"> </w:t>
      </w:r>
      <w:r w:rsidR="00587F0F">
        <w:t>L</w:t>
      </w:r>
      <w:r w:rsidRPr="006A7C1F">
        <w:t>VAD for DT.</w:t>
      </w:r>
      <w:r w:rsidR="00F84BB3" w:rsidRPr="006A7C1F">
        <w:t xml:space="preserve"> </w:t>
      </w:r>
      <w:r w:rsidR="0074672C">
        <w:t xml:space="preserve">However, </w:t>
      </w:r>
      <w:r w:rsidR="000C1380">
        <w:t>t</w:t>
      </w:r>
      <w:r w:rsidR="000C1380" w:rsidRPr="0074672C">
        <w:t xml:space="preserve">he </w:t>
      </w:r>
      <w:r w:rsidR="0074672C" w:rsidRPr="0074672C">
        <w:t xml:space="preserve">proposed MBS item descriptor in the resubmission ADAR did not restrict </w:t>
      </w:r>
      <w:r w:rsidR="00E8275A">
        <w:t xml:space="preserve">implantation </w:t>
      </w:r>
      <w:r w:rsidR="0074672C" w:rsidRPr="0074672C">
        <w:t>to once per lifetime.</w:t>
      </w:r>
      <w:r w:rsidR="0074672C">
        <w:t xml:space="preserve"> </w:t>
      </w:r>
      <w:r w:rsidR="00E8275A">
        <w:t>The</w:t>
      </w:r>
      <w:r w:rsidR="0074672C">
        <w:t xml:space="preserve"> </w:t>
      </w:r>
      <w:bookmarkStart w:id="16" w:name="_Hlk178586927"/>
      <w:r w:rsidR="00AD68D4">
        <w:t xml:space="preserve">resubmission ADAR </w:t>
      </w:r>
      <w:r w:rsidR="007D4DC1">
        <w:t>also</w:t>
      </w:r>
      <w:r w:rsidR="00AD68D4">
        <w:t xml:space="preserve"> </w:t>
      </w:r>
      <w:bookmarkEnd w:id="16"/>
      <w:r w:rsidR="00E8275A">
        <w:t xml:space="preserve">argued </w:t>
      </w:r>
      <w:r w:rsidR="00AD68D4">
        <w:t xml:space="preserve">that </w:t>
      </w:r>
      <w:r w:rsidR="00F24714">
        <w:t xml:space="preserve">the incidence of device replacement </w:t>
      </w:r>
      <w:r w:rsidR="00F90F8E">
        <w:t>wa</w:t>
      </w:r>
      <w:r w:rsidR="00F24714">
        <w:t>s very low in recent devices based on evidence</w:t>
      </w:r>
      <w:r w:rsidR="00D671EF">
        <w:t xml:space="preserve"> from MOMENTUM 3 Extended Follow-up Study</w:t>
      </w:r>
      <w:r w:rsidR="00581080">
        <w:rPr>
          <w:vertAlign w:val="superscript"/>
        </w:rPr>
        <w:t>2</w:t>
      </w:r>
      <w:r w:rsidR="00D671EF">
        <w:t xml:space="preserve"> and Silbert et al., 2023</w:t>
      </w:r>
      <w:r w:rsidR="00A8461F">
        <w:rPr>
          <w:vertAlign w:val="superscript"/>
        </w:rPr>
        <w:t>3</w:t>
      </w:r>
      <w:r w:rsidR="00D671EF">
        <w:t>,</w:t>
      </w:r>
      <w:r w:rsidR="00F24714">
        <w:t xml:space="preserve"> and therefore, </w:t>
      </w:r>
      <w:r w:rsidR="00E8275A">
        <w:t xml:space="preserve">it </w:t>
      </w:r>
      <w:r w:rsidR="00F24714">
        <w:t>did not prop</w:t>
      </w:r>
      <w:r w:rsidR="00F24714" w:rsidRPr="00A72E11">
        <w:t xml:space="preserve">ose a separate MBS item for </w:t>
      </w:r>
      <w:r w:rsidR="00587F0F">
        <w:t>L</w:t>
      </w:r>
      <w:r w:rsidR="00E8275A">
        <w:t xml:space="preserve">VAD </w:t>
      </w:r>
      <w:r w:rsidR="00F24714" w:rsidRPr="00A72E11">
        <w:t xml:space="preserve">re-implantation. </w:t>
      </w:r>
      <w:r w:rsidR="00343E98">
        <w:t xml:space="preserve">The </w:t>
      </w:r>
      <w:r w:rsidR="00343E98" w:rsidRPr="00343E98">
        <w:t>resubmission ADAR</w:t>
      </w:r>
      <w:r w:rsidR="00343E98">
        <w:t xml:space="preserve"> </w:t>
      </w:r>
      <w:r w:rsidR="00E8275A">
        <w:t xml:space="preserve">noted </w:t>
      </w:r>
      <w:r w:rsidR="00343E98">
        <w:t>that the</w:t>
      </w:r>
      <w:r w:rsidR="00F24714" w:rsidRPr="00A72E11">
        <w:t xml:space="preserve"> MOMENTUM 3 Extended Follow-up Study</w:t>
      </w:r>
      <w:r w:rsidR="00A72E11" w:rsidRPr="00A72E11">
        <w:rPr>
          <w:rStyle w:val="FootnoteReference"/>
        </w:rPr>
        <w:footnoteReference w:id="4"/>
      </w:r>
      <w:r w:rsidR="00F24714" w:rsidRPr="00A72E11">
        <w:t xml:space="preserve"> reported 10 confirmed device malfunctions with one resulting in a transplant after driveline repair in the HM3 cohort and no incidents of device replacement over 5-years of follow-up.</w:t>
      </w:r>
      <w:r w:rsidR="006B4AE6">
        <w:t xml:space="preserve"> Also</w:t>
      </w:r>
      <w:r w:rsidRPr="006B4AE6">
        <w:t>, Silbert</w:t>
      </w:r>
      <w:r w:rsidR="00D671EF">
        <w:t xml:space="preserve"> et al.</w:t>
      </w:r>
      <w:r w:rsidR="00272C90">
        <w:t>,</w:t>
      </w:r>
      <w:r w:rsidRPr="006B4AE6">
        <w:t xml:space="preserve"> 2023</w:t>
      </w:r>
      <w:r w:rsidR="006B4AE6">
        <w:rPr>
          <w:rStyle w:val="FootnoteReference"/>
        </w:rPr>
        <w:footnoteReference w:id="5"/>
      </w:r>
      <w:r w:rsidRPr="006B4AE6">
        <w:t xml:space="preserve"> </w:t>
      </w:r>
      <w:r w:rsidR="006B4AE6" w:rsidRPr="006B4AE6">
        <w:t xml:space="preserve">study did not report any incidents of device replacement </w:t>
      </w:r>
      <w:r w:rsidRPr="006B4AE6">
        <w:t xml:space="preserve">among all eight </w:t>
      </w:r>
      <w:r w:rsidR="006B4AE6" w:rsidRPr="006B4AE6">
        <w:t xml:space="preserve">DT </w:t>
      </w:r>
      <w:r w:rsidRPr="006B4AE6">
        <w:t>patients</w:t>
      </w:r>
      <w:r w:rsidR="005735B4">
        <w:t xml:space="preserve">. Of note, this cohort </w:t>
      </w:r>
      <w:r w:rsidRPr="006B4AE6">
        <w:t>included the two longest surviving DT patients worldwide (11.3 and 10.5 years, both now deceased)</w:t>
      </w:r>
      <w:r w:rsidR="006B4AE6" w:rsidRPr="006B4AE6">
        <w:t>.</w:t>
      </w:r>
    </w:p>
    <w:p w14:paraId="372D40BE" w14:textId="309F9417" w:rsidR="00041F47" w:rsidRDefault="00D4168C" w:rsidP="0091313C">
      <w:r>
        <w:t>T</w:t>
      </w:r>
      <w:r w:rsidR="00AD68D4" w:rsidRPr="006A7C1F">
        <w:t xml:space="preserve">he resubmission ADAR claimed that the </w:t>
      </w:r>
      <w:r w:rsidR="00AD68D4" w:rsidRPr="0091313C">
        <w:t xml:space="preserve">consultation feedback from experts in the four adult </w:t>
      </w:r>
      <w:r w:rsidR="002D3DC1">
        <w:t>L</w:t>
      </w:r>
      <w:r w:rsidR="00AD68D4" w:rsidRPr="0091313C">
        <w:t>VAD implant centres in Australia were supportive of not having a separate MBS item for the re</w:t>
      </w:r>
      <w:r w:rsidR="00AD68D4" w:rsidRPr="00B92A2F">
        <w:rPr>
          <w:vertAlign w:val="subscript"/>
        </w:rPr>
        <w:t>-</w:t>
      </w:r>
      <w:r w:rsidR="00AD68D4" w:rsidRPr="0091313C">
        <w:t xml:space="preserve">implantation of </w:t>
      </w:r>
      <w:r w:rsidR="002D3DC1">
        <w:t>L</w:t>
      </w:r>
      <w:r w:rsidR="00AD68D4" w:rsidRPr="0091313C">
        <w:t>VAD for DT, given the need for reimplantation would be exceedingly rare and quoted</w:t>
      </w:r>
      <w:r w:rsidR="00B23B49" w:rsidRPr="00B23B49">
        <w:t xml:space="preserve"> </w:t>
      </w:r>
      <w:r w:rsidR="00B23B49" w:rsidRPr="0091313C">
        <w:t xml:space="preserve">from the clinicians survey </w:t>
      </w:r>
      <w:r w:rsidR="00AD68D4" w:rsidRPr="0091313C">
        <w:t xml:space="preserve">“The very vast majority of DT patients will not be suitable for a redo </w:t>
      </w:r>
      <w:r w:rsidR="002D3DC1">
        <w:t>L</w:t>
      </w:r>
      <w:r w:rsidR="00ED6CA5">
        <w:t>VAD</w:t>
      </w:r>
      <w:r w:rsidR="00AD68D4" w:rsidRPr="0091313C">
        <w:t xml:space="preserve"> and would under those circumstances follow a palliative pathway” (</w:t>
      </w:r>
      <w:r w:rsidR="006A1272">
        <w:t xml:space="preserve">MSAC </w:t>
      </w:r>
      <w:r w:rsidR="00695DF6">
        <w:t>A</w:t>
      </w:r>
      <w:r w:rsidR="006A1272">
        <w:t xml:space="preserve">pplication </w:t>
      </w:r>
      <w:r w:rsidR="009A5664">
        <w:t>1749 Resubmission ADAR</w:t>
      </w:r>
      <w:r w:rsidR="006A1272">
        <w:t xml:space="preserve"> </w:t>
      </w:r>
      <w:r w:rsidR="00AD68D4" w:rsidRPr="0091313C">
        <w:t>Attachment 2) to support the claim. However, the commentary noted that the</w:t>
      </w:r>
      <w:r w:rsidR="00AD68D4" w:rsidRPr="006A7C1F">
        <w:t xml:space="preserve"> survey of clinicians was focused on aftercare</w:t>
      </w:r>
      <w:r>
        <w:t xml:space="preserve"> costs. The commentary </w:t>
      </w:r>
      <w:r w:rsidR="00AD68D4" w:rsidRPr="006A7C1F">
        <w:t xml:space="preserve">could not </w:t>
      </w:r>
      <w:r>
        <w:t>identify</w:t>
      </w:r>
      <w:r w:rsidRPr="006A7C1F">
        <w:t xml:space="preserve"> </w:t>
      </w:r>
      <w:r w:rsidR="00AD68D4" w:rsidRPr="006A7C1F">
        <w:t xml:space="preserve">the details or quotes relevant </w:t>
      </w:r>
      <w:r>
        <w:t>to</w:t>
      </w:r>
      <w:r w:rsidRPr="006A7C1F">
        <w:t xml:space="preserve"> </w:t>
      </w:r>
      <w:r w:rsidR="00AD68D4" w:rsidRPr="006A7C1F">
        <w:t xml:space="preserve">the device replacement in Attachment 2 of the MSAC </w:t>
      </w:r>
      <w:r w:rsidR="00F43326">
        <w:t>A</w:t>
      </w:r>
      <w:r w:rsidR="00F43326" w:rsidRPr="006A7C1F">
        <w:t xml:space="preserve">pplication </w:t>
      </w:r>
      <w:r w:rsidR="009A5664">
        <w:t>1749 Resubmission ADAR</w:t>
      </w:r>
      <w:r w:rsidR="00AD68D4" w:rsidRPr="006A7C1F">
        <w:t>.</w:t>
      </w:r>
    </w:p>
    <w:p w14:paraId="72611C49" w14:textId="7500FE6F" w:rsidR="006A1272" w:rsidRDefault="00AC6314" w:rsidP="0091313C">
      <w:r>
        <w:t>The commentary considered that the</w:t>
      </w:r>
      <w:r w:rsidRPr="00AC6314">
        <w:t xml:space="preserve"> incidence of device replacement </w:t>
      </w:r>
      <w:r>
        <w:t xml:space="preserve">provided in the </w:t>
      </w:r>
      <w:r w:rsidRPr="00AC6314">
        <w:t xml:space="preserve">resubmission ADAR </w:t>
      </w:r>
      <w:r>
        <w:t xml:space="preserve">was underestimated </w:t>
      </w:r>
      <w:r w:rsidRPr="00506589">
        <w:t>(</w:t>
      </w:r>
      <w:r w:rsidR="00506589">
        <w:t>refer</w:t>
      </w:r>
      <w:r w:rsidR="00BB5AAE">
        <w:t xml:space="preserve"> </w:t>
      </w:r>
      <w:r w:rsidR="00D4168C">
        <w:t xml:space="preserve">to </w:t>
      </w:r>
      <w:r w:rsidR="00BB5AAE">
        <w:t>Sectio</w:t>
      </w:r>
      <w:r w:rsidR="00B817E2">
        <w:t>n 10:</w:t>
      </w:r>
      <w:r w:rsidR="00506589">
        <w:t xml:space="preserve"> </w:t>
      </w:r>
      <w:r w:rsidR="00506589">
        <w:fldChar w:fldCharType="begin"/>
      </w:r>
      <w:r w:rsidR="00506589">
        <w:instrText xml:space="preserve"> REF _Ref177550475 \h </w:instrText>
      </w:r>
      <w:r w:rsidR="00506589">
        <w:fldChar w:fldCharType="separate"/>
      </w:r>
      <w:r w:rsidR="00506589">
        <w:t>Incidence of device replacement</w:t>
      </w:r>
      <w:r w:rsidR="00506589">
        <w:fldChar w:fldCharType="end"/>
      </w:r>
      <w:r w:rsidR="00506589">
        <w:t>)</w:t>
      </w:r>
      <w:r w:rsidRPr="00506589">
        <w:t>.</w:t>
      </w:r>
      <w:r>
        <w:t xml:space="preserve"> </w:t>
      </w:r>
      <w:r w:rsidR="00284DB1">
        <w:t xml:space="preserve">The </w:t>
      </w:r>
      <w:r w:rsidR="00284DB1" w:rsidRPr="00AC6314">
        <w:t xml:space="preserve">resubmission ADAR </w:t>
      </w:r>
      <w:r w:rsidR="00284DB1">
        <w:t xml:space="preserve">considered pump thrombosis as the only reason for device replacement whereas device malfunction and infection could be </w:t>
      </w:r>
      <w:r w:rsidR="00D4168C">
        <w:t xml:space="preserve">other </w:t>
      </w:r>
      <w:r w:rsidR="00284DB1">
        <w:t>possible indications for device replacement.</w:t>
      </w:r>
      <w:r w:rsidR="000A178D">
        <w:rPr>
          <w:rStyle w:val="FootnoteReference"/>
        </w:rPr>
        <w:footnoteReference w:id="6"/>
      </w:r>
      <w:r>
        <w:t xml:space="preserve"> </w:t>
      </w:r>
      <w:r w:rsidR="007F6C04">
        <w:t xml:space="preserve">Therefore, </w:t>
      </w:r>
      <w:r w:rsidR="00284DB1">
        <w:t>there will be a cohort of</w:t>
      </w:r>
      <w:r w:rsidR="007F6C04">
        <w:t xml:space="preserve"> patients in the proposed population </w:t>
      </w:r>
      <w:r w:rsidR="00284DB1">
        <w:t xml:space="preserve">who </w:t>
      </w:r>
      <w:r w:rsidR="007F6C04">
        <w:t xml:space="preserve">would require device replacement and </w:t>
      </w:r>
      <w:r w:rsidR="00A67564">
        <w:t>an</w:t>
      </w:r>
      <w:r w:rsidR="007F6C04">
        <w:t xml:space="preserve"> </w:t>
      </w:r>
      <w:r w:rsidR="007F6C04" w:rsidRPr="006A7C1F">
        <w:t>MBS item for the re-implantation of a</w:t>
      </w:r>
      <w:r w:rsidR="002D3DC1">
        <w:t>n</w:t>
      </w:r>
      <w:r w:rsidR="007F6C04" w:rsidRPr="006A7C1F">
        <w:t xml:space="preserve"> </w:t>
      </w:r>
      <w:r w:rsidR="002D3DC1">
        <w:t>L</w:t>
      </w:r>
      <w:r w:rsidR="007F6C04" w:rsidRPr="006A7C1F">
        <w:t>VAD for DT</w:t>
      </w:r>
      <w:r w:rsidR="007F6C04">
        <w:t xml:space="preserve"> will be </w:t>
      </w:r>
      <w:r w:rsidR="00D4168C">
        <w:t xml:space="preserve">required </w:t>
      </w:r>
      <w:r w:rsidR="007F6C04">
        <w:t>as the</w:t>
      </w:r>
      <w:r w:rsidR="007F6C04" w:rsidRPr="007F6C04">
        <w:t xml:space="preserve"> proposed MBS item descriptor</w:t>
      </w:r>
      <w:r w:rsidR="00D4168C">
        <w:t xml:space="preserve"> restricts</w:t>
      </w:r>
      <w:r w:rsidR="007F6C04" w:rsidRPr="007F6C04">
        <w:t xml:space="preserve"> </w:t>
      </w:r>
      <w:r w:rsidR="00D4168C">
        <w:t>implantation</w:t>
      </w:r>
      <w:r w:rsidR="007F6C04">
        <w:t xml:space="preserve"> for once per lifetime.</w:t>
      </w:r>
    </w:p>
    <w:p w14:paraId="56C81E21" w14:textId="422DDE7D" w:rsidR="00591366" w:rsidRDefault="00916F4A" w:rsidP="00591366">
      <w:r>
        <w:t xml:space="preserve">Of note, there are three MBS items currently available </w:t>
      </w:r>
      <w:r w:rsidR="003E4154">
        <w:t xml:space="preserve">relevant </w:t>
      </w:r>
      <w:r>
        <w:t xml:space="preserve">for the </w:t>
      </w:r>
      <w:r w:rsidRPr="00591366">
        <w:t>removal of</w:t>
      </w:r>
      <w:r w:rsidR="001E0BE6">
        <w:t xml:space="preserve">, </w:t>
      </w:r>
      <w:r w:rsidRPr="00591366">
        <w:t>adjustment</w:t>
      </w:r>
      <w:r w:rsidR="001E0BE6">
        <w:t xml:space="preserve"> of,</w:t>
      </w:r>
      <w:r w:rsidRPr="00591366">
        <w:t xml:space="preserve"> or repositioning of </w:t>
      </w:r>
      <w:proofErr w:type="gramStart"/>
      <w:r w:rsidR="002D3DC1">
        <w:t>L</w:t>
      </w:r>
      <w:r w:rsidRPr="00591366">
        <w:t>VAD;</w:t>
      </w:r>
      <w:proofErr w:type="gramEnd"/>
    </w:p>
    <w:p w14:paraId="46A048AB" w14:textId="45D9FCE8" w:rsidR="00EB0D7B" w:rsidRPr="003E4154" w:rsidRDefault="00916F4A" w:rsidP="00591366">
      <w:pPr>
        <w:pStyle w:val="Bullet"/>
        <w:rPr>
          <w:rFonts w:ascii="Franklin Gothic Book" w:hAnsi="Franklin Gothic Book"/>
        </w:rPr>
      </w:pPr>
      <w:r w:rsidRPr="003E4154">
        <w:rPr>
          <w:rFonts w:ascii="Franklin Gothic Book" w:hAnsi="Franklin Gothic Book"/>
        </w:rPr>
        <w:t xml:space="preserve">MBS item 38621: </w:t>
      </w:r>
      <w:r w:rsidR="00EB0D7B" w:rsidRPr="003E4154">
        <w:rPr>
          <w:rFonts w:ascii="Franklin Gothic Book" w:hAnsi="Franklin Gothic Book"/>
        </w:rPr>
        <w:t>Left or right </w:t>
      </w:r>
      <w:r w:rsidR="00EB0D7B" w:rsidRPr="003E4154">
        <w:rPr>
          <w:rStyle w:val="highlight"/>
          <w:rFonts w:ascii="Franklin Gothic Book" w:hAnsi="Franklin Gothic Book" w:cs="Helvetica"/>
          <w:color w:val="000000"/>
          <w:szCs w:val="20"/>
        </w:rPr>
        <w:t>ventricular</w:t>
      </w:r>
      <w:r w:rsidR="00EB0D7B" w:rsidRPr="003E4154">
        <w:rPr>
          <w:rFonts w:ascii="Franklin Gothic Book" w:hAnsi="Franklin Gothic Book"/>
        </w:rPr>
        <w:t> </w:t>
      </w:r>
      <w:r w:rsidR="00EB0D7B" w:rsidRPr="003E4154">
        <w:rPr>
          <w:rStyle w:val="highlight"/>
          <w:rFonts w:ascii="Franklin Gothic Book" w:hAnsi="Franklin Gothic Book" w:cs="Helvetica"/>
          <w:color w:val="000000"/>
          <w:szCs w:val="20"/>
        </w:rPr>
        <w:t>assist</w:t>
      </w:r>
      <w:r w:rsidR="00EB0D7B" w:rsidRPr="003E4154">
        <w:rPr>
          <w:rFonts w:ascii="Franklin Gothic Book" w:hAnsi="Franklin Gothic Book"/>
        </w:rPr>
        <w:t> device, removal of, as an independent procedure, other than a service associated with a service to which item 11704, 11705, 11707, 11714, 18260, 33824, 38627, 38816, 38828 or 45503 applies (H).</w:t>
      </w:r>
    </w:p>
    <w:p w14:paraId="58955A46" w14:textId="3FAFF746" w:rsidR="00EB0D7B" w:rsidRPr="003E4154" w:rsidRDefault="00916F4A" w:rsidP="00591366">
      <w:pPr>
        <w:pStyle w:val="Bullet"/>
        <w:rPr>
          <w:rFonts w:ascii="Franklin Gothic Book" w:hAnsi="Franklin Gothic Book"/>
        </w:rPr>
      </w:pPr>
      <w:r w:rsidRPr="003E4154">
        <w:rPr>
          <w:rFonts w:ascii="Franklin Gothic Book" w:hAnsi="Franklin Gothic Book"/>
        </w:rPr>
        <w:t>MBS item 38624:</w:t>
      </w:r>
      <w:r w:rsidR="00EB0D7B" w:rsidRPr="003E4154">
        <w:rPr>
          <w:rFonts w:ascii="Franklin Gothic Book" w:hAnsi="Franklin Gothic Book"/>
        </w:rPr>
        <w:t> Left and right </w:t>
      </w:r>
      <w:r w:rsidR="00EB0D7B" w:rsidRPr="003E4154">
        <w:rPr>
          <w:rStyle w:val="highlight"/>
          <w:rFonts w:ascii="Franklin Gothic Book" w:hAnsi="Franklin Gothic Book" w:cs="Helvetica"/>
          <w:color w:val="000000"/>
          <w:szCs w:val="20"/>
        </w:rPr>
        <w:t>ventricular</w:t>
      </w:r>
      <w:r w:rsidR="00EB0D7B" w:rsidRPr="003E4154">
        <w:rPr>
          <w:rFonts w:ascii="Franklin Gothic Book" w:hAnsi="Franklin Gothic Book"/>
        </w:rPr>
        <w:t> </w:t>
      </w:r>
      <w:r w:rsidR="00EB0D7B" w:rsidRPr="003E4154">
        <w:rPr>
          <w:rStyle w:val="highlight"/>
          <w:rFonts w:ascii="Franklin Gothic Book" w:hAnsi="Franklin Gothic Book" w:cs="Helvetica"/>
          <w:color w:val="000000"/>
          <w:szCs w:val="20"/>
        </w:rPr>
        <w:t>assist</w:t>
      </w:r>
      <w:r w:rsidR="00EB0D7B" w:rsidRPr="003E4154">
        <w:rPr>
          <w:rFonts w:ascii="Franklin Gothic Book" w:hAnsi="Franklin Gothic Book"/>
        </w:rPr>
        <w:t> device, removal of, as an independent procedure, other than a service associated with a service to which item 11704, 11705, 11707, 11714, 18260, 33824, 38627, 38816, 38828 or 45503 applies (H)</w:t>
      </w:r>
    </w:p>
    <w:p w14:paraId="282B440A" w14:textId="5306DEE4" w:rsidR="004C68E7" w:rsidRDefault="00916F4A" w:rsidP="004C68E7">
      <w:pPr>
        <w:pStyle w:val="Bullet"/>
        <w:rPr>
          <w:rFonts w:ascii="Franklin Gothic Book" w:eastAsia="Times New Roman" w:hAnsi="Franklin Gothic Book"/>
          <w:lang w:eastAsia="en-AU"/>
        </w:rPr>
      </w:pPr>
      <w:r w:rsidRPr="003E4154">
        <w:rPr>
          <w:rFonts w:ascii="Franklin Gothic Book" w:eastAsia="Times New Roman" w:hAnsi="Franklin Gothic Book"/>
          <w:lang w:eastAsia="en-AU"/>
        </w:rPr>
        <w:t xml:space="preserve">MBS item 38627: </w:t>
      </w:r>
      <w:r w:rsidR="00EB0D7B" w:rsidRPr="003E4154">
        <w:rPr>
          <w:rFonts w:ascii="Franklin Gothic Book" w:eastAsia="Times New Roman" w:hAnsi="Franklin Gothic Book"/>
          <w:lang w:eastAsia="en-AU"/>
        </w:rPr>
        <w:t>Extra-corporeal membrane oxygenation, bypass or </w:t>
      </w:r>
      <w:r w:rsidR="00EB0D7B" w:rsidRPr="003E4154">
        <w:rPr>
          <w:rFonts w:ascii="Franklin Gothic Book" w:eastAsia="Times New Roman" w:hAnsi="Franklin Gothic Book"/>
          <w:color w:val="000000"/>
          <w:lang w:eastAsia="en-AU"/>
        </w:rPr>
        <w:t>ventricular</w:t>
      </w:r>
      <w:r w:rsidR="00EB0D7B" w:rsidRPr="003E4154">
        <w:rPr>
          <w:rFonts w:ascii="Franklin Gothic Book" w:eastAsia="Times New Roman" w:hAnsi="Franklin Gothic Book"/>
          <w:lang w:eastAsia="en-AU"/>
        </w:rPr>
        <w:t> </w:t>
      </w:r>
      <w:r w:rsidR="00EB0D7B" w:rsidRPr="003E4154">
        <w:rPr>
          <w:rFonts w:ascii="Franklin Gothic Book" w:eastAsia="Times New Roman" w:hAnsi="Franklin Gothic Book"/>
          <w:color w:val="000000"/>
          <w:lang w:eastAsia="en-AU"/>
        </w:rPr>
        <w:t>assist</w:t>
      </w:r>
      <w:r w:rsidR="00EB0D7B" w:rsidRPr="003E4154">
        <w:rPr>
          <w:rFonts w:ascii="Franklin Gothic Book" w:eastAsia="Times New Roman" w:hAnsi="Franklin Gothic Book"/>
          <w:lang w:eastAsia="en-AU"/>
        </w:rPr>
        <w:t xml:space="preserve"> device </w:t>
      </w:r>
      <w:proofErr w:type="spellStart"/>
      <w:r w:rsidR="00EB0D7B" w:rsidRPr="003E4154">
        <w:rPr>
          <w:rFonts w:ascii="Franklin Gothic Book" w:eastAsia="Times New Roman" w:hAnsi="Franklin Gothic Book"/>
          <w:lang w:eastAsia="en-AU"/>
        </w:rPr>
        <w:t>cannulae</w:t>
      </w:r>
      <w:proofErr w:type="spellEnd"/>
      <w:r w:rsidR="00EB0D7B" w:rsidRPr="003E4154">
        <w:rPr>
          <w:rFonts w:ascii="Franklin Gothic Book" w:eastAsia="Times New Roman" w:hAnsi="Franklin Gothic Book"/>
          <w:lang w:eastAsia="en-AU"/>
        </w:rPr>
        <w:t>, adjustment and re-positioning of, by open operation, in patients supported by these devices, other than a service associated with a service to which item 11704, 11705, 11707, 11714, 18260, 33824, 38627, 38816, 38828 or 45503 applies</w:t>
      </w:r>
    </w:p>
    <w:p w14:paraId="7996FD8E" w14:textId="02F931AF" w:rsidR="004C68E7" w:rsidRPr="004C68E7" w:rsidRDefault="004C68E7" w:rsidP="00D74C1B">
      <w:pPr>
        <w:rPr>
          <w:lang w:eastAsia="en-AU"/>
        </w:rPr>
      </w:pPr>
      <w:r w:rsidRPr="00966AEE">
        <w:rPr>
          <w:lang w:eastAsia="en-AU"/>
        </w:rPr>
        <w:lastRenderedPageBreak/>
        <w:t>MSAC advi</w:t>
      </w:r>
      <w:r w:rsidR="005F734B" w:rsidRPr="00966AEE">
        <w:rPr>
          <w:lang w:eastAsia="en-AU"/>
        </w:rPr>
        <w:t>c</w:t>
      </w:r>
      <w:r w:rsidRPr="00966AEE">
        <w:rPr>
          <w:lang w:eastAsia="en-AU"/>
        </w:rPr>
        <w:t xml:space="preserve">e </w:t>
      </w:r>
      <w:r w:rsidR="00A36AD3">
        <w:rPr>
          <w:lang w:eastAsia="en-AU"/>
        </w:rPr>
        <w:t>was</w:t>
      </w:r>
      <w:r w:rsidR="00A36AD3" w:rsidRPr="00966AEE">
        <w:rPr>
          <w:lang w:eastAsia="en-AU"/>
        </w:rPr>
        <w:t xml:space="preserve"> </w:t>
      </w:r>
      <w:r w:rsidRPr="00966AEE">
        <w:rPr>
          <w:lang w:eastAsia="en-AU"/>
        </w:rPr>
        <w:t xml:space="preserve">sought whether the new descriptor for re-implantation of </w:t>
      </w:r>
      <w:r w:rsidR="00587F0F" w:rsidRPr="00966AEE">
        <w:rPr>
          <w:lang w:eastAsia="en-AU"/>
        </w:rPr>
        <w:t>L</w:t>
      </w:r>
      <w:r w:rsidRPr="00966AEE">
        <w:rPr>
          <w:lang w:eastAsia="en-AU"/>
        </w:rPr>
        <w:t>VAD for DT</w:t>
      </w:r>
      <w:r w:rsidR="00162946" w:rsidRPr="00966AEE">
        <w:rPr>
          <w:lang w:eastAsia="en-AU"/>
        </w:rPr>
        <w:t xml:space="preserve"> </w:t>
      </w:r>
      <w:r w:rsidR="00F35667" w:rsidRPr="00966AEE">
        <w:rPr>
          <w:lang w:eastAsia="en-AU"/>
        </w:rPr>
        <w:t>should refer to the above items.</w:t>
      </w:r>
    </w:p>
    <w:p w14:paraId="34E0B08F" w14:textId="73447BA8" w:rsidR="00772829" w:rsidRPr="00CE28E3" w:rsidRDefault="00E33F73" w:rsidP="002A18BE">
      <w:pPr>
        <w:pStyle w:val="Heading2"/>
        <w:numPr>
          <w:ilvl w:val="0"/>
          <w:numId w:val="0"/>
        </w:numPr>
      </w:pPr>
      <w:bookmarkStart w:id="17" w:name="_Toc69491419"/>
      <w:r>
        <w:t>7</w:t>
      </w:r>
      <w:r w:rsidR="00C36633">
        <w:t>.</w:t>
      </w:r>
      <w:r w:rsidR="00C36633">
        <w:tab/>
      </w:r>
      <w:r w:rsidR="00772829" w:rsidRPr="00CE28E3">
        <w:t>Population</w:t>
      </w:r>
      <w:bookmarkEnd w:id="17"/>
      <w:r w:rsidR="00772829" w:rsidRPr="00CE28E3">
        <w:t xml:space="preserve"> </w:t>
      </w:r>
    </w:p>
    <w:p w14:paraId="3876DB1E" w14:textId="0AC25E31" w:rsidR="008E204D" w:rsidRPr="007C488A" w:rsidRDefault="008E204D" w:rsidP="008E204D">
      <w:pPr>
        <w:jc w:val="both"/>
      </w:pPr>
      <w:r w:rsidRPr="007C488A">
        <w:t xml:space="preserve">The proposed population </w:t>
      </w:r>
      <w:r>
        <w:t xml:space="preserve">in the </w:t>
      </w:r>
      <w:r w:rsidR="00A67564">
        <w:t>original</w:t>
      </w:r>
      <w:r>
        <w:t xml:space="preserve"> </w:t>
      </w:r>
      <w:r w:rsidR="00C57723">
        <w:t xml:space="preserve">submission </w:t>
      </w:r>
      <w:r w:rsidR="00A67564">
        <w:t>ADAR</w:t>
      </w:r>
      <w:r>
        <w:t xml:space="preserve"> was </w:t>
      </w:r>
      <w:r w:rsidRPr="007C488A">
        <w:t xml:space="preserve">patients with advanced HF despite OMM, with INTERMACS profile 1–4, who are not eligible for cardiac transplantation and in whom </w:t>
      </w:r>
      <w:r w:rsidR="00A75C5D">
        <w:t>a</w:t>
      </w:r>
      <w:r w:rsidR="0027016B">
        <w:t>n</w:t>
      </w:r>
      <w:r w:rsidR="00A75C5D">
        <w:t xml:space="preserve"> L</w:t>
      </w:r>
      <w:r w:rsidR="00ED6CA5">
        <w:t>VAD</w:t>
      </w:r>
      <w:r w:rsidRPr="007C488A">
        <w:t xml:space="preserve"> is used as DT (i.e., final therapy). </w:t>
      </w:r>
      <w:r>
        <w:t>The resubmission ADAR did not suggest any changes to the proposed population.</w:t>
      </w:r>
    </w:p>
    <w:p w14:paraId="00A5CA3D" w14:textId="13BC587E" w:rsidR="00C83336" w:rsidRDefault="00C83336" w:rsidP="00CD3238">
      <w:pPr>
        <w:jc w:val="both"/>
        <w:rPr>
          <w:highlight w:val="yellow"/>
        </w:rPr>
      </w:pPr>
      <w:r w:rsidRPr="00C83336">
        <w:t xml:space="preserve">MSAC </w:t>
      </w:r>
      <w:r>
        <w:t>noted that</w:t>
      </w:r>
      <w:r w:rsidRPr="00C83336">
        <w:t xml:space="preserve"> the prognosis for this population to be very poor and there was a high clinical need for the proposed patient population who are on OMM with no other treatment alternatives, as determined by a multidisciplinary team</w:t>
      </w:r>
      <w:r>
        <w:t xml:space="preserve"> (MSAC 1749 PSD, pg3)</w:t>
      </w:r>
      <w:r w:rsidRPr="00C83336">
        <w:t>.</w:t>
      </w:r>
    </w:p>
    <w:p w14:paraId="66BDFCC1" w14:textId="782730AD" w:rsidR="00772829" w:rsidRPr="00CE28E3" w:rsidRDefault="00E33F73" w:rsidP="002A18BE">
      <w:pPr>
        <w:pStyle w:val="Heading2"/>
        <w:numPr>
          <w:ilvl w:val="0"/>
          <w:numId w:val="0"/>
        </w:numPr>
      </w:pPr>
      <w:bookmarkStart w:id="18" w:name="_Toc69491420"/>
      <w:r>
        <w:t>8</w:t>
      </w:r>
      <w:r w:rsidR="00C36633">
        <w:t>.</w:t>
      </w:r>
      <w:r w:rsidR="00C36633">
        <w:tab/>
      </w:r>
      <w:r w:rsidR="00772829" w:rsidRPr="00CE28E3">
        <w:t>Comparator</w:t>
      </w:r>
      <w:bookmarkEnd w:id="18"/>
    </w:p>
    <w:p w14:paraId="6BA4F214" w14:textId="188084B2" w:rsidR="00841F83" w:rsidRDefault="00841F83" w:rsidP="00841F83">
      <w:r w:rsidRPr="00841F83">
        <w:t>The OMM</w:t>
      </w:r>
      <w:r>
        <w:t xml:space="preserve">, which is also </w:t>
      </w:r>
      <w:r w:rsidRPr="00841F83">
        <w:t>referred to as guideline directed medical therapy (GDMT) or optimal medical therapy (OMT)</w:t>
      </w:r>
      <w:r>
        <w:t>,</w:t>
      </w:r>
      <w:r w:rsidRPr="00841F83">
        <w:t xml:space="preserve"> </w:t>
      </w:r>
      <w:r>
        <w:t xml:space="preserve">was </w:t>
      </w:r>
      <w:r w:rsidRPr="00841F83">
        <w:t xml:space="preserve">the </w:t>
      </w:r>
      <w:r>
        <w:t xml:space="preserve">proposed </w:t>
      </w:r>
      <w:r w:rsidRPr="00841F83">
        <w:t xml:space="preserve">comparator to insertion of </w:t>
      </w:r>
      <w:r w:rsidR="004729D8">
        <w:t>a</w:t>
      </w:r>
      <w:r w:rsidR="000A3D16">
        <w:t>n</w:t>
      </w:r>
      <w:r w:rsidR="004729D8">
        <w:t xml:space="preserve"> </w:t>
      </w:r>
      <w:r w:rsidR="00003857">
        <w:t>L</w:t>
      </w:r>
      <w:r w:rsidR="00ED6CA5">
        <w:t>VAD</w:t>
      </w:r>
      <w:r w:rsidRPr="00841F83">
        <w:t xml:space="preserve"> as DT. </w:t>
      </w:r>
      <w:r w:rsidR="00A07EC5">
        <w:t xml:space="preserve">The OMM can include quadruple pharmacological treatments with renin-angiotensin-system inhibitors, beta blockers, mineralocorticoid receptor antagonists and sodium glucose cotransporter 2 (SGLT2) inhibitors; and non-pharmacological interventions such as pacing, angioplasty, hemofiltration and ventilation. </w:t>
      </w:r>
      <w:r w:rsidRPr="00841F83">
        <w:t xml:space="preserve">The comparator is consistent with </w:t>
      </w:r>
      <w:r>
        <w:t xml:space="preserve">the </w:t>
      </w:r>
      <w:r w:rsidR="00A67564">
        <w:t xml:space="preserve">original </w:t>
      </w:r>
      <w:r w:rsidR="003A16C8">
        <w:t xml:space="preserve">submission </w:t>
      </w:r>
      <w:r w:rsidR="00A67564">
        <w:t>ADAR</w:t>
      </w:r>
      <w:r w:rsidR="00D731DB">
        <w:t>.</w:t>
      </w:r>
    </w:p>
    <w:p w14:paraId="6FDB3A64" w14:textId="6C03AA94" w:rsidR="00E33F73" w:rsidRPr="00E33F73" w:rsidRDefault="00E33F73" w:rsidP="00E33F73">
      <w:pPr>
        <w:pStyle w:val="Heading2"/>
        <w:numPr>
          <w:ilvl w:val="0"/>
          <w:numId w:val="0"/>
        </w:numPr>
      </w:pPr>
      <w:bookmarkStart w:id="19" w:name="_Toc69491421"/>
      <w:r>
        <w:t>9.</w:t>
      </w:r>
      <w:r>
        <w:tab/>
      </w:r>
      <w:r w:rsidRPr="003F6F2A">
        <w:t>Summary of public consultation input</w:t>
      </w:r>
      <w:bookmarkEnd w:id="19"/>
    </w:p>
    <w:p w14:paraId="750F87D7" w14:textId="32D59389" w:rsidR="00E33F73" w:rsidRPr="00F04739" w:rsidRDefault="00CD740B" w:rsidP="00841F83">
      <w:pPr>
        <w:rPr>
          <w:rFonts w:cstheme="minorHAnsi"/>
          <w:iCs/>
        </w:rPr>
      </w:pPr>
      <w:r w:rsidRPr="00F04739">
        <w:rPr>
          <w:rStyle w:val="InstructionalTextChar0"/>
          <w:iCs/>
          <w:color w:val="auto"/>
          <w:sz w:val="22"/>
        </w:rPr>
        <w:t xml:space="preserve">Refer to the </w:t>
      </w:r>
      <w:hyperlink r:id="rId21" w:tooltip="Link to the MSAC website 1749 webpage" w:history="1">
        <w:r w:rsidRPr="00AB5B81">
          <w:rPr>
            <w:rStyle w:val="Hyperlink"/>
            <w:rFonts w:cstheme="minorHAnsi"/>
            <w:iCs/>
          </w:rPr>
          <w:t xml:space="preserve">April 2024 </w:t>
        </w:r>
        <w:r w:rsidR="00F04739" w:rsidRPr="00AB5B81">
          <w:rPr>
            <w:rStyle w:val="Hyperlink"/>
            <w:rFonts w:cstheme="minorHAnsi"/>
            <w:iCs/>
          </w:rPr>
          <w:t>PSD</w:t>
        </w:r>
      </w:hyperlink>
      <w:r w:rsidR="00F04739" w:rsidRPr="00F04739">
        <w:rPr>
          <w:rStyle w:val="InstructionalTextChar0"/>
          <w:iCs/>
          <w:color w:val="auto"/>
          <w:sz w:val="22"/>
        </w:rPr>
        <w:t xml:space="preserve"> on the MSAC website.</w:t>
      </w:r>
    </w:p>
    <w:p w14:paraId="03C7A1F1" w14:textId="3EB4AF2E" w:rsidR="00772829" w:rsidRPr="00CE28E3" w:rsidRDefault="00E33F73" w:rsidP="002A18BE">
      <w:pPr>
        <w:pStyle w:val="Heading2"/>
        <w:numPr>
          <w:ilvl w:val="0"/>
          <w:numId w:val="0"/>
        </w:numPr>
      </w:pPr>
      <w:bookmarkStart w:id="20" w:name="_Toc69491422"/>
      <w:r>
        <w:t>10</w:t>
      </w:r>
      <w:r w:rsidR="00C36633">
        <w:t>.</w:t>
      </w:r>
      <w:r w:rsidR="00C36633">
        <w:tab/>
      </w:r>
      <w:r w:rsidR="00772829" w:rsidRPr="00CE28E3">
        <w:t>Characteristics of the evidence base</w:t>
      </w:r>
      <w:bookmarkEnd w:id="20"/>
    </w:p>
    <w:p w14:paraId="6ECB5566" w14:textId="16D7BE3C" w:rsidR="00841F83" w:rsidRPr="00883A56" w:rsidRDefault="00841F83" w:rsidP="00EB1D6B">
      <w:r w:rsidRPr="002A2D80">
        <w:t xml:space="preserve">The resubmission </w:t>
      </w:r>
      <w:r w:rsidR="00A07EC5">
        <w:t xml:space="preserve">ADAR </w:t>
      </w:r>
      <w:r w:rsidRPr="002A2D80">
        <w:t xml:space="preserve">did not present any new </w:t>
      </w:r>
      <w:r w:rsidR="005F734B">
        <w:t xml:space="preserve">clinical </w:t>
      </w:r>
      <w:r w:rsidRPr="002A2D80">
        <w:t xml:space="preserve">evidence comparing HM3 with OMM other than the evidence provided in the </w:t>
      </w:r>
      <w:r w:rsidR="00A67564" w:rsidRPr="00A67564">
        <w:t xml:space="preserve">original </w:t>
      </w:r>
      <w:r w:rsidR="00090BBF">
        <w:t xml:space="preserve">submission </w:t>
      </w:r>
      <w:r w:rsidR="00A67564" w:rsidRPr="00A67564">
        <w:t>ADAR</w:t>
      </w:r>
      <w:r w:rsidR="00D731DB">
        <w:t xml:space="preserve">. </w:t>
      </w:r>
      <w:r w:rsidR="00C62798" w:rsidRPr="00C62798">
        <w:t>MSAC noted that the clinical evidence for the original submission ADAR was based on indirect treatment comparisons (ITC) derived from three randomised controlled trials (RCTs; MOMENTUM3</w:t>
      </w:r>
      <w:r w:rsidR="00C62798">
        <w:rPr>
          <w:rStyle w:val="FootnoteReference"/>
        </w:rPr>
        <w:footnoteReference w:id="7"/>
      </w:r>
      <w:r w:rsidR="00C62798" w:rsidRPr="00C62798">
        <w:t xml:space="preserve"> , Slaughter et al., 2009</w:t>
      </w:r>
      <w:r w:rsidR="00C62798">
        <w:rPr>
          <w:rStyle w:val="FootnoteReference"/>
        </w:rPr>
        <w:footnoteReference w:id="8"/>
      </w:r>
      <w:r w:rsidR="00C62798" w:rsidRPr="00C62798">
        <w:t xml:space="preserve"> , REMATCH</w:t>
      </w:r>
      <w:r w:rsidR="00C62798">
        <w:rPr>
          <w:rStyle w:val="FootnoteReference"/>
        </w:rPr>
        <w:footnoteReference w:id="9"/>
      </w:r>
      <w:r w:rsidR="00C62798" w:rsidRPr="00C62798">
        <w:t xml:space="preserve"> ) and one observational study (ROADMAP)</w:t>
      </w:r>
      <w:r w:rsidR="00C62798">
        <w:rPr>
          <w:rStyle w:val="FootnoteReference"/>
        </w:rPr>
        <w:footnoteReference w:id="10"/>
      </w:r>
      <w:r w:rsidR="00C62798" w:rsidRPr="00C62798">
        <w:t xml:space="preserve"> .</w:t>
      </w:r>
    </w:p>
    <w:p w14:paraId="79F57556" w14:textId="22356D11" w:rsidR="00EB1D6B" w:rsidRPr="00FF258D" w:rsidRDefault="00EB1D6B" w:rsidP="003F2B9C">
      <w:pPr>
        <w:pStyle w:val="ListParagraph"/>
        <w:numPr>
          <w:ilvl w:val="0"/>
          <w:numId w:val="10"/>
        </w:numPr>
      </w:pPr>
      <w:r w:rsidRPr="00D74C1B">
        <w:t xml:space="preserve">Two-step Bucher ITC (REMATCH): </w:t>
      </w:r>
      <w:r w:rsidRPr="00FF258D">
        <w:t xml:space="preserve">an ITC of HM3 versus OMM constructed via HM2 and HM XVE (via Slaughter </w:t>
      </w:r>
      <w:r w:rsidR="00FF258D">
        <w:t xml:space="preserve">et al., </w:t>
      </w:r>
      <w:r w:rsidRPr="00FF258D">
        <w:t>2009; REMATCH and MOMENTUM 3)</w:t>
      </w:r>
      <w:r w:rsidR="00871A3C">
        <w:t>.</w:t>
      </w:r>
    </w:p>
    <w:p w14:paraId="0D23F89F" w14:textId="001F01C3" w:rsidR="00EB1D6B" w:rsidRPr="00FF258D" w:rsidRDefault="00EB1D6B" w:rsidP="003F2B9C">
      <w:pPr>
        <w:pStyle w:val="ListParagraph"/>
        <w:numPr>
          <w:ilvl w:val="0"/>
          <w:numId w:val="10"/>
        </w:numPr>
      </w:pPr>
      <w:r w:rsidRPr="00D74C1B">
        <w:t>One-step Bucher ITC (ROADMAP):</w:t>
      </w:r>
      <w:r w:rsidRPr="00FF258D">
        <w:t xml:space="preserve"> an ITC of HM3 versus OMM constructed via HM2 (based on MOMENTUM 3 and the ROADMAP observational study). </w:t>
      </w:r>
    </w:p>
    <w:p w14:paraId="0056E2D2" w14:textId="76A5F486" w:rsidR="00EB1D6B" w:rsidRDefault="00EB1D6B" w:rsidP="003F2B9C">
      <w:pPr>
        <w:pStyle w:val="ListParagraph"/>
        <w:numPr>
          <w:ilvl w:val="0"/>
          <w:numId w:val="10"/>
        </w:numPr>
      </w:pPr>
      <w:r w:rsidRPr="00D74C1B">
        <w:lastRenderedPageBreak/>
        <w:t>Naïve comparison:</w:t>
      </w:r>
      <w:r w:rsidRPr="00871A3C">
        <w:t xml:space="preserve"> a</w:t>
      </w:r>
      <w:r w:rsidRPr="00FF258D">
        <w:t xml:space="preserve"> naïve comparison of HM3 (from MOMENTUM 3, 98% of the patients were INTERMACS 1–4) versus OMM (primarily from REMATCH, suggestive of INTERMACS profiles 1–3)</w:t>
      </w:r>
      <w:r w:rsidR="0035721F">
        <w:t>.</w:t>
      </w:r>
    </w:p>
    <w:p w14:paraId="624A5028" w14:textId="30E16D2D" w:rsidR="0035721F" w:rsidRDefault="0035721F" w:rsidP="0035721F">
      <w:r>
        <w:t xml:space="preserve">At </w:t>
      </w:r>
      <w:r w:rsidR="00EA72DC">
        <w:t>its</w:t>
      </w:r>
      <w:r>
        <w:t xml:space="preserve"> April 2024 Meeting, MSAC noted that there were differences in study characteristics that affect the transitivity of the ITC including the intent of treatment (i.e., DT), INTERMACS scores, follow-up duration, and differences in the demographics of participants.</w:t>
      </w:r>
    </w:p>
    <w:p w14:paraId="255F144C" w14:textId="77777777" w:rsidR="00B82E12" w:rsidRDefault="0035721F" w:rsidP="00B82E12">
      <w:r w:rsidRPr="00B82E12">
        <w:t>MSAC also noted two ongoing RCTs (</w:t>
      </w:r>
      <w:proofErr w:type="spellStart"/>
      <w:r w:rsidRPr="00B82E12">
        <w:t>SweVAD</w:t>
      </w:r>
      <w:proofErr w:type="spellEnd"/>
      <w:r w:rsidRPr="00B82E12">
        <w:t xml:space="preserve"> and AMBU-VAD), comparing efficacy and safety of HM3 and OMM, are</w:t>
      </w:r>
      <w:r w:rsidR="00FF6A16" w:rsidRPr="00B82E12">
        <w:t xml:space="preserve"> </w:t>
      </w:r>
      <w:r w:rsidRPr="00B82E12">
        <w:t>in the recruitment phase. However, the resubmission ADAR stated that these two ongoing RCTs are still in the recruitment phase, hence no new data available at the time of writing this resubmission</w:t>
      </w:r>
      <w:r w:rsidR="00736116" w:rsidRPr="00B82E12">
        <w:t>.</w:t>
      </w:r>
      <w:bookmarkStart w:id="21" w:name="Table_2:_Key_features_of_the_included_ev"/>
      <w:bookmarkStart w:id="22" w:name="_bookmark0"/>
      <w:bookmarkEnd w:id="21"/>
      <w:bookmarkEnd w:id="22"/>
    </w:p>
    <w:p w14:paraId="57AE46E6" w14:textId="559184ED" w:rsidR="008E6C25" w:rsidRPr="00CE28E3" w:rsidRDefault="00E33F73" w:rsidP="008E6C25">
      <w:pPr>
        <w:pStyle w:val="Heading2"/>
        <w:numPr>
          <w:ilvl w:val="0"/>
          <w:numId w:val="0"/>
        </w:numPr>
      </w:pPr>
      <w:r>
        <w:t>11</w:t>
      </w:r>
      <w:r w:rsidR="008E6C25">
        <w:t>.</w:t>
      </w:r>
      <w:r w:rsidR="008E6C25">
        <w:tab/>
      </w:r>
      <w:r w:rsidR="008E6C25" w:rsidRPr="00CE28E3">
        <w:t xml:space="preserve">Comparative </w:t>
      </w:r>
      <w:r w:rsidR="008E6C25">
        <w:t>safety</w:t>
      </w:r>
    </w:p>
    <w:p w14:paraId="62BC3A74" w14:textId="593D055B" w:rsidR="00E809E0" w:rsidRPr="00D70052" w:rsidRDefault="00917ADD" w:rsidP="0035721F">
      <w:pPr>
        <w:jc w:val="both"/>
      </w:pPr>
      <w:r>
        <w:t xml:space="preserve">The </w:t>
      </w:r>
      <w:r w:rsidR="00895F50">
        <w:t xml:space="preserve">original </w:t>
      </w:r>
      <w:r w:rsidR="00545A6E">
        <w:t xml:space="preserve">submission </w:t>
      </w:r>
      <w:r w:rsidR="00895F50">
        <w:t>ADAR</w:t>
      </w:r>
      <w:r>
        <w:t xml:space="preserve"> presented all cause adverse events (all cause AEs) and serious adverse events (SAEs) as the main safety outcomes</w:t>
      </w:r>
      <w:r w:rsidR="0035721F">
        <w:t xml:space="preserve"> and the</w:t>
      </w:r>
      <w:r w:rsidR="00895F50" w:rsidRPr="00D70052">
        <w:t xml:space="preserve"> safety claim was mainly based on the two-step Bucher ITC of HM3 vs OMM (via HM2 and HM XVE). </w:t>
      </w:r>
    </w:p>
    <w:p w14:paraId="542E8B91" w14:textId="5AD894F3" w:rsidR="00E809E0" w:rsidRDefault="00E809E0" w:rsidP="006C70E6">
      <w:r w:rsidRPr="008F0759">
        <w:t xml:space="preserve">At the April 2024 meeting, MSAC considered that </w:t>
      </w:r>
      <w:r>
        <w:t xml:space="preserve">the original </w:t>
      </w:r>
      <w:r w:rsidR="002C56BA">
        <w:t xml:space="preserve">submission </w:t>
      </w:r>
      <w:r>
        <w:t>ADAR safety</w:t>
      </w:r>
      <w:r w:rsidRPr="008F0759">
        <w:t xml:space="preserve"> claim</w:t>
      </w:r>
      <w:r w:rsidR="00B267D4">
        <w:t>,</w:t>
      </w:r>
      <w:r w:rsidRPr="008F0759">
        <w:t xml:space="preserve"> that the device has inferior safety compared to OMM</w:t>
      </w:r>
      <w:r w:rsidR="00B267D4">
        <w:t>, was</w:t>
      </w:r>
      <w:r w:rsidRPr="008F0759">
        <w:t xml:space="preserve"> reasonable. However, MSAC considered that the safety analysis was limited due to </w:t>
      </w:r>
      <w:r w:rsidR="00B267D4">
        <w:t xml:space="preserve">the </w:t>
      </w:r>
      <w:r w:rsidRPr="008F0759">
        <w:t>indirect nature of the clinical evidence provided</w:t>
      </w:r>
      <w:r>
        <w:t>,</w:t>
      </w:r>
      <w:r w:rsidRPr="008F0759">
        <w:t xml:space="preserve"> the differences in the characteristics of the trials affect the transitivity of the studies in the ITC and the inconsistent/under-reporting of adverse events and hospitalisations in the trials</w:t>
      </w:r>
      <w:r>
        <w:t xml:space="preserve"> (MSAC 1749 PSD</w:t>
      </w:r>
      <w:r w:rsidR="00530CCA">
        <w:t>,</w:t>
      </w:r>
      <w:r>
        <w:t xml:space="preserve"> </w:t>
      </w:r>
      <w:r w:rsidR="00530CCA">
        <w:t>p</w:t>
      </w:r>
      <w:r>
        <w:t>g4)</w:t>
      </w:r>
      <w:r w:rsidRPr="008F0759">
        <w:t xml:space="preserve">. </w:t>
      </w:r>
    </w:p>
    <w:p w14:paraId="3717AA01" w14:textId="56684A13" w:rsidR="00772829" w:rsidRPr="00CE28E3" w:rsidRDefault="00E33F73" w:rsidP="002A18BE">
      <w:pPr>
        <w:pStyle w:val="Heading2"/>
        <w:numPr>
          <w:ilvl w:val="0"/>
          <w:numId w:val="0"/>
        </w:numPr>
      </w:pPr>
      <w:bookmarkStart w:id="23" w:name="_Toc69491424"/>
      <w:r>
        <w:t>12</w:t>
      </w:r>
      <w:r w:rsidR="00C36633">
        <w:t>.</w:t>
      </w:r>
      <w:r w:rsidR="00C36633">
        <w:tab/>
      </w:r>
      <w:r w:rsidR="00772829" w:rsidRPr="00CE28E3">
        <w:t>Comparative effectiveness</w:t>
      </w:r>
      <w:bookmarkEnd w:id="23"/>
    </w:p>
    <w:p w14:paraId="1E34293D" w14:textId="7C144647" w:rsidR="008634D1" w:rsidRPr="008634D1" w:rsidRDefault="0035721F" w:rsidP="006C70E6">
      <w:r>
        <w:t xml:space="preserve">Overall survival (OS) was the </w:t>
      </w:r>
      <w:r w:rsidR="0008358E" w:rsidRPr="006B698A">
        <w:t>primary effectiveness outcome presented in the</w:t>
      </w:r>
      <w:r w:rsidR="001177C1">
        <w:t xml:space="preserve"> original submission</w:t>
      </w:r>
      <w:r w:rsidR="0008358E" w:rsidRPr="006B698A">
        <w:t xml:space="preserve"> ADAR. </w:t>
      </w:r>
      <w:r w:rsidR="008634D1">
        <w:t>However</w:t>
      </w:r>
      <w:r w:rsidR="008634D1" w:rsidRPr="008634D1">
        <w:t xml:space="preserve">, the definition of OS across the included trials </w:t>
      </w:r>
      <w:bookmarkStart w:id="24" w:name="_Hlk155789880"/>
      <w:bookmarkStart w:id="25" w:name="_Hlk155776337"/>
      <w:r w:rsidR="008634D1" w:rsidRPr="008634D1">
        <w:t>were not consistent</w:t>
      </w:r>
      <w:r w:rsidR="008634D1">
        <w:t xml:space="preserve">. </w:t>
      </w:r>
      <w:r w:rsidR="008634D1" w:rsidRPr="008634D1">
        <w:t>OS data in the MOMENTUM 3 trial, REMATCH trial and Slaughter</w:t>
      </w:r>
      <w:r w:rsidR="00FF258D">
        <w:t xml:space="preserve"> et al., </w:t>
      </w:r>
      <w:r w:rsidR="008634D1" w:rsidRPr="008634D1">
        <w:t xml:space="preserve">2009 trial was based on the actuarial survival (i.e., defined as all-cause mortality in as-treated population). In contrast, the OS data from ROADMAP was based on event-free survival of as-treated population, defined as patients received </w:t>
      </w:r>
      <w:r w:rsidR="00587F0F">
        <w:t>L</w:t>
      </w:r>
      <w:r w:rsidR="00ED6CA5">
        <w:t>VAD</w:t>
      </w:r>
      <w:r w:rsidR="008634D1" w:rsidRPr="008634D1">
        <w:t xml:space="preserve"> as DT free of urgent heart transplant or explant, and OMM patients free of </w:t>
      </w:r>
      <w:r w:rsidR="00587F0F">
        <w:t>L</w:t>
      </w:r>
      <w:r w:rsidR="00ED6CA5">
        <w:t>VAD</w:t>
      </w:r>
      <w:r w:rsidR="008634D1" w:rsidRPr="008634D1">
        <w:t xml:space="preserve"> or urgent heart transplant.</w:t>
      </w:r>
      <w:r w:rsidR="001177C1">
        <w:t xml:space="preserve"> </w:t>
      </w:r>
      <w:r w:rsidR="001177C1" w:rsidRPr="001177C1">
        <w:t xml:space="preserve">The secondary outcomes </w:t>
      </w:r>
      <w:r w:rsidR="0024007C">
        <w:t>(</w:t>
      </w:r>
      <w:r w:rsidR="001177C1" w:rsidRPr="001177C1">
        <w:t xml:space="preserve">i.e., functional status </w:t>
      </w:r>
      <w:r w:rsidR="0074627F">
        <w:t>[</w:t>
      </w:r>
      <w:r w:rsidR="001177C1" w:rsidRPr="001177C1">
        <w:t xml:space="preserve">as assessed by NYHA classification </w:t>
      </w:r>
      <w:r w:rsidR="00A14ADD">
        <w:t xml:space="preserve">and </w:t>
      </w:r>
      <w:proofErr w:type="gramStart"/>
      <w:r w:rsidR="0074627F">
        <w:t>six minute</w:t>
      </w:r>
      <w:proofErr w:type="gramEnd"/>
      <w:r w:rsidR="0074627F">
        <w:t xml:space="preserve"> walking test] and quality of life outcomes [as assessed by EQ-5D VAS]</w:t>
      </w:r>
      <w:r w:rsidR="0024007C">
        <w:t>)</w:t>
      </w:r>
      <w:r w:rsidR="001177C1" w:rsidRPr="001177C1">
        <w:t xml:space="preserve"> was based on naïve indirect comparisons as data was not available to perform anchored ITCs. </w:t>
      </w:r>
    </w:p>
    <w:bookmarkEnd w:id="24"/>
    <w:bookmarkEnd w:id="25"/>
    <w:p w14:paraId="18EDB135" w14:textId="105935A8" w:rsidR="0074453F" w:rsidRPr="0074453F" w:rsidRDefault="0074453F" w:rsidP="0074453F">
      <w:r w:rsidRPr="0074453F">
        <w:t xml:space="preserve">At </w:t>
      </w:r>
      <w:r w:rsidR="0081399D">
        <w:t>its</w:t>
      </w:r>
      <w:r w:rsidRPr="0074453F">
        <w:t xml:space="preserve"> April 2024 meeting, </w:t>
      </w:r>
      <w:r w:rsidR="0081399D">
        <w:t>the</w:t>
      </w:r>
      <w:r w:rsidRPr="0074453F">
        <w:t xml:space="preserve"> MSAC considered that </w:t>
      </w:r>
      <w:r w:rsidR="005979AC">
        <w:t xml:space="preserve">the </w:t>
      </w:r>
      <w:r w:rsidRPr="0074453F">
        <w:t xml:space="preserve">original </w:t>
      </w:r>
      <w:r w:rsidR="00FD71E3">
        <w:t xml:space="preserve">submission </w:t>
      </w:r>
      <w:r w:rsidRPr="0074453F">
        <w:t>ADAR claim</w:t>
      </w:r>
      <w:r w:rsidR="00A8119D">
        <w:t>,</w:t>
      </w:r>
      <w:r w:rsidRPr="0074453F">
        <w:t xml:space="preserve"> superior effectiveness </w:t>
      </w:r>
      <w:r w:rsidR="00A8119D">
        <w:t xml:space="preserve">of </w:t>
      </w:r>
      <w:r w:rsidR="00587F0F">
        <w:t>L</w:t>
      </w:r>
      <w:r w:rsidR="00ED6CA5">
        <w:t>VAD</w:t>
      </w:r>
      <w:r w:rsidR="00A8119D">
        <w:t xml:space="preserve"> </w:t>
      </w:r>
      <w:r w:rsidRPr="0074453F">
        <w:t>compared to OMM</w:t>
      </w:r>
      <w:r w:rsidR="00A8119D">
        <w:t>,</w:t>
      </w:r>
      <w:r w:rsidRPr="0074453F">
        <w:t xml:space="preserve"> was reasonable. However, MSAC considered that the magnitude of this effect was uncertain due to absence of any direct evidence comparing HM3 and OMM</w:t>
      </w:r>
      <w:r w:rsidR="006F0F35">
        <w:t>,</w:t>
      </w:r>
      <w:r w:rsidRPr="0074453F">
        <w:t xml:space="preserve"> and the use of non-contemporaneous data from the REMATCH trial conducted prior to 2001 for the OMM arm. </w:t>
      </w:r>
      <w:r w:rsidR="0074627F" w:rsidRPr="0074627F">
        <w:t xml:space="preserve">MSAC </w:t>
      </w:r>
      <w:r w:rsidR="0044131C">
        <w:t xml:space="preserve">further </w:t>
      </w:r>
      <w:r w:rsidR="0074627F" w:rsidRPr="0074627F">
        <w:t>considered that implantation of an HM3 resulted in improved functional status and quality of life outcomes, yet reiterated uncertainty surrounding the magnitude of the incremental effects due to the limitations in the available data.</w:t>
      </w:r>
      <w:r w:rsidRPr="0074453F">
        <w:t xml:space="preserve"> (MSAC 1749 PSD</w:t>
      </w:r>
      <w:r w:rsidR="00530CCA">
        <w:t>,</w:t>
      </w:r>
      <w:r w:rsidRPr="0074453F">
        <w:t xml:space="preserve"> </w:t>
      </w:r>
      <w:r w:rsidR="00530CCA">
        <w:t>p</w:t>
      </w:r>
      <w:r w:rsidRPr="0074453F">
        <w:t>g4).</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418EE4EB" w14:textId="176405BE" w:rsidR="00733A33" w:rsidRDefault="00696510" w:rsidP="00696510">
      <w:pPr>
        <w:jc w:val="both"/>
      </w:pPr>
      <w:r>
        <w:t xml:space="preserve">The resubmission ADAR did not suggest any changes to the proposed clinical claim presented in the </w:t>
      </w:r>
      <w:r w:rsidR="00E00203">
        <w:t xml:space="preserve">original </w:t>
      </w:r>
      <w:r>
        <w:t>submission</w:t>
      </w:r>
      <w:r w:rsidR="00612DCD">
        <w:t xml:space="preserve"> </w:t>
      </w:r>
      <w:r w:rsidR="00E00203">
        <w:t>ADAR</w:t>
      </w:r>
      <w:r>
        <w:t xml:space="preserve">. </w:t>
      </w:r>
      <w:r w:rsidR="00733A33">
        <w:t xml:space="preserve">At </w:t>
      </w:r>
      <w:r w:rsidR="0081399D">
        <w:t>its</w:t>
      </w:r>
      <w:r w:rsidR="00733A33">
        <w:t xml:space="preserve"> </w:t>
      </w:r>
      <w:r w:rsidR="00733A33" w:rsidRPr="006A7C1F">
        <w:t xml:space="preserve">April 2024 </w:t>
      </w:r>
      <w:r w:rsidR="0081399D">
        <w:t>m</w:t>
      </w:r>
      <w:r w:rsidR="00733A33" w:rsidRPr="006A7C1F">
        <w:t>eeting,</w:t>
      </w:r>
      <w:r w:rsidR="001E1BB7">
        <w:t xml:space="preserve"> </w:t>
      </w:r>
      <w:r w:rsidR="0081399D">
        <w:t>the</w:t>
      </w:r>
      <w:r w:rsidR="00733A33" w:rsidRPr="006A7C1F">
        <w:t xml:space="preserve"> </w:t>
      </w:r>
      <w:r>
        <w:t xml:space="preserve">MSAC considered that the </w:t>
      </w:r>
      <w:r w:rsidR="00733A33">
        <w:t xml:space="preserve">available </w:t>
      </w:r>
      <w:r w:rsidR="00733A33">
        <w:lastRenderedPageBreak/>
        <w:t xml:space="preserve">clinical evidence </w:t>
      </w:r>
      <w:r w:rsidR="006E3FB4">
        <w:t xml:space="preserve">is </w:t>
      </w:r>
      <w:r w:rsidR="00733A33">
        <w:t xml:space="preserve">associated with </w:t>
      </w:r>
      <w:r w:rsidR="006E3FB4">
        <w:t xml:space="preserve">a </w:t>
      </w:r>
      <w:r w:rsidR="00733A33">
        <w:t xml:space="preserve">high risk of bias </w:t>
      </w:r>
      <w:r w:rsidR="006E3FB4">
        <w:t xml:space="preserve">leading </w:t>
      </w:r>
      <w:r w:rsidR="00733A33">
        <w:t>to uncertainty in the</w:t>
      </w:r>
      <w:r w:rsidR="00733A33" w:rsidRPr="00733A33">
        <w:t xml:space="preserve"> magnitude of</w:t>
      </w:r>
      <w:r w:rsidR="00733A33">
        <w:t xml:space="preserve"> effect </w:t>
      </w:r>
      <w:r w:rsidR="00733A33" w:rsidRPr="00733A33">
        <w:t>due to</w:t>
      </w:r>
      <w:r w:rsidR="00612DCD">
        <w:t>:</w:t>
      </w:r>
    </w:p>
    <w:p w14:paraId="6E9BA98C" w14:textId="0AFF82D7" w:rsidR="006C70E6" w:rsidRDefault="006C70E6" w:rsidP="003F2B9C">
      <w:pPr>
        <w:pStyle w:val="ListParagraph"/>
        <w:numPr>
          <w:ilvl w:val="0"/>
          <w:numId w:val="13"/>
        </w:numPr>
      </w:pPr>
      <w:r>
        <w:t>absence of any direct comparisons between HM3 and OMM</w:t>
      </w:r>
      <w:r w:rsidR="00C07894">
        <w:t>,</w:t>
      </w:r>
    </w:p>
    <w:p w14:paraId="64C45977" w14:textId="6D794B18" w:rsidR="006C70E6" w:rsidRDefault="006C70E6" w:rsidP="003F2B9C">
      <w:pPr>
        <w:pStyle w:val="ListParagraph"/>
        <w:numPr>
          <w:ilvl w:val="0"/>
          <w:numId w:val="13"/>
        </w:numPr>
      </w:pPr>
      <w:r>
        <w:t xml:space="preserve">data from the REMATCH trial being non-contemporary, </w:t>
      </w:r>
      <w:r w:rsidR="00C07894">
        <w:t>and</w:t>
      </w:r>
    </w:p>
    <w:p w14:paraId="5BA922F0" w14:textId="34EE4987" w:rsidR="006C70E6" w:rsidRDefault="006C70E6" w:rsidP="003F2B9C">
      <w:pPr>
        <w:pStyle w:val="ListParagraph"/>
        <w:numPr>
          <w:ilvl w:val="0"/>
          <w:numId w:val="13"/>
        </w:numPr>
      </w:pPr>
      <w:r>
        <w:t>differences in study characteristics that affect the transitivity of the ITCs including differences in intent of treatment (i.e. DT), INTERMACS scores, demographics of participants and clinical endpoints.</w:t>
      </w:r>
    </w:p>
    <w:p w14:paraId="1092178D" w14:textId="52795B6D" w:rsidR="009E212B" w:rsidRPr="00CE28E3" w:rsidRDefault="009E212B" w:rsidP="009E212B">
      <w:pPr>
        <w:pStyle w:val="Heading2"/>
        <w:numPr>
          <w:ilvl w:val="0"/>
          <w:numId w:val="0"/>
        </w:numPr>
      </w:pPr>
      <w:bookmarkStart w:id="26" w:name="_Toc69491425"/>
      <w:r>
        <w:t>1</w:t>
      </w:r>
      <w:r w:rsidR="00E33F73">
        <w:t>3</w:t>
      </w:r>
      <w:r>
        <w:t>.</w:t>
      </w:r>
      <w:r>
        <w:tab/>
      </w:r>
      <w:r w:rsidRPr="00CE28E3">
        <w:t>Economic evaluation</w:t>
      </w:r>
      <w:bookmarkEnd w:id="26"/>
    </w:p>
    <w:p w14:paraId="4F9E27E8" w14:textId="05828CED" w:rsidR="009E212B" w:rsidRDefault="009E212B" w:rsidP="009E212B">
      <w:r>
        <w:t xml:space="preserve">The resubmission ADAR presented revisions to the cost-effectiveness analysis in response to MSAC advice at </w:t>
      </w:r>
      <w:r w:rsidR="00D91832">
        <w:t>its</w:t>
      </w:r>
      <w:r>
        <w:t xml:space="preserve"> April 2024 Meeting. </w:t>
      </w:r>
      <w:r w:rsidR="00957963">
        <w:t>Of note, a cost-utility analysis</w:t>
      </w:r>
      <w:r w:rsidR="000D680A">
        <w:t xml:space="preserve"> (CUA) was presented in the</w:t>
      </w:r>
      <w:r w:rsidR="00957963">
        <w:t xml:space="preserve"> </w:t>
      </w:r>
      <w:r w:rsidR="00ED0FB1">
        <w:t>re</w:t>
      </w:r>
      <w:r w:rsidR="000D680A">
        <w:t xml:space="preserve">submission ADAR </w:t>
      </w:r>
      <w:r w:rsidR="00957963">
        <w:t xml:space="preserve">and </w:t>
      </w:r>
      <w:r w:rsidR="000D680A">
        <w:t xml:space="preserve">therefore, </w:t>
      </w:r>
      <w:r w:rsidR="0086258F">
        <w:t xml:space="preserve">for consistency, </w:t>
      </w:r>
      <w:r w:rsidR="00957963">
        <w:t xml:space="preserve">the commentary considered </w:t>
      </w:r>
      <w:r w:rsidR="0086258F">
        <w:t xml:space="preserve">CUA as </w:t>
      </w:r>
      <w:r w:rsidR="00957963">
        <w:t xml:space="preserve">the economic evaluation. </w:t>
      </w:r>
      <w:r>
        <w:t xml:space="preserve">The resubmission considered </w:t>
      </w:r>
      <w:r w:rsidR="00957963">
        <w:t>CUA</w:t>
      </w:r>
      <w:r w:rsidR="00EB79BF">
        <w:t xml:space="preserve"> as</w:t>
      </w:r>
      <w:r>
        <w:t xml:space="preserve"> appropriate </w:t>
      </w:r>
      <w:r w:rsidR="00EB79BF">
        <w:t xml:space="preserve">economic evaluation approach </w:t>
      </w:r>
      <w:r>
        <w:t xml:space="preserve">based on the clinical claim of superior efficacy and inferior safety of HM3 </w:t>
      </w:r>
      <w:r w:rsidR="00587F0F">
        <w:t>L</w:t>
      </w:r>
      <w:r w:rsidR="00ED6CA5">
        <w:t>VAD</w:t>
      </w:r>
      <w:r>
        <w:t xml:space="preserve"> + OMM, compared to OMM, as stated in the original </w:t>
      </w:r>
      <w:r w:rsidR="007940F1">
        <w:t xml:space="preserve">submission </w:t>
      </w:r>
      <w:r>
        <w:t xml:space="preserve">ADAR. Most of the model inputs remained unchanged in the resubmission and a summary of the economic evaluation is </w:t>
      </w:r>
      <w:r w:rsidR="00EB79BF">
        <w:t xml:space="preserve">presented </w:t>
      </w:r>
      <w:r>
        <w:t xml:space="preserve">in </w:t>
      </w:r>
      <w:r>
        <w:fldChar w:fldCharType="begin"/>
      </w:r>
      <w:r>
        <w:instrText xml:space="preserve"> REF _Ref69725820 \h </w:instrText>
      </w:r>
      <w:r>
        <w:fldChar w:fldCharType="separate"/>
      </w:r>
      <w:r w:rsidR="00CA23D1" w:rsidRPr="00CE28E3">
        <w:t>Table</w:t>
      </w:r>
      <w:r w:rsidR="00CA23D1">
        <w:t> </w:t>
      </w:r>
      <w:r w:rsidR="00CA23D1">
        <w:rPr>
          <w:noProof/>
        </w:rPr>
        <w:t>3</w:t>
      </w:r>
      <w:r>
        <w:fldChar w:fldCharType="end"/>
      </w:r>
      <w:r>
        <w:t xml:space="preserve">. </w:t>
      </w:r>
    </w:p>
    <w:p w14:paraId="016DC527" w14:textId="57AE5BF7" w:rsidR="009E212B" w:rsidRPr="00CE28E3" w:rsidRDefault="009E212B" w:rsidP="009E212B">
      <w:pPr>
        <w:pStyle w:val="Caption"/>
        <w:tabs>
          <w:tab w:val="left" w:pos="1134"/>
        </w:tabs>
        <w:ind w:left="1134" w:hanging="1134"/>
      </w:pPr>
      <w:bookmarkStart w:id="27" w:name="_Ref69725820"/>
      <w:r w:rsidRPr="00CE28E3">
        <w:lastRenderedPageBreak/>
        <w:t>Table</w:t>
      </w:r>
      <w:r>
        <w:t> </w:t>
      </w:r>
      <w:r w:rsidRPr="00CE28E3">
        <w:rPr>
          <w:noProof/>
        </w:rPr>
        <w:fldChar w:fldCharType="begin"/>
      </w:r>
      <w:r w:rsidRPr="00CE28E3">
        <w:rPr>
          <w:noProof/>
        </w:rPr>
        <w:instrText xml:space="preserve"> SEQ Table \* ARABIC </w:instrText>
      </w:r>
      <w:r w:rsidRPr="00CE28E3">
        <w:rPr>
          <w:noProof/>
        </w:rPr>
        <w:fldChar w:fldCharType="separate"/>
      </w:r>
      <w:r w:rsidR="006461F2">
        <w:rPr>
          <w:noProof/>
        </w:rPr>
        <w:t>5</w:t>
      </w:r>
      <w:r w:rsidRPr="00CE28E3">
        <w:rPr>
          <w:noProof/>
        </w:rPr>
        <w:fldChar w:fldCharType="end"/>
      </w:r>
      <w:bookmarkEnd w:id="27"/>
      <w:r>
        <w:t xml:space="preserve"> </w:t>
      </w:r>
      <w:r w:rsidRPr="00CE28E3">
        <w:t xml:space="preserve">Summary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978"/>
        <w:gridCol w:w="4679"/>
        <w:gridCol w:w="2359"/>
      </w:tblGrid>
      <w:tr w:rsidR="009E212B" w:rsidRPr="00CE28E3" w14:paraId="34AF0F89" w14:textId="77777777" w:rsidTr="00ED1006">
        <w:trPr>
          <w:tblHeader/>
        </w:trPr>
        <w:tc>
          <w:tcPr>
            <w:tcW w:w="1097" w:type="pct"/>
          </w:tcPr>
          <w:p w14:paraId="6B3122C9" w14:textId="77777777" w:rsidR="009E212B" w:rsidRPr="009504AE" w:rsidRDefault="009E212B" w:rsidP="00D74C1B">
            <w:pPr>
              <w:pStyle w:val="TableHeadingCA"/>
            </w:pPr>
            <w:bookmarkStart w:id="28" w:name="Title_Table5"/>
            <w:bookmarkStart w:id="29" w:name="_Hlk68276446"/>
            <w:bookmarkEnd w:id="28"/>
            <w:r w:rsidRPr="009504AE">
              <w:t>Component</w:t>
            </w:r>
          </w:p>
        </w:tc>
        <w:tc>
          <w:tcPr>
            <w:tcW w:w="2595" w:type="pct"/>
          </w:tcPr>
          <w:p w14:paraId="57106D02" w14:textId="77777777" w:rsidR="009E212B" w:rsidRPr="009504AE" w:rsidRDefault="009E212B" w:rsidP="00D74C1B">
            <w:pPr>
              <w:pStyle w:val="TableHeadingCA"/>
            </w:pPr>
            <w:r w:rsidRPr="009504AE">
              <w:t>Description</w:t>
            </w:r>
          </w:p>
        </w:tc>
        <w:tc>
          <w:tcPr>
            <w:tcW w:w="1308" w:type="pct"/>
          </w:tcPr>
          <w:p w14:paraId="2C32D200" w14:textId="0E7D5553" w:rsidR="009E212B" w:rsidRPr="009504AE" w:rsidRDefault="009E212B" w:rsidP="00D74C1B">
            <w:pPr>
              <w:pStyle w:val="TableHeadingCA"/>
            </w:pPr>
            <w:r w:rsidRPr="009504AE">
              <w:t>Change or update in the current resubmission</w:t>
            </w:r>
            <w:r w:rsidR="009504AE" w:rsidRPr="009504AE">
              <w:t xml:space="preserve"> ADAR</w:t>
            </w:r>
          </w:p>
        </w:tc>
      </w:tr>
      <w:tr w:rsidR="009E212B" w:rsidRPr="000449D1" w14:paraId="24D8153B" w14:textId="77777777" w:rsidTr="00ED1006">
        <w:tc>
          <w:tcPr>
            <w:tcW w:w="1097" w:type="pct"/>
          </w:tcPr>
          <w:p w14:paraId="3AF3C3D3" w14:textId="77777777" w:rsidR="009E212B" w:rsidRPr="000449D1" w:rsidRDefault="009E212B">
            <w:pPr>
              <w:pStyle w:val="TableText"/>
              <w:keepNext/>
              <w:rPr>
                <w:szCs w:val="20"/>
              </w:rPr>
            </w:pPr>
            <w:r w:rsidRPr="000449D1">
              <w:rPr>
                <w:szCs w:val="20"/>
              </w:rPr>
              <w:t>Perspective</w:t>
            </w:r>
          </w:p>
        </w:tc>
        <w:tc>
          <w:tcPr>
            <w:tcW w:w="2595" w:type="pct"/>
          </w:tcPr>
          <w:p w14:paraId="34AC5350" w14:textId="77777777" w:rsidR="009E212B" w:rsidRPr="000449D1" w:rsidRDefault="009E212B">
            <w:pPr>
              <w:pStyle w:val="TableText"/>
              <w:keepNext/>
              <w:rPr>
                <w:szCs w:val="20"/>
              </w:rPr>
            </w:pPr>
            <w:r w:rsidRPr="002B2A0B">
              <w:rPr>
                <w:szCs w:val="20"/>
              </w:rPr>
              <w:t>Australian Health care system perspective</w:t>
            </w:r>
          </w:p>
        </w:tc>
        <w:tc>
          <w:tcPr>
            <w:tcW w:w="1308" w:type="pct"/>
          </w:tcPr>
          <w:p w14:paraId="5204FFD9" w14:textId="77777777" w:rsidR="009E212B" w:rsidRPr="00491ED2" w:rsidRDefault="009E212B">
            <w:pPr>
              <w:pStyle w:val="TableText"/>
              <w:rPr>
                <w:i/>
                <w:iCs/>
              </w:rPr>
            </w:pPr>
            <w:r w:rsidRPr="00491ED2">
              <w:rPr>
                <w:i/>
                <w:iCs/>
              </w:rPr>
              <w:t>No change</w:t>
            </w:r>
          </w:p>
        </w:tc>
      </w:tr>
      <w:tr w:rsidR="009E212B" w:rsidRPr="000449D1" w14:paraId="0AD5736E" w14:textId="77777777" w:rsidTr="00ED1006">
        <w:trPr>
          <w:tblHeader/>
        </w:trPr>
        <w:tc>
          <w:tcPr>
            <w:tcW w:w="1097" w:type="pct"/>
          </w:tcPr>
          <w:p w14:paraId="10B33368" w14:textId="77777777" w:rsidR="009E212B" w:rsidRPr="000449D1" w:rsidRDefault="009E212B">
            <w:pPr>
              <w:pStyle w:val="TableText"/>
              <w:keepNext/>
              <w:rPr>
                <w:szCs w:val="20"/>
              </w:rPr>
            </w:pPr>
            <w:r w:rsidRPr="000449D1">
              <w:rPr>
                <w:szCs w:val="20"/>
              </w:rPr>
              <w:t>Population</w:t>
            </w:r>
          </w:p>
        </w:tc>
        <w:tc>
          <w:tcPr>
            <w:tcW w:w="2595" w:type="pct"/>
          </w:tcPr>
          <w:p w14:paraId="45C7CE62" w14:textId="23BB88F0" w:rsidR="009E212B" w:rsidRPr="002B2A0B" w:rsidRDefault="009E212B">
            <w:pPr>
              <w:pStyle w:val="TableText"/>
            </w:pPr>
            <w:r w:rsidRPr="002B2A0B">
              <w:t xml:space="preserve">Patients with advanced HF despite OMM, with INTERMACS profile 1–4, who are not eligible for cardiac transplantation and in whom </w:t>
            </w:r>
            <w:r w:rsidR="00587F0F">
              <w:t>L</w:t>
            </w:r>
            <w:r w:rsidR="00ED6CA5">
              <w:t>VAD</w:t>
            </w:r>
            <w:r w:rsidRPr="002B2A0B">
              <w:t xml:space="preserve"> is used as DT (i.e., final therapy)</w:t>
            </w:r>
          </w:p>
        </w:tc>
        <w:tc>
          <w:tcPr>
            <w:tcW w:w="1308" w:type="pct"/>
          </w:tcPr>
          <w:p w14:paraId="1D4568E2" w14:textId="77777777" w:rsidR="009E212B" w:rsidRPr="00491ED2" w:rsidRDefault="009E212B">
            <w:pPr>
              <w:pStyle w:val="TableText"/>
              <w:rPr>
                <w:i/>
                <w:iCs/>
              </w:rPr>
            </w:pPr>
            <w:r w:rsidRPr="00491ED2">
              <w:rPr>
                <w:i/>
                <w:iCs/>
              </w:rPr>
              <w:t>No change</w:t>
            </w:r>
          </w:p>
        </w:tc>
      </w:tr>
      <w:tr w:rsidR="009E212B" w:rsidRPr="000449D1" w14:paraId="1ACF3AD5" w14:textId="77777777" w:rsidTr="00ED1006">
        <w:tc>
          <w:tcPr>
            <w:tcW w:w="1097" w:type="pct"/>
          </w:tcPr>
          <w:p w14:paraId="39BA07D2" w14:textId="77777777" w:rsidR="009E212B" w:rsidRPr="000449D1" w:rsidRDefault="009E212B">
            <w:pPr>
              <w:pStyle w:val="TableText"/>
              <w:keepNext/>
              <w:rPr>
                <w:szCs w:val="20"/>
              </w:rPr>
            </w:pPr>
            <w:r w:rsidRPr="000449D1">
              <w:rPr>
                <w:szCs w:val="20"/>
              </w:rPr>
              <w:t>Comparator</w:t>
            </w:r>
          </w:p>
        </w:tc>
        <w:tc>
          <w:tcPr>
            <w:tcW w:w="2595" w:type="pct"/>
          </w:tcPr>
          <w:p w14:paraId="30CADA5B" w14:textId="77777777" w:rsidR="009E212B" w:rsidRPr="000449D1" w:rsidRDefault="009E212B">
            <w:pPr>
              <w:pStyle w:val="TableText"/>
              <w:keepNext/>
              <w:rPr>
                <w:szCs w:val="20"/>
              </w:rPr>
            </w:pPr>
            <w:r w:rsidRPr="00A070BC">
              <w:rPr>
                <w:szCs w:val="20"/>
              </w:rPr>
              <w:t>OMM – also referred to as GDMT or OMT</w:t>
            </w:r>
          </w:p>
        </w:tc>
        <w:tc>
          <w:tcPr>
            <w:tcW w:w="1308" w:type="pct"/>
          </w:tcPr>
          <w:p w14:paraId="7127B171" w14:textId="77777777" w:rsidR="009E212B" w:rsidRPr="00491ED2" w:rsidRDefault="009E212B">
            <w:pPr>
              <w:pStyle w:val="TableText"/>
              <w:rPr>
                <w:i/>
                <w:iCs/>
              </w:rPr>
            </w:pPr>
            <w:r w:rsidRPr="00491ED2">
              <w:rPr>
                <w:i/>
                <w:iCs/>
              </w:rPr>
              <w:t>No change</w:t>
            </w:r>
          </w:p>
        </w:tc>
      </w:tr>
      <w:tr w:rsidR="009E212B" w:rsidRPr="000449D1" w14:paraId="2772AAD4" w14:textId="77777777" w:rsidTr="00ED1006">
        <w:tc>
          <w:tcPr>
            <w:tcW w:w="1097" w:type="pct"/>
          </w:tcPr>
          <w:p w14:paraId="1B10BDBF" w14:textId="77777777" w:rsidR="009E212B" w:rsidRPr="000449D1" w:rsidRDefault="009E212B">
            <w:pPr>
              <w:pStyle w:val="TableText"/>
              <w:keepNext/>
              <w:rPr>
                <w:szCs w:val="20"/>
              </w:rPr>
            </w:pPr>
            <w:r w:rsidRPr="000449D1">
              <w:rPr>
                <w:szCs w:val="20"/>
              </w:rPr>
              <w:t>Type(s) of analysis</w:t>
            </w:r>
          </w:p>
        </w:tc>
        <w:tc>
          <w:tcPr>
            <w:tcW w:w="2595" w:type="pct"/>
          </w:tcPr>
          <w:p w14:paraId="6C4BFCFC" w14:textId="77777777" w:rsidR="009E212B" w:rsidRPr="000449D1" w:rsidRDefault="009E212B">
            <w:pPr>
              <w:pStyle w:val="TableText"/>
              <w:keepNext/>
              <w:rPr>
                <w:szCs w:val="20"/>
              </w:rPr>
            </w:pPr>
            <w:r>
              <w:rPr>
                <w:szCs w:val="20"/>
              </w:rPr>
              <w:t>C</w:t>
            </w:r>
            <w:r w:rsidRPr="000449D1">
              <w:rPr>
                <w:szCs w:val="20"/>
              </w:rPr>
              <w:t>ost-utility analysis</w:t>
            </w:r>
          </w:p>
        </w:tc>
        <w:tc>
          <w:tcPr>
            <w:tcW w:w="1308" w:type="pct"/>
          </w:tcPr>
          <w:p w14:paraId="3A353D05" w14:textId="2ABE6D5D" w:rsidR="009E212B" w:rsidRPr="00491ED2" w:rsidRDefault="00DA4FB1">
            <w:pPr>
              <w:pStyle w:val="TableText"/>
              <w:rPr>
                <w:i/>
                <w:iCs/>
              </w:rPr>
            </w:pPr>
            <w:r w:rsidRPr="00491ED2">
              <w:rPr>
                <w:i/>
                <w:iCs/>
              </w:rPr>
              <w:t>No change</w:t>
            </w:r>
            <w:r w:rsidR="009E212B" w:rsidRPr="00491ED2">
              <w:rPr>
                <w:i/>
                <w:iCs/>
              </w:rPr>
              <w:t xml:space="preserve"> </w:t>
            </w:r>
          </w:p>
        </w:tc>
      </w:tr>
      <w:tr w:rsidR="009E212B" w:rsidRPr="000449D1" w14:paraId="6503E97A" w14:textId="77777777" w:rsidTr="00ED1006">
        <w:tc>
          <w:tcPr>
            <w:tcW w:w="1097" w:type="pct"/>
          </w:tcPr>
          <w:p w14:paraId="751061D3" w14:textId="77777777" w:rsidR="009E212B" w:rsidRPr="000449D1" w:rsidRDefault="009E212B">
            <w:pPr>
              <w:pStyle w:val="TableText"/>
              <w:keepNext/>
              <w:rPr>
                <w:szCs w:val="20"/>
              </w:rPr>
            </w:pPr>
            <w:r w:rsidRPr="000449D1">
              <w:rPr>
                <w:szCs w:val="20"/>
              </w:rPr>
              <w:t>Outcomes</w:t>
            </w:r>
          </w:p>
        </w:tc>
        <w:tc>
          <w:tcPr>
            <w:tcW w:w="2595" w:type="pct"/>
          </w:tcPr>
          <w:p w14:paraId="1085E18D" w14:textId="77777777" w:rsidR="009E212B" w:rsidRPr="00E67E1C" w:rsidRDefault="009E212B">
            <w:pPr>
              <w:pStyle w:val="TableText"/>
              <w:keepNext/>
              <w:rPr>
                <w:szCs w:val="20"/>
              </w:rPr>
            </w:pPr>
            <w:r w:rsidRPr="00E67E1C">
              <w:rPr>
                <w:szCs w:val="20"/>
              </w:rPr>
              <w:t>Life years</w:t>
            </w:r>
          </w:p>
          <w:p w14:paraId="7B2AA879" w14:textId="77777777" w:rsidR="009E212B" w:rsidRPr="00E67E1C" w:rsidRDefault="009E212B">
            <w:pPr>
              <w:pStyle w:val="TableText"/>
              <w:keepNext/>
              <w:rPr>
                <w:szCs w:val="20"/>
              </w:rPr>
            </w:pPr>
            <w:r w:rsidRPr="00E67E1C">
              <w:rPr>
                <w:szCs w:val="20"/>
              </w:rPr>
              <w:t>QALYs</w:t>
            </w:r>
          </w:p>
          <w:p w14:paraId="2E8E2A63" w14:textId="77777777" w:rsidR="009E212B" w:rsidRPr="000449D1" w:rsidRDefault="009E212B">
            <w:pPr>
              <w:pStyle w:val="TableText"/>
              <w:keepNext/>
              <w:rPr>
                <w:szCs w:val="20"/>
              </w:rPr>
            </w:pPr>
            <w:r w:rsidRPr="00E67E1C">
              <w:rPr>
                <w:szCs w:val="20"/>
              </w:rPr>
              <w:t>Healthcare resource costs</w:t>
            </w:r>
          </w:p>
        </w:tc>
        <w:tc>
          <w:tcPr>
            <w:tcW w:w="1308" w:type="pct"/>
          </w:tcPr>
          <w:p w14:paraId="1EFCD855" w14:textId="77777777" w:rsidR="009E212B" w:rsidRPr="00491ED2" w:rsidRDefault="009E212B">
            <w:pPr>
              <w:pStyle w:val="TableText"/>
              <w:rPr>
                <w:i/>
                <w:iCs/>
              </w:rPr>
            </w:pPr>
            <w:r w:rsidRPr="00491ED2">
              <w:rPr>
                <w:i/>
                <w:iCs/>
              </w:rPr>
              <w:t>No change</w:t>
            </w:r>
          </w:p>
        </w:tc>
      </w:tr>
      <w:tr w:rsidR="009E212B" w:rsidRPr="000449D1" w14:paraId="277CEB73" w14:textId="77777777" w:rsidTr="00ED1006">
        <w:tc>
          <w:tcPr>
            <w:tcW w:w="1097" w:type="pct"/>
          </w:tcPr>
          <w:p w14:paraId="6220DACA" w14:textId="77777777" w:rsidR="009E212B" w:rsidRPr="000449D1" w:rsidRDefault="009E212B">
            <w:pPr>
              <w:pStyle w:val="TableText"/>
              <w:keepNext/>
              <w:rPr>
                <w:szCs w:val="20"/>
              </w:rPr>
            </w:pPr>
            <w:r w:rsidRPr="000449D1">
              <w:rPr>
                <w:szCs w:val="20"/>
              </w:rPr>
              <w:t>Time horizon</w:t>
            </w:r>
          </w:p>
        </w:tc>
        <w:tc>
          <w:tcPr>
            <w:tcW w:w="2595" w:type="pct"/>
          </w:tcPr>
          <w:p w14:paraId="21765FAF" w14:textId="77777777" w:rsidR="009E212B" w:rsidRPr="000449D1" w:rsidRDefault="009E212B">
            <w:pPr>
              <w:pStyle w:val="TableText"/>
              <w:keepNext/>
              <w:rPr>
                <w:szCs w:val="20"/>
              </w:rPr>
            </w:pPr>
            <w:r w:rsidRPr="00E67E1C">
              <w:rPr>
                <w:szCs w:val="20"/>
              </w:rPr>
              <w:t xml:space="preserve">Lifetime horizon (baseline age is 65) vs. 5-year </w:t>
            </w:r>
            <w:r>
              <w:rPr>
                <w:szCs w:val="20"/>
              </w:rPr>
              <w:t xml:space="preserve">in the key trial </w:t>
            </w:r>
            <w:r w:rsidRPr="00E67E1C">
              <w:rPr>
                <w:szCs w:val="20"/>
              </w:rPr>
              <w:t>MOMENTUM 3.</w:t>
            </w:r>
          </w:p>
        </w:tc>
        <w:tc>
          <w:tcPr>
            <w:tcW w:w="1308" w:type="pct"/>
          </w:tcPr>
          <w:p w14:paraId="5541906B" w14:textId="77777777" w:rsidR="009E212B" w:rsidRPr="00491ED2" w:rsidRDefault="009E212B">
            <w:pPr>
              <w:pStyle w:val="TableText"/>
              <w:rPr>
                <w:i/>
                <w:iCs/>
              </w:rPr>
            </w:pPr>
            <w:r w:rsidRPr="00491ED2">
              <w:rPr>
                <w:i/>
                <w:iCs/>
              </w:rPr>
              <w:t>Revised base case: 15 years</w:t>
            </w:r>
          </w:p>
          <w:p w14:paraId="0774D0DA" w14:textId="45D8E043" w:rsidR="009E212B" w:rsidRPr="00491ED2" w:rsidRDefault="004F7513">
            <w:pPr>
              <w:pStyle w:val="TableText"/>
              <w:rPr>
                <w:i/>
                <w:iCs/>
              </w:rPr>
            </w:pPr>
            <w:r>
              <w:rPr>
                <w:i/>
                <w:iCs/>
              </w:rPr>
              <w:t>“</w:t>
            </w:r>
            <w:r w:rsidR="009E212B" w:rsidRPr="00491ED2">
              <w:rPr>
                <w:i/>
                <w:iCs/>
              </w:rPr>
              <w:t>Likely overestimated case</w:t>
            </w:r>
            <w:r>
              <w:rPr>
                <w:i/>
                <w:iCs/>
              </w:rPr>
              <w:t>”</w:t>
            </w:r>
            <w:r w:rsidR="009E212B" w:rsidRPr="00491ED2">
              <w:rPr>
                <w:i/>
                <w:iCs/>
              </w:rPr>
              <w:t>: 10 years</w:t>
            </w:r>
          </w:p>
        </w:tc>
      </w:tr>
      <w:tr w:rsidR="009E212B" w:rsidRPr="000449D1" w14:paraId="4FDBF012" w14:textId="77777777" w:rsidTr="00ED1006">
        <w:tc>
          <w:tcPr>
            <w:tcW w:w="1097" w:type="pct"/>
          </w:tcPr>
          <w:p w14:paraId="7E6173B7" w14:textId="77777777" w:rsidR="009E212B" w:rsidRPr="000449D1" w:rsidRDefault="009E212B">
            <w:pPr>
              <w:pStyle w:val="TableText"/>
              <w:keepNext/>
              <w:rPr>
                <w:szCs w:val="20"/>
              </w:rPr>
            </w:pPr>
            <w:r w:rsidRPr="000449D1">
              <w:rPr>
                <w:szCs w:val="20"/>
              </w:rPr>
              <w:t>Computational method</w:t>
            </w:r>
          </w:p>
        </w:tc>
        <w:tc>
          <w:tcPr>
            <w:tcW w:w="2595" w:type="pct"/>
          </w:tcPr>
          <w:p w14:paraId="7BA1249E" w14:textId="77777777" w:rsidR="009E212B" w:rsidRPr="000449D1" w:rsidRDefault="009E212B">
            <w:pPr>
              <w:pStyle w:val="TableText"/>
              <w:keepNext/>
              <w:rPr>
                <w:szCs w:val="20"/>
              </w:rPr>
            </w:pPr>
            <w:r w:rsidRPr="000613BF">
              <w:rPr>
                <w:szCs w:val="20"/>
              </w:rPr>
              <w:t>Partitioned survival analysis</w:t>
            </w:r>
          </w:p>
        </w:tc>
        <w:tc>
          <w:tcPr>
            <w:tcW w:w="1308" w:type="pct"/>
          </w:tcPr>
          <w:p w14:paraId="7006CC63" w14:textId="77777777" w:rsidR="009E212B" w:rsidRPr="00491ED2" w:rsidRDefault="009E212B">
            <w:pPr>
              <w:pStyle w:val="TableText"/>
              <w:rPr>
                <w:i/>
                <w:iCs/>
              </w:rPr>
            </w:pPr>
            <w:r w:rsidRPr="00491ED2">
              <w:rPr>
                <w:i/>
                <w:iCs/>
              </w:rPr>
              <w:t>No change</w:t>
            </w:r>
          </w:p>
        </w:tc>
      </w:tr>
      <w:tr w:rsidR="009E212B" w:rsidRPr="000449D1" w14:paraId="04970631" w14:textId="77777777" w:rsidTr="00ED1006">
        <w:tc>
          <w:tcPr>
            <w:tcW w:w="1097" w:type="pct"/>
          </w:tcPr>
          <w:p w14:paraId="4395B0FD" w14:textId="77777777" w:rsidR="009E212B" w:rsidRPr="000449D1" w:rsidRDefault="009E212B">
            <w:pPr>
              <w:pStyle w:val="TableText"/>
              <w:keepNext/>
              <w:rPr>
                <w:szCs w:val="20"/>
              </w:rPr>
            </w:pPr>
            <w:r w:rsidRPr="000449D1">
              <w:rPr>
                <w:szCs w:val="20"/>
              </w:rPr>
              <w:t>Generation of the base case</w:t>
            </w:r>
          </w:p>
        </w:tc>
        <w:tc>
          <w:tcPr>
            <w:tcW w:w="2595" w:type="pct"/>
          </w:tcPr>
          <w:p w14:paraId="60B3BA91" w14:textId="77777777" w:rsidR="009E212B" w:rsidRPr="000613BF" w:rsidRDefault="009E212B">
            <w:pPr>
              <w:pStyle w:val="TableText"/>
            </w:pPr>
            <w:r w:rsidRPr="000613BF">
              <w:t xml:space="preserve">Modelled </w:t>
            </w:r>
            <w:r>
              <w:t>economic evaluation</w:t>
            </w:r>
            <w:r w:rsidRPr="000613BF">
              <w:t>:</w:t>
            </w:r>
          </w:p>
          <w:p w14:paraId="6A0932A7" w14:textId="798BEE8C" w:rsidR="009E212B" w:rsidRPr="000613BF" w:rsidRDefault="009E212B">
            <w:pPr>
              <w:pStyle w:val="TableText"/>
            </w:pPr>
            <w:r w:rsidRPr="000613BF">
              <w:t xml:space="preserve">Trial based effectiveness outcomes based on naïve comparison are derived from subgroup analyses of MOMENTUM 3 (5-year OS data from the MOMENTUM 3 study for a DT subgroup excluding patients receiving heart transplant for the </w:t>
            </w:r>
            <w:r w:rsidR="00587F0F">
              <w:t>L</w:t>
            </w:r>
            <w:r w:rsidR="00ED6CA5">
              <w:t>VAD</w:t>
            </w:r>
            <w:r w:rsidRPr="000613BF">
              <w:t xml:space="preserve"> arm; INTERMACS 1-7)</w:t>
            </w:r>
            <w:r w:rsidRPr="005C6DA4">
              <w:rPr>
                <w:vertAlign w:val="superscript"/>
              </w:rPr>
              <w:t>a</w:t>
            </w:r>
            <w:r w:rsidRPr="000613BF">
              <w:t xml:space="preserve"> and REMATCH (patients receiving </w:t>
            </w:r>
            <w:r w:rsidR="00587F0F">
              <w:t>L</w:t>
            </w:r>
            <w:r w:rsidR="00ED6CA5">
              <w:t>VAD</w:t>
            </w:r>
            <w:r w:rsidRPr="000613BF">
              <w:t xml:space="preserve"> as DT; INTERMACS suggestive of 1-3 for the OMM arm) in accordance with the target MBS population (in relation to the patients receiving </w:t>
            </w:r>
            <w:r w:rsidR="00587F0F">
              <w:t>L</w:t>
            </w:r>
            <w:r w:rsidR="00ED6CA5">
              <w:t>VAD</w:t>
            </w:r>
            <w:r w:rsidRPr="000613BF">
              <w:t xml:space="preserve"> as DT) in the submission</w:t>
            </w:r>
          </w:p>
          <w:p w14:paraId="7DE912AC" w14:textId="77777777" w:rsidR="009E212B" w:rsidRPr="000613BF" w:rsidRDefault="009E212B">
            <w:pPr>
              <w:pStyle w:val="TableText"/>
            </w:pPr>
            <w:r w:rsidRPr="000613BF">
              <w:t>Trial based OS curves are extrapolated over a lifetime horizon.</w:t>
            </w:r>
          </w:p>
          <w:p w14:paraId="717E40CD" w14:textId="77777777" w:rsidR="009E212B" w:rsidRPr="000449D1" w:rsidRDefault="009E212B">
            <w:pPr>
              <w:pStyle w:val="TableText"/>
            </w:pPr>
            <w:r w:rsidRPr="000613BF">
              <w:t>Healthcare resource use and utility weights derived from the literature are applied to generate total costs and QALYs in each treatment arm.</w:t>
            </w:r>
          </w:p>
        </w:tc>
        <w:tc>
          <w:tcPr>
            <w:tcW w:w="1308" w:type="pct"/>
          </w:tcPr>
          <w:p w14:paraId="1388DD1B" w14:textId="77777777" w:rsidR="009E212B" w:rsidRPr="00491ED2" w:rsidRDefault="009E212B">
            <w:pPr>
              <w:pStyle w:val="TableText"/>
              <w:rPr>
                <w:i/>
                <w:iCs/>
              </w:rPr>
            </w:pPr>
            <w:r w:rsidRPr="00491ED2">
              <w:rPr>
                <w:i/>
                <w:iCs/>
              </w:rPr>
              <w:t>No change</w:t>
            </w:r>
          </w:p>
        </w:tc>
      </w:tr>
      <w:tr w:rsidR="009E212B" w:rsidRPr="000449D1" w14:paraId="6FFFE2F6" w14:textId="77777777" w:rsidTr="00ED1006">
        <w:tc>
          <w:tcPr>
            <w:tcW w:w="1097" w:type="pct"/>
          </w:tcPr>
          <w:p w14:paraId="30D52DD0" w14:textId="77777777" w:rsidR="009E212B" w:rsidRPr="000449D1" w:rsidRDefault="009E212B">
            <w:pPr>
              <w:pStyle w:val="TableText"/>
              <w:keepNext/>
              <w:rPr>
                <w:szCs w:val="20"/>
              </w:rPr>
            </w:pPr>
            <w:r w:rsidRPr="000449D1">
              <w:rPr>
                <w:szCs w:val="20"/>
              </w:rPr>
              <w:t>Health states</w:t>
            </w:r>
          </w:p>
        </w:tc>
        <w:tc>
          <w:tcPr>
            <w:tcW w:w="2595" w:type="pct"/>
          </w:tcPr>
          <w:p w14:paraId="7D4B5E40" w14:textId="77777777" w:rsidR="009E212B" w:rsidRPr="00AC14C4" w:rsidRDefault="009E212B">
            <w:pPr>
              <w:pStyle w:val="TableText"/>
            </w:pPr>
            <w:r w:rsidRPr="00AC14C4">
              <w:t>Alive and Dead</w:t>
            </w:r>
          </w:p>
        </w:tc>
        <w:tc>
          <w:tcPr>
            <w:tcW w:w="1308" w:type="pct"/>
          </w:tcPr>
          <w:p w14:paraId="4F6BA759" w14:textId="77777777" w:rsidR="009E212B" w:rsidRPr="00491ED2" w:rsidRDefault="009E212B">
            <w:pPr>
              <w:pStyle w:val="TableText"/>
              <w:rPr>
                <w:i/>
                <w:iCs/>
              </w:rPr>
            </w:pPr>
            <w:r w:rsidRPr="00491ED2">
              <w:rPr>
                <w:i/>
                <w:iCs/>
              </w:rPr>
              <w:t>No change</w:t>
            </w:r>
          </w:p>
        </w:tc>
      </w:tr>
      <w:tr w:rsidR="009E212B" w:rsidRPr="000449D1" w14:paraId="2AC943C7" w14:textId="77777777" w:rsidTr="00ED1006">
        <w:tc>
          <w:tcPr>
            <w:tcW w:w="1097" w:type="pct"/>
          </w:tcPr>
          <w:p w14:paraId="46B2EB35" w14:textId="77777777" w:rsidR="009E212B" w:rsidRPr="000449D1" w:rsidRDefault="009E212B">
            <w:pPr>
              <w:pStyle w:val="TableText"/>
              <w:keepNext/>
              <w:rPr>
                <w:szCs w:val="20"/>
              </w:rPr>
            </w:pPr>
            <w:r w:rsidRPr="000449D1">
              <w:rPr>
                <w:szCs w:val="20"/>
              </w:rPr>
              <w:t>Cycle length</w:t>
            </w:r>
          </w:p>
        </w:tc>
        <w:tc>
          <w:tcPr>
            <w:tcW w:w="2595" w:type="pct"/>
          </w:tcPr>
          <w:p w14:paraId="58F62333" w14:textId="77777777" w:rsidR="009E212B" w:rsidRPr="000449D1" w:rsidRDefault="009E212B">
            <w:pPr>
              <w:pStyle w:val="TableText"/>
              <w:keepNext/>
              <w:rPr>
                <w:szCs w:val="20"/>
              </w:rPr>
            </w:pPr>
            <w:r w:rsidRPr="00AC14C4">
              <w:rPr>
                <w:szCs w:val="20"/>
              </w:rPr>
              <w:t>1 month</w:t>
            </w:r>
          </w:p>
        </w:tc>
        <w:tc>
          <w:tcPr>
            <w:tcW w:w="1308" w:type="pct"/>
          </w:tcPr>
          <w:p w14:paraId="75B13849" w14:textId="77777777" w:rsidR="009E212B" w:rsidRPr="00491ED2" w:rsidRDefault="009E212B">
            <w:pPr>
              <w:pStyle w:val="TableText"/>
              <w:rPr>
                <w:i/>
                <w:iCs/>
              </w:rPr>
            </w:pPr>
            <w:r w:rsidRPr="00491ED2">
              <w:rPr>
                <w:i/>
                <w:iCs/>
              </w:rPr>
              <w:t>No change</w:t>
            </w:r>
          </w:p>
        </w:tc>
      </w:tr>
      <w:tr w:rsidR="009E212B" w:rsidRPr="000449D1" w14:paraId="0E209BB1" w14:textId="77777777" w:rsidTr="00ED1006">
        <w:tc>
          <w:tcPr>
            <w:tcW w:w="1097" w:type="pct"/>
          </w:tcPr>
          <w:p w14:paraId="0639FB7E" w14:textId="77777777" w:rsidR="009E212B" w:rsidRPr="000449D1" w:rsidRDefault="009E212B">
            <w:pPr>
              <w:pStyle w:val="TableText"/>
              <w:keepNext/>
              <w:rPr>
                <w:szCs w:val="20"/>
              </w:rPr>
            </w:pPr>
            <w:r w:rsidRPr="000449D1">
              <w:rPr>
                <w:szCs w:val="20"/>
              </w:rPr>
              <w:t>Transition probabilities</w:t>
            </w:r>
          </w:p>
        </w:tc>
        <w:tc>
          <w:tcPr>
            <w:tcW w:w="2595" w:type="pct"/>
          </w:tcPr>
          <w:p w14:paraId="7971CE36" w14:textId="77777777" w:rsidR="009E212B" w:rsidRDefault="009E212B">
            <w:pPr>
              <w:pStyle w:val="TableText"/>
            </w:pPr>
            <w:r>
              <w:t>No specific transition probabilities are modelled.</w:t>
            </w:r>
          </w:p>
          <w:p w14:paraId="1E00EBB9" w14:textId="4D095E91" w:rsidR="009E212B" w:rsidRPr="000C5572" w:rsidRDefault="009E212B">
            <w:pPr>
              <w:pStyle w:val="TableText"/>
            </w:pPr>
            <w:r>
              <w:t>Health state allocation over time determined by OS curves from MOMENTUM 3 (</w:t>
            </w:r>
            <w:r w:rsidR="00587F0F">
              <w:t>L</w:t>
            </w:r>
            <w:r w:rsidR="00ED6CA5">
              <w:t>VAD</w:t>
            </w:r>
            <w:r>
              <w:t xml:space="preserve"> arm) and REMATCH (OMM arm)</w:t>
            </w:r>
          </w:p>
        </w:tc>
        <w:tc>
          <w:tcPr>
            <w:tcW w:w="1308" w:type="pct"/>
          </w:tcPr>
          <w:p w14:paraId="245FE6A9" w14:textId="77777777" w:rsidR="009E212B" w:rsidRPr="00491ED2" w:rsidRDefault="009E212B">
            <w:pPr>
              <w:pStyle w:val="TableText"/>
              <w:rPr>
                <w:i/>
                <w:iCs/>
              </w:rPr>
            </w:pPr>
            <w:r w:rsidRPr="00491ED2">
              <w:rPr>
                <w:i/>
                <w:iCs/>
              </w:rPr>
              <w:t>No change</w:t>
            </w:r>
          </w:p>
        </w:tc>
      </w:tr>
      <w:tr w:rsidR="009E212B" w:rsidRPr="000449D1" w14:paraId="13602057" w14:textId="77777777" w:rsidTr="00ED1006">
        <w:tc>
          <w:tcPr>
            <w:tcW w:w="1097" w:type="pct"/>
          </w:tcPr>
          <w:p w14:paraId="140194EB" w14:textId="77777777" w:rsidR="009E212B" w:rsidRPr="000449D1" w:rsidRDefault="009E212B">
            <w:pPr>
              <w:pStyle w:val="TableText"/>
              <w:keepNext/>
              <w:rPr>
                <w:szCs w:val="20"/>
              </w:rPr>
            </w:pPr>
            <w:r w:rsidRPr="000449D1">
              <w:rPr>
                <w:szCs w:val="20"/>
              </w:rPr>
              <w:t>Discount rate</w:t>
            </w:r>
          </w:p>
        </w:tc>
        <w:tc>
          <w:tcPr>
            <w:tcW w:w="2595" w:type="pct"/>
          </w:tcPr>
          <w:p w14:paraId="1BBAB704" w14:textId="77777777" w:rsidR="009E212B" w:rsidRPr="000449D1" w:rsidRDefault="009E212B">
            <w:pPr>
              <w:pStyle w:val="TableText"/>
              <w:keepNext/>
              <w:rPr>
                <w:szCs w:val="20"/>
              </w:rPr>
            </w:pPr>
            <w:r w:rsidRPr="00847F9F">
              <w:rPr>
                <w:szCs w:val="20"/>
              </w:rPr>
              <w:t>5% for both costs and outcomes</w:t>
            </w:r>
          </w:p>
        </w:tc>
        <w:tc>
          <w:tcPr>
            <w:tcW w:w="1308" w:type="pct"/>
          </w:tcPr>
          <w:p w14:paraId="650BDE68" w14:textId="77777777" w:rsidR="009E212B" w:rsidRPr="00491ED2" w:rsidRDefault="009E212B">
            <w:pPr>
              <w:pStyle w:val="TableText"/>
              <w:rPr>
                <w:i/>
                <w:iCs/>
              </w:rPr>
            </w:pPr>
            <w:r w:rsidRPr="00491ED2">
              <w:rPr>
                <w:i/>
                <w:iCs/>
              </w:rPr>
              <w:t>No change</w:t>
            </w:r>
          </w:p>
        </w:tc>
      </w:tr>
      <w:tr w:rsidR="009E212B" w:rsidRPr="000449D1" w14:paraId="39B13C46" w14:textId="77777777" w:rsidTr="00ED1006">
        <w:tc>
          <w:tcPr>
            <w:tcW w:w="1097" w:type="pct"/>
          </w:tcPr>
          <w:p w14:paraId="69C553F0" w14:textId="77777777" w:rsidR="009E212B" w:rsidRPr="000449D1" w:rsidRDefault="009E212B">
            <w:pPr>
              <w:pStyle w:val="TableText"/>
              <w:keepNext/>
              <w:rPr>
                <w:szCs w:val="20"/>
              </w:rPr>
            </w:pPr>
            <w:r w:rsidRPr="000449D1">
              <w:rPr>
                <w:szCs w:val="20"/>
              </w:rPr>
              <w:t>Software</w:t>
            </w:r>
          </w:p>
        </w:tc>
        <w:tc>
          <w:tcPr>
            <w:tcW w:w="2595" w:type="pct"/>
          </w:tcPr>
          <w:p w14:paraId="52321014" w14:textId="77777777" w:rsidR="009E212B" w:rsidRPr="000449D1" w:rsidRDefault="009E212B">
            <w:pPr>
              <w:pStyle w:val="TableText"/>
              <w:keepNext/>
              <w:rPr>
                <w:szCs w:val="20"/>
              </w:rPr>
            </w:pPr>
            <w:r w:rsidRPr="000449D1">
              <w:rPr>
                <w:szCs w:val="20"/>
              </w:rPr>
              <w:t>Excel</w:t>
            </w:r>
          </w:p>
        </w:tc>
        <w:tc>
          <w:tcPr>
            <w:tcW w:w="1308" w:type="pct"/>
          </w:tcPr>
          <w:p w14:paraId="659FACB3" w14:textId="77777777" w:rsidR="009E212B" w:rsidRPr="00491ED2" w:rsidRDefault="009E212B">
            <w:pPr>
              <w:pStyle w:val="TableText"/>
              <w:rPr>
                <w:i/>
                <w:iCs/>
              </w:rPr>
            </w:pPr>
            <w:r w:rsidRPr="00491ED2">
              <w:rPr>
                <w:i/>
                <w:iCs/>
              </w:rPr>
              <w:t>No change</w:t>
            </w:r>
          </w:p>
        </w:tc>
      </w:tr>
    </w:tbl>
    <w:p w14:paraId="5F621CD3" w14:textId="7587F53A" w:rsidR="009E212B" w:rsidRDefault="009E212B" w:rsidP="009E212B">
      <w:pPr>
        <w:pStyle w:val="TableFooter"/>
      </w:pPr>
      <w:bookmarkStart w:id="30" w:name="_Hlk68276459"/>
      <w:bookmarkEnd w:id="29"/>
      <w:r>
        <w:t>Source: Table 8</w:t>
      </w:r>
      <w:r w:rsidR="007940F1">
        <w:t>, p</w:t>
      </w:r>
      <w:r w:rsidR="008D4C24">
        <w:t>p27-28</w:t>
      </w:r>
      <w:r>
        <w:t xml:space="preserve"> of the MSAC</w:t>
      </w:r>
      <w:r w:rsidR="007940F1">
        <w:t xml:space="preserve"> </w:t>
      </w:r>
      <w:r>
        <w:t>1749 PSD.</w:t>
      </w:r>
    </w:p>
    <w:p w14:paraId="51F8AADC" w14:textId="23685469" w:rsidR="009E212B" w:rsidRPr="00D1210D" w:rsidRDefault="009E212B" w:rsidP="009E212B">
      <w:pPr>
        <w:pStyle w:val="TableFooter"/>
      </w:pPr>
      <w:r w:rsidRPr="00D1210D">
        <w:t>DT = destination therapy; GDMT = Guideline directed medical therapy; HF = heart failure;</w:t>
      </w:r>
      <w:r>
        <w:t xml:space="preserve"> ICER =</w:t>
      </w:r>
      <w:r w:rsidRPr="003E56CC">
        <w:t xml:space="preserve"> </w:t>
      </w:r>
      <w:r>
        <w:t>i</w:t>
      </w:r>
      <w:r w:rsidRPr="003E56CC">
        <w:t xml:space="preserve">ncremental </w:t>
      </w:r>
      <w:r>
        <w:t>c</w:t>
      </w:r>
      <w:r w:rsidRPr="003E56CC">
        <w:t>ost-</w:t>
      </w:r>
      <w:r>
        <w:t>e</w:t>
      </w:r>
      <w:r w:rsidRPr="003E56CC">
        <w:t xml:space="preserve">ffectiveness </w:t>
      </w:r>
      <w:r>
        <w:t>r</w:t>
      </w:r>
      <w:r w:rsidRPr="003E56CC">
        <w:t>atio</w:t>
      </w:r>
      <w:r>
        <w:t xml:space="preserve">; </w:t>
      </w:r>
      <w:r w:rsidRPr="00D1210D">
        <w:t xml:space="preserve">INTERMACS = Interagency Registry for Mechanically Assisted Circulatory Support; </w:t>
      </w:r>
      <w:r w:rsidR="00587F0F">
        <w:t>L</w:t>
      </w:r>
      <w:r w:rsidR="00ED6CA5">
        <w:t>VAD</w:t>
      </w:r>
      <w:r w:rsidRPr="00D1210D">
        <w:t xml:space="preserve"> = </w:t>
      </w:r>
      <w:r w:rsidR="00587F0F">
        <w:t xml:space="preserve">left </w:t>
      </w:r>
      <w:r w:rsidRPr="00D1210D">
        <w:t xml:space="preserve">ventricular assist device; MBS = Medicare benefit schedule; OMM = </w:t>
      </w:r>
      <w:r>
        <w:t>o</w:t>
      </w:r>
      <w:r w:rsidRPr="00D1210D">
        <w:t>ptim</w:t>
      </w:r>
      <w:r>
        <w:t>al</w:t>
      </w:r>
      <w:r w:rsidRPr="00D1210D">
        <w:t xml:space="preserve"> medical management; OMT = optimal medical therapy; OS = overall survival; QALY = quality adjusted life year</w:t>
      </w:r>
      <w:r>
        <w:t>.</w:t>
      </w:r>
    </w:p>
    <w:p w14:paraId="4BBF9C74" w14:textId="508D9F85" w:rsidR="009E212B" w:rsidRDefault="00286D49" w:rsidP="009E212B">
      <w:pPr>
        <w:pStyle w:val="TableFooter"/>
      </w:pPr>
      <w:r>
        <w:t xml:space="preserve">Notes: </w:t>
      </w:r>
      <w:r w:rsidR="009E212B" w:rsidRPr="00D74C1B">
        <w:rPr>
          <w:vertAlign w:val="superscript"/>
        </w:rPr>
        <w:t>a</w:t>
      </w:r>
      <w:r>
        <w:rPr>
          <w:vertAlign w:val="superscript"/>
        </w:rPr>
        <w:t xml:space="preserve"> </w:t>
      </w:r>
      <w:r w:rsidR="009E212B" w:rsidRPr="00847F9F">
        <w:t>DT subgroup of MOMENTUM 3 included INTERMACS 1-3 83.8% and INTERMACS 4-7 16.1% in HM3 arm</w:t>
      </w:r>
      <w:r w:rsidR="009E212B">
        <w:t>,</w:t>
      </w:r>
      <w:r w:rsidR="009E212B" w:rsidRPr="00847F9F">
        <w:t xml:space="preserve"> and INTERMACS 1-3 85.2% and INTERMACS 4-7 14.8% in HM2 arm. No separate data available for the INTERMACS 1-4, the target population in this application.</w:t>
      </w:r>
    </w:p>
    <w:p w14:paraId="10E1E283" w14:textId="03B43C0E" w:rsidR="009E212B" w:rsidRPr="007A368C" w:rsidRDefault="009E212B" w:rsidP="009E212B">
      <w:pPr>
        <w:pStyle w:val="TableFooter"/>
        <w:rPr>
          <w:i/>
          <w:iCs/>
        </w:rPr>
      </w:pPr>
      <w:r w:rsidRPr="007A368C">
        <w:rPr>
          <w:i/>
          <w:iCs/>
        </w:rPr>
        <w:t xml:space="preserve">Italics </w:t>
      </w:r>
      <w:r w:rsidR="00DA55D0">
        <w:rPr>
          <w:i/>
          <w:iCs/>
        </w:rPr>
        <w:t xml:space="preserve">indicates </w:t>
      </w:r>
      <w:r w:rsidRPr="007A368C">
        <w:rPr>
          <w:i/>
          <w:iCs/>
        </w:rPr>
        <w:t>add</w:t>
      </w:r>
      <w:r w:rsidR="00DA55D0">
        <w:rPr>
          <w:i/>
          <w:iCs/>
        </w:rPr>
        <w:t>ition</w:t>
      </w:r>
      <w:r w:rsidRPr="007A368C">
        <w:rPr>
          <w:i/>
          <w:iCs/>
        </w:rPr>
        <w:t xml:space="preserve"> during commentary</w:t>
      </w:r>
      <w:r w:rsidR="00DA55D0">
        <w:rPr>
          <w:i/>
          <w:iCs/>
        </w:rPr>
        <w:t>.</w:t>
      </w:r>
    </w:p>
    <w:bookmarkEnd w:id="30"/>
    <w:p w14:paraId="1236C66D" w14:textId="0559FFA7" w:rsidR="00C65078" w:rsidRDefault="00445C6F" w:rsidP="009E212B">
      <w:r>
        <w:t xml:space="preserve">In </w:t>
      </w:r>
      <w:r w:rsidR="000D299A">
        <w:t xml:space="preserve">response to </w:t>
      </w:r>
      <w:r>
        <w:t>the MSAC</w:t>
      </w:r>
      <w:r w:rsidR="00E965A4">
        <w:t>’s</w:t>
      </w:r>
      <w:r>
        <w:t xml:space="preserve"> re</w:t>
      </w:r>
      <w:r w:rsidR="007C0859">
        <w:t>-specification of</w:t>
      </w:r>
      <w:r>
        <w:t xml:space="preserve"> the base case</w:t>
      </w:r>
      <w:r w:rsidR="007C0859">
        <w:t>,</w:t>
      </w:r>
      <w:r w:rsidR="003B4217">
        <w:t xml:space="preserve"> t</w:t>
      </w:r>
      <w:r w:rsidR="009E212B" w:rsidRPr="00391ACB">
        <w:t xml:space="preserve">he resubmission </w:t>
      </w:r>
      <w:r w:rsidR="00D04EFF">
        <w:t xml:space="preserve">ADAR </w:t>
      </w:r>
      <w:r w:rsidR="00DA089C">
        <w:t xml:space="preserve">proposed two sets of revised modelling assumptions </w:t>
      </w:r>
      <w:r w:rsidR="00C91D47">
        <w:t xml:space="preserve">namely “revised base case” and “likely over estimated base case”. The </w:t>
      </w:r>
      <w:r w:rsidR="00003195">
        <w:t xml:space="preserve">resubmission </w:t>
      </w:r>
      <w:r w:rsidR="00C91D47">
        <w:t xml:space="preserve">ADAR noted that the revised base case addresses MSAC advice </w:t>
      </w:r>
      <w:r w:rsidR="00003195">
        <w:lastRenderedPageBreak/>
        <w:t xml:space="preserve">and considered that it aligns most closely with accurate estimates in the target MBS population. The resubmission ADAR noted that the “likely overestimated base case” is intended to reflect the combined impact of assumptions which are not necessarily consistent with current evidence or expert opinion but are conservative to the extent that it would reflect a ‘worse case’ scenario for the cost-effectiveness of LVAD in the Australian setting. </w:t>
      </w:r>
      <w:r w:rsidR="00DA089C">
        <w:t xml:space="preserve"> </w:t>
      </w:r>
    </w:p>
    <w:p w14:paraId="6E1B45AD" w14:textId="117ED715" w:rsidR="009E212B" w:rsidRDefault="006B3278" w:rsidP="009E212B">
      <w:r>
        <w:fldChar w:fldCharType="begin"/>
      </w:r>
      <w:r>
        <w:instrText xml:space="preserve"> REF _Ref177127109 \h </w:instrText>
      </w:r>
      <w:r>
        <w:fldChar w:fldCharType="separate"/>
      </w:r>
      <w:r>
        <w:t xml:space="preserve">Table </w:t>
      </w:r>
      <w:r>
        <w:rPr>
          <w:noProof/>
        </w:rPr>
        <w:t>4</w:t>
      </w:r>
      <w:r>
        <w:fldChar w:fldCharType="end"/>
      </w:r>
      <w:r>
        <w:t xml:space="preserve"> </w:t>
      </w:r>
      <w:r w:rsidR="009E212B">
        <w:t>provides a summary of the revisions to the economic analysis in the resubmission</w:t>
      </w:r>
      <w:r w:rsidR="009504AE">
        <w:t xml:space="preserve"> ADAR.</w:t>
      </w:r>
    </w:p>
    <w:p w14:paraId="274CF835" w14:textId="0F01E274" w:rsidR="009E212B" w:rsidRDefault="009E212B" w:rsidP="009E212B">
      <w:pPr>
        <w:pStyle w:val="Caption"/>
      </w:pPr>
      <w:bookmarkStart w:id="31" w:name="_Ref177127109"/>
      <w:r w:rsidRPr="00966AEE">
        <w:t xml:space="preserve">Table </w:t>
      </w:r>
      <w:r w:rsidR="006461F2">
        <w:fldChar w:fldCharType="begin"/>
      </w:r>
      <w:r w:rsidR="006461F2">
        <w:instrText xml:space="preserve"> SEQ Table \* ARABIC </w:instrText>
      </w:r>
      <w:r w:rsidR="006461F2">
        <w:fldChar w:fldCharType="separate"/>
      </w:r>
      <w:r w:rsidR="006461F2">
        <w:rPr>
          <w:noProof/>
        </w:rPr>
        <w:t>6</w:t>
      </w:r>
      <w:r w:rsidR="006461F2">
        <w:rPr>
          <w:noProof/>
        </w:rPr>
        <w:fldChar w:fldCharType="end"/>
      </w:r>
      <w:bookmarkEnd w:id="31"/>
      <w:r w:rsidRPr="00966AEE">
        <w:t xml:space="preserve"> Summary of revisions to the economic analysis in the resubmission </w:t>
      </w:r>
      <w:r w:rsidR="009504AE" w:rsidRPr="00966AEE">
        <w:t>ADAR.</w:t>
      </w:r>
    </w:p>
    <w:tbl>
      <w:tblPr>
        <w:tblStyle w:val="TableGrid"/>
        <w:tblW w:w="5000" w:type="pct"/>
        <w:tblLook w:val="04A0" w:firstRow="1" w:lastRow="0" w:firstColumn="1" w:lastColumn="0" w:noHBand="0" w:noVBand="1"/>
      </w:tblPr>
      <w:tblGrid>
        <w:gridCol w:w="1697"/>
        <w:gridCol w:w="2126"/>
        <w:gridCol w:w="2411"/>
        <w:gridCol w:w="2782"/>
      </w:tblGrid>
      <w:tr w:rsidR="009E212B" w:rsidRPr="008A5988" w14:paraId="3B8327B5" w14:textId="77777777" w:rsidTr="00EA4AE9">
        <w:tc>
          <w:tcPr>
            <w:tcW w:w="941" w:type="pct"/>
          </w:tcPr>
          <w:p w14:paraId="4EDAD48E" w14:textId="17533A08" w:rsidR="009E212B" w:rsidRPr="008A5988" w:rsidRDefault="009E212B" w:rsidP="00BF6E09">
            <w:pPr>
              <w:pStyle w:val="TableHeadingCA"/>
            </w:pPr>
            <w:r w:rsidRPr="008A5988">
              <w:t>MSAC advice</w:t>
            </w:r>
          </w:p>
        </w:tc>
        <w:tc>
          <w:tcPr>
            <w:tcW w:w="1179" w:type="pct"/>
          </w:tcPr>
          <w:p w14:paraId="3C193A7B" w14:textId="48547D5E" w:rsidR="009E212B" w:rsidRPr="008A5988" w:rsidRDefault="009E212B" w:rsidP="00BF6E09">
            <w:pPr>
              <w:pStyle w:val="TableHeadingCA"/>
            </w:pPr>
            <w:r>
              <w:t>Approach in original submission</w:t>
            </w:r>
            <w:r w:rsidR="002C086B">
              <w:t xml:space="preserve"> ADAR</w:t>
            </w:r>
          </w:p>
        </w:tc>
        <w:tc>
          <w:tcPr>
            <w:tcW w:w="1337" w:type="pct"/>
          </w:tcPr>
          <w:p w14:paraId="2EE553EE" w14:textId="76E8D251" w:rsidR="009E212B" w:rsidRPr="008A5988" w:rsidRDefault="009E212B" w:rsidP="00BF6E09">
            <w:pPr>
              <w:pStyle w:val="TableHeadingCA"/>
            </w:pPr>
            <w:r w:rsidRPr="008A5988">
              <w:t>Change or update in the current resubmission</w:t>
            </w:r>
            <w:r w:rsidR="002C086B">
              <w:t xml:space="preserve"> ADAR</w:t>
            </w:r>
          </w:p>
        </w:tc>
        <w:tc>
          <w:tcPr>
            <w:tcW w:w="1543" w:type="pct"/>
          </w:tcPr>
          <w:p w14:paraId="2ED1A3BC" w14:textId="561ED954" w:rsidR="009E212B" w:rsidRPr="001C0726" w:rsidRDefault="009E7FFA" w:rsidP="00BF6E09">
            <w:pPr>
              <w:pStyle w:val="TableHeadingCA"/>
              <w:rPr>
                <w:i/>
                <w:iCs/>
              </w:rPr>
            </w:pPr>
            <w:r>
              <w:rPr>
                <w:i/>
                <w:iCs/>
              </w:rPr>
              <w:t xml:space="preserve">Commentary </w:t>
            </w:r>
            <w:r w:rsidR="009E212B" w:rsidRPr="001C0726">
              <w:rPr>
                <w:i/>
                <w:iCs/>
              </w:rPr>
              <w:t>Comments</w:t>
            </w:r>
          </w:p>
        </w:tc>
      </w:tr>
      <w:tr w:rsidR="009E212B" w14:paraId="5EEA276F" w14:textId="77777777" w:rsidTr="00EA4AE9">
        <w:tc>
          <w:tcPr>
            <w:tcW w:w="941" w:type="pct"/>
          </w:tcPr>
          <w:p w14:paraId="31971E60" w14:textId="77777777" w:rsidR="009E212B" w:rsidRDefault="009E212B">
            <w:pPr>
              <w:pStyle w:val="Tabletext0"/>
            </w:pPr>
            <w:r w:rsidRPr="00524B17">
              <w:rPr>
                <w:u w:val="single"/>
              </w:rPr>
              <w:t>Time horizon</w:t>
            </w:r>
            <w:r>
              <w:t xml:space="preserve">: </w:t>
            </w:r>
          </w:p>
          <w:p w14:paraId="0D7517A1" w14:textId="77777777" w:rsidR="009E212B" w:rsidRDefault="009E212B">
            <w:pPr>
              <w:pStyle w:val="Tabletext0"/>
            </w:pPr>
            <w:r>
              <w:t>10 years</w:t>
            </w:r>
          </w:p>
        </w:tc>
        <w:tc>
          <w:tcPr>
            <w:tcW w:w="1179" w:type="pct"/>
          </w:tcPr>
          <w:p w14:paraId="60182B4A" w14:textId="2548F66E" w:rsidR="009E212B" w:rsidRDefault="00955A24">
            <w:pPr>
              <w:pStyle w:val="Tabletext0"/>
            </w:pPr>
            <w:r>
              <w:t>Lifetime</w:t>
            </w:r>
            <w:r w:rsidR="009E212B">
              <w:t xml:space="preserve"> horizon (a time horizon of 40 years with a baseline age of 65 years)</w:t>
            </w:r>
          </w:p>
        </w:tc>
        <w:tc>
          <w:tcPr>
            <w:tcW w:w="1337" w:type="pct"/>
          </w:tcPr>
          <w:p w14:paraId="1A41B1BE" w14:textId="51978C3E" w:rsidR="009E212B" w:rsidRDefault="00012B36">
            <w:pPr>
              <w:pStyle w:val="Tabletext0"/>
            </w:pPr>
            <w:r>
              <w:t>“</w:t>
            </w:r>
            <w:r w:rsidR="009E212B">
              <w:t>Revised base case</w:t>
            </w:r>
            <w:r>
              <w:t>”</w:t>
            </w:r>
            <w:r w:rsidR="009E212B">
              <w:t>: 15 years</w:t>
            </w:r>
          </w:p>
          <w:p w14:paraId="654C832A" w14:textId="5C96B484" w:rsidR="009E212B" w:rsidRDefault="00012B36">
            <w:pPr>
              <w:pStyle w:val="Tabletext0"/>
            </w:pPr>
            <w:r>
              <w:t>“</w:t>
            </w:r>
            <w:r w:rsidR="009E212B">
              <w:t>Likely overestimated case</w:t>
            </w:r>
            <w:r>
              <w:t>”</w:t>
            </w:r>
            <w:r w:rsidR="009E212B">
              <w:t>: 10 years</w:t>
            </w:r>
          </w:p>
          <w:p w14:paraId="4350C47D" w14:textId="77777777" w:rsidR="009E212B" w:rsidRDefault="009E212B">
            <w:pPr>
              <w:pStyle w:val="Tabletext0"/>
            </w:pPr>
          </w:p>
        </w:tc>
        <w:tc>
          <w:tcPr>
            <w:tcW w:w="1543" w:type="pct"/>
          </w:tcPr>
          <w:p w14:paraId="0C8ECE46" w14:textId="083374F6" w:rsidR="009E212B" w:rsidRPr="001C0726" w:rsidRDefault="009E212B">
            <w:pPr>
              <w:pStyle w:val="Tabletext0"/>
              <w:rPr>
                <w:i/>
                <w:iCs/>
              </w:rPr>
            </w:pPr>
            <w:r w:rsidRPr="001C0726">
              <w:rPr>
                <w:i/>
                <w:iCs/>
              </w:rPr>
              <w:t>Changes were reasonable.</w:t>
            </w:r>
            <w:r w:rsidR="00894B89">
              <w:rPr>
                <w:i/>
                <w:iCs/>
              </w:rPr>
              <w:t xml:space="preserve"> However, </w:t>
            </w:r>
            <w:r w:rsidR="00BD02EF">
              <w:rPr>
                <w:i/>
                <w:iCs/>
              </w:rPr>
              <w:t>time horizon was a key driver of the model and the ICER increased by 16% to $</w:t>
            </w:r>
            <w:r w:rsidR="00077B4B" w:rsidRPr="00077B4B">
              <w:rPr>
                <w:b/>
                <w:bCs/>
                <w:i/>
                <w:iCs/>
              </w:rPr>
              <w:t>redacted</w:t>
            </w:r>
            <w:r w:rsidR="00BD02EF">
              <w:rPr>
                <w:i/>
                <w:iCs/>
              </w:rPr>
              <w:t>/QALY when the time horizon was reduced from 15 to 10 years</w:t>
            </w:r>
            <w:r w:rsidR="00361AD6">
              <w:rPr>
                <w:i/>
                <w:iCs/>
              </w:rPr>
              <w:t>.</w:t>
            </w:r>
          </w:p>
          <w:p w14:paraId="5D8C0541" w14:textId="77777777" w:rsidR="009E212B" w:rsidRDefault="009E212B">
            <w:pPr>
              <w:pStyle w:val="Tabletext0"/>
            </w:pPr>
          </w:p>
          <w:p w14:paraId="5FB286CC" w14:textId="73A19808" w:rsidR="00894B89" w:rsidRDefault="00BC4482">
            <w:pPr>
              <w:pStyle w:val="Tabletext0"/>
            </w:pPr>
            <w:r>
              <w:t xml:space="preserve">The resubmission </w:t>
            </w:r>
            <w:r w:rsidR="00F35667">
              <w:t xml:space="preserve">ADAR </w:t>
            </w:r>
            <w:r>
              <w:t xml:space="preserve">considered that a </w:t>
            </w:r>
            <w:r w:rsidR="00F35667">
              <w:t>10-year</w:t>
            </w:r>
            <w:r>
              <w:t xml:space="preserve"> time horizon likely underestimates the life expectancy of a proportion of patients. </w:t>
            </w:r>
            <w:r w:rsidR="009E212B">
              <w:t xml:space="preserve">The resubmission </w:t>
            </w:r>
            <w:r w:rsidR="00ED0FB1">
              <w:t xml:space="preserve">ADAR </w:t>
            </w:r>
            <w:r w:rsidR="009E212B">
              <w:t xml:space="preserve">justified that </w:t>
            </w:r>
            <w:r w:rsidR="009E212B" w:rsidRPr="009A6BCC">
              <w:t>4 out of 9 patients</w:t>
            </w:r>
            <w:r w:rsidR="009E212B">
              <w:t xml:space="preserve"> (</w:t>
            </w:r>
            <w:r w:rsidR="009E212B" w:rsidRPr="001C0726">
              <w:rPr>
                <w:i/>
                <w:iCs/>
              </w:rPr>
              <w:t>median age at implant was 71 years</w:t>
            </w:r>
            <w:r w:rsidR="009E212B">
              <w:t>)</w:t>
            </w:r>
            <w:r w:rsidR="009E212B" w:rsidRPr="009A6BCC">
              <w:t xml:space="preserve"> implanted with newer generation </w:t>
            </w:r>
            <w:r w:rsidR="00376A15">
              <w:t>L</w:t>
            </w:r>
            <w:r w:rsidR="00ED6CA5">
              <w:t>VAD</w:t>
            </w:r>
            <w:r w:rsidR="009E212B" w:rsidRPr="009A6BCC">
              <w:t xml:space="preserve"> devices (HVAD, HM2 and HM3) with DT rem</w:t>
            </w:r>
            <w:r w:rsidR="009E212B">
              <w:t>a</w:t>
            </w:r>
            <w:r w:rsidR="009E212B" w:rsidRPr="009A6BCC">
              <w:t>ined alive beyond ten years (years alive at time of publication</w:t>
            </w:r>
            <w:r w:rsidR="002B73EC">
              <w:t xml:space="preserve"> </w:t>
            </w:r>
            <w:r w:rsidR="009E212B" w:rsidRPr="009A6BCC">
              <w:t>ranged from 10.1 to 11.2 years)</w:t>
            </w:r>
            <w:r w:rsidR="009E212B">
              <w:t xml:space="preserve">, based on an abstract which reviewed the outcomes of DT patients in </w:t>
            </w:r>
            <w:r>
              <w:t xml:space="preserve">a </w:t>
            </w:r>
            <w:r w:rsidR="009E212B">
              <w:t>W</w:t>
            </w:r>
            <w:r w:rsidR="00092E83">
              <w:t xml:space="preserve">estern </w:t>
            </w:r>
            <w:r w:rsidR="009E212B">
              <w:t>A</w:t>
            </w:r>
            <w:r w:rsidR="00092E83">
              <w:t>ustralia</w:t>
            </w:r>
            <w:r w:rsidR="00956D6F">
              <w:t>n</w:t>
            </w:r>
            <w:r w:rsidR="009E212B">
              <w:t xml:space="preserve"> </w:t>
            </w:r>
            <w:r w:rsidR="00A55D8E">
              <w:t>L</w:t>
            </w:r>
            <w:r w:rsidR="00ED6CA5">
              <w:t>VAD</w:t>
            </w:r>
            <w:r w:rsidR="009E212B">
              <w:t xml:space="preserve"> program (</w:t>
            </w:r>
            <w:r w:rsidR="009E212B" w:rsidRPr="00C22BC7">
              <w:t>McLean J. et al 2024</w:t>
            </w:r>
            <w:r w:rsidR="000F6A4B">
              <w:rPr>
                <w:vertAlign w:val="superscript"/>
              </w:rPr>
              <w:t>a</w:t>
            </w:r>
            <w:r w:rsidR="009E212B">
              <w:t>)</w:t>
            </w:r>
            <w:r>
              <w:t>.</w:t>
            </w:r>
          </w:p>
        </w:tc>
      </w:tr>
      <w:tr w:rsidR="009E212B" w14:paraId="0EDCC9B6" w14:textId="77777777" w:rsidTr="00EA4AE9">
        <w:tc>
          <w:tcPr>
            <w:tcW w:w="941" w:type="pct"/>
          </w:tcPr>
          <w:p w14:paraId="57F7B9AB" w14:textId="77777777" w:rsidR="009E212B" w:rsidRDefault="009E212B">
            <w:pPr>
              <w:pStyle w:val="Tabletext0"/>
            </w:pPr>
            <w:r w:rsidRPr="00524B17">
              <w:rPr>
                <w:u w:val="single"/>
              </w:rPr>
              <w:t>Utility values</w:t>
            </w:r>
            <w:r>
              <w:t>:</w:t>
            </w:r>
          </w:p>
          <w:p w14:paraId="559AC7FC" w14:textId="2CDDD91F" w:rsidR="009E212B" w:rsidRDefault="009E212B">
            <w:pPr>
              <w:pStyle w:val="Tabletext0"/>
            </w:pPr>
            <w:r>
              <w:t xml:space="preserve">0.64 (OMM all cycles; </w:t>
            </w:r>
            <w:r w:rsidR="00587F0F">
              <w:t>L</w:t>
            </w:r>
            <w:r w:rsidR="00ED6CA5">
              <w:t>VAD</w:t>
            </w:r>
            <w:r>
              <w:t xml:space="preserve"> first cycle) and</w:t>
            </w:r>
          </w:p>
          <w:p w14:paraId="2DF6F9D8" w14:textId="449DE4E2" w:rsidR="009E212B" w:rsidRDefault="009E212B">
            <w:pPr>
              <w:pStyle w:val="Tabletext0"/>
            </w:pPr>
            <w:r>
              <w:t xml:space="preserve">0.79 (all other </w:t>
            </w:r>
            <w:r w:rsidR="006B4D20">
              <w:t>L</w:t>
            </w:r>
            <w:r w:rsidR="00ED6CA5">
              <w:t>VAD</w:t>
            </w:r>
            <w:r>
              <w:t xml:space="preserve"> cycles) based on Sato</w:t>
            </w:r>
            <w:r w:rsidR="006E4F03">
              <w:t xml:space="preserve"> et al.,</w:t>
            </w:r>
            <w:r>
              <w:t xml:space="preserve"> 2022</w:t>
            </w:r>
          </w:p>
          <w:p w14:paraId="76DBB180" w14:textId="77777777" w:rsidR="009E212B" w:rsidRDefault="009E212B">
            <w:pPr>
              <w:pStyle w:val="Tabletext0"/>
            </w:pPr>
          </w:p>
        </w:tc>
        <w:tc>
          <w:tcPr>
            <w:tcW w:w="1179" w:type="pct"/>
          </w:tcPr>
          <w:p w14:paraId="65357A20" w14:textId="77777777" w:rsidR="009E212B" w:rsidRDefault="009E212B">
            <w:pPr>
              <w:pStyle w:val="Tabletext0"/>
            </w:pPr>
            <w:r>
              <w:t xml:space="preserve">OMM arm </w:t>
            </w:r>
          </w:p>
          <w:p w14:paraId="4F9B1CED" w14:textId="77777777" w:rsidR="009E212B" w:rsidRDefault="009E212B">
            <w:pPr>
              <w:pStyle w:val="Tabletext0"/>
            </w:pPr>
            <w:r>
              <w:t>First cycle = 0.44</w:t>
            </w:r>
          </w:p>
          <w:p w14:paraId="0CB1A13E" w14:textId="77777777" w:rsidR="009E212B" w:rsidRDefault="009E212B">
            <w:pPr>
              <w:pStyle w:val="Tabletext0"/>
            </w:pPr>
            <w:r>
              <w:t>Subsequent cycles = 0.44</w:t>
            </w:r>
          </w:p>
          <w:p w14:paraId="158385A4" w14:textId="43F181B0" w:rsidR="009E212B" w:rsidRDefault="006B4D20">
            <w:pPr>
              <w:pStyle w:val="Tabletext0"/>
            </w:pPr>
            <w:r>
              <w:t>L</w:t>
            </w:r>
            <w:r w:rsidR="00ED6CA5">
              <w:t>VAD</w:t>
            </w:r>
            <w:r w:rsidR="009E212B">
              <w:t xml:space="preserve"> arm </w:t>
            </w:r>
          </w:p>
          <w:p w14:paraId="71AAAE4E" w14:textId="77777777" w:rsidR="009E212B" w:rsidRDefault="009E212B">
            <w:pPr>
              <w:pStyle w:val="Tabletext0"/>
            </w:pPr>
            <w:r>
              <w:t>First cycle = 0.44</w:t>
            </w:r>
          </w:p>
          <w:p w14:paraId="3BEDDC59" w14:textId="77777777" w:rsidR="009E212B" w:rsidRDefault="009E212B">
            <w:pPr>
              <w:pStyle w:val="Tabletext0"/>
            </w:pPr>
            <w:r>
              <w:t>Subsequent cycles = 0.79</w:t>
            </w:r>
          </w:p>
        </w:tc>
        <w:tc>
          <w:tcPr>
            <w:tcW w:w="1337" w:type="pct"/>
          </w:tcPr>
          <w:p w14:paraId="2F2B1F78" w14:textId="77777777" w:rsidR="009E212B" w:rsidRDefault="009E212B">
            <w:pPr>
              <w:pStyle w:val="Tabletext0"/>
            </w:pPr>
            <w:r>
              <w:t xml:space="preserve">OMM arm </w:t>
            </w:r>
          </w:p>
          <w:p w14:paraId="24630FF8" w14:textId="77777777" w:rsidR="009E212B" w:rsidRDefault="009E212B">
            <w:pPr>
              <w:pStyle w:val="Tabletext0"/>
            </w:pPr>
            <w:r>
              <w:t>First cycle = 0.64</w:t>
            </w:r>
          </w:p>
          <w:p w14:paraId="07685A9D" w14:textId="77777777" w:rsidR="009E212B" w:rsidRDefault="009E212B">
            <w:pPr>
              <w:pStyle w:val="Tabletext0"/>
            </w:pPr>
            <w:r>
              <w:t>Subsequent cycles = 0.64</w:t>
            </w:r>
          </w:p>
          <w:p w14:paraId="4968F162" w14:textId="050FF5DC" w:rsidR="009E212B" w:rsidRDefault="006B4D20">
            <w:pPr>
              <w:pStyle w:val="Tabletext0"/>
            </w:pPr>
            <w:r>
              <w:t>L</w:t>
            </w:r>
            <w:r w:rsidR="00ED6CA5">
              <w:t>VAD</w:t>
            </w:r>
            <w:r w:rsidR="009E212B">
              <w:t xml:space="preserve"> arm </w:t>
            </w:r>
          </w:p>
          <w:p w14:paraId="5A0106DB" w14:textId="77777777" w:rsidR="009E212B" w:rsidRDefault="009E212B">
            <w:pPr>
              <w:pStyle w:val="Tabletext0"/>
            </w:pPr>
            <w:r>
              <w:t>First cycle = 0.64</w:t>
            </w:r>
          </w:p>
          <w:p w14:paraId="7470D99F" w14:textId="77777777" w:rsidR="009E212B" w:rsidRDefault="009E212B">
            <w:pPr>
              <w:pStyle w:val="Tabletext0"/>
            </w:pPr>
            <w:r>
              <w:t>Subsequent cycles = 0.79</w:t>
            </w:r>
          </w:p>
        </w:tc>
        <w:tc>
          <w:tcPr>
            <w:tcW w:w="1543" w:type="pct"/>
          </w:tcPr>
          <w:p w14:paraId="28598F57" w14:textId="11403E33" w:rsidR="009E212B" w:rsidRPr="001C0726" w:rsidRDefault="009E212B">
            <w:pPr>
              <w:pStyle w:val="Tabletext0"/>
              <w:rPr>
                <w:i/>
                <w:iCs/>
              </w:rPr>
            </w:pPr>
            <w:r w:rsidRPr="001C0726">
              <w:rPr>
                <w:i/>
                <w:iCs/>
              </w:rPr>
              <w:t>Changes were consistent with MSAC advice.</w:t>
            </w:r>
          </w:p>
        </w:tc>
      </w:tr>
      <w:tr w:rsidR="009E212B" w14:paraId="3BA95488" w14:textId="77777777" w:rsidTr="00EA4AE9">
        <w:tc>
          <w:tcPr>
            <w:tcW w:w="941" w:type="pct"/>
          </w:tcPr>
          <w:p w14:paraId="4732FB12" w14:textId="77777777" w:rsidR="009E212B" w:rsidRDefault="009E212B">
            <w:pPr>
              <w:pStyle w:val="Tabletext0"/>
            </w:pPr>
            <w:r w:rsidRPr="00524B17">
              <w:rPr>
                <w:u w:val="single"/>
              </w:rPr>
              <w:t>Incidence of device replacement</w:t>
            </w:r>
            <w:r>
              <w:t xml:space="preserve"> </w:t>
            </w:r>
          </w:p>
          <w:p w14:paraId="09D6C4F9" w14:textId="10AE4E6F" w:rsidR="009E212B" w:rsidRDefault="009E212B">
            <w:pPr>
              <w:pStyle w:val="Tabletext0"/>
            </w:pPr>
            <w:r>
              <w:t xml:space="preserve">To consider device replacement for other reasons within the proposed </w:t>
            </w:r>
            <w:r w:rsidR="006138A7">
              <w:t>10-year</w:t>
            </w:r>
            <w:r>
              <w:t xml:space="preserve"> time horizon.</w:t>
            </w:r>
          </w:p>
          <w:p w14:paraId="0F4F395C" w14:textId="77777777" w:rsidR="009E212B" w:rsidRDefault="009E212B">
            <w:pPr>
              <w:pStyle w:val="Tabletext0"/>
            </w:pPr>
          </w:p>
        </w:tc>
        <w:tc>
          <w:tcPr>
            <w:tcW w:w="1179" w:type="pct"/>
          </w:tcPr>
          <w:p w14:paraId="6D583B09" w14:textId="77777777" w:rsidR="009E212B" w:rsidRDefault="009E212B">
            <w:pPr>
              <w:pStyle w:val="Tabletext0"/>
            </w:pPr>
            <w:r>
              <w:t>Annual risk of device replacement:</w:t>
            </w:r>
          </w:p>
          <w:p w14:paraId="6CDDC672" w14:textId="77777777" w:rsidR="009E212B" w:rsidRDefault="009E212B">
            <w:pPr>
              <w:pStyle w:val="Tabletext0"/>
            </w:pPr>
            <w:r>
              <w:t>Years 0-2 = 0.01</w:t>
            </w:r>
          </w:p>
          <w:p w14:paraId="1312FF20" w14:textId="77777777" w:rsidR="009E212B" w:rsidRPr="00866D6D" w:rsidRDefault="009E212B">
            <w:pPr>
              <w:pStyle w:val="Tabletext0"/>
            </w:pPr>
            <w:r>
              <w:t>Years 2+ = 0.011</w:t>
            </w:r>
          </w:p>
        </w:tc>
        <w:tc>
          <w:tcPr>
            <w:tcW w:w="1337" w:type="pct"/>
          </w:tcPr>
          <w:p w14:paraId="5AD21DE7" w14:textId="3A477D7E" w:rsidR="009E212B" w:rsidRDefault="00EA4AE9">
            <w:pPr>
              <w:pStyle w:val="Tabletext0"/>
            </w:pPr>
            <w:r>
              <w:t>“</w:t>
            </w:r>
            <w:r w:rsidR="009E212B">
              <w:t>Revised base case</w:t>
            </w:r>
            <w:r>
              <w:t>”</w:t>
            </w:r>
            <w:r w:rsidR="009E212B">
              <w:t xml:space="preserve">: </w:t>
            </w:r>
          </w:p>
          <w:p w14:paraId="49D2185C" w14:textId="77777777" w:rsidR="009E212B" w:rsidRDefault="009E212B">
            <w:pPr>
              <w:pStyle w:val="Tabletext0"/>
            </w:pPr>
            <w:r>
              <w:t>Annual risk of device replacement:</w:t>
            </w:r>
          </w:p>
          <w:p w14:paraId="1BFD5B6A" w14:textId="77777777" w:rsidR="009E212B" w:rsidRDefault="009E212B">
            <w:pPr>
              <w:pStyle w:val="Tabletext0"/>
            </w:pPr>
            <w:r>
              <w:t>Years 0-2 = 0.01</w:t>
            </w:r>
          </w:p>
          <w:p w14:paraId="61A8AAC0" w14:textId="77777777" w:rsidR="009E212B" w:rsidRDefault="009E212B">
            <w:pPr>
              <w:pStyle w:val="Tabletext0"/>
            </w:pPr>
            <w:r>
              <w:t>Years 2+ = 0.011</w:t>
            </w:r>
          </w:p>
          <w:p w14:paraId="1EAB7F43" w14:textId="77777777" w:rsidR="009E212B" w:rsidRDefault="009E212B">
            <w:pPr>
              <w:pStyle w:val="Tabletext0"/>
            </w:pPr>
          </w:p>
          <w:p w14:paraId="343DFC51" w14:textId="66E192AE" w:rsidR="009E212B" w:rsidRDefault="00EA4AE9">
            <w:pPr>
              <w:pStyle w:val="Tabletext0"/>
            </w:pPr>
            <w:r>
              <w:t>“</w:t>
            </w:r>
            <w:r w:rsidR="009E212B">
              <w:t>Likely overestimated case</w:t>
            </w:r>
            <w:r>
              <w:t>”</w:t>
            </w:r>
            <w:r w:rsidR="009E212B">
              <w:t xml:space="preserve">: </w:t>
            </w:r>
          </w:p>
          <w:p w14:paraId="49057423" w14:textId="77777777" w:rsidR="009E212B" w:rsidRDefault="009E212B">
            <w:pPr>
              <w:pStyle w:val="Tabletext0"/>
            </w:pPr>
            <w:r>
              <w:t>Annual risk of device replacement:</w:t>
            </w:r>
          </w:p>
          <w:p w14:paraId="71452BD8" w14:textId="77777777" w:rsidR="009E212B" w:rsidRDefault="009E212B">
            <w:pPr>
              <w:pStyle w:val="Tabletext0"/>
            </w:pPr>
            <w:r>
              <w:lastRenderedPageBreak/>
              <w:t>Years 0-2 = 0.01</w:t>
            </w:r>
          </w:p>
          <w:p w14:paraId="05AFE21A" w14:textId="77777777" w:rsidR="009E212B" w:rsidRDefault="009E212B">
            <w:pPr>
              <w:pStyle w:val="Tabletext0"/>
            </w:pPr>
            <w:r>
              <w:t>Years 2+ = 0.022</w:t>
            </w:r>
          </w:p>
        </w:tc>
        <w:tc>
          <w:tcPr>
            <w:tcW w:w="1543" w:type="pct"/>
          </w:tcPr>
          <w:p w14:paraId="4781B0D3" w14:textId="5D2BC863" w:rsidR="009E212B" w:rsidRDefault="00D533E3">
            <w:pPr>
              <w:pStyle w:val="Tabletext0"/>
              <w:rPr>
                <w:i/>
                <w:iCs/>
              </w:rPr>
            </w:pPr>
            <w:r>
              <w:rPr>
                <w:i/>
                <w:iCs/>
              </w:rPr>
              <w:lastRenderedPageBreak/>
              <w:t>The “revised base case” in the resubmission ADAR did n</w:t>
            </w:r>
            <w:r w:rsidR="009E212B" w:rsidRPr="00713655">
              <w:rPr>
                <w:i/>
                <w:iCs/>
              </w:rPr>
              <w:t>o</w:t>
            </w:r>
            <w:r>
              <w:rPr>
                <w:i/>
                <w:iCs/>
              </w:rPr>
              <w:t>t</w:t>
            </w:r>
            <w:r w:rsidR="009E212B" w:rsidRPr="00713655">
              <w:rPr>
                <w:i/>
                <w:iCs/>
              </w:rPr>
              <w:t xml:space="preserve"> change </w:t>
            </w:r>
            <w:r>
              <w:rPr>
                <w:i/>
                <w:iCs/>
              </w:rPr>
              <w:t>from</w:t>
            </w:r>
            <w:r w:rsidR="009E212B" w:rsidRPr="00713655">
              <w:rPr>
                <w:i/>
                <w:iCs/>
              </w:rPr>
              <w:t xml:space="preserve"> the </w:t>
            </w:r>
            <w:r w:rsidR="00E163A9">
              <w:rPr>
                <w:i/>
                <w:iCs/>
              </w:rPr>
              <w:t>original submission</w:t>
            </w:r>
            <w:r w:rsidR="002C086B">
              <w:rPr>
                <w:i/>
                <w:iCs/>
              </w:rPr>
              <w:t xml:space="preserve"> ADAR</w:t>
            </w:r>
            <w:r w:rsidR="00E163A9">
              <w:rPr>
                <w:i/>
                <w:iCs/>
              </w:rPr>
              <w:t>.</w:t>
            </w:r>
            <w:r w:rsidR="00F35667">
              <w:rPr>
                <w:i/>
                <w:iCs/>
              </w:rPr>
              <w:t xml:space="preserve"> </w:t>
            </w:r>
          </w:p>
          <w:p w14:paraId="55695D07" w14:textId="77777777" w:rsidR="009E212B" w:rsidRDefault="009E212B">
            <w:pPr>
              <w:pStyle w:val="Tabletext0"/>
              <w:rPr>
                <w:i/>
                <w:iCs/>
              </w:rPr>
            </w:pPr>
          </w:p>
          <w:p w14:paraId="70840D6E" w14:textId="2A539E08" w:rsidR="009E212B" w:rsidRDefault="009E212B">
            <w:pPr>
              <w:pStyle w:val="Tabletext0"/>
              <w:rPr>
                <w:i/>
                <w:iCs/>
              </w:rPr>
            </w:pPr>
            <w:r>
              <w:rPr>
                <w:i/>
                <w:iCs/>
              </w:rPr>
              <w:t xml:space="preserve">This is inappropriate because the resubmission </w:t>
            </w:r>
            <w:r w:rsidR="00435CAD">
              <w:rPr>
                <w:i/>
                <w:iCs/>
              </w:rPr>
              <w:t xml:space="preserve">ADAR </w:t>
            </w:r>
            <w:r>
              <w:rPr>
                <w:i/>
                <w:iCs/>
              </w:rPr>
              <w:t xml:space="preserve">assumed the risk of device replacement based on pump thrombosis only. Other potential reasons for device replacement include device </w:t>
            </w:r>
            <w:r>
              <w:rPr>
                <w:i/>
                <w:iCs/>
              </w:rPr>
              <w:lastRenderedPageBreak/>
              <w:t xml:space="preserve">malfunction and infection. Based on the INTERMACS 2023 </w:t>
            </w:r>
            <w:r w:rsidR="00F014C9">
              <w:rPr>
                <w:i/>
                <w:iCs/>
              </w:rPr>
              <w:t>Annual R</w:t>
            </w:r>
            <w:r>
              <w:rPr>
                <w:i/>
                <w:iCs/>
              </w:rPr>
              <w:t>eport</w:t>
            </w:r>
            <w:r w:rsidR="00F014C9">
              <w:rPr>
                <w:i/>
                <w:iCs/>
              </w:rPr>
              <w:t xml:space="preserve"> by Jorde et al., 2024</w:t>
            </w:r>
            <w:r w:rsidR="000F6A4B">
              <w:rPr>
                <w:i/>
                <w:iCs/>
                <w:vertAlign w:val="superscript"/>
              </w:rPr>
              <w:t>b</w:t>
            </w:r>
            <w:r>
              <w:rPr>
                <w:i/>
                <w:iCs/>
              </w:rPr>
              <w:t>, the incidence of device malfunction/pump thrombosis (&gt;90 days after implant) over a 5-year period, was 0.04 EPPY.</w:t>
            </w:r>
            <w:r w:rsidR="000A52AD">
              <w:rPr>
                <w:i/>
                <w:iCs/>
              </w:rPr>
              <w:t xml:space="preserve"> </w:t>
            </w:r>
            <w:r w:rsidR="00AE4104">
              <w:rPr>
                <w:i/>
                <w:iCs/>
              </w:rPr>
              <w:t>I</w:t>
            </w:r>
            <w:r w:rsidR="000A52AD" w:rsidRPr="000A52AD">
              <w:rPr>
                <w:i/>
                <w:iCs/>
              </w:rPr>
              <w:t>ncreasing the device replacement rate from 0.011 to 0.04 EPPY in year 2-5 would increase ICER of the “revised base case” by 1</w:t>
            </w:r>
            <w:r w:rsidR="00FA5129">
              <w:rPr>
                <w:i/>
                <w:iCs/>
              </w:rPr>
              <w:t>1</w:t>
            </w:r>
            <w:r w:rsidR="000A52AD" w:rsidRPr="000A52AD">
              <w:rPr>
                <w:i/>
                <w:iCs/>
              </w:rPr>
              <w:t>% to $</w:t>
            </w:r>
            <w:r w:rsidR="00077B4B" w:rsidRPr="00077B4B">
              <w:rPr>
                <w:b/>
                <w:bCs/>
                <w:i/>
                <w:iCs/>
              </w:rPr>
              <w:t>redacted</w:t>
            </w:r>
            <w:r w:rsidR="000A52AD" w:rsidRPr="000A52AD">
              <w:rPr>
                <w:i/>
                <w:iCs/>
              </w:rPr>
              <w:t>/QALY.</w:t>
            </w:r>
          </w:p>
          <w:p w14:paraId="1FA2F297" w14:textId="77777777" w:rsidR="00435CAD" w:rsidRDefault="00435CAD">
            <w:pPr>
              <w:pStyle w:val="Tabletext0"/>
              <w:rPr>
                <w:i/>
                <w:iCs/>
              </w:rPr>
            </w:pPr>
          </w:p>
          <w:p w14:paraId="65BEFA34" w14:textId="09E69663" w:rsidR="00D50431" w:rsidRDefault="004D1510">
            <w:pPr>
              <w:pStyle w:val="Tabletext0"/>
              <w:rPr>
                <w:i/>
                <w:iCs/>
              </w:rPr>
            </w:pPr>
            <w:r w:rsidRPr="00344C50">
              <w:t>The resubmission ADAR stated there was no device replacement in the HM3 arm during the 5-year follow up of MOMENTUM 3 trial (Mehra et al., 2022</w:t>
            </w:r>
            <w:r w:rsidR="003E03AA">
              <w:rPr>
                <w:vertAlign w:val="superscript"/>
              </w:rPr>
              <w:t>c</w:t>
            </w:r>
            <w:r w:rsidRPr="00344C50">
              <w:t>).</w:t>
            </w:r>
            <w:r>
              <w:t xml:space="preserve"> </w:t>
            </w:r>
            <w:r w:rsidR="00B90801">
              <w:rPr>
                <w:i/>
                <w:iCs/>
              </w:rPr>
              <w:t xml:space="preserve">However, </w:t>
            </w:r>
            <w:r w:rsidR="007F2D33">
              <w:rPr>
                <w:i/>
                <w:iCs/>
              </w:rPr>
              <w:t>there was a high percentage of missing data</w:t>
            </w:r>
            <w:r w:rsidR="009D219A">
              <w:rPr>
                <w:i/>
                <w:iCs/>
              </w:rPr>
              <w:t xml:space="preserve"> </w:t>
            </w:r>
            <w:r w:rsidR="00B90801">
              <w:rPr>
                <w:i/>
                <w:iCs/>
              </w:rPr>
              <w:t>of</w:t>
            </w:r>
            <w:r w:rsidR="009D219A">
              <w:rPr>
                <w:i/>
                <w:iCs/>
              </w:rPr>
              <w:t xml:space="preserve"> serious adverse events </w:t>
            </w:r>
            <w:r w:rsidR="00B90801">
              <w:rPr>
                <w:i/>
                <w:iCs/>
              </w:rPr>
              <w:t xml:space="preserve">in that study </w:t>
            </w:r>
            <w:r w:rsidR="009D219A">
              <w:rPr>
                <w:i/>
                <w:iCs/>
              </w:rPr>
              <w:t>due to COVID-19 pandemic</w:t>
            </w:r>
            <w:r w:rsidR="007F2D33">
              <w:rPr>
                <w:i/>
                <w:iCs/>
              </w:rPr>
              <w:t xml:space="preserve">. </w:t>
            </w:r>
          </w:p>
          <w:p w14:paraId="690628DC" w14:textId="77777777" w:rsidR="008D2A3A" w:rsidRDefault="008D2A3A">
            <w:pPr>
              <w:pStyle w:val="Tabletext0"/>
              <w:rPr>
                <w:i/>
                <w:iCs/>
              </w:rPr>
            </w:pPr>
          </w:p>
          <w:p w14:paraId="4622AF3B" w14:textId="575A0934" w:rsidR="00435CAD" w:rsidRPr="00F90EFE" w:rsidRDefault="008D2A3A">
            <w:pPr>
              <w:pStyle w:val="Tabletext0"/>
              <w:rPr>
                <w:i/>
                <w:iCs/>
              </w:rPr>
            </w:pPr>
            <w:r>
              <w:rPr>
                <w:i/>
                <w:iCs/>
              </w:rPr>
              <w:t>T</w:t>
            </w:r>
            <w:r w:rsidRPr="00F35667">
              <w:rPr>
                <w:i/>
                <w:iCs/>
              </w:rPr>
              <w:t xml:space="preserve">he </w:t>
            </w:r>
            <w:r>
              <w:rPr>
                <w:i/>
                <w:iCs/>
              </w:rPr>
              <w:t>resubmission ADAR</w:t>
            </w:r>
            <w:r w:rsidRPr="00F35667">
              <w:rPr>
                <w:i/>
                <w:iCs/>
              </w:rPr>
              <w:t xml:space="preserve"> increased the incidence of device replacement</w:t>
            </w:r>
            <w:r>
              <w:rPr>
                <w:i/>
                <w:iCs/>
              </w:rPr>
              <w:t xml:space="preserve"> Years 2+</w:t>
            </w:r>
            <w:r w:rsidRPr="00F35667">
              <w:rPr>
                <w:i/>
                <w:iCs/>
              </w:rPr>
              <w:t xml:space="preserve"> in the ‘likely over estimated case</w:t>
            </w:r>
            <w:r>
              <w:rPr>
                <w:i/>
                <w:iCs/>
              </w:rPr>
              <w:t xml:space="preserve">’. </w:t>
            </w:r>
            <w:r w:rsidR="00435CAD">
              <w:rPr>
                <w:i/>
                <w:iCs/>
              </w:rPr>
              <w:t xml:space="preserve">The annual risk of device replacement of 0.022 EPPY </w:t>
            </w:r>
            <w:r w:rsidR="00C7600C">
              <w:rPr>
                <w:i/>
                <w:iCs/>
              </w:rPr>
              <w:t xml:space="preserve">(double the rate that was proposed </w:t>
            </w:r>
            <w:r w:rsidR="00BE2700">
              <w:rPr>
                <w:i/>
                <w:iCs/>
              </w:rPr>
              <w:t>i</w:t>
            </w:r>
            <w:r w:rsidR="00C7600C">
              <w:rPr>
                <w:i/>
                <w:iCs/>
              </w:rPr>
              <w:t>n the original submission)</w:t>
            </w:r>
            <w:r w:rsidR="00435CAD">
              <w:rPr>
                <w:i/>
                <w:iCs/>
              </w:rPr>
              <w:t xml:space="preserve"> was an assumption proposed in the resubmission ADAR to address MSAC uncertainty. </w:t>
            </w:r>
          </w:p>
        </w:tc>
      </w:tr>
      <w:tr w:rsidR="009E212B" w14:paraId="5D780963" w14:textId="77777777" w:rsidTr="00EA4AE9">
        <w:tc>
          <w:tcPr>
            <w:tcW w:w="941" w:type="pct"/>
          </w:tcPr>
          <w:p w14:paraId="6A1CC709" w14:textId="77777777" w:rsidR="009E212B" w:rsidRPr="00A60F98" w:rsidRDefault="009E212B">
            <w:pPr>
              <w:pStyle w:val="Tabletext0"/>
              <w:rPr>
                <w:u w:val="single"/>
              </w:rPr>
            </w:pPr>
            <w:r w:rsidRPr="00A60F98">
              <w:rPr>
                <w:u w:val="single"/>
              </w:rPr>
              <w:lastRenderedPageBreak/>
              <w:t>OMM disease related costs in the first cycle:</w:t>
            </w:r>
          </w:p>
          <w:p w14:paraId="6D0C981B" w14:textId="77777777" w:rsidR="009E212B" w:rsidRDefault="009E212B">
            <w:pPr>
              <w:pStyle w:val="Tabletext0"/>
            </w:pPr>
            <w:r>
              <w:t>$0</w:t>
            </w:r>
          </w:p>
        </w:tc>
        <w:tc>
          <w:tcPr>
            <w:tcW w:w="1179" w:type="pct"/>
          </w:tcPr>
          <w:p w14:paraId="17343CF8" w14:textId="77777777" w:rsidR="009E212B" w:rsidRDefault="009E212B">
            <w:pPr>
              <w:pStyle w:val="Tabletext0"/>
            </w:pPr>
            <w:r w:rsidRPr="001D6542">
              <w:t>First cycle costs = $34,218.02</w:t>
            </w:r>
          </w:p>
          <w:p w14:paraId="4A13C4FE" w14:textId="437FE1CD" w:rsidR="009E212B" w:rsidRDefault="009E212B">
            <w:pPr>
              <w:pStyle w:val="Tabletext0"/>
            </w:pPr>
            <w:r>
              <w:t>(based on Prichard</w:t>
            </w:r>
            <w:r w:rsidR="008E13B9">
              <w:t xml:space="preserve"> et al.</w:t>
            </w:r>
            <w:r w:rsidR="00700B6B">
              <w:t>,</w:t>
            </w:r>
            <w:r>
              <w:t xml:space="preserve"> 2020)</w:t>
            </w:r>
          </w:p>
        </w:tc>
        <w:tc>
          <w:tcPr>
            <w:tcW w:w="1337" w:type="pct"/>
          </w:tcPr>
          <w:p w14:paraId="73792860" w14:textId="6E241B38" w:rsidR="009E212B" w:rsidRPr="0027380E" w:rsidRDefault="001E3026">
            <w:pPr>
              <w:pStyle w:val="Tabletext0"/>
            </w:pPr>
            <w:r>
              <w:t>“</w:t>
            </w:r>
            <w:r w:rsidR="009E212B" w:rsidRPr="0027380E">
              <w:t>Revised base case</w:t>
            </w:r>
            <w:r>
              <w:t>”</w:t>
            </w:r>
            <w:r w:rsidR="009E212B" w:rsidRPr="0027380E">
              <w:t xml:space="preserve"> = $4,</w:t>
            </w:r>
            <w:r w:rsidR="0027380E" w:rsidRPr="0027380E">
              <w:t>958.11</w:t>
            </w:r>
            <w:r w:rsidR="009E212B" w:rsidRPr="0027380E">
              <w:t xml:space="preserve"> </w:t>
            </w:r>
            <w:r w:rsidR="009E212B" w:rsidRPr="00D74C1B">
              <w:t xml:space="preserve">(cost inflated to year </w:t>
            </w:r>
            <w:r w:rsidR="0027380E" w:rsidRPr="00D74C1B">
              <w:t>2024,</w:t>
            </w:r>
            <w:r w:rsidR="0027380E" w:rsidRPr="0027380E">
              <w:t xml:space="preserve"> </w:t>
            </w:r>
            <w:r w:rsidR="0027380E" w:rsidRPr="00D74C1B">
              <w:t xml:space="preserve">based on Table 9 of MSAC Application </w:t>
            </w:r>
            <w:r w:rsidR="009A5664">
              <w:t>1749 Resubmission</w:t>
            </w:r>
            <w:r w:rsidR="0027380E" w:rsidRPr="00D74C1B">
              <w:t xml:space="preserve"> ADAR and Section 3 </w:t>
            </w:r>
            <w:r w:rsidR="00587F0F">
              <w:t>L</w:t>
            </w:r>
            <w:r w:rsidR="00ED6CA5">
              <w:t>VAD</w:t>
            </w:r>
            <w:r w:rsidR="0027380E" w:rsidRPr="00D74C1B">
              <w:t xml:space="preserve"> CEA Workbook</w:t>
            </w:r>
            <w:r w:rsidR="009E212B" w:rsidRPr="00D74C1B">
              <w:t>)</w:t>
            </w:r>
          </w:p>
          <w:p w14:paraId="0A0EDE7E" w14:textId="77777777" w:rsidR="009E212B" w:rsidRDefault="009E212B">
            <w:pPr>
              <w:pStyle w:val="Tabletext0"/>
            </w:pPr>
          </w:p>
          <w:p w14:paraId="777A45BC" w14:textId="176BB4AF" w:rsidR="009E212B" w:rsidRDefault="001E3026">
            <w:pPr>
              <w:pStyle w:val="Tabletext0"/>
            </w:pPr>
            <w:r>
              <w:t>“</w:t>
            </w:r>
            <w:r w:rsidR="009E212B">
              <w:t>Likely overestimated case</w:t>
            </w:r>
            <w:r w:rsidR="002C0139">
              <w:t>”</w:t>
            </w:r>
            <w:r w:rsidR="009E212B">
              <w:t xml:space="preserve"> = $0</w:t>
            </w:r>
          </w:p>
        </w:tc>
        <w:tc>
          <w:tcPr>
            <w:tcW w:w="1543" w:type="pct"/>
          </w:tcPr>
          <w:p w14:paraId="4D5BFFFA" w14:textId="34336FF2" w:rsidR="009E212B" w:rsidRPr="00C22BC7" w:rsidRDefault="001D111D">
            <w:pPr>
              <w:pStyle w:val="Tabletext0"/>
              <w:rPr>
                <w:i/>
                <w:iCs/>
              </w:rPr>
            </w:pPr>
            <w:r w:rsidRPr="00A9079E">
              <w:t>First cycle costs used in the “revised base case” were based on the pre-index admission phase of Prichard et al., 2020</w:t>
            </w:r>
            <w:r w:rsidR="00052A9C" w:rsidRPr="00A9079E">
              <w:t xml:space="preserve">, </w:t>
            </w:r>
            <w:r w:rsidR="00052A9C" w:rsidRPr="0079297C">
              <w:rPr>
                <w:i/>
              </w:rPr>
              <w:t>which was reasonable</w:t>
            </w:r>
            <w:r w:rsidR="00052A9C" w:rsidRPr="00A9079E">
              <w:t xml:space="preserve">. </w:t>
            </w:r>
            <w:r w:rsidR="00052A9C" w:rsidRPr="00D74C1B">
              <w:rPr>
                <w:i/>
                <w:iCs/>
              </w:rPr>
              <w:t xml:space="preserve">However, ongoing management cost of $148.08 was also applied to both </w:t>
            </w:r>
            <w:r w:rsidR="006B4D20">
              <w:rPr>
                <w:i/>
                <w:iCs/>
              </w:rPr>
              <w:t>L</w:t>
            </w:r>
            <w:r w:rsidR="00ED6CA5" w:rsidRPr="00A9079E">
              <w:rPr>
                <w:i/>
                <w:iCs/>
              </w:rPr>
              <w:t>VAD</w:t>
            </w:r>
            <w:r w:rsidR="00052A9C" w:rsidRPr="00D74C1B">
              <w:rPr>
                <w:i/>
                <w:iCs/>
              </w:rPr>
              <w:t xml:space="preserve"> and OMM arms</w:t>
            </w:r>
            <w:r w:rsidR="00244885">
              <w:rPr>
                <w:i/>
                <w:iCs/>
              </w:rPr>
              <w:t xml:space="preserve"> in th</w:t>
            </w:r>
            <w:r w:rsidR="004D31E1">
              <w:rPr>
                <w:i/>
                <w:iCs/>
              </w:rPr>
              <w:t>e first</w:t>
            </w:r>
            <w:r w:rsidR="00244885">
              <w:rPr>
                <w:i/>
                <w:iCs/>
              </w:rPr>
              <w:t xml:space="preserve"> cycle</w:t>
            </w:r>
            <w:r w:rsidR="007C3B1B" w:rsidRPr="00A9079E">
              <w:rPr>
                <w:i/>
                <w:iCs/>
              </w:rPr>
              <w:t>.</w:t>
            </w:r>
            <w:r w:rsidR="00052A9C" w:rsidRPr="00D74C1B">
              <w:rPr>
                <w:i/>
                <w:iCs/>
              </w:rPr>
              <w:t xml:space="preserve"> Therefore, the first cycle costs in the “revised base case” was likely overestimated, though minimally.</w:t>
            </w:r>
          </w:p>
        </w:tc>
      </w:tr>
      <w:tr w:rsidR="009E212B" w14:paraId="081A3292" w14:textId="77777777" w:rsidTr="00EA4AE9">
        <w:tc>
          <w:tcPr>
            <w:tcW w:w="941" w:type="pct"/>
          </w:tcPr>
          <w:p w14:paraId="610D068F" w14:textId="3355732A" w:rsidR="009E212B" w:rsidRDefault="009E212B">
            <w:pPr>
              <w:pStyle w:val="Tabletext0"/>
              <w:rPr>
                <w:u w:val="single"/>
              </w:rPr>
            </w:pPr>
            <w:r>
              <w:rPr>
                <w:u w:val="single"/>
              </w:rPr>
              <w:t xml:space="preserve">Aftercare costs in </w:t>
            </w:r>
            <w:r w:rsidR="006B4D20">
              <w:rPr>
                <w:u w:val="single"/>
              </w:rPr>
              <w:t>L</w:t>
            </w:r>
            <w:r w:rsidR="00ED6CA5">
              <w:rPr>
                <w:u w:val="single"/>
              </w:rPr>
              <w:t>VAD</w:t>
            </w:r>
            <w:r>
              <w:rPr>
                <w:u w:val="single"/>
              </w:rPr>
              <w:t xml:space="preserve"> patients</w:t>
            </w:r>
          </w:p>
          <w:p w14:paraId="4BC195DB" w14:textId="1CA20DB4" w:rsidR="009E212B" w:rsidRDefault="009E212B">
            <w:pPr>
              <w:pStyle w:val="Tabletext0"/>
            </w:pPr>
            <w:r>
              <w:t xml:space="preserve">Additional costs of service, especially aftercare costs, to be sourced from Australian hospitals which provide </w:t>
            </w:r>
            <w:r w:rsidR="006B4D20">
              <w:t>L</w:t>
            </w:r>
            <w:r w:rsidR="00ED6CA5">
              <w:t>VAD</w:t>
            </w:r>
            <w:r>
              <w:t xml:space="preserve"> insertion for other indications, as well as secondary and </w:t>
            </w:r>
          </w:p>
          <w:p w14:paraId="5C9EE0B4" w14:textId="77777777" w:rsidR="009E212B" w:rsidRDefault="009E212B">
            <w:pPr>
              <w:pStyle w:val="Tabletext0"/>
            </w:pPr>
            <w:r>
              <w:t xml:space="preserve">tertiary healthcare centres that may be </w:t>
            </w:r>
          </w:p>
          <w:p w14:paraId="561F33AE" w14:textId="77777777" w:rsidR="009E212B" w:rsidRDefault="009E212B">
            <w:pPr>
              <w:pStyle w:val="Tabletext0"/>
            </w:pPr>
            <w:r>
              <w:lastRenderedPageBreak/>
              <w:t xml:space="preserve">involved in patient post-management, </w:t>
            </w:r>
          </w:p>
          <w:p w14:paraId="060E6F55" w14:textId="77777777" w:rsidR="009E212B" w:rsidRDefault="009E212B">
            <w:pPr>
              <w:pStyle w:val="Tabletext0"/>
            </w:pPr>
            <w:r>
              <w:t xml:space="preserve">to better inform the economic </w:t>
            </w:r>
          </w:p>
          <w:p w14:paraId="72D1D08A" w14:textId="77777777" w:rsidR="009E212B" w:rsidRPr="007D0F59" w:rsidRDefault="009E212B">
            <w:pPr>
              <w:pStyle w:val="Tabletext0"/>
            </w:pPr>
            <w:r>
              <w:t>assessment</w:t>
            </w:r>
          </w:p>
        </w:tc>
        <w:tc>
          <w:tcPr>
            <w:tcW w:w="1179" w:type="pct"/>
          </w:tcPr>
          <w:p w14:paraId="185029ED" w14:textId="77777777" w:rsidR="004D31E1" w:rsidRDefault="004D31E1" w:rsidP="004D31E1">
            <w:pPr>
              <w:pStyle w:val="Tabletext0"/>
            </w:pPr>
            <w:r>
              <w:lastRenderedPageBreak/>
              <w:t xml:space="preserve">Annual cost: </w:t>
            </w:r>
          </w:p>
          <w:p w14:paraId="15B53A98" w14:textId="11EFCCC7" w:rsidR="004D31E1" w:rsidRDefault="004D31E1" w:rsidP="004D31E1">
            <w:pPr>
              <w:pStyle w:val="Tabletext0"/>
            </w:pPr>
            <w:r>
              <w:t>Months 0-24 $</w:t>
            </w:r>
            <w:r w:rsidR="008059DE" w:rsidRPr="008059DE">
              <w:rPr>
                <w:b/>
                <w:bCs/>
              </w:rPr>
              <w:t>redacted</w:t>
            </w:r>
            <w:r>
              <w:t>; Months 25+ $</w:t>
            </w:r>
            <w:r w:rsidR="008059DE" w:rsidRPr="008C0B41">
              <w:rPr>
                <w:b/>
                <w:bCs/>
              </w:rPr>
              <w:t>redacted</w:t>
            </w:r>
            <w:r w:rsidR="008059DE" w:rsidDel="008059DE">
              <w:t xml:space="preserve"> </w:t>
            </w:r>
          </w:p>
          <w:p w14:paraId="46F89700" w14:textId="77777777" w:rsidR="004D31E1" w:rsidRDefault="004D31E1">
            <w:pPr>
              <w:pStyle w:val="Tabletext0"/>
            </w:pPr>
          </w:p>
          <w:p w14:paraId="763A34F7" w14:textId="778D1E27" w:rsidR="009E212B" w:rsidRDefault="009E212B">
            <w:pPr>
              <w:pStyle w:val="Tabletext0"/>
            </w:pPr>
            <w:r>
              <w:t xml:space="preserve">Aftercare costs in </w:t>
            </w:r>
            <w:r w:rsidR="006B4D20">
              <w:t>L</w:t>
            </w:r>
            <w:r w:rsidR="00ED6CA5">
              <w:t>VAD</w:t>
            </w:r>
            <w:r>
              <w:t xml:space="preserve"> patients were divided into </w:t>
            </w:r>
            <w:r w:rsidR="0054270D">
              <w:t>the following</w:t>
            </w:r>
            <w:r>
              <w:t>:</w:t>
            </w:r>
          </w:p>
          <w:p w14:paraId="320EEB3B" w14:textId="77777777" w:rsidR="009E212B" w:rsidRDefault="009E212B" w:rsidP="003F2B9C">
            <w:pPr>
              <w:pStyle w:val="Tabletext0"/>
              <w:numPr>
                <w:ilvl w:val="0"/>
                <w:numId w:val="14"/>
              </w:numPr>
              <w:ind w:left="357" w:hanging="357"/>
            </w:pPr>
            <w:r>
              <w:t>Ongoing monitoring: frequency of follow-up visits and testing based on guidelines and costed based on relevant MBS items</w:t>
            </w:r>
          </w:p>
          <w:p w14:paraId="016307E3" w14:textId="77777777" w:rsidR="009E212B" w:rsidRDefault="009E212B" w:rsidP="003F2B9C">
            <w:pPr>
              <w:pStyle w:val="Tabletext0"/>
              <w:numPr>
                <w:ilvl w:val="0"/>
                <w:numId w:val="14"/>
              </w:numPr>
              <w:ind w:left="357" w:hanging="357"/>
            </w:pPr>
            <w:r>
              <w:lastRenderedPageBreak/>
              <w:t>Device and disease related costs: frequency of device and disease related complications including device replacement based on 5-year follow-up data from MOMENTUM 3 and costed based on corresponding AR-DRG costs</w:t>
            </w:r>
          </w:p>
          <w:p w14:paraId="4F322D96" w14:textId="02B7078B" w:rsidR="009E212B" w:rsidRPr="001D6542" w:rsidRDefault="009E212B" w:rsidP="003F2B9C">
            <w:pPr>
              <w:pStyle w:val="Tabletext0"/>
              <w:numPr>
                <w:ilvl w:val="0"/>
                <w:numId w:val="14"/>
              </w:numPr>
              <w:ind w:left="357" w:hanging="357"/>
            </w:pPr>
            <w:r>
              <w:t xml:space="preserve">Ongoing therapeutic management and battery replacement: </w:t>
            </w:r>
            <w:r w:rsidR="00E14DE8">
              <w:t>guideline directed</w:t>
            </w:r>
            <w:r>
              <w:t xml:space="preserve"> treatment type and frequency costed based on PBS drug costs (DPMQ).</w:t>
            </w:r>
          </w:p>
        </w:tc>
        <w:tc>
          <w:tcPr>
            <w:tcW w:w="1337" w:type="pct"/>
          </w:tcPr>
          <w:p w14:paraId="530BAE15" w14:textId="5EC03E50" w:rsidR="009E212B" w:rsidRDefault="00A97B2E">
            <w:pPr>
              <w:pStyle w:val="Tabletext0"/>
            </w:pPr>
            <w:r>
              <w:lastRenderedPageBreak/>
              <w:t>“</w:t>
            </w:r>
            <w:r w:rsidR="009E212B">
              <w:t>Revised base case</w:t>
            </w:r>
            <w:r>
              <w:t>”</w:t>
            </w:r>
            <w:r w:rsidR="009E212B">
              <w:t xml:space="preserve">: </w:t>
            </w:r>
          </w:p>
          <w:p w14:paraId="022231BA" w14:textId="77777777" w:rsidR="009E212B" w:rsidRDefault="009E212B">
            <w:pPr>
              <w:pStyle w:val="Tabletext0"/>
            </w:pPr>
            <w:r>
              <w:t xml:space="preserve">Annual cost: </w:t>
            </w:r>
          </w:p>
          <w:p w14:paraId="74DA54BB" w14:textId="64E2603C" w:rsidR="009E212B" w:rsidRDefault="009E212B">
            <w:pPr>
              <w:pStyle w:val="Tabletext0"/>
            </w:pPr>
            <w:r>
              <w:t>Months 0-24 $</w:t>
            </w:r>
            <w:r w:rsidR="008059DE" w:rsidRPr="008C0B41">
              <w:rPr>
                <w:b/>
                <w:bCs/>
              </w:rPr>
              <w:t>redacted</w:t>
            </w:r>
            <w:r>
              <w:t>; Months 25+ $</w:t>
            </w:r>
            <w:r w:rsidR="008059DE" w:rsidRPr="008C0B41">
              <w:rPr>
                <w:b/>
                <w:bCs/>
              </w:rPr>
              <w:t>redacted</w:t>
            </w:r>
            <w:r w:rsidR="008059DE" w:rsidDel="008059DE">
              <w:t xml:space="preserve"> </w:t>
            </w:r>
          </w:p>
          <w:p w14:paraId="76F1718F" w14:textId="77777777" w:rsidR="009E212B" w:rsidRDefault="009E212B">
            <w:pPr>
              <w:pStyle w:val="Tabletext0"/>
            </w:pPr>
          </w:p>
          <w:p w14:paraId="279E73CF" w14:textId="7C149669" w:rsidR="009E212B" w:rsidRDefault="00A97B2E">
            <w:pPr>
              <w:pStyle w:val="Tabletext0"/>
            </w:pPr>
            <w:r>
              <w:t>“</w:t>
            </w:r>
            <w:r w:rsidR="009E212B">
              <w:t>Likely overestimated case</w:t>
            </w:r>
            <w:r>
              <w:t>”</w:t>
            </w:r>
            <w:r w:rsidR="009E212B">
              <w:t>: Annual cost: $39,130.03 based on Prichard</w:t>
            </w:r>
            <w:r w:rsidR="008E13B9">
              <w:t xml:space="preserve"> et al.</w:t>
            </w:r>
            <w:r w:rsidR="00820539">
              <w:t>,</w:t>
            </w:r>
            <w:r w:rsidR="009E212B">
              <w:t xml:space="preserve"> 2020 inflated to 2024 index, in the first year.</w:t>
            </w:r>
          </w:p>
        </w:tc>
        <w:tc>
          <w:tcPr>
            <w:tcW w:w="1543" w:type="pct"/>
          </w:tcPr>
          <w:p w14:paraId="04CDA598" w14:textId="284FDE5E" w:rsidR="009E212B" w:rsidRDefault="004D31E1">
            <w:pPr>
              <w:pStyle w:val="Tabletext0"/>
              <w:rPr>
                <w:i/>
                <w:iCs/>
              </w:rPr>
            </w:pPr>
            <w:r w:rsidRPr="004D31E1">
              <w:rPr>
                <w:i/>
                <w:iCs/>
              </w:rPr>
              <w:t xml:space="preserve">The “revised base case” in the resubmission ADAR did </w:t>
            </w:r>
            <w:r>
              <w:rPr>
                <w:i/>
                <w:iCs/>
              </w:rPr>
              <w:t>n</w:t>
            </w:r>
            <w:r w:rsidR="009E212B" w:rsidRPr="00837346">
              <w:rPr>
                <w:i/>
                <w:iCs/>
              </w:rPr>
              <w:t>o</w:t>
            </w:r>
            <w:r>
              <w:rPr>
                <w:i/>
                <w:iCs/>
              </w:rPr>
              <w:t>t</w:t>
            </w:r>
            <w:r w:rsidR="009E212B" w:rsidRPr="00837346">
              <w:rPr>
                <w:i/>
                <w:iCs/>
              </w:rPr>
              <w:t xml:space="preserve"> change</w:t>
            </w:r>
            <w:r>
              <w:rPr>
                <w:i/>
                <w:iCs/>
              </w:rPr>
              <w:t xml:space="preserve"> from</w:t>
            </w:r>
            <w:r w:rsidR="009E212B" w:rsidRPr="00837346">
              <w:rPr>
                <w:i/>
                <w:iCs/>
              </w:rPr>
              <w:t xml:space="preserve"> the </w:t>
            </w:r>
            <w:r w:rsidR="00E163A9">
              <w:rPr>
                <w:i/>
                <w:iCs/>
              </w:rPr>
              <w:t>original submission</w:t>
            </w:r>
            <w:r w:rsidR="002C086B">
              <w:rPr>
                <w:i/>
                <w:iCs/>
              </w:rPr>
              <w:t xml:space="preserve"> ADAR</w:t>
            </w:r>
            <w:r w:rsidR="00E163A9">
              <w:rPr>
                <w:i/>
                <w:iCs/>
              </w:rPr>
              <w:t>.</w:t>
            </w:r>
            <w:r w:rsidR="00B90801">
              <w:rPr>
                <w:i/>
                <w:iCs/>
              </w:rPr>
              <w:t xml:space="preserve"> However, t</w:t>
            </w:r>
            <w:r w:rsidR="00B90801" w:rsidRPr="00B90801">
              <w:rPr>
                <w:i/>
                <w:iCs/>
              </w:rPr>
              <w:t>he applicant made changes to the aftercare costs in the ‘likely over estimated case’</w:t>
            </w:r>
            <w:r w:rsidR="00B90801">
              <w:rPr>
                <w:i/>
                <w:iCs/>
              </w:rPr>
              <w:t>.</w:t>
            </w:r>
          </w:p>
          <w:p w14:paraId="67436595" w14:textId="77777777" w:rsidR="00FF1A1A" w:rsidRDefault="00FF1A1A">
            <w:pPr>
              <w:pStyle w:val="Tabletext0"/>
              <w:rPr>
                <w:i/>
                <w:iCs/>
              </w:rPr>
            </w:pPr>
          </w:p>
          <w:p w14:paraId="2A2926C4" w14:textId="1CD051F9" w:rsidR="00FF1A1A" w:rsidRDefault="00FF1A1A">
            <w:pPr>
              <w:pStyle w:val="Tabletext0"/>
              <w:rPr>
                <w:i/>
                <w:iCs/>
              </w:rPr>
            </w:pPr>
            <w:r>
              <w:rPr>
                <w:i/>
                <w:iCs/>
              </w:rPr>
              <w:t>The resubmission ADAR did not address MSAC</w:t>
            </w:r>
            <w:r w:rsidR="005D55F9">
              <w:rPr>
                <w:i/>
                <w:iCs/>
              </w:rPr>
              <w:t>’s</w:t>
            </w:r>
            <w:r w:rsidR="00831761">
              <w:rPr>
                <w:i/>
                <w:iCs/>
              </w:rPr>
              <w:t xml:space="preserve"> </w:t>
            </w:r>
            <w:r>
              <w:rPr>
                <w:i/>
                <w:iCs/>
              </w:rPr>
              <w:t xml:space="preserve">request for </w:t>
            </w:r>
            <w:r w:rsidRPr="00FF1A1A">
              <w:rPr>
                <w:i/>
                <w:iCs/>
              </w:rPr>
              <w:t xml:space="preserve">a contemporary and informed estimate of the aftercare costs following </w:t>
            </w:r>
            <w:r w:rsidR="006B4D20">
              <w:rPr>
                <w:i/>
                <w:iCs/>
              </w:rPr>
              <w:t>L</w:t>
            </w:r>
            <w:r w:rsidR="00ED6CA5">
              <w:rPr>
                <w:i/>
                <w:iCs/>
              </w:rPr>
              <w:t>VAD</w:t>
            </w:r>
            <w:r w:rsidRPr="00FF1A1A">
              <w:rPr>
                <w:i/>
                <w:iCs/>
              </w:rPr>
              <w:t xml:space="preserve"> implantation in Australia</w:t>
            </w:r>
            <w:r>
              <w:rPr>
                <w:i/>
                <w:iCs/>
              </w:rPr>
              <w:t>.</w:t>
            </w:r>
            <w:r w:rsidR="00103521">
              <w:rPr>
                <w:i/>
                <w:iCs/>
              </w:rPr>
              <w:t xml:space="preserve"> Instead, the resubmission </w:t>
            </w:r>
            <w:r w:rsidR="00B90801">
              <w:rPr>
                <w:i/>
                <w:iCs/>
              </w:rPr>
              <w:lastRenderedPageBreak/>
              <w:t xml:space="preserve">proposed an </w:t>
            </w:r>
            <w:r w:rsidR="00103521">
              <w:rPr>
                <w:i/>
                <w:iCs/>
              </w:rPr>
              <w:t xml:space="preserve">aftercare cost </w:t>
            </w:r>
            <w:r w:rsidR="00B90801">
              <w:rPr>
                <w:i/>
                <w:iCs/>
              </w:rPr>
              <w:t xml:space="preserve">of $39,130.03 </w:t>
            </w:r>
            <w:r w:rsidR="00103521">
              <w:rPr>
                <w:i/>
                <w:iCs/>
              </w:rPr>
              <w:t xml:space="preserve">based on Prichard et al., </w:t>
            </w:r>
            <w:r w:rsidR="000E43D4">
              <w:rPr>
                <w:i/>
                <w:iCs/>
              </w:rPr>
              <w:t>2020 in</w:t>
            </w:r>
            <w:r w:rsidR="000A1695">
              <w:rPr>
                <w:i/>
                <w:iCs/>
              </w:rPr>
              <w:t xml:space="preserve"> </w:t>
            </w:r>
            <w:r w:rsidR="00B90801">
              <w:rPr>
                <w:i/>
                <w:iCs/>
              </w:rPr>
              <w:t>the” likely</w:t>
            </w:r>
            <w:r w:rsidR="000A1695">
              <w:rPr>
                <w:i/>
                <w:iCs/>
              </w:rPr>
              <w:t xml:space="preserve"> overestimated c</w:t>
            </w:r>
            <w:r w:rsidR="00F9296F">
              <w:rPr>
                <w:i/>
                <w:iCs/>
              </w:rPr>
              <w:t>ase</w:t>
            </w:r>
            <w:r w:rsidR="000A1695">
              <w:rPr>
                <w:i/>
                <w:iCs/>
              </w:rPr>
              <w:t>”.</w:t>
            </w:r>
            <w:r w:rsidR="00FB590F">
              <w:rPr>
                <w:i/>
                <w:iCs/>
              </w:rPr>
              <w:t xml:space="preserve"> </w:t>
            </w:r>
          </w:p>
          <w:p w14:paraId="5881D6CC" w14:textId="77777777" w:rsidR="009E212B" w:rsidRPr="007D0F59" w:rsidRDefault="009E212B" w:rsidP="00A129E9">
            <w:pPr>
              <w:pStyle w:val="Tabletext0"/>
              <w:rPr>
                <w:i/>
                <w:iCs/>
              </w:rPr>
            </w:pPr>
          </w:p>
        </w:tc>
      </w:tr>
    </w:tbl>
    <w:p w14:paraId="4A700515" w14:textId="0D672C3C" w:rsidR="00403488" w:rsidRDefault="009E212B" w:rsidP="003A23DE">
      <w:pPr>
        <w:pStyle w:val="TableFooter"/>
      </w:pPr>
      <w:r>
        <w:lastRenderedPageBreak/>
        <w:t>Source: Table 7</w:t>
      </w:r>
      <w:r w:rsidR="003F671C">
        <w:t>,</w:t>
      </w:r>
      <w:r>
        <w:t xml:space="preserve"> p20-23; Table 19</w:t>
      </w:r>
      <w:r w:rsidR="003F671C">
        <w:t>,</w:t>
      </w:r>
      <w:r>
        <w:t xml:space="preserve"> p37</w:t>
      </w:r>
      <w:r w:rsidR="0027380E">
        <w:t>; Table 9</w:t>
      </w:r>
      <w:r w:rsidR="003F671C">
        <w:t>,</w:t>
      </w:r>
      <w:r w:rsidR="0027380E">
        <w:t xml:space="preserve"> p25</w:t>
      </w:r>
      <w:r>
        <w:t xml:space="preserve"> </w:t>
      </w:r>
      <w:r w:rsidR="004F1D82">
        <w:t>of</w:t>
      </w:r>
      <w:r>
        <w:t xml:space="preserve"> MSAC </w:t>
      </w:r>
      <w:r w:rsidR="007861B2">
        <w:t xml:space="preserve">Application </w:t>
      </w:r>
      <w:r w:rsidR="009A5664">
        <w:t>1749 Resubmission</w:t>
      </w:r>
      <w:r w:rsidR="00C102B1">
        <w:t xml:space="preserve"> </w:t>
      </w:r>
      <w:proofErr w:type="gramStart"/>
      <w:r w:rsidR="00C102B1">
        <w:t>ADAR</w:t>
      </w:r>
      <w:r w:rsidR="00F014C9">
        <w:t>;</w:t>
      </w:r>
      <w:proofErr w:type="gramEnd"/>
      <w:r w:rsidR="00F014C9">
        <w:t xml:space="preserve"> </w:t>
      </w:r>
    </w:p>
    <w:p w14:paraId="18467519" w14:textId="3E7E81BE" w:rsidR="009E212B" w:rsidRDefault="009E212B" w:rsidP="009E212B">
      <w:pPr>
        <w:pStyle w:val="TableFooter"/>
      </w:pPr>
      <w:r>
        <w:t xml:space="preserve">AR-DRG = </w:t>
      </w:r>
      <w:r w:rsidRPr="00025495">
        <w:t>Australian Refined Diagnosis Related Groups</w:t>
      </w:r>
      <w:r>
        <w:t>; CEA = cost effectiveness analysis; DPMQ = d</w:t>
      </w:r>
      <w:r w:rsidRPr="008022A0">
        <w:t xml:space="preserve">ispensed </w:t>
      </w:r>
      <w:r>
        <w:t>p</w:t>
      </w:r>
      <w:r w:rsidRPr="008022A0">
        <w:t xml:space="preserve">rice for </w:t>
      </w:r>
      <w:r>
        <w:t>m</w:t>
      </w:r>
      <w:r w:rsidRPr="008022A0">
        <w:t xml:space="preserve">aximum </w:t>
      </w:r>
      <w:r>
        <w:t>q</w:t>
      </w:r>
      <w:r w:rsidRPr="008022A0">
        <w:t>uantity</w:t>
      </w:r>
      <w:r>
        <w:t xml:space="preserve">; DT = destination therapy; EPPY = event per patient per year; HM = HeartMate; HVAD = </w:t>
      </w:r>
      <w:proofErr w:type="spellStart"/>
      <w:r w:rsidRPr="00D50BC9">
        <w:t>HeartWare</w:t>
      </w:r>
      <w:proofErr w:type="spellEnd"/>
      <w:r w:rsidRPr="00D50BC9">
        <w:t xml:space="preserve"> </w:t>
      </w:r>
      <w:r>
        <w:t>v</w:t>
      </w:r>
      <w:r w:rsidRPr="00D50BC9">
        <w:t xml:space="preserve">entricular </w:t>
      </w:r>
      <w:r>
        <w:t>a</w:t>
      </w:r>
      <w:r w:rsidRPr="00D50BC9">
        <w:t xml:space="preserve">ssist </w:t>
      </w:r>
      <w:r>
        <w:t>d</w:t>
      </w:r>
      <w:r w:rsidRPr="00D50BC9">
        <w:t>evice</w:t>
      </w:r>
      <w:r>
        <w:t xml:space="preserve">; INTERMACS = Interagency Registry for Mechanically Assisted Circulatory Support; </w:t>
      </w:r>
      <w:r w:rsidR="00587F0F">
        <w:t>L</w:t>
      </w:r>
      <w:r w:rsidR="00ED6CA5">
        <w:t>VAD</w:t>
      </w:r>
      <w:r w:rsidRPr="00EA0886">
        <w:t xml:space="preserve"> =</w:t>
      </w:r>
      <w:r w:rsidR="00587F0F">
        <w:t xml:space="preserve"> left</w:t>
      </w:r>
      <w:r w:rsidRPr="00EA0886">
        <w:t xml:space="preserve"> ventricular assist device; </w:t>
      </w:r>
      <w:r>
        <w:t xml:space="preserve">MSAC = </w:t>
      </w:r>
      <w:r w:rsidRPr="008022A0">
        <w:t>Medical Services Advisory Committee</w:t>
      </w:r>
      <w:r>
        <w:t xml:space="preserve">; OMM = optimal medical management; PBS = </w:t>
      </w:r>
      <w:r w:rsidRPr="008022A0">
        <w:t>Pharmaceutical Benefits Scheme</w:t>
      </w:r>
      <w:r w:rsidR="00E7456C">
        <w:t>.</w:t>
      </w:r>
    </w:p>
    <w:p w14:paraId="7EB2B740" w14:textId="1644369C" w:rsidR="00403488" w:rsidRDefault="00F6749F" w:rsidP="00403488">
      <w:pPr>
        <w:pStyle w:val="TableFooter"/>
      </w:pPr>
      <w:r w:rsidRPr="0079297C">
        <w:t>Notes:</w:t>
      </w:r>
      <w:r>
        <w:rPr>
          <w:i/>
          <w:iCs/>
        </w:rPr>
        <w:t xml:space="preserve"> </w:t>
      </w:r>
      <w:r w:rsidR="009E212B" w:rsidRPr="001C0726">
        <w:rPr>
          <w:i/>
          <w:iCs/>
        </w:rPr>
        <w:t>Italics</w:t>
      </w:r>
      <w:r w:rsidR="009E212B">
        <w:rPr>
          <w:i/>
          <w:iCs/>
        </w:rPr>
        <w:t xml:space="preserve"> indicates </w:t>
      </w:r>
      <w:r w:rsidR="00BE2700">
        <w:rPr>
          <w:i/>
          <w:iCs/>
        </w:rPr>
        <w:t>viewpoint of the</w:t>
      </w:r>
      <w:r w:rsidR="009E212B">
        <w:rPr>
          <w:i/>
          <w:iCs/>
        </w:rPr>
        <w:t xml:space="preserve"> commentary</w:t>
      </w:r>
      <w:r w:rsidR="00403488" w:rsidRPr="00403488">
        <w:t xml:space="preserve"> </w:t>
      </w:r>
    </w:p>
    <w:p w14:paraId="644CA8C6" w14:textId="77777777" w:rsidR="000F6A4B" w:rsidRDefault="000F6A4B" w:rsidP="000F6A4B">
      <w:pPr>
        <w:pStyle w:val="TableFooter"/>
      </w:pPr>
      <w:r w:rsidRPr="0079297C">
        <w:rPr>
          <w:vertAlign w:val="superscript"/>
        </w:rPr>
        <w:t>a</w:t>
      </w:r>
      <w:r w:rsidR="00403488">
        <w:t xml:space="preserve"> McLean J, </w:t>
      </w:r>
      <w:proofErr w:type="spellStart"/>
      <w:r w:rsidR="00403488">
        <w:t>Baumwol</w:t>
      </w:r>
      <w:proofErr w:type="spellEnd"/>
      <w:r w:rsidR="00403488">
        <w:t xml:space="preserve"> J, Shah A et al.</w:t>
      </w:r>
      <w:r w:rsidR="00403488" w:rsidRPr="003A23DE">
        <w:t xml:space="preserve"> </w:t>
      </w:r>
      <w:r w:rsidR="00403488">
        <w:t xml:space="preserve">Survival in End-Stage HF Patients Ineligible for Cardiac Transplant can Exceed 10 Years </w:t>
      </w:r>
      <w:proofErr w:type="gramStart"/>
      <w:r w:rsidR="00403488">
        <w:t>With</w:t>
      </w:r>
      <w:proofErr w:type="gramEnd"/>
      <w:r w:rsidR="00403488">
        <w:t xml:space="preserve"> LVAD ‘Destination Therapy’. Heart, Lung and Circulation. 2024;33(4</w:t>
      </w:r>
      <w:proofErr w:type="gramStart"/>
      <w:r w:rsidR="00403488">
        <w:t>):s</w:t>
      </w:r>
      <w:proofErr w:type="gramEnd"/>
      <w:r w:rsidR="00403488">
        <w:t>287.</w:t>
      </w:r>
      <w:r w:rsidR="00403488" w:rsidRPr="00F674BE">
        <w:t xml:space="preserve"> </w:t>
      </w:r>
      <w:hyperlink r:id="rId22" w:history="1">
        <w:r w:rsidR="00403488" w:rsidRPr="009036D1">
          <w:rPr>
            <w:rStyle w:val="Hyperlink"/>
          </w:rPr>
          <w:t>https://doi.org/10.1016/j.hlc.2024.06.350</w:t>
        </w:r>
      </w:hyperlink>
      <w:r w:rsidR="00403488">
        <w:t xml:space="preserve">. </w:t>
      </w:r>
    </w:p>
    <w:p w14:paraId="212B7251" w14:textId="7AB1F3BF" w:rsidR="00403488" w:rsidRDefault="000F6A4B" w:rsidP="00403488">
      <w:pPr>
        <w:pStyle w:val="TableFooter"/>
      </w:pPr>
      <w:r w:rsidRPr="0079297C">
        <w:rPr>
          <w:vertAlign w:val="superscript"/>
        </w:rPr>
        <w:t>b</w:t>
      </w:r>
      <w:r>
        <w:t xml:space="preserve"> </w:t>
      </w:r>
      <w:r w:rsidRPr="00F014C9">
        <w:t>Jorde UP, Saeed O, Koehl D</w:t>
      </w:r>
      <w:r>
        <w:t xml:space="preserve"> et al. </w:t>
      </w:r>
      <w:r w:rsidRPr="00F014C9">
        <w:t xml:space="preserve">The Society of Thoracic Surgeons </w:t>
      </w:r>
      <w:proofErr w:type="spellStart"/>
      <w:r w:rsidRPr="00F014C9">
        <w:t>Intermacs</w:t>
      </w:r>
      <w:proofErr w:type="spellEnd"/>
      <w:r w:rsidRPr="00F014C9">
        <w:t xml:space="preserve"> 2023 Annual Report: Focus on Magnetically Levitated Devices. Ann </w:t>
      </w:r>
      <w:proofErr w:type="spellStart"/>
      <w:r w:rsidRPr="00F014C9">
        <w:t>Thorac</w:t>
      </w:r>
      <w:proofErr w:type="spellEnd"/>
      <w:r w:rsidRPr="00F014C9">
        <w:t xml:space="preserve"> Surg. 2024 Jan;117(1):33-</w:t>
      </w:r>
      <w:proofErr w:type="gramStart"/>
      <w:r w:rsidRPr="00F014C9">
        <w:t xml:space="preserve">44 </w:t>
      </w:r>
      <w:r>
        <w:t xml:space="preserve"> </w:t>
      </w:r>
      <w:r w:rsidRPr="00F014C9">
        <w:t>10.1016/j.athoracsur.2023.11.004</w:t>
      </w:r>
      <w:proofErr w:type="gramEnd"/>
      <w:r>
        <w:t xml:space="preserve">; </w:t>
      </w:r>
    </w:p>
    <w:p w14:paraId="6206ECAA" w14:textId="14B53DD7" w:rsidR="009E212B" w:rsidRPr="00E33F73" w:rsidRDefault="00403488" w:rsidP="009E212B">
      <w:pPr>
        <w:pStyle w:val="TableFooter"/>
      </w:pPr>
      <w:r w:rsidRPr="0079297C">
        <w:rPr>
          <w:vertAlign w:val="superscript"/>
        </w:rPr>
        <w:t>c</w:t>
      </w:r>
      <w:r>
        <w:t xml:space="preserve"> </w:t>
      </w:r>
      <w:r w:rsidRPr="00B82B6E">
        <w:t>Mehra MR, Goldstein DJ, Cleveland JC</w:t>
      </w:r>
      <w:r>
        <w:t xml:space="preserve"> et al.</w:t>
      </w:r>
      <w:r w:rsidRPr="00B82B6E">
        <w:t xml:space="preserve"> Five-Year Outcomes in Patients </w:t>
      </w:r>
      <w:proofErr w:type="gramStart"/>
      <w:r w:rsidRPr="00B82B6E">
        <w:t>With</w:t>
      </w:r>
      <w:proofErr w:type="gramEnd"/>
      <w:r w:rsidRPr="00B82B6E">
        <w:t xml:space="preserve"> Fully Magnetically Levitated vs Axial-Flow Left Ventricular Assist Devices in the MOMENTUM 3 Randomized Trial. JAMA. 2022 Sep 27;328(12):1233-1242. </w:t>
      </w:r>
      <w:proofErr w:type="spellStart"/>
      <w:r w:rsidRPr="00B82B6E">
        <w:t>doi</w:t>
      </w:r>
      <w:proofErr w:type="spellEnd"/>
      <w:r w:rsidRPr="00B82B6E">
        <w:t>: 10.1001/jama.2022.16197.</w:t>
      </w:r>
    </w:p>
    <w:p w14:paraId="507D4D36" w14:textId="77777777" w:rsidR="009E212B" w:rsidRDefault="009E212B" w:rsidP="009E212B">
      <w:pPr>
        <w:pStyle w:val="Heading3"/>
      </w:pPr>
      <w:r>
        <w:t>Time horizon</w:t>
      </w:r>
    </w:p>
    <w:p w14:paraId="7207E2BC" w14:textId="795B3150" w:rsidR="009E212B" w:rsidRDefault="009E212B" w:rsidP="009E212B">
      <w:r>
        <w:t xml:space="preserve">A lifetime horizon was proposed in the original submission </w:t>
      </w:r>
      <w:r w:rsidR="002C086B">
        <w:t>ADAR</w:t>
      </w:r>
      <w:r w:rsidR="000F0E21">
        <w:t>.</w:t>
      </w:r>
      <w:r>
        <w:t xml:space="preserve"> MSAC </w:t>
      </w:r>
      <w:r w:rsidR="004F068E">
        <w:t>advised</w:t>
      </w:r>
      <w:r>
        <w:t xml:space="preserve"> that a time horizon of 40 years with a baseline age of 65 years </w:t>
      </w:r>
      <w:r w:rsidR="00E658E4">
        <w:t xml:space="preserve">was </w:t>
      </w:r>
      <w:r>
        <w:t>unreasonable as it extends beyond the average life expectancy. MSAC considered a 10-year time horizon was more appropriate. In the</w:t>
      </w:r>
      <w:r w:rsidR="009504AE">
        <w:t xml:space="preserve"> </w:t>
      </w:r>
      <w:r>
        <w:t>resubmission</w:t>
      </w:r>
      <w:r w:rsidR="002D3D06">
        <w:t xml:space="preserve"> ADAR</w:t>
      </w:r>
      <w:r>
        <w:t xml:space="preserve">, a </w:t>
      </w:r>
      <w:r w:rsidR="00720F8A">
        <w:t>“</w:t>
      </w:r>
      <w:r>
        <w:t>revised base case</w:t>
      </w:r>
      <w:r w:rsidR="00720F8A">
        <w:t>”</w:t>
      </w:r>
      <w:r>
        <w:t xml:space="preserve"> with a time horizon of 15 years was presented. The resubmission</w:t>
      </w:r>
      <w:r w:rsidR="009504AE">
        <w:t xml:space="preserve"> ADAR</w:t>
      </w:r>
      <w:r>
        <w:t xml:space="preserve"> disputed that a 10-year time horizon likely underestimated the life expectancy of a meaningful proportion of patients treated with </w:t>
      </w:r>
      <w:r w:rsidR="00B76965">
        <w:t>L</w:t>
      </w:r>
      <w:r w:rsidR="00ED6CA5">
        <w:t>VAD</w:t>
      </w:r>
      <w:r>
        <w:t xml:space="preserve"> as DT. </w:t>
      </w:r>
      <w:r w:rsidR="00404C8C">
        <w:t>McL</w:t>
      </w:r>
      <w:r w:rsidR="00A22031">
        <w:t>e</w:t>
      </w:r>
      <w:r w:rsidR="00404C8C">
        <w:t>an et al</w:t>
      </w:r>
      <w:r w:rsidR="00A22031">
        <w:t>., 2024</w:t>
      </w:r>
      <w:r w:rsidR="00CB7630">
        <w:rPr>
          <w:rStyle w:val="FootnoteReference"/>
        </w:rPr>
        <w:footnoteReference w:id="11"/>
      </w:r>
      <w:r w:rsidR="00C86A58">
        <w:t>, an</w:t>
      </w:r>
      <w:r>
        <w:t xml:space="preserve"> abstract which reviewed the outcomes of DT patients in the Western Australian </w:t>
      </w:r>
      <w:r w:rsidR="00ED6CA5">
        <w:t>LVAD</w:t>
      </w:r>
      <w:r>
        <w:t xml:space="preserve"> program, </w:t>
      </w:r>
      <w:r w:rsidR="009A3199">
        <w:t xml:space="preserve">reported </w:t>
      </w:r>
      <w:r>
        <w:t xml:space="preserve">four out of nine patients implanted with newer generation </w:t>
      </w:r>
      <w:r w:rsidR="00ED6CA5">
        <w:t>LVAD</w:t>
      </w:r>
      <w:r>
        <w:t xml:space="preserve"> (</w:t>
      </w:r>
      <w:proofErr w:type="spellStart"/>
      <w:r>
        <w:t>H</w:t>
      </w:r>
      <w:r w:rsidR="005B0577">
        <w:t>eartWare</w:t>
      </w:r>
      <w:proofErr w:type="spellEnd"/>
      <w:r w:rsidR="00091777">
        <w:t xml:space="preserve"> ventricular assist device</w:t>
      </w:r>
      <w:r w:rsidR="005B0577">
        <w:t xml:space="preserve"> </w:t>
      </w:r>
      <w:r w:rsidR="00091777">
        <w:t>(H</w:t>
      </w:r>
      <w:r>
        <w:t>VAD</w:t>
      </w:r>
      <w:r w:rsidR="00091777">
        <w:t>)</w:t>
      </w:r>
      <w:r>
        <w:t xml:space="preserve">, HM2 and HM3) </w:t>
      </w:r>
      <w:r w:rsidR="002B6204">
        <w:t>for</w:t>
      </w:r>
      <w:r>
        <w:t xml:space="preserve"> DT remained alive beyond ten years (years alive at time of publication ranged from 10.1 to 11.2 years). Of note, the median age at implant was 71 years </w:t>
      </w:r>
      <w:r w:rsidR="007443FD">
        <w:t xml:space="preserve">in the </w:t>
      </w:r>
      <w:r>
        <w:t>McLean et al</w:t>
      </w:r>
      <w:r w:rsidR="00720F8A">
        <w:t xml:space="preserve">., </w:t>
      </w:r>
      <w:r>
        <w:t xml:space="preserve">2024. </w:t>
      </w:r>
      <w:r w:rsidRPr="00A8622E">
        <w:t>A</w:t>
      </w:r>
      <w:r>
        <w:t xml:space="preserve"> 15-year time horizon may be reasonable as McLean et al</w:t>
      </w:r>
      <w:r w:rsidR="001D3059">
        <w:t xml:space="preserve">., </w:t>
      </w:r>
      <w:r>
        <w:t>2024 reported older patients</w:t>
      </w:r>
      <w:r w:rsidR="00F80ABB">
        <w:t>, in contrast to baseline age of 65 years,</w:t>
      </w:r>
      <w:r>
        <w:t xml:space="preserve"> in Australia who survived beyond 10 years post-</w:t>
      </w:r>
      <w:r w:rsidR="00B76965">
        <w:t>L</w:t>
      </w:r>
      <w:r w:rsidR="00ED6CA5">
        <w:t>VAD</w:t>
      </w:r>
      <w:r>
        <w:t xml:space="preserve"> implantation. </w:t>
      </w:r>
      <w:r w:rsidR="000D0357" w:rsidRPr="000D0357">
        <w:t>However, time horizon was a key driver of the model and the ICER increased by 16% to $60,355/QALY when the time horizon was reduced from 15 to 10 years.</w:t>
      </w:r>
    </w:p>
    <w:p w14:paraId="3392497F" w14:textId="77777777" w:rsidR="009E212B" w:rsidRDefault="009E212B" w:rsidP="009E212B">
      <w:pPr>
        <w:pStyle w:val="Heading3"/>
      </w:pPr>
      <w:r>
        <w:lastRenderedPageBreak/>
        <w:t>Health state utility values</w:t>
      </w:r>
    </w:p>
    <w:p w14:paraId="0E1A6914" w14:textId="1D256404" w:rsidR="009E212B" w:rsidRDefault="009E212B" w:rsidP="009E212B">
      <w:r>
        <w:t>In the original submission</w:t>
      </w:r>
      <w:r w:rsidR="00783387">
        <w:t xml:space="preserve"> ADAR</w:t>
      </w:r>
      <w:r>
        <w:t xml:space="preserve">, the health state utility value for first cycle was 0.44 in both </w:t>
      </w:r>
      <w:r w:rsidR="00B76965">
        <w:t>L</w:t>
      </w:r>
      <w:r w:rsidR="00ED6CA5">
        <w:t>VAD</w:t>
      </w:r>
      <w:r>
        <w:t xml:space="preserve"> and OMM arms, based on </w:t>
      </w:r>
      <w:r w:rsidRPr="00A12A45">
        <w:t>Prichard et al</w:t>
      </w:r>
      <w:r w:rsidR="00783387" w:rsidRPr="00A12A45">
        <w:t xml:space="preserve">., </w:t>
      </w:r>
      <w:r w:rsidR="00DC751B" w:rsidRPr="00A12A45">
        <w:t>2021</w:t>
      </w:r>
      <w:r w:rsidR="008779D5" w:rsidRPr="00D74C1B">
        <w:rPr>
          <w:rStyle w:val="FootnoteReference"/>
        </w:rPr>
        <w:footnoteReference w:id="12"/>
      </w:r>
      <w:r>
        <w:t xml:space="preserve">. In the subsequent cycles, the ADAR assumed constant utility (0.44) in OMM arm, and a utility of 0.79 in the </w:t>
      </w:r>
      <w:r w:rsidR="00DC02A4">
        <w:t>L</w:t>
      </w:r>
      <w:r w:rsidR="00ED6CA5">
        <w:t>VAD</w:t>
      </w:r>
      <w:r>
        <w:t xml:space="preserve"> arm, based on Sato</w:t>
      </w:r>
      <w:r w:rsidR="00741C94">
        <w:t xml:space="preserve"> et al.,</w:t>
      </w:r>
      <w:r>
        <w:t xml:space="preserve"> 2022</w:t>
      </w:r>
      <w:r w:rsidR="00A7736F">
        <w:rPr>
          <w:rStyle w:val="FootnoteReference"/>
        </w:rPr>
        <w:footnoteReference w:id="13"/>
      </w:r>
      <w:r>
        <w:t>. MSAC commented that the utility values should be from the same source and considered the utility values from Sato</w:t>
      </w:r>
      <w:r w:rsidR="006E4F03">
        <w:t xml:space="preserve"> et al.,</w:t>
      </w:r>
      <w:r>
        <w:t xml:space="preserve"> 2022 of 0.64 (OMM all cycles; </w:t>
      </w:r>
      <w:r w:rsidR="00DC02A4">
        <w:t>L</w:t>
      </w:r>
      <w:r w:rsidR="00ED6CA5">
        <w:t>VAD</w:t>
      </w:r>
      <w:r>
        <w:t xml:space="preserve"> first cycle) and 0.79 (all other </w:t>
      </w:r>
      <w:r w:rsidR="00DC02A4">
        <w:t>L</w:t>
      </w:r>
      <w:r w:rsidR="00ED6CA5">
        <w:t>VAD</w:t>
      </w:r>
      <w:r>
        <w:t xml:space="preserve"> cycles) would be more appropriate. In the resubmission</w:t>
      </w:r>
      <w:r w:rsidR="00ED62B7">
        <w:t xml:space="preserve"> ADAR</w:t>
      </w:r>
      <w:r>
        <w:t xml:space="preserve">, the utility values were changed and consistent with MSAC advice. However, the resubmission </w:t>
      </w:r>
      <w:r w:rsidR="00F823EC">
        <w:t xml:space="preserve">ADAR </w:t>
      </w:r>
      <w:r>
        <w:t xml:space="preserve">reasoned that a utility value of 0.64 in the OMM arm was likely overestimated as the </w:t>
      </w:r>
      <w:r w:rsidR="00352D03">
        <w:t>OMM</w:t>
      </w:r>
      <w:r w:rsidR="00B41107">
        <w:t xml:space="preserve"> </w:t>
      </w:r>
      <w:r>
        <w:t xml:space="preserve">patients </w:t>
      </w:r>
      <w:r w:rsidR="00B41107">
        <w:t xml:space="preserve">would </w:t>
      </w:r>
      <w:r>
        <w:t xml:space="preserve">mainly </w:t>
      </w:r>
      <w:r w:rsidR="00B41107">
        <w:t>be</w:t>
      </w:r>
      <w:r>
        <w:t xml:space="preserve"> in INTERMACS 1-3 and non-ambulatory with intravenous inotropic therapy in hospital. This claim was not supported by evidence. Based on two Australian studies, </w:t>
      </w:r>
      <w:proofErr w:type="spellStart"/>
      <w:r>
        <w:t>Kularatna</w:t>
      </w:r>
      <w:proofErr w:type="spellEnd"/>
      <w:r w:rsidR="002F2434">
        <w:t xml:space="preserve"> S et al., </w:t>
      </w:r>
      <w:r>
        <w:t>2017</w:t>
      </w:r>
      <w:r>
        <w:rPr>
          <w:rStyle w:val="FootnoteReference"/>
        </w:rPr>
        <w:footnoteReference w:id="14"/>
      </w:r>
      <w:r>
        <w:t xml:space="preserve"> reported a </w:t>
      </w:r>
      <w:r w:rsidR="00A96886">
        <w:t>utility value</w:t>
      </w:r>
      <w:r>
        <w:t xml:space="preserve"> of 0.67 in heart failure patients with NYHA class IV, and Maru</w:t>
      </w:r>
      <w:r w:rsidR="002F2434">
        <w:t xml:space="preserve"> S et al.,</w:t>
      </w:r>
      <w:r>
        <w:t xml:space="preserve"> 2016</w:t>
      </w:r>
      <w:r>
        <w:rPr>
          <w:rStyle w:val="FootnoteReference"/>
        </w:rPr>
        <w:footnoteReference w:id="15"/>
      </w:r>
      <w:r>
        <w:t xml:space="preserve"> estimated a mean utility score of 0.71 in heart failure patients with NYHA class II-IV.</w:t>
      </w:r>
      <w:r w:rsidR="00D1077D">
        <w:t xml:space="preserve"> Of note, NYHA class IV </w:t>
      </w:r>
      <w:r w:rsidR="00DC02A4">
        <w:t>includes</w:t>
      </w:r>
      <w:r w:rsidR="000C2007">
        <w:t xml:space="preserve"> </w:t>
      </w:r>
      <w:r w:rsidR="00D1077D">
        <w:t>INTERMACS profile</w:t>
      </w:r>
      <w:r w:rsidR="000C2007">
        <w:t>s</w:t>
      </w:r>
      <w:r w:rsidR="00D1077D">
        <w:t xml:space="preserve"> 1-</w:t>
      </w:r>
      <w:r w:rsidR="00492291">
        <w:t>5</w:t>
      </w:r>
      <w:r w:rsidR="00D1077D">
        <w:rPr>
          <w:rStyle w:val="FootnoteReference"/>
        </w:rPr>
        <w:footnoteReference w:id="16"/>
      </w:r>
      <w:r w:rsidR="000C2007">
        <w:t xml:space="preserve">, which </w:t>
      </w:r>
      <w:r w:rsidR="00492291">
        <w:t>corresponds to</w:t>
      </w:r>
      <w:r w:rsidR="000C2007">
        <w:t xml:space="preserve"> the target population</w:t>
      </w:r>
      <w:r w:rsidR="005E6B73">
        <w:t xml:space="preserve"> </w:t>
      </w:r>
      <w:r w:rsidR="000C2007">
        <w:t>of this resubmission ADAR</w:t>
      </w:r>
      <w:r w:rsidR="00DC02A4">
        <w:t xml:space="preserve"> (INTERMAC</w:t>
      </w:r>
      <w:r w:rsidR="0008273E">
        <w:t>S</w:t>
      </w:r>
      <w:r w:rsidR="00DC02A4">
        <w:t xml:space="preserve"> profiles 1-4)</w:t>
      </w:r>
      <w:r w:rsidR="00131DA1">
        <w:t>.</w:t>
      </w:r>
      <w:r>
        <w:t xml:space="preserve"> The </w:t>
      </w:r>
      <w:r w:rsidR="00B41107">
        <w:t>commentary considered that the</w:t>
      </w:r>
      <w:r>
        <w:t xml:space="preserve"> use of </w:t>
      </w:r>
      <w:r w:rsidR="00D80BBC">
        <w:t xml:space="preserve">a </w:t>
      </w:r>
      <w:r>
        <w:t xml:space="preserve">constant utility value of 0.64 in the OMM arm in all cycles </w:t>
      </w:r>
      <w:r w:rsidR="00B41107">
        <w:t xml:space="preserve">to be </w:t>
      </w:r>
      <w:r>
        <w:t xml:space="preserve">conservative, considering advanced heart failure patients on OMM deteriorate over time. </w:t>
      </w:r>
    </w:p>
    <w:p w14:paraId="263DD2DF" w14:textId="77777777" w:rsidR="009E212B" w:rsidRPr="00966AEE" w:rsidRDefault="009E212B" w:rsidP="009E212B">
      <w:pPr>
        <w:pStyle w:val="Heading3"/>
      </w:pPr>
      <w:bookmarkStart w:id="32" w:name="_Ref177550475"/>
      <w:bookmarkStart w:id="33" w:name="_Ref181188893"/>
      <w:r w:rsidRPr="00966AEE">
        <w:t>Incidence of device replacement</w:t>
      </w:r>
      <w:bookmarkEnd w:id="32"/>
      <w:bookmarkEnd w:id="33"/>
    </w:p>
    <w:p w14:paraId="410137D0" w14:textId="70E5D0E2" w:rsidR="00BC2DE2" w:rsidRDefault="009E212B" w:rsidP="009E212B">
      <w:r w:rsidRPr="00966AEE">
        <w:t>In the original submission</w:t>
      </w:r>
      <w:r w:rsidR="001D47A7" w:rsidRPr="00966AEE">
        <w:t xml:space="preserve"> ADAR</w:t>
      </w:r>
      <w:r w:rsidRPr="00966AEE">
        <w:t xml:space="preserve">, the risk of pump thrombosis and </w:t>
      </w:r>
      <w:r w:rsidR="006B0C76" w:rsidRPr="00966AEE">
        <w:t xml:space="preserve">hence </w:t>
      </w:r>
      <w:r w:rsidRPr="00966AEE">
        <w:t>device replacement was 0.010 events per patient</w:t>
      </w:r>
      <w:r w:rsidR="00511F94" w:rsidRPr="00966AEE">
        <w:t xml:space="preserve"> per year</w:t>
      </w:r>
      <w:r w:rsidR="008D7EA5" w:rsidRPr="00966AEE">
        <w:t xml:space="preserve"> (EPPY) in</w:t>
      </w:r>
      <w:r w:rsidRPr="00966AEE">
        <w:t xml:space="preserve"> year 0-2</w:t>
      </w:r>
      <w:r w:rsidR="008D7EA5" w:rsidRPr="00966AEE">
        <w:t>,</w:t>
      </w:r>
      <w:r w:rsidRPr="00966AEE">
        <w:t xml:space="preserve"> and 0.011 </w:t>
      </w:r>
      <w:r w:rsidR="008D7EA5" w:rsidRPr="00966AEE">
        <w:t xml:space="preserve">EPPY in </w:t>
      </w:r>
      <w:r w:rsidRPr="00966AEE">
        <w:t xml:space="preserve">year 2-5, based on MOMENTUM 3. The </w:t>
      </w:r>
      <w:r w:rsidR="00A10BE0" w:rsidRPr="00966AEE">
        <w:t xml:space="preserve">original </w:t>
      </w:r>
      <w:r w:rsidRPr="00966AEE">
        <w:t xml:space="preserve">submission </w:t>
      </w:r>
      <w:r w:rsidR="002C086B" w:rsidRPr="00966AEE">
        <w:t xml:space="preserve">ADAR </w:t>
      </w:r>
      <w:r w:rsidRPr="00966AEE">
        <w:t>considered the assumption of pump thrombosis resulting in device replacement conservative, hence the incidence of device replacement remained unchanged in the resubmission</w:t>
      </w:r>
      <w:r w:rsidR="00407638" w:rsidRPr="00966AEE">
        <w:t xml:space="preserve"> ADAR</w:t>
      </w:r>
      <w:r w:rsidRPr="00966AEE">
        <w:t>. Instead, an incidence rate of 0.022</w:t>
      </w:r>
      <w:r w:rsidR="00511F94" w:rsidRPr="00966AEE">
        <w:t xml:space="preserve"> EPPY</w:t>
      </w:r>
      <w:r w:rsidRPr="00966AEE">
        <w:t xml:space="preserve"> in year 2 onwards was applied as a sensitivity analysis assumption</w:t>
      </w:r>
      <w:r w:rsidR="0008273E">
        <w:t xml:space="preserve"> in the ‘likely overestimated case’</w:t>
      </w:r>
      <w:r w:rsidRPr="00966AEE">
        <w:t xml:space="preserve"> in response to MSAC</w:t>
      </w:r>
      <w:r w:rsidR="00A23F7C" w:rsidRPr="00966AEE">
        <w:t>’s</w:t>
      </w:r>
      <w:r w:rsidRPr="00966AEE">
        <w:t xml:space="preserve"> concerns that </w:t>
      </w:r>
      <w:r w:rsidR="00284199" w:rsidRPr="0079297C">
        <w:t xml:space="preserve">a </w:t>
      </w:r>
      <w:r w:rsidRPr="00966AEE">
        <w:t xml:space="preserve">1% annual risk of pump thrombosis leading to device replacement was underestimated in the proposed 10-year time horizon. </w:t>
      </w:r>
      <w:r w:rsidR="00F401EA" w:rsidRPr="00966AEE">
        <w:t>The commentary considered that the proposed device replacement rate of 0.022 EPPY (year 2-5) in the resubmission ADAR was uncertain as it was not evidence</w:t>
      </w:r>
      <w:r w:rsidR="00047935" w:rsidRPr="00966AEE">
        <w:t>-based</w:t>
      </w:r>
      <w:r w:rsidR="00F401EA" w:rsidRPr="00966AEE">
        <w:t>. The device replacement rate in year 2-5 could potentially be higher based on the INTERMACS 2023 Annual Report</w:t>
      </w:r>
      <w:r w:rsidR="00F401EA" w:rsidRPr="00966AEE">
        <w:rPr>
          <w:rStyle w:val="FootnoteReference"/>
        </w:rPr>
        <w:footnoteReference w:id="17"/>
      </w:r>
      <w:r w:rsidR="00F401EA" w:rsidRPr="00966AEE">
        <w:t xml:space="preserve">. Although INTERMACS 2023 Annual Report did not </w:t>
      </w:r>
      <w:r w:rsidR="00284199" w:rsidRPr="0079297C">
        <w:t xml:space="preserve">explicitly </w:t>
      </w:r>
      <w:r w:rsidR="00F401EA" w:rsidRPr="00966AEE">
        <w:t>report the device replacement rate, it reported 0.04 EPPY for the rate of device</w:t>
      </w:r>
      <w:r w:rsidR="00ED5249" w:rsidRPr="0079297C">
        <w:t xml:space="preserve"> </w:t>
      </w:r>
      <w:r w:rsidR="00F401EA" w:rsidRPr="00966AEE">
        <w:t>malfunction</w:t>
      </w:r>
      <w:r w:rsidR="00284199" w:rsidRPr="0079297C">
        <w:t>/</w:t>
      </w:r>
      <w:r w:rsidR="00F401EA" w:rsidRPr="00966AEE">
        <w:t>pump thrombosis</w:t>
      </w:r>
      <w:r w:rsidR="00284199" w:rsidRPr="0079297C">
        <w:t xml:space="preserve">, which are potential reasons for device replacement among other </w:t>
      </w:r>
      <w:r w:rsidR="00ED5249" w:rsidRPr="0079297C">
        <w:t>reasons</w:t>
      </w:r>
      <w:r w:rsidR="00284199" w:rsidRPr="0079297C">
        <w:t xml:space="preserve"> </w:t>
      </w:r>
      <w:r w:rsidR="00ED5249" w:rsidRPr="0079297C">
        <w:t>(e.g. infection, mitral valve dysfunction)</w:t>
      </w:r>
      <w:r w:rsidR="00284199" w:rsidRPr="0079297C">
        <w:t xml:space="preserve"> reported in </w:t>
      </w:r>
      <w:r w:rsidR="00043EEE" w:rsidRPr="00966AEE">
        <w:lastRenderedPageBreak/>
        <w:t>Jimenez Contreras F et al., 2024</w:t>
      </w:r>
      <w:r w:rsidR="00043EEE" w:rsidRPr="00966AEE">
        <w:rPr>
          <w:vertAlign w:val="superscript"/>
        </w:rPr>
        <w:t>4</w:t>
      </w:r>
      <w:r w:rsidR="00043EEE" w:rsidRPr="00966AEE">
        <w:t xml:space="preserve"> and Mehra et al., 2019</w:t>
      </w:r>
      <w:r w:rsidR="00043EEE" w:rsidRPr="00966AEE">
        <w:rPr>
          <w:vertAlign w:val="superscript"/>
        </w:rPr>
        <w:t>5</w:t>
      </w:r>
      <w:r w:rsidR="00CD040C" w:rsidRPr="00966AEE">
        <w:t>.</w:t>
      </w:r>
      <w:r w:rsidR="00CD040C" w:rsidRPr="00966AEE">
        <w:rPr>
          <w:vertAlign w:val="superscript"/>
        </w:rPr>
        <w:t xml:space="preserve"> </w:t>
      </w:r>
      <w:r w:rsidR="00F77F35" w:rsidRPr="00966AEE">
        <w:t xml:space="preserve"> </w:t>
      </w:r>
      <w:r w:rsidR="00284199" w:rsidRPr="0079297C">
        <w:t>I</w:t>
      </w:r>
      <w:r w:rsidR="00682B1D" w:rsidRPr="00966AEE">
        <w:t>ncreasing the device replacement rate from 0.011 to 0.04 EPPY in year 2-5 would increase the ICER by 11% to $57,627/QALY.</w:t>
      </w:r>
    </w:p>
    <w:p w14:paraId="05A70107" w14:textId="49270406" w:rsidR="00E62C34" w:rsidRDefault="009E212B" w:rsidP="009E212B">
      <w:r w:rsidRPr="00F30AD3">
        <w:fldChar w:fldCharType="begin"/>
      </w:r>
      <w:r w:rsidRPr="00F30AD3">
        <w:instrText xml:space="preserve"> REF _Ref178176856 \h  \* MERGEFORMAT </w:instrText>
      </w:r>
      <w:r w:rsidRPr="00F30AD3">
        <w:fldChar w:fldCharType="separate"/>
      </w:r>
      <w:r w:rsidR="00901734" w:rsidRPr="0079297C">
        <w:t xml:space="preserve">Table </w:t>
      </w:r>
      <w:r w:rsidR="00901734">
        <w:rPr>
          <w:noProof/>
        </w:rPr>
        <w:t>5</w:t>
      </w:r>
      <w:r w:rsidRPr="00F30AD3">
        <w:fldChar w:fldCharType="end"/>
      </w:r>
      <w:r w:rsidRPr="00F30AD3">
        <w:t xml:space="preserve"> summar</w:t>
      </w:r>
      <w:r w:rsidR="00F05DC9" w:rsidRPr="00F30AD3">
        <w:t>ises</w:t>
      </w:r>
      <w:r w:rsidRPr="00F30AD3">
        <w:t xml:space="preserve"> </w:t>
      </w:r>
      <w:r w:rsidR="00F05DC9" w:rsidRPr="00F30AD3">
        <w:t xml:space="preserve">the incidence </w:t>
      </w:r>
      <w:r w:rsidRPr="00F30AD3">
        <w:t>of device malfunction</w:t>
      </w:r>
      <w:r w:rsidR="00E02C15" w:rsidRPr="00F30AD3">
        <w:t xml:space="preserve">, </w:t>
      </w:r>
      <w:r w:rsidRPr="00F30AD3">
        <w:t>pump thrombosis</w:t>
      </w:r>
      <w:r w:rsidR="00E02C15" w:rsidRPr="00F30AD3">
        <w:t xml:space="preserve"> and </w:t>
      </w:r>
      <w:r w:rsidRPr="00F30AD3">
        <w:t xml:space="preserve">device related infection from </w:t>
      </w:r>
      <w:r w:rsidR="00A34A98" w:rsidRPr="00F30AD3">
        <w:t>MOMENTUM 3 trial</w:t>
      </w:r>
      <w:r w:rsidR="00AE7855" w:rsidRPr="00F30AD3">
        <w:t xml:space="preserve"> </w:t>
      </w:r>
      <w:r w:rsidRPr="00F30AD3">
        <w:t>and INTERMACS</w:t>
      </w:r>
      <w:r w:rsidR="008539A9" w:rsidRPr="00F30AD3">
        <w:t xml:space="preserve"> 2023 Annual</w:t>
      </w:r>
      <w:r w:rsidR="00F15F34" w:rsidRPr="00F30AD3">
        <w:t xml:space="preserve"> </w:t>
      </w:r>
      <w:r w:rsidR="008539A9" w:rsidRPr="00F30AD3">
        <w:t>R</w:t>
      </w:r>
      <w:r w:rsidRPr="00F30AD3">
        <w:t>eport</w:t>
      </w:r>
      <w:r w:rsidR="0080087A">
        <w:t>.</w:t>
      </w:r>
    </w:p>
    <w:p w14:paraId="7C6F6A0E" w14:textId="12017BD6" w:rsidR="009E212B" w:rsidRPr="0079297C" w:rsidRDefault="009E212B" w:rsidP="009E212B">
      <w:pPr>
        <w:pStyle w:val="Caption"/>
      </w:pPr>
      <w:bookmarkStart w:id="34" w:name="_Ref178176856"/>
      <w:r w:rsidRPr="0079297C">
        <w:t xml:space="preserve">Table </w:t>
      </w:r>
      <w:r w:rsidRPr="00901734">
        <w:fldChar w:fldCharType="begin"/>
      </w:r>
      <w:r w:rsidRPr="0079297C">
        <w:instrText xml:space="preserve"> SEQ Table \* ARABIC </w:instrText>
      </w:r>
      <w:r w:rsidRPr="00901734">
        <w:fldChar w:fldCharType="separate"/>
      </w:r>
      <w:r w:rsidR="006461F2">
        <w:rPr>
          <w:noProof/>
        </w:rPr>
        <w:t>7</w:t>
      </w:r>
      <w:r w:rsidRPr="00901734">
        <w:fldChar w:fldCharType="end"/>
      </w:r>
      <w:bookmarkEnd w:id="34"/>
      <w:r w:rsidRPr="0079297C">
        <w:t xml:space="preserve"> Incidence of suspected device malfunction/pump thrombosis/infection with HM3</w:t>
      </w:r>
    </w:p>
    <w:tbl>
      <w:tblPr>
        <w:tblStyle w:val="TableGrid"/>
        <w:tblW w:w="0" w:type="auto"/>
        <w:tblLayout w:type="fixed"/>
        <w:tblLook w:val="04A0" w:firstRow="1" w:lastRow="0" w:firstColumn="1" w:lastColumn="0" w:noHBand="0" w:noVBand="1"/>
      </w:tblPr>
      <w:tblGrid>
        <w:gridCol w:w="3681"/>
        <w:gridCol w:w="1804"/>
        <w:gridCol w:w="1805"/>
        <w:gridCol w:w="1726"/>
      </w:tblGrid>
      <w:tr w:rsidR="00822588" w14:paraId="0F01014D" w14:textId="77777777" w:rsidTr="00D74C1B">
        <w:tc>
          <w:tcPr>
            <w:tcW w:w="3681" w:type="dxa"/>
          </w:tcPr>
          <w:p w14:paraId="5944918C" w14:textId="72B1196F" w:rsidR="009E212B" w:rsidRPr="0079297C" w:rsidRDefault="009E212B">
            <w:pPr>
              <w:pStyle w:val="Tabletext0"/>
              <w:jc w:val="center"/>
              <w:rPr>
                <w:b/>
              </w:rPr>
            </w:pPr>
            <w:r w:rsidRPr="0079297C">
              <w:rPr>
                <w:b/>
              </w:rPr>
              <w:t>Annual incidence of adverse event with HM3</w:t>
            </w:r>
          </w:p>
        </w:tc>
        <w:tc>
          <w:tcPr>
            <w:tcW w:w="1804" w:type="dxa"/>
          </w:tcPr>
          <w:p w14:paraId="36908871" w14:textId="77777777" w:rsidR="009E212B" w:rsidRPr="0079297C" w:rsidRDefault="009E212B">
            <w:pPr>
              <w:pStyle w:val="Tabletext0"/>
              <w:jc w:val="center"/>
              <w:rPr>
                <w:b/>
              </w:rPr>
            </w:pPr>
            <w:r w:rsidRPr="0079297C">
              <w:rPr>
                <w:b/>
              </w:rPr>
              <w:t>0-2 years</w:t>
            </w:r>
          </w:p>
          <w:p w14:paraId="61CF360F" w14:textId="77777777" w:rsidR="009E212B" w:rsidRPr="0079297C" w:rsidRDefault="009E212B">
            <w:pPr>
              <w:pStyle w:val="Tabletext0"/>
              <w:jc w:val="center"/>
              <w:rPr>
                <w:b/>
              </w:rPr>
            </w:pPr>
            <w:r w:rsidRPr="0079297C">
              <w:rPr>
                <w:b/>
              </w:rPr>
              <w:t>(EPPY)</w:t>
            </w:r>
          </w:p>
        </w:tc>
        <w:tc>
          <w:tcPr>
            <w:tcW w:w="1805" w:type="dxa"/>
          </w:tcPr>
          <w:p w14:paraId="6559C393" w14:textId="77777777" w:rsidR="009E212B" w:rsidRPr="0079297C" w:rsidRDefault="009E212B">
            <w:pPr>
              <w:pStyle w:val="Tabletext0"/>
              <w:jc w:val="center"/>
              <w:rPr>
                <w:b/>
              </w:rPr>
            </w:pPr>
            <w:r w:rsidRPr="0079297C">
              <w:rPr>
                <w:b/>
              </w:rPr>
              <w:t>2-5 years</w:t>
            </w:r>
          </w:p>
          <w:p w14:paraId="3FB0CE58" w14:textId="77777777" w:rsidR="009E212B" w:rsidRPr="0079297C" w:rsidRDefault="009E212B">
            <w:pPr>
              <w:pStyle w:val="Tabletext0"/>
              <w:jc w:val="center"/>
              <w:rPr>
                <w:b/>
              </w:rPr>
            </w:pPr>
            <w:r w:rsidRPr="0079297C">
              <w:rPr>
                <w:b/>
              </w:rPr>
              <w:t>(EPPY)</w:t>
            </w:r>
          </w:p>
        </w:tc>
        <w:tc>
          <w:tcPr>
            <w:tcW w:w="1726" w:type="dxa"/>
          </w:tcPr>
          <w:p w14:paraId="7CE8EE0A" w14:textId="77777777" w:rsidR="009E212B" w:rsidRPr="0079297C" w:rsidRDefault="009E212B">
            <w:pPr>
              <w:pStyle w:val="Tabletext0"/>
              <w:jc w:val="center"/>
              <w:rPr>
                <w:b/>
              </w:rPr>
            </w:pPr>
            <w:r w:rsidRPr="0079297C">
              <w:rPr>
                <w:b/>
              </w:rPr>
              <w:t>Population</w:t>
            </w:r>
          </w:p>
        </w:tc>
      </w:tr>
      <w:tr w:rsidR="00263085" w14:paraId="78391318" w14:textId="77777777" w:rsidTr="00D74C1B">
        <w:tc>
          <w:tcPr>
            <w:tcW w:w="9016" w:type="dxa"/>
            <w:gridSpan w:val="4"/>
          </w:tcPr>
          <w:p w14:paraId="42EF7A71" w14:textId="141D0231" w:rsidR="00263085" w:rsidRPr="0079297C" w:rsidRDefault="00263085" w:rsidP="00263085">
            <w:pPr>
              <w:pStyle w:val="Tabletext0"/>
              <w:jc w:val="left"/>
            </w:pPr>
            <w:r w:rsidRPr="0079297C">
              <w:t>MOMENTUM 3</w:t>
            </w:r>
            <w:r w:rsidR="00DB4A2B" w:rsidRPr="0079297C">
              <w:rPr>
                <w:vertAlign w:val="superscript"/>
              </w:rPr>
              <w:t>1,2</w:t>
            </w:r>
            <w:r w:rsidR="00CF5C8C" w:rsidRPr="0079297C">
              <w:t xml:space="preserve"> </w:t>
            </w:r>
          </w:p>
        </w:tc>
      </w:tr>
      <w:tr w:rsidR="00822588" w14:paraId="0D6CBA0B" w14:textId="77777777" w:rsidTr="00D74C1B">
        <w:tc>
          <w:tcPr>
            <w:tcW w:w="3681" w:type="dxa"/>
          </w:tcPr>
          <w:p w14:paraId="19614E13" w14:textId="3C5882F8" w:rsidR="001414A8" w:rsidRPr="0079297C" w:rsidRDefault="00C9090E" w:rsidP="00263085">
            <w:pPr>
              <w:pStyle w:val="Tabletext0"/>
              <w:jc w:val="left"/>
            </w:pPr>
            <w:r w:rsidRPr="0079297C">
              <w:t>LVAS d</w:t>
            </w:r>
            <w:r w:rsidR="001414A8" w:rsidRPr="0079297C">
              <w:t>riveline infection</w:t>
            </w:r>
          </w:p>
        </w:tc>
        <w:tc>
          <w:tcPr>
            <w:tcW w:w="1804" w:type="dxa"/>
          </w:tcPr>
          <w:p w14:paraId="44FCE646" w14:textId="26304B1F" w:rsidR="001414A8" w:rsidRPr="0079297C" w:rsidRDefault="001414A8" w:rsidP="00CF0356">
            <w:pPr>
              <w:pStyle w:val="Tabletext0"/>
              <w:jc w:val="center"/>
            </w:pPr>
            <w:r w:rsidRPr="0079297C">
              <w:t>0.23</w:t>
            </w:r>
          </w:p>
        </w:tc>
        <w:tc>
          <w:tcPr>
            <w:tcW w:w="1805" w:type="dxa"/>
          </w:tcPr>
          <w:p w14:paraId="351AEE30" w14:textId="1D357DC7" w:rsidR="001414A8" w:rsidRPr="0079297C" w:rsidRDefault="001414A8" w:rsidP="00CF0356">
            <w:pPr>
              <w:pStyle w:val="Tabletext0"/>
              <w:jc w:val="center"/>
              <w:rPr>
                <w:vertAlign w:val="superscript"/>
              </w:rPr>
            </w:pPr>
            <w:r w:rsidRPr="0079297C">
              <w:t>0.11</w:t>
            </w:r>
            <w:r w:rsidR="006C7D47">
              <w:rPr>
                <w:vertAlign w:val="superscript"/>
              </w:rPr>
              <w:t>a</w:t>
            </w:r>
          </w:p>
        </w:tc>
        <w:tc>
          <w:tcPr>
            <w:tcW w:w="1726" w:type="dxa"/>
            <w:vMerge w:val="restart"/>
          </w:tcPr>
          <w:p w14:paraId="65306A59" w14:textId="46A2697A" w:rsidR="001414A8" w:rsidRPr="0079297C" w:rsidRDefault="00321027" w:rsidP="00263085">
            <w:pPr>
              <w:pStyle w:val="Tabletext0"/>
              <w:jc w:val="left"/>
            </w:pPr>
            <w:r w:rsidRPr="0079297C">
              <w:t>Mean age 62 years; n=515; DT (62%); INTERMACS profiles 1-3 (85%)</w:t>
            </w:r>
          </w:p>
        </w:tc>
      </w:tr>
      <w:tr w:rsidR="00822588" w14:paraId="26A6C03A" w14:textId="77777777" w:rsidTr="00D74C1B">
        <w:tc>
          <w:tcPr>
            <w:tcW w:w="3681" w:type="dxa"/>
          </w:tcPr>
          <w:p w14:paraId="37BFB206" w14:textId="303F3F91" w:rsidR="001414A8" w:rsidRPr="0079297C" w:rsidRDefault="001414A8" w:rsidP="00263085">
            <w:pPr>
              <w:pStyle w:val="Tabletext0"/>
              <w:jc w:val="left"/>
            </w:pPr>
            <w:r w:rsidRPr="0079297C">
              <w:t>Suspected or confirmed pump thrombosis</w:t>
            </w:r>
          </w:p>
        </w:tc>
        <w:tc>
          <w:tcPr>
            <w:tcW w:w="1804" w:type="dxa"/>
          </w:tcPr>
          <w:p w14:paraId="501D67FF" w14:textId="09A9F7AB" w:rsidR="001414A8" w:rsidRPr="0079297C" w:rsidRDefault="001414A8" w:rsidP="00CF0356">
            <w:pPr>
              <w:pStyle w:val="Tabletext0"/>
              <w:jc w:val="center"/>
            </w:pPr>
            <w:r w:rsidRPr="0079297C">
              <w:t>0.01</w:t>
            </w:r>
          </w:p>
        </w:tc>
        <w:tc>
          <w:tcPr>
            <w:tcW w:w="1805" w:type="dxa"/>
          </w:tcPr>
          <w:p w14:paraId="132B76FC" w14:textId="3DFDFEA2" w:rsidR="001414A8" w:rsidRPr="0079297C" w:rsidRDefault="001414A8" w:rsidP="00CF0356">
            <w:pPr>
              <w:pStyle w:val="Tabletext0"/>
              <w:jc w:val="center"/>
              <w:rPr>
                <w:vertAlign w:val="superscript"/>
              </w:rPr>
            </w:pPr>
            <w:r w:rsidRPr="0079297C">
              <w:t>0.011</w:t>
            </w:r>
            <w:r w:rsidR="006C7D47">
              <w:rPr>
                <w:vertAlign w:val="superscript"/>
              </w:rPr>
              <w:t>a</w:t>
            </w:r>
          </w:p>
        </w:tc>
        <w:tc>
          <w:tcPr>
            <w:tcW w:w="1726" w:type="dxa"/>
            <w:vMerge/>
          </w:tcPr>
          <w:p w14:paraId="058050C1" w14:textId="77777777" w:rsidR="001414A8" w:rsidRPr="0079297C" w:rsidRDefault="001414A8" w:rsidP="00263085">
            <w:pPr>
              <w:pStyle w:val="Tabletext0"/>
              <w:jc w:val="left"/>
            </w:pPr>
          </w:p>
        </w:tc>
      </w:tr>
      <w:tr w:rsidR="00822588" w14:paraId="4E45C2AF" w14:textId="77777777" w:rsidTr="00D74C1B">
        <w:tc>
          <w:tcPr>
            <w:tcW w:w="3681" w:type="dxa"/>
          </w:tcPr>
          <w:p w14:paraId="2348F243" w14:textId="6EF77FA6" w:rsidR="001414A8" w:rsidRPr="0079297C" w:rsidRDefault="001414A8" w:rsidP="00263085">
            <w:pPr>
              <w:pStyle w:val="Tabletext0"/>
              <w:jc w:val="left"/>
            </w:pPr>
            <w:r w:rsidRPr="0079297C">
              <w:t>Device replacement</w:t>
            </w:r>
          </w:p>
        </w:tc>
        <w:tc>
          <w:tcPr>
            <w:tcW w:w="1804" w:type="dxa"/>
          </w:tcPr>
          <w:p w14:paraId="4082B0A8" w14:textId="2F39F0A2" w:rsidR="001414A8" w:rsidRPr="0079297C" w:rsidRDefault="001414A8" w:rsidP="0063512B">
            <w:pPr>
              <w:pStyle w:val="Tabletext0"/>
              <w:jc w:val="center"/>
            </w:pPr>
            <w:r w:rsidRPr="0079297C">
              <w:t>0.01</w:t>
            </w:r>
          </w:p>
        </w:tc>
        <w:tc>
          <w:tcPr>
            <w:tcW w:w="1805" w:type="dxa"/>
          </w:tcPr>
          <w:p w14:paraId="70BFFF56" w14:textId="46F78AC0" w:rsidR="001414A8" w:rsidRPr="0079297C" w:rsidRDefault="00C96D0B" w:rsidP="009F79DB">
            <w:pPr>
              <w:pStyle w:val="Tabletext0"/>
              <w:jc w:val="center"/>
            </w:pPr>
            <w:r w:rsidRPr="0079297C">
              <w:t>0</w:t>
            </w:r>
            <w:r w:rsidRPr="0079297C">
              <w:rPr>
                <w:vertAlign w:val="superscript"/>
              </w:rPr>
              <w:t>a</w:t>
            </w:r>
          </w:p>
        </w:tc>
        <w:tc>
          <w:tcPr>
            <w:tcW w:w="1726" w:type="dxa"/>
            <w:vMerge/>
          </w:tcPr>
          <w:p w14:paraId="10B36C13" w14:textId="77777777" w:rsidR="001414A8" w:rsidRPr="0079297C" w:rsidRDefault="001414A8" w:rsidP="00263085">
            <w:pPr>
              <w:pStyle w:val="Tabletext0"/>
              <w:jc w:val="left"/>
            </w:pPr>
          </w:p>
        </w:tc>
      </w:tr>
      <w:tr w:rsidR="00822588" w14:paraId="5E8B0860" w14:textId="77777777" w:rsidTr="00D74C1B">
        <w:tc>
          <w:tcPr>
            <w:tcW w:w="3681" w:type="dxa"/>
          </w:tcPr>
          <w:p w14:paraId="4C6F0352" w14:textId="301FD6CE" w:rsidR="009E212B" w:rsidRPr="0079297C" w:rsidRDefault="009E212B">
            <w:pPr>
              <w:pStyle w:val="Tabletext0"/>
              <w:jc w:val="center"/>
              <w:rPr>
                <w:b/>
              </w:rPr>
            </w:pPr>
            <w:r w:rsidRPr="0079297C">
              <w:rPr>
                <w:b/>
              </w:rPr>
              <w:t>Annual incidence of adverse event with HM3</w:t>
            </w:r>
          </w:p>
        </w:tc>
        <w:tc>
          <w:tcPr>
            <w:tcW w:w="1804" w:type="dxa"/>
          </w:tcPr>
          <w:p w14:paraId="59DF4651" w14:textId="77777777" w:rsidR="009E212B" w:rsidRPr="0079297C" w:rsidRDefault="009E212B">
            <w:pPr>
              <w:pStyle w:val="Tabletext0"/>
              <w:jc w:val="center"/>
              <w:rPr>
                <w:b/>
              </w:rPr>
            </w:pPr>
            <w:r w:rsidRPr="0079297C">
              <w:rPr>
                <w:b/>
              </w:rPr>
              <w:t>≤90 days after implant;</w:t>
            </w:r>
          </w:p>
        </w:tc>
        <w:tc>
          <w:tcPr>
            <w:tcW w:w="1805" w:type="dxa"/>
          </w:tcPr>
          <w:p w14:paraId="65996FFC" w14:textId="77777777" w:rsidR="009E212B" w:rsidRPr="0079297C" w:rsidRDefault="009E212B">
            <w:pPr>
              <w:pStyle w:val="Tabletext0"/>
              <w:jc w:val="center"/>
              <w:rPr>
                <w:b/>
              </w:rPr>
            </w:pPr>
            <w:r w:rsidRPr="0079297C">
              <w:rPr>
                <w:b/>
              </w:rPr>
              <w:t>&gt;90 days after implant</w:t>
            </w:r>
          </w:p>
        </w:tc>
        <w:tc>
          <w:tcPr>
            <w:tcW w:w="1726" w:type="dxa"/>
          </w:tcPr>
          <w:p w14:paraId="4A69F93A" w14:textId="77777777" w:rsidR="009E212B" w:rsidRPr="0079297C" w:rsidRDefault="009E212B">
            <w:pPr>
              <w:pStyle w:val="Tabletext0"/>
              <w:jc w:val="center"/>
              <w:rPr>
                <w:b/>
              </w:rPr>
            </w:pPr>
            <w:r w:rsidRPr="0079297C">
              <w:rPr>
                <w:b/>
              </w:rPr>
              <w:t>Population</w:t>
            </w:r>
          </w:p>
        </w:tc>
      </w:tr>
      <w:tr w:rsidR="009E212B" w14:paraId="58D23D75" w14:textId="77777777" w:rsidTr="00D74C1B">
        <w:tc>
          <w:tcPr>
            <w:tcW w:w="9016" w:type="dxa"/>
            <w:gridSpan w:val="4"/>
          </w:tcPr>
          <w:p w14:paraId="16CD30B5" w14:textId="224B3438" w:rsidR="009E212B" w:rsidRPr="0079297C" w:rsidRDefault="009E212B">
            <w:pPr>
              <w:pStyle w:val="Tabletext0"/>
              <w:rPr>
                <w:b/>
                <w:vertAlign w:val="superscript"/>
              </w:rPr>
            </w:pPr>
            <w:r w:rsidRPr="0079297C">
              <w:t>INTERMACS</w:t>
            </w:r>
            <w:r w:rsidR="00F70440" w:rsidRPr="0079297C">
              <w:t xml:space="preserve"> 2023 Annual</w:t>
            </w:r>
            <w:r w:rsidRPr="0079297C">
              <w:t xml:space="preserve"> </w:t>
            </w:r>
            <w:r w:rsidR="00F70440" w:rsidRPr="0079297C">
              <w:t>R</w:t>
            </w:r>
            <w:r w:rsidR="00B92978" w:rsidRPr="0079297C">
              <w:t>eport</w:t>
            </w:r>
            <w:r w:rsidR="00B92978" w:rsidRPr="0079297C">
              <w:rPr>
                <w:vertAlign w:val="superscript"/>
              </w:rPr>
              <w:t>3</w:t>
            </w:r>
          </w:p>
        </w:tc>
      </w:tr>
      <w:tr w:rsidR="00822588" w14:paraId="67BE46B3" w14:textId="77777777" w:rsidTr="00D74C1B">
        <w:tc>
          <w:tcPr>
            <w:tcW w:w="3681" w:type="dxa"/>
          </w:tcPr>
          <w:p w14:paraId="148CAA11" w14:textId="77777777" w:rsidR="009E212B" w:rsidRPr="0079297C" w:rsidRDefault="009E212B">
            <w:pPr>
              <w:pStyle w:val="Tabletext0"/>
            </w:pPr>
            <w:r w:rsidRPr="0079297C">
              <w:t>Device malfunction/pump thrombus</w:t>
            </w:r>
          </w:p>
        </w:tc>
        <w:tc>
          <w:tcPr>
            <w:tcW w:w="1804" w:type="dxa"/>
          </w:tcPr>
          <w:p w14:paraId="73650B9D" w14:textId="77777777" w:rsidR="009E212B" w:rsidRPr="0079297C" w:rsidRDefault="009E212B">
            <w:pPr>
              <w:pStyle w:val="Tabletext0"/>
              <w:jc w:val="center"/>
            </w:pPr>
            <w:r w:rsidRPr="0079297C">
              <w:t>0.06</w:t>
            </w:r>
          </w:p>
        </w:tc>
        <w:tc>
          <w:tcPr>
            <w:tcW w:w="1805" w:type="dxa"/>
          </w:tcPr>
          <w:p w14:paraId="067B8425" w14:textId="77777777" w:rsidR="009E212B" w:rsidRPr="0079297C" w:rsidRDefault="009E212B">
            <w:pPr>
              <w:pStyle w:val="Tabletext0"/>
              <w:jc w:val="center"/>
            </w:pPr>
            <w:r w:rsidRPr="0079297C">
              <w:t>0.04</w:t>
            </w:r>
          </w:p>
        </w:tc>
        <w:tc>
          <w:tcPr>
            <w:tcW w:w="1726" w:type="dxa"/>
            <w:vMerge w:val="restart"/>
          </w:tcPr>
          <w:p w14:paraId="4B892787" w14:textId="77777777" w:rsidR="009E212B" w:rsidRPr="0079297C" w:rsidRDefault="009E212B">
            <w:pPr>
              <w:pStyle w:val="Tabletext0"/>
            </w:pPr>
            <w:r w:rsidRPr="0079297C">
              <w:t>Mean age 60 years; n=10,920; DT (73%); INTERMACS profiles 1-3 (86%)</w:t>
            </w:r>
          </w:p>
        </w:tc>
      </w:tr>
      <w:tr w:rsidR="00822588" w14:paraId="295CD9B8" w14:textId="77777777" w:rsidTr="00D74C1B">
        <w:tc>
          <w:tcPr>
            <w:tcW w:w="3681" w:type="dxa"/>
          </w:tcPr>
          <w:p w14:paraId="09AB2702" w14:textId="77777777" w:rsidR="009E212B" w:rsidRPr="0079297C" w:rsidRDefault="009E212B">
            <w:pPr>
              <w:pStyle w:val="Tabletext0"/>
            </w:pPr>
            <w:r w:rsidRPr="0079297C">
              <w:t>Mechanical circulatory support-related infection</w:t>
            </w:r>
          </w:p>
        </w:tc>
        <w:tc>
          <w:tcPr>
            <w:tcW w:w="1804" w:type="dxa"/>
          </w:tcPr>
          <w:p w14:paraId="06043360" w14:textId="77777777" w:rsidR="009E212B" w:rsidRPr="0079297C" w:rsidRDefault="009E212B">
            <w:pPr>
              <w:pStyle w:val="Tabletext0"/>
              <w:jc w:val="center"/>
            </w:pPr>
            <w:r w:rsidRPr="0079297C">
              <w:t>0.15</w:t>
            </w:r>
          </w:p>
        </w:tc>
        <w:tc>
          <w:tcPr>
            <w:tcW w:w="1805" w:type="dxa"/>
          </w:tcPr>
          <w:p w14:paraId="6A338D77" w14:textId="77777777" w:rsidR="009E212B" w:rsidRPr="0079297C" w:rsidRDefault="009E212B">
            <w:pPr>
              <w:pStyle w:val="Tabletext0"/>
              <w:jc w:val="center"/>
            </w:pPr>
            <w:r w:rsidRPr="0079297C">
              <w:t>0.18</w:t>
            </w:r>
          </w:p>
        </w:tc>
        <w:tc>
          <w:tcPr>
            <w:tcW w:w="1726" w:type="dxa"/>
            <w:vMerge/>
          </w:tcPr>
          <w:p w14:paraId="56C6F2C8" w14:textId="77777777" w:rsidR="009E212B" w:rsidRPr="0079297C" w:rsidRDefault="009E212B">
            <w:pPr>
              <w:pStyle w:val="Tabletext0"/>
            </w:pPr>
          </w:p>
        </w:tc>
      </w:tr>
      <w:tr w:rsidR="00822588" w14:paraId="6BBFA82A" w14:textId="77777777" w:rsidTr="00D74C1B">
        <w:tc>
          <w:tcPr>
            <w:tcW w:w="3681" w:type="dxa"/>
          </w:tcPr>
          <w:p w14:paraId="6A19335F" w14:textId="77777777" w:rsidR="009E212B" w:rsidRPr="0079297C" w:rsidRDefault="009E212B">
            <w:pPr>
              <w:pStyle w:val="Tabletext0"/>
            </w:pPr>
            <w:r w:rsidRPr="0079297C">
              <w:t>Device replacement</w:t>
            </w:r>
          </w:p>
        </w:tc>
        <w:tc>
          <w:tcPr>
            <w:tcW w:w="1804" w:type="dxa"/>
          </w:tcPr>
          <w:p w14:paraId="63D4A0F2" w14:textId="77777777" w:rsidR="009E212B" w:rsidRPr="0079297C" w:rsidRDefault="009E212B">
            <w:pPr>
              <w:pStyle w:val="Tabletext0"/>
              <w:jc w:val="center"/>
            </w:pPr>
            <w:r w:rsidRPr="0079297C">
              <w:t>NR</w:t>
            </w:r>
          </w:p>
        </w:tc>
        <w:tc>
          <w:tcPr>
            <w:tcW w:w="1805" w:type="dxa"/>
          </w:tcPr>
          <w:p w14:paraId="6F2F5128" w14:textId="77777777" w:rsidR="009E212B" w:rsidRPr="0079297C" w:rsidRDefault="009E212B">
            <w:pPr>
              <w:pStyle w:val="Tabletext0"/>
              <w:jc w:val="center"/>
            </w:pPr>
            <w:r w:rsidRPr="0079297C">
              <w:t>NR</w:t>
            </w:r>
          </w:p>
        </w:tc>
        <w:tc>
          <w:tcPr>
            <w:tcW w:w="1726" w:type="dxa"/>
            <w:vMerge/>
          </w:tcPr>
          <w:p w14:paraId="0549654B" w14:textId="77777777" w:rsidR="009E212B" w:rsidRPr="0079297C" w:rsidRDefault="009E212B">
            <w:pPr>
              <w:pStyle w:val="Tabletext0"/>
            </w:pPr>
          </w:p>
        </w:tc>
      </w:tr>
    </w:tbl>
    <w:p w14:paraId="32A33CC2" w14:textId="42B5A196" w:rsidR="009E212B" w:rsidRPr="0079297C" w:rsidRDefault="009E212B" w:rsidP="008C3CAA">
      <w:pPr>
        <w:pStyle w:val="TableFooter"/>
      </w:pPr>
      <w:r w:rsidRPr="0079297C">
        <w:t xml:space="preserve">Source: </w:t>
      </w:r>
      <w:r w:rsidR="00A94E94">
        <w:t xml:space="preserve">Compiled for the commentary from </w:t>
      </w:r>
      <w:r w:rsidRPr="0079297C">
        <w:t xml:space="preserve">1. </w:t>
      </w:r>
      <w:r w:rsidR="00DB4A2B" w:rsidRPr="0079297C">
        <w:t xml:space="preserve">Mehra MR, Goldstein DJ, Cleveland JC et al. Five-Year Outcomes in Patients </w:t>
      </w:r>
      <w:proofErr w:type="gramStart"/>
      <w:r w:rsidR="00DB4A2B" w:rsidRPr="0079297C">
        <w:t>With</w:t>
      </w:r>
      <w:proofErr w:type="gramEnd"/>
      <w:r w:rsidR="00DB4A2B" w:rsidRPr="0079297C">
        <w:t xml:space="preserve"> Fully Magnetically Levitated vs Axial-Flow Left Ventricular Assist Devices in the MOMENTUM 3 Randomized Trial. JAMA 2022; </w:t>
      </w:r>
      <w:r w:rsidR="008C3CAA" w:rsidRPr="00D74C1B">
        <w:t>https://doi.org/10.1001/jama.2022.16197</w:t>
      </w:r>
      <w:r w:rsidR="00DC7981" w:rsidRPr="0079297C">
        <w:t xml:space="preserve"> </w:t>
      </w:r>
      <w:r w:rsidR="00DC7981" w:rsidRPr="00D74C1B">
        <w:t>2</w:t>
      </w:r>
      <w:r w:rsidR="00DB4A2B" w:rsidRPr="0079297C">
        <w:t>.</w:t>
      </w:r>
      <w:r w:rsidR="006330EE" w:rsidRPr="0079297C">
        <w:t xml:space="preserve"> </w:t>
      </w:r>
      <w:r w:rsidR="00484AFA" w:rsidRPr="0079297C">
        <w:t>Mehra MR, Uriel N, Naka Y et al. A Fully Magnetically Levitated Left Ventricular Assist Device - Final Report. N Engl J Med. 2019 Apr 25;380(17):1618-1627.</w:t>
      </w:r>
      <w:r w:rsidR="001579A7" w:rsidRPr="0079297C">
        <w:t xml:space="preserve"> </w:t>
      </w:r>
      <w:r w:rsidR="000C0611" w:rsidRPr="00D74C1B">
        <w:t>https://doi.org/10.1056/nejmoa1900486</w:t>
      </w:r>
      <w:r w:rsidR="000C0611" w:rsidRPr="00D74C1B" w:rsidDel="00484AFA">
        <w:t xml:space="preserve"> </w:t>
      </w:r>
      <w:r w:rsidR="000C0611" w:rsidRPr="00D74C1B">
        <w:t>3</w:t>
      </w:r>
      <w:r w:rsidR="008C3CAA" w:rsidRPr="0079297C">
        <w:t>.</w:t>
      </w:r>
      <w:r w:rsidR="000C0611" w:rsidRPr="0079297C">
        <w:t xml:space="preserve"> </w:t>
      </w:r>
      <w:r w:rsidRPr="0079297C">
        <w:t xml:space="preserve">Jorde UP et al. The Society of Thoracic Surgeons </w:t>
      </w:r>
      <w:proofErr w:type="spellStart"/>
      <w:r w:rsidRPr="0079297C">
        <w:t>Intermacs</w:t>
      </w:r>
      <w:proofErr w:type="spellEnd"/>
      <w:r w:rsidRPr="0079297C">
        <w:t xml:space="preserve"> 2023 Annual Report: Focus on Magnetically Levitated Devices. Ann </w:t>
      </w:r>
      <w:proofErr w:type="spellStart"/>
      <w:r w:rsidRPr="0079297C">
        <w:t>Thorac</w:t>
      </w:r>
      <w:proofErr w:type="spellEnd"/>
      <w:r w:rsidRPr="0079297C">
        <w:t xml:space="preserve"> Surg. 2024 Jan;117(1):33-44.  </w:t>
      </w:r>
      <w:r w:rsidR="008C3CAA" w:rsidRPr="00D74C1B">
        <w:t>https://doi.org/10.1016/j.athoracsur.2023.11.004</w:t>
      </w:r>
      <w:r w:rsidRPr="0079297C">
        <w:t xml:space="preserve"> </w:t>
      </w:r>
    </w:p>
    <w:p w14:paraId="4DA112B5" w14:textId="341FE529" w:rsidR="004B0281" w:rsidRPr="0079297C" w:rsidRDefault="009E212B" w:rsidP="008C3CAA">
      <w:pPr>
        <w:pStyle w:val="TableFooter"/>
      </w:pPr>
      <w:r w:rsidRPr="0079297C">
        <w:t xml:space="preserve">BTT = bridge to transplant; DT = destination therapy; EPPY = events per patient-year; HM3 = HeartMate 3; INTERMACS = Interagency Registry for Mechanically Assisted Circulatory Support; </w:t>
      </w:r>
      <w:r w:rsidR="00DA7DAE" w:rsidRPr="0079297C">
        <w:t xml:space="preserve">LVAS = left ventricular assist </w:t>
      </w:r>
      <w:r w:rsidR="00396712">
        <w:t>system</w:t>
      </w:r>
      <w:r w:rsidR="00DA7DAE" w:rsidRPr="0079297C">
        <w:t xml:space="preserve">; </w:t>
      </w:r>
      <w:r w:rsidRPr="0079297C">
        <w:t>NR = not reported.</w:t>
      </w:r>
    </w:p>
    <w:p w14:paraId="7FA69B19" w14:textId="3EEACECA" w:rsidR="00C96D0B" w:rsidRPr="0079297C" w:rsidRDefault="004B0281" w:rsidP="008C3CAA">
      <w:pPr>
        <w:pStyle w:val="TableFooter"/>
      </w:pPr>
      <w:r w:rsidRPr="0079297C">
        <w:t>Notes:</w:t>
      </w:r>
      <w:r w:rsidR="00A56739" w:rsidRPr="0079297C">
        <w:t xml:space="preserve"> </w:t>
      </w:r>
      <w:r w:rsidR="00C96D0B" w:rsidRPr="0079297C">
        <w:rPr>
          <w:vertAlign w:val="superscript"/>
        </w:rPr>
        <w:t>a</w:t>
      </w:r>
      <w:r w:rsidR="00433ACE" w:rsidRPr="0079297C">
        <w:t xml:space="preserve"> </w:t>
      </w:r>
      <w:r w:rsidR="00C96D0B" w:rsidRPr="0079297C">
        <w:t>Mehra et al, 2022 acknowledge</w:t>
      </w:r>
      <w:r w:rsidR="00133C68" w:rsidRPr="0079297C">
        <w:t>d</w:t>
      </w:r>
      <w:r w:rsidR="00C96D0B" w:rsidRPr="0079297C">
        <w:t xml:space="preserve"> that there was a high percentage of missing data </w:t>
      </w:r>
      <w:r w:rsidR="004742FD" w:rsidRPr="0079297C">
        <w:t xml:space="preserve">(only 178 people included in the follow up in year 2-5, compared to 515 people in the pivotal cohort) </w:t>
      </w:r>
      <w:r w:rsidR="00C96D0B" w:rsidRPr="0079297C">
        <w:t>in serious adverse events due to COVID -19 pandemic</w:t>
      </w:r>
      <w:r w:rsidR="00133C68" w:rsidRPr="0079297C">
        <w:t>.</w:t>
      </w:r>
      <w:r w:rsidR="00C96D0B" w:rsidRPr="0079297C">
        <w:t xml:space="preserve"> </w:t>
      </w:r>
    </w:p>
    <w:p w14:paraId="3189C463" w14:textId="308BAB99" w:rsidR="009E212B" w:rsidRDefault="009E212B" w:rsidP="009E212B">
      <w:pPr>
        <w:pStyle w:val="Heading3"/>
      </w:pPr>
      <w:r w:rsidRPr="00F2494C">
        <w:t>OMM disease related costs in the first cycle</w:t>
      </w:r>
    </w:p>
    <w:p w14:paraId="0D3FD4E6" w14:textId="63727B1A" w:rsidR="009E212B" w:rsidRDefault="009E212B" w:rsidP="009E212B">
      <w:r>
        <w:t>The original submission</w:t>
      </w:r>
      <w:r w:rsidR="006549FA">
        <w:t xml:space="preserve"> ADAR</w:t>
      </w:r>
      <w:r>
        <w:t xml:space="preserve"> presented the OMM disease related cost of $</w:t>
      </w:r>
      <w:r w:rsidRPr="005D7CA9">
        <w:t>34,218.02</w:t>
      </w:r>
      <w:r>
        <w:t xml:space="preserve"> in the first cycle, based on the pre-implant period where patients </w:t>
      </w:r>
      <w:r w:rsidR="0048288C">
        <w:t>a</w:t>
      </w:r>
      <w:r w:rsidR="00641505">
        <w:t xml:space="preserve">re </w:t>
      </w:r>
      <w:r>
        <w:t xml:space="preserve">in critical care as reported by Prichard </w:t>
      </w:r>
      <w:r w:rsidR="008E13B9">
        <w:t xml:space="preserve">et al., </w:t>
      </w:r>
      <w:r>
        <w:t>2020</w:t>
      </w:r>
      <w:r w:rsidR="00D76A35">
        <w:t>.</w:t>
      </w:r>
      <w:r>
        <w:t xml:space="preserve"> MSAC suggested to re-specify the base case with</w:t>
      </w:r>
      <w:r w:rsidRPr="0061187D">
        <w:t xml:space="preserve"> OMM disease related costs of</w:t>
      </w:r>
      <w:r>
        <w:t xml:space="preserve"> $0 in the first cycle. The resubmission considered a cost of $0 in the first cycle to be clinically invalid as patients in OMM arm have poor health and high mortality rate. The resubmission revised the OMM disease related first cycle cost based on the pre-index admission phase of Prichard</w:t>
      </w:r>
      <w:r w:rsidR="002846EA">
        <w:t xml:space="preserve"> et al.</w:t>
      </w:r>
      <w:r w:rsidR="009A76AC">
        <w:t xml:space="preserve">, </w:t>
      </w:r>
      <w:r>
        <w:t xml:space="preserve">2020 i.e. median per diem cost of pre-admission of $134.00, inflated to $162.89 (2024 price based on </w:t>
      </w:r>
      <w:r w:rsidR="00120994" w:rsidRPr="00120994">
        <w:t>Australian Institute of Health and Welfare</w:t>
      </w:r>
      <w:r w:rsidR="00120994">
        <w:t xml:space="preserve"> (</w:t>
      </w:r>
      <w:r>
        <w:t>AIHW</w:t>
      </w:r>
      <w:r w:rsidR="00120994">
        <w:t>)</w:t>
      </w:r>
      <w:r>
        <w:t xml:space="preserve"> inflation index)</w:t>
      </w:r>
      <w:r w:rsidR="002D7E97">
        <w:t xml:space="preserve"> and multiplied by</w:t>
      </w:r>
      <w:r w:rsidR="002D7E97" w:rsidRPr="002D7E97">
        <w:t xml:space="preserve"> </w:t>
      </w:r>
      <w:r w:rsidR="002D7E97" w:rsidRPr="0079297C">
        <w:t>30.4375 days</w:t>
      </w:r>
      <w:r w:rsidR="002D7E97" w:rsidRPr="004F4D27">
        <w:t>,</w:t>
      </w:r>
      <w:r w:rsidR="002D7E97">
        <w:t xml:space="preserve"> which is the average number of days in a month</w:t>
      </w:r>
      <w:r>
        <w:t>, resulting in the</w:t>
      </w:r>
      <w:r w:rsidRPr="00F6693C">
        <w:t xml:space="preserve"> first cycle</w:t>
      </w:r>
      <w:r>
        <w:t xml:space="preserve"> cost</w:t>
      </w:r>
      <w:r w:rsidRPr="00F6693C">
        <w:t xml:space="preserve"> in OMM arm to be</w:t>
      </w:r>
      <w:r>
        <w:t xml:space="preserve"> $4,985.11 (Table 9 of </w:t>
      </w:r>
      <w:r w:rsidR="00B45198">
        <w:t xml:space="preserve">MSAC </w:t>
      </w:r>
      <w:r w:rsidR="00752242">
        <w:t xml:space="preserve">Application </w:t>
      </w:r>
      <w:r w:rsidR="009A5664">
        <w:t>1749 Resubmission</w:t>
      </w:r>
      <w:r w:rsidR="003A1622">
        <w:t xml:space="preserve"> ADAR</w:t>
      </w:r>
      <w:r>
        <w:t>).</w:t>
      </w:r>
      <w:r w:rsidR="006039B8">
        <w:t xml:space="preserve"> </w:t>
      </w:r>
    </w:p>
    <w:p w14:paraId="6810BEB1" w14:textId="171C5CC5" w:rsidR="00D63E05" w:rsidRDefault="00C11FA2" w:rsidP="009E212B">
      <w:r>
        <w:t xml:space="preserve">The commentary noted that </w:t>
      </w:r>
      <w:r w:rsidR="00425847">
        <w:t>in addition to the $4,985.11,</w:t>
      </w:r>
      <w:r>
        <w:t xml:space="preserve"> an</w:t>
      </w:r>
      <w:r w:rsidR="006D756B">
        <w:t xml:space="preserve"> </w:t>
      </w:r>
      <w:r w:rsidR="00D63E05">
        <w:t>ongoing management cost of $148.08</w:t>
      </w:r>
      <w:r w:rsidR="00791E6A" w:rsidRPr="004107FB">
        <w:t>/month</w:t>
      </w:r>
      <w:r w:rsidR="006D756B" w:rsidRPr="004107FB">
        <w:t xml:space="preserve"> was included</w:t>
      </w:r>
      <w:r w:rsidR="00D63E05" w:rsidRPr="004107FB">
        <w:t xml:space="preserve"> </w:t>
      </w:r>
      <w:r w:rsidR="00791E6A" w:rsidRPr="004107FB">
        <w:t xml:space="preserve">in </w:t>
      </w:r>
      <w:r w:rsidR="006D756B" w:rsidRPr="004107FB">
        <w:t>both</w:t>
      </w:r>
      <w:r w:rsidR="00D63E05" w:rsidRPr="004107FB">
        <w:t xml:space="preserve"> OMM</w:t>
      </w:r>
      <w:r w:rsidR="006D756B" w:rsidRPr="004107FB">
        <w:t xml:space="preserve"> and </w:t>
      </w:r>
      <w:r w:rsidR="001C138E" w:rsidRPr="004107FB">
        <w:t>L</w:t>
      </w:r>
      <w:r w:rsidR="00ED6CA5" w:rsidRPr="004107FB">
        <w:t>VAD</w:t>
      </w:r>
      <w:r w:rsidR="00D63E05" w:rsidRPr="004107FB">
        <w:t xml:space="preserve"> ar</w:t>
      </w:r>
      <w:r w:rsidR="00791E6A" w:rsidRPr="004107FB">
        <w:t>m</w:t>
      </w:r>
      <w:r w:rsidR="006D756B" w:rsidRPr="004107FB">
        <w:t>s</w:t>
      </w:r>
      <w:r w:rsidR="00140F8A" w:rsidRPr="004107FB">
        <w:t xml:space="preserve">, resulting in </w:t>
      </w:r>
      <w:r w:rsidR="00C5790A" w:rsidRPr="004107FB">
        <w:t xml:space="preserve">an </w:t>
      </w:r>
      <w:r w:rsidR="00140F8A" w:rsidRPr="004107FB">
        <w:t>overestimated cost</w:t>
      </w:r>
      <w:r w:rsidR="00791E6A" w:rsidRPr="004107FB">
        <w:t xml:space="preserve"> </w:t>
      </w:r>
      <w:r w:rsidR="006D756B" w:rsidRPr="004107FB">
        <w:t xml:space="preserve">to the </w:t>
      </w:r>
      <w:r w:rsidR="00C152E2" w:rsidRPr="004107FB">
        <w:t>OMM arm</w:t>
      </w:r>
      <w:r w:rsidR="00F46EAF" w:rsidRPr="004107FB">
        <w:t xml:space="preserve">, </w:t>
      </w:r>
      <w:r w:rsidRPr="004107FB">
        <w:t>albeit</w:t>
      </w:r>
      <w:r w:rsidR="00F46EAF" w:rsidRPr="004107FB">
        <w:t xml:space="preserve"> minimally.</w:t>
      </w:r>
      <w:r w:rsidR="00EA3059" w:rsidRPr="004107FB">
        <w:t xml:space="preserve"> </w:t>
      </w:r>
      <w:r w:rsidR="00EA3059" w:rsidRPr="0079297C">
        <w:t>The commentary considered the addition of $148.08</w:t>
      </w:r>
      <w:r w:rsidR="00E67803" w:rsidRPr="0079297C">
        <w:t xml:space="preserve"> to OMM arm was</w:t>
      </w:r>
      <w:r w:rsidR="00EA3059" w:rsidRPr="0079297C">
        <w:t xml:space="preserve"> </w:t>
      </w:r>
      <w:r w:rsidR="00E67803" w:rsidRPr="0079297C">
        <w:t xml:space="preserve">double-counting </w:t>
      </w:r>
      <w:r w:rsidR="00C5790A" w:rsidRPr="0079297C">
        <w:t>because the sum of $4,985.11 had included the cost of medicine, outpatient care and imaging/pathology.</w:t>
      </w:r>
    </w:p>
    <w:p w14:paraId="7F50D781" w14:textId="361FBF45" w:rsidR="00425847" w:rsidRDefault="00425847" w:rsidP="009E212B">
      <w:r>
        <w:t>The resubmission ADAR presented a “likely overestimated case” with a first cycle OMM cost of $0.</w:t>
      </w:r>
    </w:p>
    <w:p w14:paraId="64D7213E" w14:textId="1A15AE6F" w:rsidR="009E212B" w:rsidRDefault="009E212B" w:rsidP="009E212B">
      <w:pPr>
        <w:pStyle w:val="Heading3"/>
      </w:pPr>
      <w:bookmarkStart w:id="35" w:name="_Ref181118323"/>
      <w:r w:rsidRPr="00F2494C">
        <w:lastRenderedPageBreak/>
        <w:t xml:space="preserve">Aftercare costs in </w:t>
      </w:r>
      <w:r w:rsidR="007228A3">
        <w:t>L</w:t>
      </w:r>
      <w:r w:rsidR="00ED6CA5">
        <w:t>VAD</w:t>
      </w:r>
      <w:r w:rsidRPr="00F2494C">
        <w:t xml:space="preserve"> patients</w:t>
      </w:r>
      <w:bookmarkEnd w:id="35"/>
    </w:p>
    <w:p w14:paraId="2FDDC173" w14:textId="31A390FB" w:rsidR="009E212B" w:rsidRDefault="009E212B" w:rsidP="009E212B">
      <w:r>
        <w:t>In the original submission</w:t>
      </w:r>
      <w:r w:rsidR="007A36F4" w:rsidRPr="007A36F4">
        <w:t xml:space="preserve"> </w:t>
      </w:r>
      <w:r w:rsidR="007A36F4">
        <w:t>ADAR</w:t>
      </w:r>
      <w:r>
        <w:t xml:space="preserve">, </w:t>
      </w:r>
      <w:r w:rsidR="007228A3">
        <w:t>L</w:t>
      </w:r>
      <w:r w:rsidR="00ED6CA5">
        <w:t>VAD</w:t>
      </w:r>
      <w:r>
        <w:t xml:space="preserve"> aftercare costs were calculated using a </w:t>
      </w:r>
      <w:proofErr w:type="gramStart"/>
      <w:r>
        <w:t>bottom up</w:t>
      </w:r>
      <w:proofErr w:type="gramEnd"/>
      <w:r>
        <w:t xml:space="preserve"> approach which incorporated the costs of ongoing monitoring, therapeutic management, battery replacement, device and disease related complications. </w:t>
      </w:r>
      <w:r>
        <w:fldChar w:fldCharType="begin"/>
      </w:r>
      <w:r>
        <w:instrText xml:space="preserve"> REF _Ref177570488 \h </w:instrText>
      </w:r>
      <w:r>
        <w:fldChar w:fldCharType="separate"/>
      </w:r>
      <w:r w:rsidR="00901734">
        <w:t xml:space="preserve">Table </w:t>
      </w:r>
      <w:r w:rsidR="00901734">
        <w:rPr>
          <w:noProof/>
        </w:rPr>
        <w:t>6</w:t>
      </w:r>
      <w:r>
        <w:fldChar w:fldCharType="end"/>
      </w:r>
      <w:r>
        <w:t xml:space="preserve"> summarises the </w:t>
      </w:r>
      <w:r w:rsidR="007228A3">
        <w:t>L</w:t>
      </w:r>
      <w:r w:rsidR="00ED6CA5">
        <w:t>VAD</w:t>
      </w:r>
      <w:r>
        <w:t xml:space="preserve"> aftercare costs with the relevant payers</w:t>
      </w:r>
      <w:r w:rsidR="00F92EA3">
        <w:t xml:space="preserve"> </w:t>
      </w:r>
      <w:r w:rsidR="003315F8">
        <w:t>in</w:t>
      </w:r>
      <w:r w:rsidR="00F92EA3">
        <w:t xml:space="preserve"> the “revised base case”.</w:t>
      </w:r>
    </w:p>
    <w:p w14:paraId="69532055" w14:textId="7A099D00" w:rsidR="009E212B" w:rsidRDefault="009E212B" w:rsidP="009E212B">
      <w:pPr>
        <w:pStyle w:val="Caption"/>
      </w:pPr>
      <w:bookmarkStart w:id="36" w:name="_Ref177570488"/>
      <w:r>
        <w:t xml:space="preserve">Table </w:t>
      </w:r>
      <w:r w:rsidR="006461F2">
        <w:fldChar w:fldCharType="begin"/>
      </w:r>
      <w:r w:rsidR="006461F2">
        <w:instrText xml:space="preserve"> SEQ Table \* ARABIC </w:instrText>
      </w:r>
      <w:r w:rsidR="006461F2">
        <w:fldChar w:fldCharType="separate"/>
      </w:r>
      <w:r w:rsidR="006461F2">
        <w:rPr>
          <w:noProof/>
        </w:rPr>
        <w:t>8</w:t>
      </w:r>
      <w:r w:rsidR="006461F2">
        <w:rPr>
          <w:noProof/>
        </w:rPr>
        <w:fldChar w:fldCharType="end"/>
      </w:r>
      <w:bookmarkEnd w:id="36"/>
      <w:r>
        <w:t xml:space="preserve"> </w:t>
      </w:r>
      <w:r w:rsidR="007228A3">
        <w:t>L</w:t>
      </w:r>
      <w:r w:rsidR="00ED6CA5">
        <w:t>VAD</w:t>
      </w:r>
      <w:r>
        <w:t xml:space="preserve"> aftercare costs by payer</w:t>
      </w:r>
      <w:r w:rsidR="00357562">
        <w:t xml:space="preserve"> (“revised base case”)</w:t>
      </w:r>
    </w:p>
    <w:tbl>
      <w:tblPr>
        <w:tblStyle w:val="TableGrid"/>
        <w:tblW w:w="0" w:type="auto"/>
        <w:tblLook w:val="04A0" w:firstRow="1" w:lastRow="0" w:firstColumn="1" w:lastColumn="0" w:noHBand="0" w:noVBand="1"/>
      </w:tblPr>
      <w:tblGrid>
        <w:gridCol w:w="1727"/>
        <w:gridCol w:w="1387"/>
        <w:gridCol w:w="2298"/>
        <w:gridCol w:w="900"/>
        <w:gridCol w:w="2704"/>
      </w:tblGrid>
      <w:tr w:rsidR="00AE7352" w14:paraId="3C714534" w14:textId="77777777">
        <w:tc>
          <w:tcPr>
            <w:tcW w:w="1727" w:type="dxa"/>
          </w:tcPr>
          <w:p w14:paraId="350C48A0" w14:textId="77777777" w:rsidR="009E212B" w:rsidRPr="000D70BC" w:rsidRDefault="009E212B">
            <w:pPr>
              <w:pStyle w:val="Tabletext0"/>
              <w:jc w:val="center"/>
              <w:rPr>
                <w:b/>
                <w:bCs/>
              </w:rPr>
            </w:pPr>
            <w:r w:rsidRPr="000D70BC">
              <w:rPr>
                <w:b/>
                <w:bCs/>
              </w:rPr>
              <w:t>Component cost</w:t>
            </w:r>
          </w:p>
        </w:tc>
        <w:tc>
          <w:tcPr>
            <w:tcW w:w="1387" w:type="dxa"/>
          </w:tcPr>
          <w:p w14:paraId="334B039C" w14:textId="792C2CFC" w:rsidR="009E212B" w:rsidRPr="000D70BC" w:rsidRDefault="009E212B">
            <w:pPr>
              <w:pStyle w:val="Tabletext0"/>
              <w:jc w:val="center"/>
              <w:rPr>
                <w:b/>
                <w:bCs/>
              </w:rPr>
            </w:pPr>
            <w:r w:rsidRPr="000D70BC">
              <w:rPr>
                <w:b/>
                <w:bCs/>
              </w:rPr>
              <w:t xml:space="preserve">Cost per year per patient </w:t>
            </w:r>
            <w:r>
              <w:rPr>
                <w:b/>
                <w:bCs/>
              </w:rPr>
              <w:t>in the original</w:t>
            </w:r>
            <w:r w:rsidRPr="000D70BC">
              <w:rPr>
                <w:b/>
                <w:bCs/>
              </w:rPr>
              <w:t xml:space="preserve"> submission </w:t>
            </w:r>
            <w:r w:rsidR="00FD21AE">
              <w:rPr>
                <w:b/>
                <w:bCs/>
              </w:rPr>
              <w:t>ADAR</w:t>
            </w:r>
          </w:p>
        </w:tc>
        <w:tc>
          <w:tcPr>
            <w:tcW w:w="2298" w:type="dxa"/>
          </w:tcPr>
          <w:p w14:paraId="3810EDA8" w14:textId="309EA7B3" w:rsidR="009E212B" w:rsidRPr="00961088" w:rsidRDefault="009E212B" w:rsidP="00E42CEC">
            <w:pPr>
              <w:pStyle w:val="Tabletext0"/>
              <w:jc w:val="center"/>
            </w:pPr>
            <w:r w:rsidRPr="00BD1A06">
              <w:rPr>
                <w:b/>
                <w:bCs/>
              </w:rPr>
              <w:t xml:space="preserve">Cost per year per patient in the resubmission </w:t>
            </w:r>
            <w:r w:rsidR="00FD21AE">
              <w:rPr>
                <w:b/>
                <w:bCs/>
              </w:rPr>
              <w:t>ADAR</w:t>
            </w:r>
          </w:p>
        </w:tc>
        <w:tc>
          <w:tcPr>
            <w:tcW w:w="900" w:type="dxa"/>
          </w:tcPr>
          <w:p w14:paraId="7C7A141A" w14:textId="77777777" w:rsidR="009E212B" w:rsidRPr="000D70BC" w:rsidRDefault="009E212B">
            <w:pPr>
              <w:pStyle w:val="Tabletext0"/>
              <w:jc w:val="center"/>
              <w:rPr>
                <w:b/>
                <w:bCs/>
              </w:rPr>
            </w:pPr>
            <w:r w:rsidRPr="000D70BC">
              <w:rPr>
                <w:b/>
                <w:bCs/>
              </w:rPr>
              <w:t>Relevant payer</w:t>
            </w:r>
          </w:p>
        </w:tc>
        <w:tc>
          <w:tcPr>
            <w:tcW w:w="2704" w:type="dxa"/>
          </w:tcPr>
          <w:p w14:paraId="726233FC" w14:textId="77777777" w:rsidR="009E212B" w:rsidRPr="000D70BC" w:rsidRDefault="009E212B">
            <w:pPr>
              <w:pStyle w:val="Tabletext0"/>
              <w:jc w:val="center"/>
              <w:rPr>
                <w:b/>
                <w:bCs/>
                <w:i/>
                <w:iCs/>
              </w:rPr>
            </w:pPr>
            <w:r w:rsidRPr="000D70BC">
              <w:rPr>
                <w:b/>
                <w:bCs/>
                <w:i/>
                <w:iCs/>
              </w:rPr>
              <w:t>Comments</w:t>
            </w:r>
          </w:p>
        </w:tc>
      </w:tr>
      <w:tr w:rsidR="00AE7352" w14:paraId="2213459C" w14:textId="77777777">
        <w:tc>
          <w:tcPr>
            <w:tcW w:w="1727" w:type="dxa"/>
          </w:tcPr>
          <w:p w14:paraId="6078C311" w14:textId="77777777" w:rsidR="009E212B" w:rsidRDefault="009E212B">
            <w:pPr>
              <w:pStyle w:val="Tabletext0"/>
              <w:jc w:val="left"/>
            </w:pPr>
            <w:r w:rsidRPr="00691058">
              <w:t>Ongoing monitoring</w:t>
            </w:r>
          </w:p>
        </w:tc>
        <w:tc>
          <w:tcPr>
            <w:tcW w:w="1387" w:type="dxa"/>
          </w:tcPr>
          <w:p w14:paraId="13E04197" w14:textId="77777777" w:rsidR="009E212B" w:rsidRDefault="009E212B">
            <w:pPr>
              <w:pStyle w:val="Tabletext0"/>
              <w:jc w:val="left"/>
            </w:pPr>
            <w:r w:rsidRPr="00691058">
              <w:t>$649.95</w:t>
            </w:r>
          </w:p>
          <w:p w14:paraId="1D40EC3D" w14:textId="77777777" w:rsidR="009E212B" w:rsidRDefault="009E212B">
            <w:pPr>
              <w:pStyle w:val="Tabletext0"/>
              <w:jc w:val="left"/>
            </w:pPr>
          </w:p>
        </w:tc>
        <w:tc>
          <w:tcPr>
            <w:tcW w:w="2298" w:type="dxa"/>
          </w:tcPr>
          <w:p w14:paraId="5EB3A458" w14:textId="77777777" w:rsidR="009E212B" w:rsidRPr="00961088" w:rsidRDefault="009E212B">
            <w:pPr>
              <w:pStyle w:val="Tabletext0"/>
            </w:pPr>
            <w:r w:rsidRPr="00961088">
              <w:t>$676.45</w:t>
            </w:r>
          </w:p>
        </w:tc>
        <w:tc>
          <w:tcPr>
            <w:tcW w:w="900" w:type="dxa"/>
          </w:tcPr>
          <w:p w14:paraId="2CB4A90C" w14:textId="77777777" w:rsidR="009E212B" w:rsidRDefault="009E212B">
            <w:pPr>
              <w:pStyle w:val="Tabletext0"/>
            </w:pPr>
            <w:r>
              <w:t>MBS</w:t>
            </w:r>
          </w:p>
        </w:tc>
        <w:tc>
          <w:tcPr>
            <w:tcW w:w="2704" w:type="dxa"/>
          </w:tcPr>
          <w:p w14:paraId="29C60C79" w14:textId="4810738E" w:rsidR="009E212B" w:rsidRDefault="009E212B">
            <w:pPr>
              <w:pStyle w:val="Tabletext0"/>
              <w:jc w:val="left"/>
              <w:rPr>
                <w:i/>
                <w:iCs/>
              </w:rPr>
            </w:pPr>
            <w:r>
              <w:rPr>
                <w:i/>
                <w:iCs/>
              </w:rPr>
              <w:t>Costs were updated</w:t>
            </w:r>
            <w:r w:rsidR="007568D6">
              <w:rPr>
                <w:i/>
                <w:iCs/>
              </w:rPr>
              <w:t xml:space="preserve"> in the resubmission ADAR.</w:t>
            </w:r>
          </w:p>
          <w:p w14:paraId="05520710" w14:textId="77777777" w:rsidR="009E212B" w:rsidRPr="00172EA6" w:rsidRDefault="009E212B">
            <w:pPr>
              <w:pStyle w:val="Tabletext0"/>
              <w:jc w:val="left"/>
            </w:pPr>
            <w:r w:rsidRPr="00172EA6">
              <w:t>ECG once per year, MBS item 11713 (full fee</w:t>
            </w:r>
            <w:r w:rsidRPr="00172EA6">
              <w:rPr>
                <w:i/>
                <w:iCs/>
              </w:rPr>
              <w:t xml:space="preserve"> $7</w:t>
            </w:r>
            <w:r>
              <w:rPr>
                <w:i/>
                <w:iCs/>
              </w:rPr>
              <w:t>9</w:t>
            </w:r>
            <w:r w:rsidRPr="00172EA6">
              <w:rPr>
                <w:i/>
                <w:iCs/>
              </w:rPr>
              <w:t>.</w:t>
            </w:r>
            <w:r>
              <w:rPr>
                <w:i/>
                <w:iCs/>
              </w:rPr>
              <w:t>4</w:t>
            </w:r>
            <w:r w:rsidRPr="00172EA6">
              <w:rPr>
                <w:i/>
                <w:iCs/>
              </w:rPr>
              <w:t>5</w:t>
            </w:r>
            <w:proofErr w:type="gramStart"/>
            <w:r w:rsidRPr="00172EA6">
              <w:rPr>
                <w:i/>
                <w:iCs/>
              </w:rPr>
              <w:t>);</w:t>
            </w:r>
            <w:proofErr w:type="gramEnd"/>
            <w:r w:rsidRPr="00172EA6">
              <w:rPr>
                <w:i/>
                <w:iCs/>
              </w:rPr>
              <w:t xml:space="preserve"> </w:t>
            </w:r>
          </w:p>
          <w:p w14:paraId="36E59F0B" w14:textId="77777777" w:rsidR="009E212B" w:rsidRPr="00172EA6" w:rsidRDefault="009E212B">
            <w:pPr>
              <w:pStyle w:val="Tabletext0"/>
              <w:jc w:val="left"/>
            </w:pPr>
            <w:r w:rsidRPr="00172EA6">
              <w:t xml:space="preserve">Clinic visit once per month, MBS item 105 (full fee </w:t>
            </w:r>
            <w:r w:rsidRPr="00172EA6">
              <w:rPr>
                <w:i/>
                <w:iCs/>
              </w:rPr>
              <w:t>$4</w:t>
            </w:r>
            <w:r>
              <w:rPr>
                <w:i/>
                <w:iCs/>
              </w:rPr>
              <w:t>9</w:t>
            </w:r>
            <w:r w:rsidRPr="00172EA6">
              <w:rPr>
                <w:i/>
                <w:iCs/>
              </w:rPr>
              <w:t>.</w:t>
            </w:r>
            <w:r>
              <w:rPr>
                <w:i/>
                <w:iCs/>
              </w:rPr>
              <w:t>75</w:t>
            </w:r>
            <w:r w:rsidRPr="00172EA6">
              <w:rPr>
                <w:i/>
                <w:iCs/>
              </w:rPr>
              <w:t>)</w:t>
            </w:r>
          </w:p>
        </w:tc>
      </w:tr>
      <w:tr w:rsidR="00AE7352" w14:paraId="174441EE" w14:textId="77777777">
        <w:tc>
          <w:tcPr>
            <w:tcW w:w="1727" w:type="dxa"/>
          </w:tcPr>
          <w:p w14:paraId="252E5149" w14:textId="41E4234E" w:rsidR="009E212B" w:rsidRDefault="009A10EB" w:rsidP="0079297C">
            <w:pPr>
              <w:pStyle w:val="Tabletext0"/>
              <w:jc w:val="left"/>
            </w:pPr>
            <w:r>
              <w:t xml:space="preserve">Anticoagulation management: </w:t>
            </w:r>
            <w:r w:rsidR="009E212B">
              <w:t>Medications (warfarin and aspirin)</w:t>
            </w:r>
          </w:p>
        </w:tc>
        <w:tc>
          <w:tcPr>
            <w:tcW w:w="1387" w:type="dxa"/>
          </w:tcPr>
          <w:p w14:paraId="7CF11A0F" w14:textId="77777777" w:rsidR="009E212B" w:rsidRPr="00591979" w:rsidRDefault="009E212B">
            <w:pPr>
              <w:pStyle w:val="Tabletext0"/>
              <w:jc w:val="left"/>
              <w:rPr>
                <w:vertAlign w:val="superscript"/>
              </w:rPr>
            </w:pPr>
            <w:r>
              <w:t>$219.76</w:t>
            </w:r>
          </w:p>
        </w:tc>
        <w:tc>
          <w:tcPr>
            <w:tcW w:w="2298" w:type="dxa"/>
          </w:tcPr>
          <w:p w14:paraId="4881A8A9" w14:textId="77777777" w:rsidR="009E212B" w:rsidRPr="00961088" w:rsidRDefault="009E212B">
            <w:pPr>
              <w:pStyle w:val="Tabletext0"/>
            </w:pPr>
            <w:r w:rsidRPr="00961088">
              <w:t>$225.10</w:t>
            </w:r>
          </w:p>
        </w:tc>
        <w:tc>
          <w:tcPr>
            <w:tcW w:w="900" w:type="dxa"/>
          </w:tcPr>
          <w:p w14:paraId="313034EF" w14:textId="77777777" w:rsidR="009E212B" w:rsidRPr="00D74C1B" w:rsidRDefault="009E212B">
            <w:pPr>
              <w:pStyle w:val="Tabletext0"/>
            </w:pPr>
            <w:r w:rsidRPr="00D74C1B">
              <w:t>PBS</w:t>
            </w:r>
          </w:p>
        </w:tc>
        <w:tc>
          <w:tcPr>
            <w:tcW w:w="2704" w:type="dxa"/>
          </w:tcPr>
          <w:p w14:paraId="216B90FD" w14:textId="3A2DF05E" w:rsidR="009E212B" w:rsidRDefault="009E212B">
            <w:pPr>
              <w:pStyle w:val="Tabletext0"/>
              <w:jc w:val="left"/>
              <w:rPr>
                <w:i/>
                <w:iCs/>
              </w:rPr>
            </w:pPr>
            <w:r w:rsidRPr="00591979">
              <w:rPr>
                <w:i/>
                <w:iCs/>
              </w:rPr>
              <w:t>Costs were updated</w:t>
            </w:r>
            <w:r w:rsidR="007568D6">
              <w:rPr>
                <w:i/>
                <w:iCs/>
              </w:rPr>
              <w:t xml:space="preserve"> in the resubmission ADAR.</w:t>
            </w:r>
          </w:p>
          <w:p w14:paraId="18F7E4F7" w14:textId="77777777" w:rsidR="009E212B" w:rsidRPr="00D74C1B" w:rsidRDefault="009E212B">
            <w:pPr>
              <w:pStyle w:val="Tabletext0"/>
              <w:jc w:val="left"/>
            </w:pPr>
            <w:r w:rsidRPr="00D74C1B">
              <w:t>Warfarin (PBS item 2211J) costs $18.87 for 50 tablets.</w:t>
            </w:r>
          </w:p>
          <w:p w14:paraId="79178B34" w14:textId="77777777" w:rsidR="009E212B" w:rsidRPr="0075051F" w:rsidRDefault="009E212B">
            <w:pPr>
              <w:pStyle w:val="Tabletext0"/>
              <w:jc w:val="left"/>
              <w:rPr>
                <w:i/>
                <w:iCs/>
              </w:rPr>
            </w:pPr>
            <w:r w:rsidRPr="00D74C1B">
              <w:t>Aspirin (PBS item 4076M) costs $21.50 for 90 tablets</w:t>
            </w:r>
          </w:p>
        </w:tc>
      </w:tr>
      <w:tr w:rsidR="00AE7352" w14:paraId="1BA07E2C" w14:textId="77777777">
        <w:tc>
          <w:tcPr>
            <w:tcW w:w="1727" w:type="dxa"/>
          </w:tcPr>
          <w:p w14:paraId="30A1FAA3" w14:textId="61396D77" w:rsidR="009E212B" w:rsidRPr="00691058" w:rsidRDefault="009A10EB" w:rsidP="0079297C">
            <w:pPr>
              <w:pStyle w:val="Tabletext0"/>
              <w:jc w:val="left"/>
            </w:pPr>
            <w:r>
              <w:t xml:space="preserve">Anticoagulation management: </w:t>
            </w:r>
            <w:r w:rsidR="009E212B">
              <w:t>INR testing</w:t>
            </w:r>
          </w:p>
        </w:tc>
        <w:tc>
          <w:tcPr>
            <w:tcW w:w="1387" w:type="dxa"/>
          </w:tcPr>
          <w:p w14:paraId="51191B60" w14:textId="77777777" w:rsidR="009E212B" w:rsidRPr="00691058" w:rsidRDefault="009E212B">
            <w:pPr>
              <w:pStyle w:val="Tabletext0"/>
              <w:jc w:val="left"/>
            </w:pPr>
            <w:r>
              <w:t>$414.00</w:t>
            </w:r>
          </w:p>
        </w:tc>
        <w:tc>
          <w:tcPr>
            <w:tcW w:w="2298" w:type="dxa"/>
          </w:tcPr>
          <w:p w14:paraId="4B3C1BC0" w14:textId="77777777" w:rsidR="009E212B" w:rsidRPr="00961088" w:rsidRDefault="009E212B">
            <w:pPr>
              <w:pStyle w:val="Tabletext0"/>
            </w:pPr>
            <w:r w:rsidRPr="00961088">
              <w:t>$471.60</w:t>
            </w:r>
          </w:p>
        </w:tc>
        <w:tc>
          <w:tcPr>
            <w:tcW w:w="900" w:type="dxa"/>
          </w:tcPr>
          <w:p w14:paraId="5C01617A" w14:textId="77777777" w:rsidR="009E212B" w:rsidRDefault="009E212B">
            <w:pPr>
              <w:pStyle w:val="Tabletext0"/>
            </w:pPr>
            <w:r>
              <w:rPr>
                <w:i/>
                <w:iCs/>
              </w:rPr>
              <w:t>MBS</w:t>
            </w:r>
          </w:p>
        </w:tc>
        <w:tc>
          <w:tcPr>
            <w:tcW w:w="2704" w:type="dxa"/>
          </w:tcPr>
          <w:p w14:paraId="35207991" w14:textId="53605662" w:rsidR="009E212B" w:rsidRDefault="009E212B">
            <w:pPr>
              <w:pStyle w:val="Tabletext0"/>
              <w:jc w:val="left"/>
              <w:rPr>
                <w:i/>
                <w:iCs/>
              </w:rPr>
            </w:pPr>
            <w:r w:rsidRPr="00591979">
              <w:rPr>
                <w:i/>
                <w:iCs/>
              </w:rPr>
              <w:t>Costs were updated</w:t>
            </w:r>
            <w:r w:rsidR="007568D6">
              <w:rPr>
                <w:i/>
                <w:iCs/>
              </w:rPr>
              <w:t xml:space="preserve"> in the resubmission ADAR.</w:t>
            </w:r>
          </w:p>
          <w:p w14:paraId="39E48911" w14:textId="77777777" w:rsidR="009E212B" w:rsidRPr="00D74C1B" w:rsidRDefault="009E212B">
            <w:pPr>
              <w:pStyle w:val="Tabletext0"/>
              <w:jc w:val="left"/>
            </w:pPr>
            <w:r w:rsidRPr="00D74C1B">
              <w:t xml:space="preserve">MBS item 65120 ($13.70) and 74995 ($4.00) for 20 times per </w:t>
            </w:r>
            <w:proofErr w:type="gramStart"/>
            <w:r w:rsidRPr="00D74C1B">
              <w:t>year;</w:t>
            </w:r>
            <w:proofErr w:type="gramEnd"/>
          </w:p>
          <w:p w14:paraId="0F6B1F67" w14:textId="77777777" w:rsidR="009E212B" w:rsidRPr="00792836" w:rsidRDefault="009E212B">
            <w:pPr>
              <w:pStyle w:val="Tabletext0"/>
              <w:jc w:val="left"/>
              <w:rPr>
                <w:i/>
                <w:iCs/>
              </w:rPr>
            </w:pPr>
            <w:r w:rsidRPr="00D74C1B">
              <w:t>MBS item 3 ($19.60) for 6 times per year</w:t>
            </w:r>
            <w:r>
              <w:rPr>
                <w:i/>
                <w:iCs/>
              </w:rPr>
              <w:t xml:space="preserve"> </w:t>
            </w:r>
          </w:p>
        </w:tc>
      </w:tr>
      <w:tr w:rsidR="00AE7352" w14:paraId="5FCC1AF4" w14:textId="77777777">
        <w:tc>
          <w:tcPr>
            <w:tcW w:w="1727" w:type="dxa"/>
          </w:tcPr>
          <w:p w14:paraId="771529F5" w14:textId="77777777" w:rsidR="009E212B" w:rsidRDefault="009E212B">
            <w:pPr>
              <w:pStyle w:val="Tabletext0"/>
              <w:jc w:val="left"/>
            </w:pPr>
            <w:r>
              <w:t>A</w:t>
            </w:r>
            <w:r w:rsidRPr="00691058">
              <w:t>ntihypertensive management</w:t>
            </w:r>
          </w:p>
        </w:tc>
        <w:tc>
          <w:tcPr>
            <w:tcW w:w="1387" w:type="dxa"/>
          </w:tcPr>
          <w:p w14:paraId="01F7A341" w14:textId="77777777" w:rsidR="009E212B" w:rsidRDefault="009E212B">
            <w:pPr>
              <w:pStyle w:val="Tabletext0"/>
              <w:jc w:val="left"/>
            </w:pPr>
            <w:r w:rsidRPr="00691058">
              <w:t>$392.71</w:t>
            </w:r>
          </w:p>
        </w:tc>
        <w:tc>
          <w:tcPr>
            <w:tcW w:w="2298" w:type="dxa"/>
          </w:tcPr>
          <w:p w14:paraId="41FA1515" w14:textId="250F6935" w:rsidR="009E212B" w:rsidRDefault="005C4900">
            <w:pPr>
              <w:pStyle w:val="Tabletext0"/>
            </w:pPr>
            <w:r>
              <w:t>$403.87</w:t>
            </w:r>
          </w:p>
        </w:tc>
        <w:tc>
          <w:tcPr>
            <w:tcW w:w="900" w:type="dxa"/>
          </w:tcPr>
          <w:p w14:paraId="3207A497" w14:textId="77777777" w:rsidR="009E212B" w:rsidRDefault="009E212B">
            <w:pPr>
              <w:pStyle w:val="Tabletext0"/>
            </w:pPr>
            <w:r>
              <w:t>PBS</w:t>
            </w:r>
          </w:p>
        </w:tc>
        <w:tc>
          <w:tcPr>
            <w:tcW w:w="2704" w:type="dxa"/>
          </w:tcPr>
          <w:p w14:paraId="6A420627" w14:textId="06A00D18" w:rsidR="009E212B" w:rsidRPr="00061498" w:rsidRDefault="00CE4C91">
            <w:pPr>
              <w:pStyle w:val="Tabletext0"/>
              <w:jc w:val="left"/>
              <w:rPr>
                <w:i/>
                <w:iCs/>
              </w:rPr>
            </w:pPr>
            <w:r w:rsidRPr="00061498">
              <w:rPr>
                <w:i/>
                <w:iCs/>
              </w:rPr>
              <w:t>C</w:t>
            </w:r>
            <w:r w:rsidR="009E212B" w:rsidRPr="00061498">
              <w:rPr>
                <w:i/>
                <w:iCs/>
              </w:rPr>
              <w:t>ost</w:t>
            </w:r>
            <w:r w:rsidRPr="00061498">
              <w:rPr>
                <w:i/>
                <w:iCs/>
              </w:rPr>
              <w:t xml:space="preserve">s </w:t>
            </w:r>
            <w:r w:rsidR="005C4900" w:rsidRPr="00061498">
              <w:rPr>
                <w:i/>
                <w:iCs/>
              </w:rPr>
              <w:t xml:space="preserve">presented in the Section 3 LVAD CEA workbook </w:t>
            </w:r>
            <w:r w:rsidRPr="00061498">
              <w:rPr>
                <w:i/>
                <w:iCs/>
              </w:rPr>
              <w:t>were</w:t>
            </w:r>
            <w:r w:rsidR="005C4900" w:rsidRPr="00061498">
              <w:rPr>
                <w:i/>
                <w:iCs/>
              </w:rPr>
              <w:t xml:space="preserve"> inaccurate as they were multiplied by 356.25 days.</w:t>
            </w:r>
            <w:r w:rsidR="009E212B" w:rsidRPr="00061498">
              <w:rPr>
                <w:i/>
                <w:iCs/>
              </w:rPr>
              <w:t xml:space="preserve"> </w:t>
            </w:r>
            <w:r w:rsidR="005C4900" w:rsidRPr="00061498">
              <w:rPr>
                <w:i/>
                <w:iCs/>
              </w:rPr>
              <w:t xml:space="preserve">The total cost was </w:t>
            </w:r>
            <w:r w:rsidR="009E212B" w:rsidRPr="00061498">
              <w:rPr>
                <w:i/>
                <w:iCs/>
              </w:rPr>
              <w:t xml:space="preserve">updated to $414.07 </w:t>
            </w:r>
            <w:r w:rsidR="002D2733" w:rsidRPr="00061498">
              <w:rPr>
                <w:i/>
                <w:iCs/>
              </w:rPr>
              <w:t xml:space="preserve">in the </w:t>
            </w:r>
            <w:r w:rsidR="009E212B" w:rsidRPr="00061498">
              <w:rPr>
                <w:i/>
                <w:iCs/>
              </w:rPr>
              <w:t>commentary</w:t>
            </w:r>
            <w:r w:rsidR="005C4900" w:rsidRPr="002C3628">
              <w:rPr>
                <w:i/>
                <w:iCs/>
              </w:rPr>
              <w:t>, by multiplying with 365.25 days</w:t>
            </w:r>
            <w:r w:rsidR="009E212B" w:rsidRPr="00061498">
              <w:rPr>
                <w:i/>
                <w:iCs/>
              </w:rPr>
              <w:t>.</w:t>
            </w:r>
          </w:p>
          <w:p w14:paraId="01F2E315" w14:textId="77777777" w:rsidR="009E212B" w:rsidRPr="00061498" w:rsidRDefault="009E212B">
            <w:pPr>
              <w:pStyle w:val="Tabletext0"/>
              <w:jc w:val="left"/>
              <w:rPr>
                <w:i/>
                <w:iCs/>
              </w:rPr>
            </w:pPr>
          </w:p>
          <w:p w14:paraId="5DFE5918" w14:textId="77777777" w:rsidR="009E212B" w:rsidRPr="00061498" w:rsidRDefault="009E212B">
            <w:pPr>
              <w:pStyle w:val="Tabletext0"/>
              <w:jc w:val="left"/>
            </w:pPr>
            <w:r w:rsidRPr="00061498">
              <w:t>Perindopril (PBS item 8704D) costs $17.84 for 30 tablets.</w:t>
            </w:r>
          </w:p>
          <w:p w14:paraId="01ACDDF8" w14:textId="77777777" w:rsidR="009E212B" w:rsidRPr="0075051F" w:rsidRDefault="009E212B">
            <w:pPr>
              <w:pStyle w:val="Tabletext0"/>
              <w:jc w:val="left"/>
              <w:rPr>
                <w:i/>
                <w:iCs/>
              </w:rPr>
            </w:pPr>
            <w:r w:rsidRPr="00061498">
              <w:t>Atenolol (PBS item 1081X) costs $16.17 for 30 tablets.</w:t>
            </w:r>
          </w:p>
        </w:tc>
      </w:tr>
      <w:tr w:rsidR="00AE7352" w14:paraId="40C0AE52" w14:textId="77777777">
        <w:tc>
          <w:tcPr>
            <w:tcW w:w="1727" w:type="dxa"/>
          </w:tcPr>
          <w:p w14:paraId="3432F4C3" w14:textId="77777777" w:rsidR="009E212B" w:rsidRDefault="009E212B">
            <w:pPr>
              <w:pStyle w:val="Tabletext0"/>
              <w:jc w:val="left"/>
            </w:pPr>
            <w:r>
              <w:t>Battery replacement</w:t>
            </w:r>
          </w:p>
        </w:tc>
        <w:tc>
          <w:tcPr>
            <w:tcW w:w="1387" w:type="dxa"/>
          </w:tcPr>
          <w:p w14:paraId="21E49976" w14:textId="415EE565" w:rsidR="009E212B" w:rsidRDefault="009E212B">
            <w:pPr>
              <w:pStyle w:val="Tabletext0"/>
              <w:jc w:val="left"/>
            </w:pPr>
            <w:r>
              <w:t xml:space="preserve">$2,296.00 applied to alive </w:t>
            </w:r>
            <w:r w:rsidR="00003108">
              <w:t>L</w:t>
            </w:r>
            <w:r w:rsidR="00ED6CA5">
              <w:t>VAD</w:t>
            </w:r>
            <w:r>
              <w:t xml:space="preserve"> patients every three years</w:t>
            </w:r>
          </w:p>
        </w:tc>
        <w:tc>
          <w:tcPr>
            <w:tcW w:w="2298" w:type="dxa"/>
          </w:tcPr>
          <w:p w14:paraId="59DFF552" w14:textId="77777777" w:rsidR="009E212B" w:rsidRPr="00BD1A06" w:rsidRDefault="009E212B">
            <w:pPr>
              <w:pStyle w:val="Tabletext0"/>
            </w:pPr>
            <w:r w:rsidRPr="00BD1A06">
              <w:t>$2,296.00</w:t>
            </w:r>
          </w:p>
        </w:tc>
        <w:tc>
          <w:tcPr>
            <w:tcW w:w="900" w:type="dxa"/>
          </w:tcPr>
          <w:p w14:paraId="7FD32021" w14:textId="77777777" w:rsidR="009E212B" w:rsidRDefault="009E212B">
            <w:pPr>
              <w:pStyle w:val="Tabletext0"/>
              <w:jc w:val="left"/>
            </w:pPr>
            <w:r w:rsidRPr="00F2346C">
              <w:t>Private health funds</w:t>
            </w:r>
          </w:p>
        </w:tc>
        <w:tc>
          <w:tcPr>
            <w:tcW w:w="2704" w:type="dxa"/>
          </w:tcPr>
          <w:p w14:paraId="61848DEB" w14:textId="77777777" w:rsidR="009E212B" w:rsidRDefault="009E212B">
            <w:pPr>
              <w:pStyle w:val="Tabletext0"/>
              <w:jc w:val="left"/>
              <w:rPr>
                <w:i/>
                <w:iCs/>
              </w:rPr>
            </w:pPr>
            <w:r w:rsidRPr="00792836">
              <w:rPr>
                <w:i/>
                <w:iCs/>
              </w:rPr>
              <w:t xml:space="preserve">No changes in the resubmission. </w:t>
            </w:r>
          </w:p>
          <w:p w14:paraId="35455AFF" w14:textId="77777777" w:rsidR="009E212B" w:rsidRPr="0075051F" w:rsidRDefault="009E212B">
            <w:pPr>
              <w:pStyle w:val="Tabletext0"/>
              <w:jc w:val="left"/>
              <w:rPr>
                <w:i/>
                <w:iCs/>
              </w:rPr>
            </w:pPr>
            <w:r>
              <w:rPr>
                <w:i/>
                <w:iCs/>
              </w:rPr>
              <w:t>The cost (item code SJ385) was reduced to $2,295, based on the August 2024 Prescribed List.</w:t>
            </w:r>
          </w:p>
        </w:tc>
      </w:tr>
      <w:tr w:rsidR="00AE7352" w14:paraId="14288B8A" w14:textId="77777777">
        <w:tc>
          <w:tcPr>
            <w:tcW w:w="1727" w:type="dxa"/>
          </w:tcPr>
          <w:p w14:paraId="3AEC56C8" w14:textId="77777777" w:rsidR="001319AE" w:rsidRDefault="001319AE" w:rsidP="001319AE">
            <w:pPr>
              <w:pStyle w:val="Tabletext0"/>
              <w:jc w:val="left"/>
            </w:pPr>
            <w:r>
              <w:t>Disease related complications</w:t>
            </w:r>
          </w:p>
        </w:tc>
        <w:tc>
          <w:tcPr>
            <w:tcW w:w="1387" w:type="dxa"/>
          </w:tcPr>
          <w:p w14:paraId="3D3E1170" w14:textId="2D23EAB0" w:rsidR="001319AE" w:rsidRDefault="000321AC" w:rsidP="001319AE">
            <w:pPr>
              <w:pStyle w:val="Tabletext0"/>
              <w:jc w:val="left"/>
            </w:pPr>
            <w:r w:rsidRPr="000321AC">
              <w:t>Months 0-24: $14,579.96 Months 25+: $3,114.68</w:t>
            </w:r>
          </w:p>
        </w:tc>
        <w:tc>
          <w:tcPr>
            <w:tcW w:w="2298" w:type="dxa"/>
          </w:tcPr>
          <w:p w14:paraId="112FDC0B" w14:textId="55EF2286" w:rsidR="001319AE" w:rsidRPr="00F2346C" w:rsidRDefault="001319AE" w:rsidP="00D74C1B">
            <w:pPr>
              <w:pStyle w:val="Tabletext0"/>
              <w:jc w:val="left"/>
            </w:pPr>
            <w:r w:rsidRPr="000E6072">
              <w:t>Months 0-24: $14,579.96 Months 25+: $3,114.68</w:t>
            </w:r>
          </w:p>
        </w:tc>
        <w:tc>
          <w:tcPr>
            <w:tcW w:w="900" w:type="dxa"/>
          </w:tcPr>
          <w:p w14:paraId="74194A1D" w14:textId="457F2763" w:rsidR="001319AE" w:rsidRDefault="001319AE" w:rsidP="001319AE">
            <w:pPr>
              <w:pStyle w:val="Tabletext0"/>
              <w:jc w:val="left"/>
            </w:pPr>
            <w:r w:rsidRPr="00F2346C">
              <w:t>Private health funds</w:t>
            </w:r>
            <w:r w:rsidR="00E34EFE">
              <w:t xml:space="preserve"> </w:t>
            </w:r>
            <w:r w:rsidR="00E34EFE" w:rsidRPr="00C22BC7">
              <w:rPr>
                <w:i/>
                <w:iCs/>
              </w:rPr>
              <w:t>or public hospitals</w:t>
            </w:r>
          </w:p>
        </w:tc>
        <w:tc>
          <w:tcPr>
            <w:tcW w:w="2704" w:type="dxa"/>
          </w:tcPr>
          <w:p w14:paraId="75B09315" w14:textId="5E07213B" w:rsidR="00665BDD" w:rsidRPr="00D74C1B" w:rsidRDefault="00665BDD" w:rsidP="00665BDD">
            <w:pPr>
              <w:pStyle w:val="Tabletext0"/>
              <w:jc w:val="left"/>
            </w:pPr>
            <w:r w:rsidRPr="00D74C1B">
              <w:t xml:space="preserve">No changes from the original submission </w:t>
            </w:r>
            <w:proofErr w:type="spellStart"/>
            <w:r w:rsidRPr="00D74C1B">
              <w:t>ADAR</w:t>
            </w:r>
            <w:r w:rsidR="002104DA">
              <w:rPr>
                <w:vertAlign w:val="superscript"/>
              </w:rPr>
              <w:t>a</w:t>
            </w:r>
            <w:proofErr w:type="spellEnd"/>
            <w:r w:rsidRPr="00D74C1B">
              <w:t>.</w:t>
            </w:r>
          </w:p>
          <w:p w14:paraId="0D4B131A" w14:textId="77777777" w:rsidR="001319AE" w:rsidRPr="0075051F" w:rsidRDefault="001319AE" w:rsidP="001319AE">
            <w:pPr>
              <w:pStyle w:val="Tabletext0"/>
              <w:jc w:val="left"/>
              <w:rPr>
                <w:i/>
                <w:iCs/>
              </w:rPr>
            </w:pPr>
          </w:p>
        </w:tc>
      </w:tr>
      <w:tr w:rsidR="00AE7352" w14:paraId="35A472B1" w14:textId="77777777">
        <w:tc>
          <w:tcPr>
            <w:tcW w:w="1727" w:type="dxa"/>
          </w:tcPr>
          <w:p w14:paraId="727DDE5C" w14:textId="06C59EBE" w:rsidR="001319AE" w:rsidRDefault="001319AE" w:rsidP="001319AE">
            <w:pPr>
              <w:pStyle w:val="Tabletext0"/>
              <w:jc w:val="left"/>
            </w:pPr>
            <w:r>
              <w:lastRenderedPageBreak/>
              <w:t>Device related adverse events</w:t>
            </w:r>
          </w:p>
        </w:tc>
        <w:tc>
          <w:tcPr>
            <w:tcW w:w="1387" w:type="dxa"/>
          </w:tcPr>
          <w:p w14:paraId="5DA0AAA3" w14:textId="6C10F10C" w:rsidR="001319AE" w:rsidRPr="000237CF" w:rsidRDefault="000321AC" w:rsidP="001319AE">
            <w:pPr>
              <w:pStyle w:val="Tabletext0"/>
              <w:jc w:val="left"/>
              <w:rPr>
                <w:highlight w:val="yellow"/>
              </w:rPr>
            </w:pPr>
            <w:r w:rsidRPr="000237CF">
              <w:t>Months 0-24: $</w:t>
            </w:r>
            <w:r w:rsidR="00C94737" w:rsidRPr="00C94737">
              <w:rPr>
                <w:b/>
                <w:bCs/>
              </w:rPr>
              <w:t>redacted</w:t>
            </w:r>
            <w:r w:rsidRPr="000237CF">
              <w:t xml:space="preserve"> Months 25+: $</w:t>
            </w:r>
            <w:r w:rsidR="00C94737" w:rsidRPr="008C0B41">
              <w:rPr>
                <w:b/>
                <w:bCs/>
              </w:rPr>
              <w:t>redacted</w:t>
            </w:r>
          </w:p>
        </w:tc>
        <w:tc>
          <w:tcPr>
            <w:tcW w:w="2298" w:type="dxa"/>
          </w:tcPr>
          <w:p w14:paraId="77BF1890" w14:textId="4BD6BD21" w:rsidR="001319AE" w:rsidRPr="00F2346C" w:rsidRDefault="001319AE" w:rsidP="00D74C1B">
            <w:pPr>
              <w:pStyle w:val="Tabletext0"/>
              <w:jc w:val="left"/>
            </w:pPr>
            <w:r w:rsidRPr="001319AE">
              <w:t>Months 0-24: $</w:t>
            </w:r>
            <w:r w:rsidR="00C94737" w:rsidRPr="008C0B41">
              <w:rPr>
                <w:b/>
                <w:bCs/>
              </w:rPr>
              <w:t>redacted</w:t>
            </w:r>
            <w:r w:rsidRPr="001319AE">
              <w:t xml:space="preserve"> Months 25+: $</w:t>
            </w:r>
            <w:r w:rsidR="00C94737" w:rsidRPr="008C0B41">
              <w:rPr>
                <w:b/>
                <w:bCs/>
              </w:rPr>
              <w:t>redacted</w:t>
            </w:r>
          </w:p>
        </w:tc>
        <w:tc>
          <w:tcPr>
            <w:tcW w:w="900" w:type="dxa"/>
          </w:tcPr>
          <w:p w14:paraId="791E34FC" w14:textId="77777777" w:rsidR="001319AE" w:rsidRDefault="001319AE" w:rsidP="001319AE">
            <w:pPr>
              <w:pStyle w:val="Tabletext0"/>
              <w:jc w:val="left"/>
            </w:pPr>
            <w:r w:rsidRPr="00F2346C">
              <w:t>Private health funds</w:t>
            </w:r>
            <w:r>
              <w:t xml:space="preserve"> or </w:t>
            </w:r>
          </w:p>
          <w:p w14:paraId="16E39E50" w14:textId="77777777" w:rsidR="001319AE" w:rsidRDefault="001319AE" w:rsidP="001319AE">
            <w:pPr>
              <w:pStyle w:val="Tabletext0"/>
              <w:jc w:val="left"/>
            </w:pPr>
            <w:r>
              <w:t>public hospitals</w:t>
            </w:r>
          </w:p>
        </w:tc>
        <w:tc>
          <w:tcPr>
            <w:tcW w:w="2704" w:type="dxa"/>
          </w:tcPr>
          <w:p w14:paraId="73561E83" w14:textId="504B7C1D" w:rsidR="00B772FC" w:rsidRPr="0079297C" w:rsidRDefault="00E315FE" w:rsidP="00B772FC">
            <w:pPr>
              <w:pStyle w:val="Tabletext0"/>
              <w:jc w:val="left"/>
              <w:rPr>
                <w:i/>
                <w:iCs/>
              </w:rPr>
            </w:pPr>
            <w:r w:rsidRPr="00061498">
              <w:rPr>
                <w:i/>
                <w:iCs/>
              </w:rPr>
              <w:t xml:space="preserve">The presented costs for </w:t>
            </w:r>
            <w:r w:rsidR="00B772FC" w:rsidRPr="0079297C">
              <w:rPr>
                <w:i/>
                <w:iCs/>
              </w:rPr>
              <w:t>the original submission ADAR</w:t>
            </w:r>
            <w:r w:rsidR="00AE7352" w:rsidRPr="00061498">
              <w:rPr>
                <w:i/>
                <w:iCs/>
              </w:rPr>
              <w:t xml:space="preserve"> were incorrect</w:t>
            </w:r>
            <w:r w:rsidR="001211E0" w:rsidRPr="00061498">
              <w:rPr>
                <w:i/>
                <w:iCs/>
              </w:rPr>
              <w:t xml:space="preserve">, whereby the calculated sums </w:t>
            </w:r>
            <w:r w:rsidR="00012917" w:rsidRPr="00061498">
              <w:rPr>
                <w:i/>
                <w:iCs/>
              </w:rPr>
              <w:t>were</w:t>
            </w:r>
            <w:r w:rsidR="00AE7352" w:rsidRPr="00061498">
              <w:rPr>
                <w:i/>
                <w:iCs/>
              </w:rPr>
              <w:t xml:space="preserve"> $3,165.24 ($263.77</w:t>
            </w:r>
            <w:r w:rsidR="00AE7352" w:rsidRPr="00061498">
              <w:rPr>
                <w:i/>
                <w:iCs/>
                <w:vertAlign w:val="superscript"/>
              </w:rPr>
              <w:t>a</w:t>
            </w:r>
            <w:r w:rsidR="00AE7352" w:rsidRPr="00061498">
              <w:rPr>
                <w:i/>
                <w:iCs/>
              </w:rPr>
              <w:t xml:space="preserve"> multiplied by 12) in months 0-24 and $2,948.28 ($245.69</w:t>
            </w:r>
            <w:r w:rsidR="00AE7352" w:rsidRPr="00061498">
              <w:rPr>
                <w:i/>
                <w:iCs/>
                <w:vertAlign w:val="superscript"/>
              </w:rPr>
              <w:t>a</w:t>
            </w:r>
            <w:r w:rsidR="00AE7352" w:rsidRPr="00061498">
              <w:rPr>
                <w:i/>
                <w:iCs/>
              </w:rPr>
              <w:t xml:space="preserve"> multiplied by 12)</w:t>
            </w:r>
            <w:r w:rsidR="00F44200" w:rsidRPr="00061498">
              <w:rPr>
                <w:i/>
                <w:iCs/>
              </w:rPr>
              <w:t xml:space="preserve"> in months 25+</w:t>
            </w:r>
            <w:r w:rsidR="00012917" w:rsidRPr="00061498">
              <w:rPr>
                <w:i/>
                <w:iCs/>
              </w:rPr>
              <w:t>, based on commentary’s calculation</w:t>
            </w:r>
            <w:r w:rsidR="00B772FC" w:rsidRPr="0079297C">
              <w:rPr>
                <w:i/>
                <w:iCs/>
              </w:rPr>
              <w:t>.</w:t>
            </w:r>
            <w:r w:rsidR="00F44200" w:rsidRPr="00061498">
              <w:rPr>
                <w:i/>
                <w:iCs/>
              </w:rPr>
              <w:t xml:space="preserve"> Hence, the device related adverse event c</w:t>
            </w:r>
            <w:r w:rsidR="00AD5908" w:rsidRPr="0079297C">
              <w:rPr>
                <w:i/>
                <w:iCs/>
              </w:rPr>
              <w:t>osts</w:t>
            </w:r>
            <w:r w:rsidR="00F44200" w:rsidRPr="00061498">
              <w:rPr>
                <w:i/>
                <w:iCs/>
              </w:rPr>
              <w:t xml:space="preserve"> in the resubmission ADAR</w:t>
            </w:r>
            <w:r w:rsidR="00AD5908" w:rsidRPr="0079297C">
              <w:rPr>
                <w:i/>
                <w:iCs/>
              </w:rPr>
              <w:t xml:space="preserve"> increased slightly from the original submission</w:t>
            </w:r>
            <w:r w:rsidR="00F44200" w:rsidRPr="00061498">
              <w:rPr>
                <w:i/>
                <w:iCs/>
              </w:rPr>
              <w:t xml:space="preserve"> ADAR</w:t>
            </w:r>
            <w:r w:rsidR="00AD5908" w:rsidRPr="0079297C">
              <w:rPr>
                <w:i/>
                <w:iCs/>
              </w:rPr>
              <w:t>.</w:t>
            </w:r>
          </w:p>
          <w:p w14:paraId="5106091E" w14:textId="77777777" w:rsidR="00B772FC" w:rsidRPr="00061498" w:rsidRDefault="00B772FC" w:rsidP="00B772FC">
            <w:pPr>
              <w:pStyle w:val="Tabletext0"/>
              <w:jc w:val="left"/>
            </w:pPr>
          </w:p>
          <w:p w14:paraId="0306C446" w14:textId="3E3837FF" w:rsidR="001319AE" w:rsidRPr="00061498" w:rsidRDefault="001319AE" w:rsidP="001319AE">
            <w:pPr>
              <w:pStyle w:val="Tabletext0"/>
              <w:jc w:val="left"/>
              <w:rPr>
                <w:i/>
                <w:iCs/>
              </w:rPr>
            </w:pPr>
            <w:r w:rsidRPr="00061498">
              <w:rPr>
                <w:i/>
                <w:iCs/>
              </w:rPr>
              <w:t>Cost of device replacement due to reasons other than pump thrombosis was not included</w:t>
            </w:r>
            <w:r w:rsidR="003B0329" w:rsidRPr="00061498">
              <w:rPr>
                <w:i/>
                <w:iCs/>
              </w:rPr>
              <w:t xml:space="preserve"> in the resubmission ADAR</w:t>
            </w:r>
            <w:r w:rsidRPr="00061498">
              <w:rPr>
                <w:i/>
                <w:iCs/>
              </w:rPr>
              <w:t>.</w:t>
            </w:r>
          </w:p>
        </w:tc>
      </w:tr>
      <w:tr w:rsidR="00AE7352" w14:paraId="1F024C02" w14:textId="77777777">
        <w:tc>
          <w:tcPr>
            <w:tcW w:w="1727" w:type="dxa"/>
          </w:tcPr>
          <w:p w14:paraId="00D0D22A" w14:textId="3645D3C2" w:rsidR="009E212B" w:rsidRDefault="009E212B">
            <w:pPr>
              <w:pStyle w:val="Tabletext0"/>
              <w:jc w:val="left"/>
            </w:pPr>
            <w:r>
              <w:t>Total</w:t>
            </w:r>
          </w:p>
        </w:tc>
        <w:tc>
          <w:tcPr>
            <w:tcW w:w="1387" w:type="dxa"/>
          </w:tcPr>
          <w:p w14:paraId="4C88D85A" w14:textId="0822708F" w:rsidR="00F1219C" w:rsidRDefault="00F1219C" w:rsidP="00D74C1B">
            <w:pPr>
              <w:pStyle w:val="Tabletext0"/>
              <w:jc w:val="left"/>
            </w:pPr>
            <w:r>
              <w:t>Months 0-24 $</w:t>
            </w:r>
            <w:r w:rsidR="00C94737" w:rsidRPr="008C0B41">
              <w:rPr>
                <w:b/>
                <w:bCs/>
              </w:rPr>
              <w:t>redacted</w:t>
            </w:r>
            <w:r>
              <w:t xml:space="preserve"> </w:t>
            </w:r>
          </w:p>
          <w:p w14:paraId="3EBC91BD" w14:textId="2C44E210" w:rsidR="009E212B" w:rsidRPr="00D74C1B" w:rsidRDefault="00F1219C" w:rsidP="00F1219C">
            <w:pPr>
              <w:pStyle w:val="Tabletext0"/>
              <w:jc w:val="left"/>
              <w:rPr>
                <w:highlight w:val="yellow"/>
              </w:rPr>
            </w:pPr>
            <w:r>
              <w:t>Months 25+ $</w:t>
            </w:r>
            <w:r w:rsidR="00C94737" w:rsidRPr="008C0B41">
              <w:rPr>
                <w:b/>
                <w:bCs/>
              </w:rPr>
              <w:t>redacted</w:t>
            </w:r>
          </w:p>
        </w:tc>
        <w:tc>
          <w:tcPr>
            <w:tcW w:w="2298" w:type="dxa"/>
          </w:tcPr>
          <w:p w14:paraId="59D70971" w14:textId="69A1378F" w:rsidR="000F1CAD" w:rsidRDefault="000F1CAD" w:rsidP="000F1CAD">
            <w:pPr>
              <w:pStyle w:val="Tabletext0"/>
              <w:jc w:val="left"/>
            </w:pPr>
            <w:r>
              <w:t>Months 0-24 $</w:t>
            </w:r>
            <w:r w:rsidR="00C94737" w:rsidRPr="008C0B41">
              <w:rPr>
                <w:b/>
                <w:bCs/>
              </w:rPr>
              <w:t>redacted</w:t>
            </w:r>
            <w:r>
              <w:t xml:space="preserve"> </w:t>
            </w:r>
          </w:p>
          <w:p w14:paraId="632FDBE5" w14:textId="316BE5F0" w:rsidR="00C11895" w:rsidRDefault="000F1CAD" w:rsidP="000F1CAD">
            <w:pPr>
              <w:pStyle w:val="Tabletext0"/>
              <w:jc w:val="left"/>
            </w:pPr>
            <w:r>
              <w:t>Months 25+ $</w:t>
            </w:r>
            <w:r w:rsidR="00C94737" w:rsidRPr="008C0B41">
              <w:rPr>
                <w:b/>
                <w:bCs/>
              </w:rPr>
              <w:t>redacted</w:t>
            </w:r>
          </w:p>
        </w:tc>
        <w:tc>
          <w:tcPr>
            <w:tcW w:w="900" w:type="dxa"/>
          </w:tcPr>
          <w:p w14:paraId="3E13D109" w14:textId="77777777" w:rsidR="009E212B" w:rsidRDefault="009E212B">
            <w:pPr>
              <w:pStyle w:val="Tabletext0"/>
            </w:pPr>
            <w:r>
              <w:t>-</w:t>
            </w:r>
          </w:p>
        </w:tc>
        <w:tc>
          <w:tcPr>
            <w:tcW w:w="2704" w:type="dxa"/>
          </w:tcPr>
          <w:p w14:paraId="6170C0EB" w14:textId="2B383A83" w:rsidR="009A3FCB" w:rsidRPr="00C22BC7" w:rsidRDefault="009A3FCB">
            <w:pPr>
              <w:pStyle w:val="Tabletext0"/>
              <w:jc w:val="left"/>
              <w:rPr>
                <w:i/>
                <w:iCs/>
              </w:rPr>
            </w:pPr>
            <w:r w:rsidRPr="00C22BC7">
              <w:rPr>
                <w:i/>
                <w:iCs/>
              </w:rPr>
              <w:t xml:space="preserve">The resubmission ADAR has calculated the total cost by sum of all the above component costs but have excluded battery replacement costs </w:t>
            </w:r>
            <w:r>
              <w:rPr>
                <w:i/>
                <w:iCs/>
              </w:rPr>
              <w:t xml:space="preserve">and noted that this was because </w:t>
            </w:r>
            <w:r w:rsidRPr="00C22BC7">
              <w:rPr>
                <w:i/>
                <w:iCs/>
              </w:rPr>
              <w:t>this</w:t>
            </w:r>
            <w:r>
              <w:rPr>
                <w:i/>
                <w:iCs/>
              </w:rPr>
              <w:t xml:space="preserve"> cost</w:t>
            </w:r>
            <w:r w:rsidRPr="00C22BC7">
              <w:rPr>
                <w:i/>
                <w:iCs/>
              </w:rPr>
              <w:t xml:space="preserve"> is only applied</w:t>
            </w:r>
            <w:r>
              <w:rPr>
                <w:i/>
                <w:iCs/>
              </w:rPr>
              <w:t xml:space="preserve"> once</w:t>
            </w:r>
            <w:r w:rsidRPr="00C22BC7">
              <w:rPr>
                <w:i/>
                <w:iCs/>
              </w:rPr>
              <w:t xml:space="preserve"> every three years.</w:t>
            </w:r>
          </w:p>
          <w:p w14:paraId="52BFED16" w14:textId="3242D7A7" w:rsidR="009A3FCB" w:rsidRDefault="009A3FCB">
            <w:pPr>
              <w:pStyle w:val="Tabletext0"/>
              <w:jc w:val="left"/>
              <w:rPr>
                <w:i/>
                <w:iCs/>
              </w:rPr>
            </w:pPr>
          </w:p>
          <w:p w14:paraId="3CCE5128" w14:textId="46660841" w:rsidR="00665BDD" w:rsidRDefault="00E315FE">
            <w:pPr>
              <w:pStyle w:val="Tabletext0"/>
              <w:jc w:val="left"/>
              <w:rPr>
                <w:i/>
                <w:iCs/>
              </w:rPr>
            </w:pPr>
            <w:r w:rsidRPr="0079297C">
              <w:rPr>
                <w:i/>
                <w:iCs/>
              </w:rPr>
              <w:t>The presented costs</w:t>
            </w:r>
            <w:r w:rsidR="00AC3731" w:rsidRPr="00061498">
              <w:rPr>
                <w:i/>
                <w:iCs/>
              </w:rPr>
              <w:t xml:space="preserve"> were incorrect</w:t>
            </w:r>
            <w:r w:rsidR="00665BDD" w:rsidRPr="0079297C">
              <w:rPr>
                <w:i/>
                <w:iCs/>
              </w:rPr>
              <w:t>.</w:t>
            </w:r>
            <w:r w:rsidR="002D5705" w:rsidRPr="00061498">
              <w:rPr>
                <w:i/>
                <w:iCs/>
              </w:rPr>
              <w:t xml:space="preserve"> The total cost</w:t>
            </w:r>
            <w:r w:rsidR="001211E0" w:rsidRPr="00061498">
              <w:rPr>
                <w:i/>
                <w:iCs/>
              </w:rPr>
              <w:t>s</w:t>
            </w:r>
            <w:r w:rsidR="002D5705" w:rsidRPr="00061498">
              <w:rPr>
                <w:i/>
                <w:iCs/>
              </w:rPr>
              <w:t xml:space="preserve"> in the </w:t>
            </w:r>
            <w:r w:rsidR="00061498" w:rsidRPr="00061498">
              <w:rPr>
                <w:i/>
                <w:iCs/>
              </w:rPr>
              <w:t xml:space="preserve">original </w:t>
            </w:r>
            <w:r w:rsidR="002D5705" w:rsidRPr="00061498">
              <w:rPr>
                <w:i/>
                <w:iCs/>
              </w:rPr>
              <w:t xml:space="preserve">submission ADAR </w:t>
            </w:r>
            <w:r w:rsidR="001211E0" w:rsidRPr="00061498">
              <w:rPr>
                <w:i/>
                <w:iCs/>
              </w:rPr>
              <w:t>were</w:t>
            </w:r>
            <w:r w:rsidR="002D5705" w:rsidRPr="00061498">
              <w:rPr>
                <w:i/>
                <w:iCs/>
              </w:rPr>
              <w:t xml:space="preserve"> $19,421.62 (months 0-24) and $7,7</w:t>
            </w:r>
            <w:r w:rsidR="004B2204">
              <w:rPr>
                <w:i/>
                <w:iCs/>
              </w:rPr>
              <w:t>39</w:t>
            </w:r>
            <w:r w:rsidR="002D5705" w:rsidRPr="00061498">
              <w:rPr>
                <w:i/>
                <w:iCs/>
              </w:rPr>
              <w:t>.</w:t>
            </w:r>
            <w:r w:rsidR="004B2204">
              <w:rPr>
                <w:i/>
                <w:iCs/>
              </w:rPr>
              <w:t>38</w:t>
            </w:r>
            <w:r w:rsidR="002D5705" w:rsidRPr="00061498">
              <w:rPr>
                <w:i/>
                <w:iCs/>
              </w:rPr>
              <w:t xml:space="preserve"> (months 25+)</w:t>
            </w:r>
            <w:r w:rsidR="001211E0" w:rsidRPr="00061498">
              <w:rPr>
                <w:i/>
                <w:iCs/>
              </w:rPr>
              <w:t xml:space="preserve">, based on commentary’s calculation. The total costs in the resubmission ADAR </w:t>
            </w:r>
            <w:r w:rsidR="00357562" w:rsidRPr="00061498">
              <w:rPr>
                <w:i/>
                <w:iCs/>
              </w:rPr>
              <w:t xml:space="preserve">for the “revised base case” </w:t>
            </w:r>
            <w:r w:rsidR="001211E0" w:rsidRPr="00061498">
              <w:rPr>
                <w:i/>
                <w:iCs/>
              </w:rPr>
              <w:t xml:space="preserve">were </w:t>
            </w:r>
            <w:r w:rsidR="00C545B1" w:rsidRPr="0025136D">
              <w:rPr>
                <w:i/>
                <w:iCs/>
              </w:rPr>
              <w:t>$19,547.16</w:t>
            </w:r>
            <w:r w:rsidR="00C545B1" w:rsidRPr="00061498">
              <w:rPr>
                <w:i/>
                <w:iCs/>
              </w:rPr>
              <w:t xml:space="preserve"> (months 0-24) and $7,866.39 (month 25+), based on commentary’s calculation.</w:t>
            </w:r>
            <w:r w:rsidR="00AE4741" w:rsidRPr="00061498">
              <w:t xml:space="preserve"> </w:t>
            </w:r>
            <w:r w:rsidR="00AE4741" w:rsidRPr="00061498">
              <w:rPr>
                <w:i/>
                <w:iCs/>
              </w:rPr>
              <w:t>Overall, the total costs</w:t>
            </w:r>
            <w:r w:rsidR="00357562" w:rsidRPr="00061498">
              <w:rPr>
                <w:i/>
                <w:iCs/>
              </w:rPr>
              <w:t xml:space="preserve"> used</w:t>
            </w:r>
            <w:r w:rsidR="00AE4741" w:rsidRPr="00061498">
              <w:rPr>
                <w:i/>
                <w:iCs/>
              </w:rPr>
              <w:t xml:space="preserve"> in the</w:t>
            </w:r>
            <w:r w:rsidR="00357562" w:rsidRPr="00061498">
              <w:rPr>
                <w:i/>
                <w:iCs/>
              </w:rPr>
              <w:t xml:space="preserve"> “revised base case”</w:t>
            </w:r>
            <w:r w:rsidR="00AE4741" w:rsidRPr="00061498">
              <w:rPr>
                <w:i/>
                <w:iCs/>
              </w:rPr>
              <w:t xml:space="preserve"> increased slightly from the original submission ADAR.</w:t>
            </w:r>
          </w:p>
          <w:p w14:paraId="56128196" w14:textId="2325416D" w:rsidR="009E212B" w:rsidRPr="00061498" w:rsidRDefault="009E212B">
            <w:pPr>
              <w:pStyle w:val="Tabletext0"/>
              <w:jc w:val="left"/>
              <w:rPr>
                <w:i/>
                <w:iCs/>
              </w:rPr>
            </w:pPr>
          </w:p>
        </w:tc>
      </w:tr>
    </w:tbl>
    <w:p w14:paraId="362AAD83" w14:textId="6EFBADF5" w:rsidR="009E212B" w:rsidRPr="001A66EE" w:rsidRDefault="009E212B" w:rsidP="001A66EE">
      <w:pPr>
        <w:pStyle w:val="TableFooter"/>
      </w:pPr>
      <w:r w:rsidRPr="001A66EE">
        <w:t>Source: Table 10</w:t>
      </w:r>
      <w:r w:rsidR="00D93C2E" w:rsidRPr="001A66EE">
        <w:t>, p</w:t>
      </w:r>
      <w:r w:rsidR="006A3978" w:rsidRPr="001A66EE">
        <w:t>27</w:t>
      </w:r>
      <w:r w:rsidR="006D2ABB">
        <w:t>; Table 19, p37</w:t>
      </w:r>
      <w:r w:rsidRPr="001A66EE">
        <w:t xml:space="preserve"> of the MSAC Application </w:t>
      </w:r>
      <w:r w:rsidR="009A5664">
        <w:t>1749 Resubmission</w:t>
      </w:r>
      <w:r w:rsidR="00D93C2E" w:rsidRPr="001A66EE">
        <w:t xml:space="preserve"> ADAR</w:t>
      </w:r>
      <w:r w:rsidRPr="001A66EE">
        <w:t xml:space="preserve">; Section 3 </w:t>
      </w:r>
      <w:r w:rsidR="009B2AF4">
        <w:t>L</w:t>
      </w:r>
      <w:r w:rsidR="00ED6CA5">
        <w:t>VAD</w:t>
      </w:r>
      <w:r w:rsidRPr="001A66EE">
        <w:t xml:space="preserve"> CEA Workbook of </w:t>
      </w:r>
      <w:r w:rsidR="009A02D5" w:rsidRPr="001A66EE">
        <w:t xml:space="preserve">MSAC Application </w:t>
      </w:r>
      <w:r w:rsidR="009A5664">
        <w:t>1749 Resubmission ADAR</w:t>
      </w:r>
      <w:r w:rsidR="001F32E3">
        <w:t>.</w:t>
      </w:r>
    </w:p>
    <w:p w14:paraId="1E4F4AB1" w14:textId="1B82A8D2" w:rsidR="009E212B" w:rsidRPr="001A66EE" w:rsidRDefault="009E212B" w:rsidP="001A66EE">
      <w:pPr>
        <w:pStyle w:val="TableFooter"/>
      </w:pPr>
      <w:r w:rsidRPr="001A66EE">
        <w:t xml:space="preserve">DPMQ = dispensed price for maximum quantity; ECG = electrocardiogram; INR = international normalised ratio; </w:t>
      </w:r>
      <w:r w:rsidR="0025291F">
        <w:t>L</w:t>
      </w:r>
      <w:r w:rsidR="00ED6CA5">
        <w:t>VAD</w:t>
      </w:r>
      <w:r w:rsidRPr="001A66EE">
        <w:t xml:space="preserve"> = </w:t>
      </w:r>
      <w:r w:rsidR="0025291F">
        <w:t xml:space="preserve">left </w:t>
      </w:r>
      <w:r w:rsidRPr="001A66EE">
        <w:t>ventricular assist device; MBS = Medicare Benefits Schedule; PBS = Pharmaceutical Benefits Scheme.</w:t>
      </w:r>
    </w:p>
    <w:p w14:paraId="62F12271" w14:textId="674BB74E" w:rsidR="009E212B" w:rsidRDefault="00F212DD" w:rsidP="001A66EE">
      <w:pPr>
        <w:pStyle w:val="TableFooter"/>
      </w:pPr>
      <w:r>
        <w:rPr>
          <w:i/>
          <w:iCs/>
        </w:rPr>
        <w:t xml:space="preserve">Notes: </w:t>
      </w:r>
      <w:r w:rsidR="009E212B" w:rsidRPr="001A66EE">
        <w:rPr>
          <w:i/>
          <w:iCs/>
        </w:rPr>
        <w:t xml:space="preserve">Italics </w:t>
      </w:r>
      <w:r w:rsidR="00E34EFE">
        <w:rPr>
          <w:i/>
          <w:iCs/>
        </w:rPr>
        <w:t xml:space="preserve">denote </w:t>
      </w:r>
      <w:r w:rsidR="004D415E">
        <w:rPr>
          <w:i/>
          <w:iCs/>
        </w:rPr>
        <w:t>additions</w:t>
      </w:r>
      <w:r w:rsidR="00E34EFE">
        <w:rPr>
          <w:i/>
          <w:iCs/>
        </w:rPr>
        <w:t xml:space="preserve"> made by the Department or the assessment group</w:t>
      </w:r>
      <w:r w:rsidR="009E212B" w:rsidRPr="001A66EE">
        <w:rPr>
          <w:i/>
          <w:iCs/>
        </w:rPr>
        <w:t>.</w:t>
      </w:r>
    </w:p>
    <w:p w14:paraId="3C37A011" w14:textId="5EC41AD4" w:rsidR="00437FD1" w:rsidRPr="004A49C4" w:rsidRDefault="00437FD1" w:rsidP="00AE7352">
      <w:pPr>
        <w:pStyle w:val="TableFooter"/>
        <w:rPr>
          <w:i/>
          <w:iCs/>
        </w:rPr>
      </w:pPr>
      <w:proofErr w:type="spellStart"/>
      <w:r w:rsidRPr="0079297C">
        <w:rPr>
          <w:i/>
          <w:iCs/>
          <w:vertAlign w:val="superscript"/>
        </w:rPr>
        <w:t>a</w:t>
      </w:r>
      <w:proofErr w:type="spellEnd"/>
      <w:r w:rsidR="00235F50">
        <w:rPr>
          <w:i/>
          <w:iCs/>
          <w:vertAlign w:val="superscript"/>
        </w:rPr>
        <w:t xml:space="preserve"> </w:t>
      </w:r>
      <w:r w:rsidR="00235F50">
        <w:rPr>
          <w:i/>
          <w:iCs/>
        </w:rPr>
        <w:t>Costs were based on the MOMENTUM 3 trial.</w:t>
      </w:r>
      <w:r w:rsidRPr="0079297C">
        <w:rPr>
          <w:i/>
          <w:iCs/>
        </w:rPr>
        <w:t xml:space="preserve"> </w:t>
      </w:r>
      <w:r w:rsidR="00235F50">
        <w:rPr>
          <w:i/>
          <w:iCs/>
        </w:rPr>
        <w:t>C</w:t>
      </w:r>
      <w:r w:rsidRPr="0079297C">
        <w:rPr>
          <w:i/>
          <w:iCs/>
        </w:rPr>
        <w:t>ost</w:t>
      </w:r>
      <w:r w:rsidR="00AE7352">
        <w:rPr>
          <w:i/>
          <w:iCs/>
        </w:rPr>
        <w:t xml:space="preserve">s obtained from Table 59, p214 of </w:t>
      </w:r>
      <w:r w:rsidR="00D436A4">
        <w:rPr>
          <w:i/>
          <w:iCs/>
        </w:rPr>
        <w:t>Attachment 1_</w:t>
      </w:r>
      <w:r w:rsidR="00AE7352">
        <w:rPr>
          <w:i/>
          <w:iCs/>
        </w:rPr>
        <w:t>MSAC Application 1749</w:t>
      </w:r>
      <w:r w:rsidRPr="0079297C">
        <w:rPr>
          <w:i/>
          <w:iCs/>
        </w:rPr>
        <w:t xml:space="preserve"> </w:t>
      </w:r>
    </w:p>
    <w:p w14:paraId="3FE16B06" w14:textId="0C2707BF" w:rsidR="00357562" w:rsidRDefault="00357562" w:rsidP="00944FE2">
      <w:r>
        <w:t xml:space="preserve">The </w:t>
      </w:r>
      <w:r w:rsidR="00C873AB">
        <w:t>re</w:t>
      </w:r>
      <w:r>
        <w:t>submission</w:t>
      </w:r>
      <w:r w:rsidR="00C873AB">
        <w:t xml:space="preserve"> ADAR</w:t>
      </w:r>
      <w:r>
        <w:t xml:space="preserve"> applied an alternative analysis in the “likely overestimated case” by assuming the aftercare costs in terms of disease and device related complications to be equal to Prichard et al., 2020 (adjusted to 2024 prices: $39,130.03) in year 0-2. In subsequent years LVAD aftercare costs </w:t>
      </w:r>
      <w:proofErr w:type="gramStart"/>
      <w:r w:rsidR="00C873AB">
        <w:t>were considered to be</w:t>
      </w:r>
      <w:proofErr w:type="gramEnd"/>
      <w:r w:rsidR="00C873AB">
        <w:t xml:space="preserve"> </w:t>
      </w:r>
      <w:r>
        <w:t>equal to the “revised base case” ($</w:t>
      </w:r>
      <w:r w:rsidR="00B908D4" w:rsidRPr="00B908D4">
        <w:rPr>
          <w:b/>
          <w:bCs/>
        </w:rPr>
        <w:t>redacted</w:t>
      </w:r>
      <w:r>
        <w:t>)</w:t>
      </w:r>
      <w:r w:rsidR="007A2778">
        <w:t>. Of note, the aftercare costs in year 2-5 for both “revised base case” and “likely overestimated case” were the same, which</w:t>
      </w:r>
      <w:r w:rsidR="008A5FF1">
        <w:t xml:space="preserve"> were</w:t>
      </w:r>
      <w:r w:rsidR="007A2778">
        <w:t xml:space="preserve"> potentially underestimated due to lack of consideration for</w:t>
      </w:r>
      <w:r w:rsidR="00D32B6D">
        <w:t xml:space="preserve"> costs of</w:t>
      </w:r>
      <w:r w:rsidR="007A2778">
        <w:t xml:space="preserve"> device replacement due to reasons other than pump thrombosis</w:t>
      </w:r>
      <w:r w:rsidR="00944FE2">
        <w:t xml:space="preserve"> (for further details, refer Section: </w:t>
      </w:r>
      <w:r w:rsidR="00944FE2">
        <w:fldChar w:fldCharType="begin"/>
      </w:r>
      <w:r w:rsidR="00944FE2">
        <w:instrText xml:space="preserve"> REF _Ref181188893 \h </w:instrText>
      </w:r>
      <w:r w:rsidR="00944FE2">
        <w:fldChar w:fldCharType="separate"/>
      </w:r>
      <w:r w:rsidR="00944FE2" w:rsidRPr="00966AEE">
        <w:t>Incidence of device replacement</w:t>
      </w:r>
      <w:r w:rsidR="00944FE2">
        <w:fldChar w:fldCharType="end"/>
      </w:r>
      <w:r w:rsidR="00944FE2">
        <w:t>)</w:t>
      </w:r>
      <w:r w:rsidR="007A2778">
        <w:t>.</w:t>
      </w:r>
    </w:p>
    <w:p w14:paraId="79991763" w14:textId="39A953A0" w:rsidR="009E212B" w:rsidRDefault="00FA6F78" w:rsidP="00FA6F78">
      <w:r>
        <w:lastRenderedPageBreak/>
        <w:t xml:space="preserve">The resubmission ADAR argued that all patients were anticipated to be privately insured because the intervention was listed on the </w:t>
      </w:r>
      <w:r w:rsidR="00266FC9">
        <w:t>Pr</w:t>
      </w:r>
      <w:r w:rsidR="00091A2E">
        <w:t>escribed</w:t>
      </w:r>
      <w:r w:rsidR="00266FC9">
        <w:t xml:space="preserve"> List</w:t>
      </w:r>
      <w:r w:rsidR="007675F7">
        <w:t>, and hence</w:t>
      </w:r>
      <w:r>
        <w:t xml:space="preserve"> any aftercare hospital costs will be funded by the private insurer.</w:t>
      </w:r>
      <w:r w:rsidR="00954DBC">
        <w:t xml:space="preserve"> </w:t>
      </w:r>
      <w:r w:rsidR="009E212B">
        <w:t>Th</w:t>
      </w:r>
      <w:r w:rsidR="00050324">
        <w:t xml:space="preserve">e </w:t>
      </w:r>
      <w:r w:rsidR="00263818">
        <w:t>department</w:t>
      </w:r>
      <w:r w:rsidR="00050324">
        <w:t xml:space="preserve"> considered this to be</w:t>
      </w:r>
      <w:r w:rsidR="009E212B">
        <w:t xml:space="preserve"> uncertain </w:t>
      </w:r>
      <w:r w:rsidR="004A6C74">
        <w:t xml:space="preserve">as patients </w:t>
      </w:r>
      <w:r w:rsidR="00263818">
        <w:t xml:space="preserve">will </w:t>
      </w:r>
      <w:r w:rsidR="65442B1D">
        <w:t>present</w:t>
      </w:r>
      <w:r w:rsidR="004A6C74">
        <w:t xml:space="preserve"> to public hospitals for disease related complications post </w:t>
      </w:r>
      <w:r w:rsidR="00BE66B2">
        <w:t>L</w:t>
      </w:r>
      <w:r w:rsidR="00ED6CA5">
        <w:t>VAD</w:t>
      </w:r>
      <w:r w:rsidR="004A6C74">
        <w:t xml:space="preserve"> implantation</w:t>
      </w:r>
      <w:r w:rsidR="00C6180A">
        <w:t>, in which scenario the cost may be borne by the relevant public site. Furthermore, private insurers generally do not cover aftercare costs other than potentially costs associated with technical device monitoring</w:t>
      </w:r>
      <w:r w:rsidR="6E61554C">
        <w:t xml:space="preserve"> or repeat surgical interventions</w:t>
      </w:r>
      <w:r w:rsidR="009E212B">
        <w:t>.</w:t>
      </w:r>
      <w:r w:rsidR="00C6180A">
        <w:t xml:space="preserve"> Therefore, aftercare costs may be borne by the relevant public site or potentially billed to the patient. This remains unknown.</w:t>
      </w:r>
      <w:r w:rsidR="009E212B">
        <w:t xml:space="preserve"> Based on the consultation conducted by the applicant, no feedback was provided by the clinical experts </w:t>
      </w:r>
      <w:proofErr w:type="gramStart"/>
      <w:r w:rsidR="009E212B">
        <w:t>with regard to</w:t>
      </w:r>
      <w:proofErr w:type="gramEnd"/>
      <w:r w:rsidR="009E212B">
        <w:t xml:space="preserve"> private health funding in aftercare services and disease related complications (</w:t>
      </w:r>
      <w:r w:rsidR="004B78A8">
        <w:t>MSAC Application 1749</w:t>
      </w:r>
      <w:r w:rsidR="63DBFA06">
        <w:t xml:space="preserve"> </w:t>
      </w:r>
      <w:r w:rsidR="00D72DC2">
        <w:t>R</w:t>
      </w:r>
      <w:r w:rsidR="63DBFA06">
        <w:t>esubmission</w:t>
      </w:r>
      <w:r w:rsidR="004B78A8">
        <w:t xml:space="preserve"> </w:t>
      </w:r>
      <w:r w:rsidR="009E212B">
        <w:t>Attachment 2).</w:t>
      </w:r>
      <w:r w:rsidR="0000124E">
        <w:t xml:space="preserve"> </w:t>
      </w:r>
      <w:r w:rsidR="009E212B">
        <w:t xml:space="preserve">Furthermore, the resubmission </w:t>
      </w:r>
      <w:r w:rsidR="00D66A02">
        <w:t xml:space="preserve">ADAR </w:t>
      </w:r>
      <w:r w:rsidR="009E212B">
        <w:t>did not address as to how private patient funding will be attended (for aftercare) by the public hospitals</w:t>
      </w:r>
      <w:r w:rsidR="00591EBB">
        <w:t>.</w:t>
      </w:r>
    </w:p>
    <w:p w14:paraId="73A8CCE6" w14:textId="2880516F" w:rsidR="005633EF" w:rsidRPr="00F257B9" w:rsidRDefault="005633EF" w:rsidP="009E212B">
      <w:r>
        <w:t xml:space="preserve">The commentary </w:t>
      </w:r>
      <w:r w:rsidR="5A75D301">
        <w:t xml:space="preserve">proposed that </w:t>
      </w:r>
      <w:r>
        <w:t xml:space="preserve">the aftercare costs </w:t>
      </w:r>
      <w:r w:rsidR="56A2333E">
        <w:t xml:space="preserve">were </w:t>
      </w:r>
      <w:r>
        <w:t>underestimated because of the following reasons:</w:t>
      </w:r>
    </w:p>
    <w:p w14:paraId="10DA0D6C" w14:textId="67B9D150" w:rsidR="00C8623C" w:rsidRPr="00F257B9" w:rsidRDefault="00681B74" w:rsidP="003F2B9C">
      <w:pPr>
        <w:pStyle w:val="ListParagraph"/>
        <w:numPr>
          <w:ilvl w:val="0"/>
          <w:numId w:val="16"/>
        </w:numPr>
      </w:pPr>
      <w:r w:rsidRPr="00F257B9">
        <w:t>C</w:t>
      </w:r>
      <w:r w:rsidR="008A5BF2" w:rsidRPr="00F257B9">
        <w:t xml:space="preserve">osts associated with device replacement and reoperation </w:t>
      </w:r>
      <w:proofErr w:type="gramStart"/>
      <w:r w:rsidR="008A5BF2" w:rsidRPr="00F257B9">
        <w:t>as a result of</w:t>
      </w:r>
      <w:proofErr w:type="gramEnd"/>
      <w:r w:rsidR="008A5BF2" w:rsidRPr="00F257B9">
        <w:t xml:space="preserve"> device malfunction apart from pump thrombosis over the proposed 10-year time horizon </w:t>
      </w:r>
      <w:r w:rsidR="00E82325" w:rsidRPr="00F257B9">
        <w:t>were</w:t>
      </w:r>
      <w:r w:rsidR="008A5BF2" w:rsidRPr="00F257B9">
        <w:t xml:space="preserve"> not included in the </w:t>
      </w:r>
      <w:r w:rsidR="004B49D6" w:rsidRPr="00F257B9">
        <w:t>“</w:t>
      </w:r>
      <w:r w:rsidR="008A5BF2" w:rsidRPr="00F257B9">
        <w:t>revised base case</w:t>
      </w:r>
      <w:r w:rsidR="004B49D6" w:rsidRPr="00F257B9">
        <w:t>”</w:t>
      </w:r>
      <w:r w:rsidR="00E82325" w:rsidRPr="00F257B9">
        <w:t>.</w:t>
      </w:r>
      <w:r w:rsidR="008A5BF2" w:rsidRPr="00F257B9">
        <w:t xml:space="preserve"> </w:t>
      </w:r>
    </w:p>
    <w:p w14:paraId="7F7EC0F4" w14:textId="1D59CB99" w:rsidR="00D56B2F" w:rsidRPr="00F257B9" w:rsidRDefault="00C8623C" w:rsidP="003F2B9C">
      <w:pPr>
        <w:pStyle w:val="ListParagraph"/>
        <w:numPr>
          <w:ilvl w:val="0"/>
          <w:numId w:val="16"/>
        </w:numPr>
      </w:pPr>
      <w:r w:rsidRPr="00F257B9">
        <w:t>Rehabilitation costs were not included. Based on the 2023 International Society for Heart and Lung Transplantation (ISHLT) guidelines</w:t>
      </w:r>
      <w:r w:rsidRPr="00F257B9">
        <w:rPr>
          <w:rStyle w:val="FootnoteReference"/>
        </w:rPr>
        <w:footnoteReference w:id="18"/>
      </w:r>
      <w:r w:rsidRPr="00F257B9">
        <w:t xml:space="preserve"> for mechanical circulatory support, all patients with durable mechanical circulatory support should be enrolled in cardiac rehabilitation after </w:t>
      </w:r>
      <w:r w:rsidR="00BE66B2">
        <w:t>L</w:t>
      </w:r>
      <w:r w:rsidR="00ED6CA5" w:rsidRPr="00F257B9">
        <w:t>VAD</w:t>
      </w:r>
      <w:r w:rsidRPr="00F257B9">
        <w:t xml:space="preserve"> implantation. The ISHLT </w:t>
      </w:r>
      <w:r w:rsidR="00283177" w:rsidRPr="00F257B9">
        <w:t>Guidelines</w:t>
      </w:r>
      <w:r w:rsidR="00283177" w:rsidRPr="00F257B9">
        <w:rPr>
          <w:vertAlign w:val="superscript"/>
        </w:rPr>
        <w:t>2</w:t>
      </w:r>
      <w:r w:rsidR="00283177">
        <w:rPr>
          <w:vertAlign w:val="superscript"/>
        </w:rPr>
        <w:t>0</w:t>
      </w:r>
      <w:r w:rsidR="00283177" w:rsidRPr="00F257B9">
        <w:t xml:space="preserve"> </w:t>
      </w:r>
      <w:r w:rsidRPr="00F257B9">
        <w:t xml:space="preserve">for mechanical circulatory support recommended multidisciplinary approach in the cardiac rehabilitation, which include exercise and strength training; smoking cessation strategies; nutritional and dietary modifications; monitoring of </w:t>
      </w:r>
      <w:r w:rsidR="00BE66B2">
        <w:t>L</w:t>
      </w:r>
      <w:r w:rsidR="00ED6CA5" w:rsidRPr="00F257B9">
        <w:t>VAD</w:t>
      </w:r>
      <w:r w:rsidRPr="00F257B9">
        <w:t xml:space="preserve"> system; and coordination with the transplant centres for recommendations.</w:t>
      </w:r>
      <w:r w:rsidR="00D56B2F" w:rsidRPr="00F257B9">
        <w:t xml:space="preserve"> </w:t>
      </w:r>
    </w:p>
    <w:p w14:paraId="1714CBC2" w14:textId="7B4DF346" w:rsidR="00C8623C" w:rsidRDefault="00621043" w:rsidP="003F2B9C">
      <w:pPr>
        <w:pStyle w:val="ListParagraph"/>
        <w:numPr>
          <w:ilvl w:val="0"/>
          <w:numId w:val="16"/>
        </w:numPr>
      </w:pPr>
      <w:r w:rsidRPr="002C3628">
        <w:t>Referring to</w:t>
      </w:r>
      <w:r w:rsidR="009B2AF4" w:rsidRPr="002C3628">
        <w:t xml:space="preserve"> </w:t>
      </w:r>
      <w:r w:rsidRPr="002C3628">
        <w:t>Section 3</w:t>
      </w:r>
      <w:r w:rsidR="009B2AF4" w:rsidRPr="002C3628">
        <w:t xml:space="preserve"> LVAD CEA Workbook</w:t>
      </w:r>
      <w:r w:rsidRPr="002C3628">
        <w:t xml:space="preserve"> of MSAC Application 1749</w:t>
      </w:r>
      <w:r w:rsidR="2973BB34" w:rsidRPr="002C3628">
        <w:t xml:space="preserve"> </w:t>
      </w:r>
      <w:r w:rsidR="009B2AF4" w:rsidRPr="002C3628">
        <w:t>R</w:t>
      </w:r>
      <w:r w:rsidR="2973BB34" w:rsidRPr="002C3628">
        <w:t>esubmission</w:t>
      </w:r>
      <w:r w:rsidR="009B2AF4" w:rsidRPr="002C3628">
        <w:t xml:space="preserve"> ADAR</w:t>
      </w:r>
      <w:r w:rsidRPr="002C3628">
        <w:t xml:space="preserve">, the cost for “other neurological event” under the “disease related costs” in the </w:t>
      </w:r>
      <w:r w:rsidR="000B3BBB" w:rsidRPr="002C3628">
        <w:t>L</w:t>
      </w:r>
      <w:r w:rsidR="00ED6CA5" w:rsidRPr="002C3628">
        <w:t>VAD</w:t>
      </w:r>
      <w:r w:rsidRPr="002C3628">
        <w:t xml:space="preserve"> arm was omitted in the model. </w:t>
      </w:r>
      <w:r w:rsidR="00DD4CE1" w:rsidRPr="002C3628">
        <w:t xml:space="preserve">Also, </w:t>
      </w:r>
      <w:r w:rsidR="00C63C4D" w:rsidRPr="002C3628">
        <w:t>the antihypertensive management was updated to $414.07 during the commentary</w:t>
      </w:r>
      <w:r w:rsidR="00CF3357" w:rsidRPr="002C3628">
        <w:t>,</w:t>
      </w:r>
      <w:r w:rsidR="00A32821" w:rsidRPr="002C3628">
        <w:t xml:space="preserve"> </w:t>
      </w:r>
      <w:r w:rsidR="00A32821" w:rsidRPr="00061498">
        <w:t xml:space="preserve">as </w:t>
      </w:r>
      <w:r w:rsidR="00E15B61" w:rsidRPr="002C3628">
        <w:t>it</w:t>
      </w:r>
      <w:r w:rsidR="00A32821" w:rsidRPr="002C3628">
        <w:t xml:space="preserve"> was incorrectly presented </w:t>
      </w:r>
      <w:r w:rsidR="00E15B61" w:rsidRPr="002C3628">
        <w:t xml:space="preserve">in the resubmission ADAR </w:t>
      </w:r>
      <w:r w:rsidR="00613ADD" w:rsidRPr="002C3628">
        <w:t>using</w:t>
      </w:r>
      <w:r w:rsidR="00A32821" w:rsidRPr="002C3628">
        <w:t xml:space="preserve"> 356.25 days</w:t>
      </w:r>
      <w:r w:rsidR="00C63C4D" w:rsidRPr="00061498">
        <w:t xml:space="preserve">. </w:t>
      </w:r>
      <w:r w:rsidR="00613ADD" w:rsidRPr="002C3628">
        <w:t xml:space="preserve">Therefore, </w:t>
      </w:r>
      <w:r w:rsidR="000B3BBB" w:rsidRPr="002C3628">
        <w:t xml:space="preserve">by </w:t>
      </w:r>
      <w:r w:rsidR="00613ADD" w:rsidRPr="002C3628">
        <w:t>i</w:t>
      </w:r>
      <w:r w:rsidR="001A3C51" w:rsidRPr="002C3628">
        <w:t>ncorporati</w:t>
      </w:r>
      <w:r w:rsidR="000B3BBB" w:rsidRPr="002C3628">
        <w:t>ng</w:t>
      </w:r>
      <w:r w:rsidR="001A3C51" w:rsidRPr="002C3628">
        <w:t xml:space="preserve"> the cost for “other neurological event and updated costs for antihypertensive management</w:t>
      </w:r>
      <w:r w:rsidR="000B3BBB" w:rsidRPr="002C3628">
        <w:t>,</w:t>
      </w:r>
      <w:r w:rsidR="001A3C51" w:rsidRPr="002C3628">
        <w:t xml:space="preserve"> </w:t>
      </w:r>
      <w:r w:rsidRPr="002C3628">
        <w:t>the ICER</w:t>
      </w:r>
      <w:r w:rsidR="001750CB" w:rsidRPr="002C3628">
        <w:t xml:space="preserve"> </w:t>
      </w:r>
      <w:r w:rsidRPr="002C3628">
        <w:t xml:space="preserve">increased by </w:t>
      </w:r>
      <w:r w:rsidR="00D4701A" w:rsidRPr="002C3628">
        <w:t xml:space="preserve">about </w:t>
      </w:r>
      <w:r w:rsidR="00396712">
        <w:t>4</w:t>
      </w:r>
      <w:r w:rsidRPr="002C3628">
        <w:t>% to $</w:t>
      </w:r>
      <w:r w:rsidR="002E1A83" w:rsidRPr="002E1A83">
        <w:rPr>
          <w:b/>
          <w:bCs/>
        </w:rPr>
        <w:t>redacted</w:t>
      </w:r>
      <w:r w:rsidRPr="002C3628">
        <w:t>/QALY.</w:t>
      </w:r>
    </w:p>
    <w:p w14:paraId="0123208A" w14:textId="77777777" w:rsidR="009E212B" w:rsidRPr="00305669" w:rsidRDefault="009E212B" w:rsidP="009E212B">
      <w:pPr>
        <w:rPr>
          <w:rStyle w:val="Emphasis"/>
          <w:i w:val="0"/>
          <w:iCs w:val="0"/>
          <w:u w:val="single"/>
        </w:rPr>
      </w:pPr>
      <w:r w:rsidRPr="00305669">
        <w:rPr>
          <w:rStyle w:val="Emphasis"/>
          <w:i w:val="0"/>
          <w:iCs w:val="0"/>
          <w:u w:val="single"/>
        </w:rPr>
        <w:t>Consultation with local clinical experts on aftercare costs in Australia</w:t>
      </w:r>
    </w:p>
    <w:p w14:paraId="2DB7DD96" w14:textId="12200AD9" w:rsidR="00901734" w:rsidRPr="001A66EE" w:rsidRDefault="009E212B" w:rsidP="58CC8D8B">
      <w:r>
        <w:t xml:space="preserve">In response to MSAC advice, the applicant conducted consultations with clinicians from all </w:t>
      </w:r>
      <w:r w:rsidR="00305756">
        <w:t xml:space="preserve">four </w:t>
      </w:r>
      <w:r>
        <w:t xml:space="preserve">adult transplant centres and a non-transplant centre regarding the expected magnitude of </w:t>
      </w:r>
      <w:r w:rsidR="00635D52">
        <w:t>L</w:t>
      </w:r>
      <w:r w:rsidR="00ED6CA5">
        <w:t>VAD</w:t>
      </w:r>
      <w:r>
        <w:t xml:space="preserve"> aftercare costs. </w:t>
      </w:r>
      <w:r w:rsidR="0052666E">
        <w:t>The m</w:t>
      </w:r>
      <w:r>
        <w:t>ethod</w:t>
      </w:r>
      <w:r w:rsidR="0052666E">
        <w:t>s</w:t>
      </w:r>
      <w:r>
        <w:t xml:space="preserve"> of </w:t>
      </w:r>
      <w:r w:rsidR="0052666E">
        <w:t xml:space="preserve">the </w:t>
      </w:r>
      <w:r>
        <w:t>consultations included interviews and a survey</w:t>
      </w:r>
      <w:r w:rsidR="00BD5ED6">
        <w:t xml:space="preserve"> (the survey allowed for free-text comments and multiple-choice options of “uncertain”)</w:t>
      </w:r>
      <w:r>
        <w:t xml:space="preserve">, where local experts were consulted on the comparison </w:t>
      </w:r>
      <w:r w:rsidR="00B14B6E">
        <w:t xml:space="preserve">between </w:t>
      </w:r>
      <w:r>
        <w:t xml:space="preserve">the resource utilisation as reported in Prichard </w:t>
      </w:r>
      <w:r w:rsidR="00D32BD2">
        <w:t xml:space="preserve">et al., </w:t>
      </w:r>
      <w:r>
        <w:t>2020</w:t>
      </w:r>
      <w:r w:rsidR="000F29EC">
        <w:t xml:space="preserve"> and</w:t>
      </w:r>
      <w:r>
        <w:t xml:space="preserve"> Marasco </w:t>
      </w:r>
      <w:r w:rsidR="00A946D1">
        <w:t xml:space="preserve">et al., </w:t>
      </w:r>
      <w:r>
        <w:t>2016</w:t>
      </w:r>
      <w:r w:rsidRPr="002C612C">
        <w:t>,</w:t>
      </w:r>
      <w:r>
        <w:t xml:space="preserve"> </w:t>
      </w:r>
      <w:r w:rsidRPr="001A11C1">
        <w:t xml:space="preserve">with the consideration of time period (contemporary practice vs 2012-2014), intended use (DT vs BTT/BTC) and generation of device (HM3 vs older generation </w:t>
      </w:r>
      <w:r w:rsidR="00BE66B2">
        <w:t>L</w:t>
      </w:r>
      <w:r w:rsidR="00ED6CA5" w:rsidRPr="001A11C1">
        <w:t>VAD</w:t>
      </w:r>
      <w:r w:rsidR="006935EE">
        <w:t>)</w:t>
      </w:r>
      <w:r w:rsidRPr="001A11C1">
        <w:t xml:space="preserve">. </w:t>
      </w:r>
      <w:r w:rsidR="009C3DF3">
        <w:t>T</w:t>
      </w:r>
      <w:r w:rsidR="007B0FA8">
        <w:t>he applicant</w:t>
      </w:r>
      <w:r w:rsidR="009C3DF3">
        <w:t xml:space="preserve"> also</w:t>
      </w:r>
      <w:r w:rsidR="005B0577" w:rsidRPr="00D74C1B">
        <w:t xml:space="preserve"> presented </w:t>
      </w:r>
      <w:r w:rsidR="001A11C1" w:rsidRPr="00D74C1B">
        <w:t>a US-based study by Mehra et al., 2018</w:t>
      </w:r>
      <w:r w:rsidR="00283177">
        <w:rPr>
          <w:rStyle w:val="FootnoteReference"/>
        </w:rPr>
        <w:footnoteReference w:id="19"/>
      </w:r>
      <w:r w:rsidR="001A11C1" w:rsidRPr="00D74C1B">
        <w:t xml:space="preserve"> </w:t>
      </w:r>
      <w:r w:rsidR="005B0577" w:rsidRPr="00D74C1B">
        <w:t>to</w:t>
      </w:r>
      <w:r w:rsidR="00851964">
        <w:t xml:space="preserve"> the</w:t>
      </w:r>
      <w:r w:rsidR="005B0577" w:rsidRPr="00D74C1B">
        <w:t xml:space="preserve"> local experts </w:t>
      </w:r>
      <w:r w:rsidR="7AAEA4E5" w:rsidRPr="00D74C1B">
        <w:t>to</w:t>
      </w:r>
      <w:r w:rsidR="005B0577" w:rsidRPr="00D74C1B">
        <w:t xml:space="preserve"> inform the relative magnitude of </w:t>
      </w:r>
      <w:r w:rsidR="00635D52">
        <w:t>L</w:t>
      </w:r>
      <w:r w:rsidR="005B0577" w:rsidRPr="00D74C1B">
        <w:t xml:space="preserve">VAD aftercare costs in DT vs BTT/BTC and HM3 vs </w:t>
      </w:r>
      <w:r w:rsidR="00DD3DB3">
        <w:t>older generation devices (</w:t>
      </w:r>
      <w:r w:rsidR="005B0577" w:rsidRPr="00D74C1B">
        <w:t>HM2/</w:t>
      </w:r>
      <w:r w:rsidR="001A11C1" w:rsidRPr="001A11C1">
        <w:t>H</w:t>
      </w:r>
      <w:r w:rsidR="00CF22ED">
        <w:t>VAD</w:t>
      </w:r>
      <w:r w:rsidR="005B0577" w:rsidRPr="00D74C1B">
        <w:t>/</w:t>
      </w:r>
      <w:proofErr w:type="spellStart"/>
      <w:r w:rsidR="005B0577" w:rsidRPr="00D74C1B">
        <w:t>VentrAssist</w:t>
      </w:r>
      <w:proofErr w:type="spellEnd"/>
      <w:r w:rsidR="00DD3DB3">
        <w:t>)</w:t>
      </w:r>
      <w:r w:rsidR="00842C76">
        <w:t>.</w:t>
      </w:r>
      <w:r w:rsidR="001A11C1" w:rsidRPr="00D74C1B">
        <w:t xml:space="preserve"> Mehra et al., 2018 </w:t>
      </w:r>
      <w:r w:rsidR="00603D77" w:rsidRPr="001A11C1">
        <w:t xml:space="preserve">found the aftercare costs </w:t>
      </w:r>
      <w:r w:rsidR="00603D77" w:rsidRPr="001A11C1">
        <w:lastRenderedPageBreak/>
        <w:t>in patients implanted with HM3 for DT to be 60% lower than patients implanted with HM2 for BTT/BTC.</w:t>
      </w:r>
      <w:r>
        <w:fldChar w:fldCharType="begin"/>
      </w:r>
      <w:r>
        <w:instrText xml:space="preserve"> REF _Ref177632787 \h </w:instrText>
      </w:r>
      <w:r>
        <w:fldChar w:fldCharType="separate"/>
      </w:r>
    </w:p>
    <w:p w14:paraId="6AA04DC3" w14:textId="13B298EB" w:rsidR="009B7A68" w:rsidRPr="001A66EE" w:rsidRDefault="00901734" w:rsidP="58CC8D8B">
      <w:r>
        <w:t xml:space="preserve">Table </w:t>
      </w:r>
      <w:r>
        <w:rPr>
          <w:noProof/>
        </w:rPr>
        <w:t>7</w:t>
      </w:r>
      <w:r w:rsidR="009E212B">
        <w:fldChar w:fldCharType="end"/>
      </w:r>
      <w:r w:rsidR="009E212B">
        <w:t xml:space="preserve"> presents the post-index hospitalisation costs from Prichard</w:t>
      </w:r>
      <w:r w:rsidR="00C71E1C">
        <w:t xml:space="preserve"> et al.,</w:t>
      </w:r>
      <w:r w:rsidR="009E212B">
        <w:t xml:space="preserve"> 2020</w:t>
      </w:r>
      <w:r w:rsidR="00C71E1C">
        <w:t>;</w:t>
      </w:r>
      <w:r w:rsidR="009E212B">
        <w:t xml:space="preserve"> Marasco</w:t>
      </w:r>
      <w:r w:rsidR="00C71E1C">
        <w:t xml:space="preserve"> et al.,</w:t>
      </w:r>
      <w:r w:rsidR="009E212B">
        <w:t xml:space="preserve"> 2016</w:t>
      </w:r>
      <w:r w:rsidR="00C71E1C">
        <w:t>;</w:t>
      </w:r>
      <w:r w:rsidR="009E212B">
        <w:t xml:space="preserve"> and Mehra</w:t>
      </w:r>
      <w:r w:rsidR="00C71E1C">
        <w:t xml:space="preserve"> et al.,</w:t>
      </w:r>
      <w:r w:rsidR="009E212B">
        <w:t xml:space="preserve"> 2018. </w:t>
      </w:r>
      <w:bookmarkStart w:id="37" w:name="_Ref177632787"/>
    </w:p>
    <w:p w14:paraId="76D0B1C7" w14:textId="3700416F" w:rsidR="009E212B" w:rsidRDefault="009E212B" w:rsidP="009E212B">
      <w:pPr>
        <w:pStyle w:val="Caption"/>
      </w:pPr>
      <w:r>
        <w:t xml:space="preserve">Table </w:t>
      </w:r>
      <w:r w:rsidR="006461F2">
        <w:fldChar w:fldCharType="begin"/>
      </w:r>
      <w:r w:rsidR="006461F2">
        <w:instrText xml:space="preserve"> SEQ Table \* ARABIC </w:instrText>
      </w:r>
      <w:r w:rsidR="006461F2">
        <w:fldChar w:fldCharType="separate"/>
      </w:r>
      <w:r w:rsidR="006461F2">
        <w:rPr>
          <w:noProof/>
        </w:rPr>
        <w:t>9</w:t>
      </w:r>
      <w:r w:rsidR="006461F2">
        <w:rPr>
          <w:noProof/>
        </w:rPr>
        <w:fldChar w:fldCharType="end"/>
      </w:r>
      <w:bookmarkEnd w:id="37"/>
      <w:r>
        <w:t xml:space="preserve"> Aftercare costs based on </w:t>
      </w:r>
      <w:r w:rsidR="007F6DB5" w:rsidRPr="007F6DB5">
        <w:t>Prichard et al., 2020; Marasco et al., 2016; and Mehra et al., 2018</w:t>
      </w:r>
      <w:r w:rsidR="007F6DB5">
        <w:t>.</w:t>
      </w:r>
    </w:p>
    <w:tbl>
      <w:tblPr>
        <w:tblStyle w:val="TableGrid"/>
        <w:tblW w:w="0" w:type="auto"/>
        <w:tblLayout w:type="fixed"/>
        <w:tblLook w:val="04A0" w:firstRow="1" w:lastRow="0" w:firstColumn="1" w:lastColumn="0" w:noHBand="0" w:noVBand="1"/>
      </w:tblPr>
      <w:tblGrid>
        <w:gridCol w:w="1271"/>
        <w:gridCol w:w="1134"/>
        <w:gridCol w:w="1701"/>
        <w:gridCol w:w="1227"/>
        <w:gridCol w:w="1157"/>
        <w:gridCol w:w="71"/>
        <w:gridCol w:w="1227"/>
        <w:gridCol w:w="1228"/>
      </w:tblGrid>
      <w:tr w:rsidR="004348D2" w14:paraId="1686AB2A" w14:textId="77777777" w:rsidTr="0079297C">
        <w:trPr>
          <w:cantSplit/>
        </w:trPr>
        <w:tc>
          <w:tcPr>
            <w:tcW w:w="1271" w:type="dxa"/>
          </w:tcPr>
          <w:p w14:paraId="3F41184D" w14:textId="587D1515" w:rsidR="009E212B" w:rsidRDefault="009E212B">
            <w:pPr>
              <w:pStyle w:val="Tabletext0"/>
            </w:pPr>
          </w:p>
        </w:tc>
        <w:tc>
          <w:tcPr>
            <w:tcW w:w="1134" w:type="dxa"/>
          </w:tcPr>
          <w:p w14:paraId="3F4E294D" w14:textId="2017A8A2" w:rsidR="009E212B" w:rsidRPr="00D74C1B" w:rsidRDefault="009E212B">
            <w:pPr>
              <w:pStyle w:val="Tabletext0"/>
              <w:jc w:val="center"/>
              <w:rPr>
                <w:b/>
                <w:bCs/>
              </w:rPr>
            </w:pPr>
            <w:r w:rsidRPr="00D74C1B">
              <w:rPr>
                <w:b/>
                <w:bCs/>
              </w:rPr>
              <w:t>Prichard</w:t>
            </w:r>
            <w:r w:rsidR="007F6DB5" w:rsidRPr="00D74C1B">
              <w:rPr>
                <w:b/>
                <w:bCs/>
              </w:rPr>
              <w:t xml:space="preserve"> et al., </w:t>
            </w:r>
            <w:r w:rsidRPr="00D74C1B">
              <w:rPr>
                <w:b/>
                <w:bCs/>
              </w:rPr>
              <w:t>2020</w:t>
            </w:r>
          </w:p>
        </w:tc>
        <w:tc>
          <w:tcPr>
            <w:tcW w:w="1701" w:type="dxa"/>
          </w:tcPr>
          <w:p w14:paraId="349334F5" w14:textId="4840C8F4" w:rsidR="009E212B" w:rsidRPr="00D74C1B" w:rsidRDefault="009E212B">
            <w:pPr>
              <w:pStyle w:val="Tabletext0"/>
              <w:jc w:val="center"/>
              <w:rPr>
                <w:b/>
                <w:bCs/>
              </w:rPr>
            </w:pPr>
            <w:r w:rsidRPr="00D74C1B">
              <w:rPr>
                <w:b/>
                <w:bCs/>
              </w:rPr>
              <w:t>Marasco</w:t>
            </w:r>
            <w:r w:rsidR="007F6DB5" w:rsidRPr="00D74C1B">
              <w:rPr>
                <w:b/>
                <w:bCs/>
              </w:rPr>
              <w:t xml:space="preserve"> et al.,</w:t>
            </w:r>
            <w:r w:rsidRPr="00D74C1B">
              <w:rPr>
                <w:b/>
                <w:bCs/>
              </w:rPr>
              <w:t xml:space="preserve"> 2016</w:t>
            </w:r>
          </w:p>
        </w:tc>
        <w:tc>
          <w:tcPr>
            <w:tcW w:w="4910" w:type="dxa"/>
            <w:gridSpan w:val="5"/>
          </w:tcPr>
          <w:p w14:paraId="0E636782" w14:textId="0F5A3B6F" w:rsidR="009E212B" w:rsidRPr="00D74C1B" w:rsidRDefault="009E212B">
            <w:pPr>
              <w:pStyle w:val="Tabletext0"/>
              <w:jc w:val="center"/>
              <w:rPr>
                <w:b/>
                <w:bCs/>
              </w:rPr>
            </w:pPr>
            <w:r w:rsidRPr="00D74C1B">
              <w:rPr>
                <w:b/>
                <w:bCs/>
              </w:rPr>
              <w:t>Mehra</w:t>
            </w:r>
            <w:r w:rsidR="007F6DB5" w:rsidRPr="00D74C1B">
              <w:rPr>
                <w:b/>
                <w:bCs/>
              </w:rPr>
              <w:t xml:space="preserve"> et al., </w:t>
            </w:r>
            <w:r w:rsidRPr="00D74C1B">
              <w:rPr>
                <w:b/>
                <w:bCs/>
              </w:rPr>
              <w:t>201</w:t>
            </w:r>
            <w:r w:rsidR="007F6DB5" w:rsidRPr="00D74C1B">
              <w:rPr>
                <w:b/>
                <w:bCs/>
              </w:rPr>
              <w:t>8</w:t>
            </w:r>
          </w:p>
        </w:tc>
      </w:tr>
      <w:tr w:rsidR="00210144" w14:paraId="0C86970D" w14:textId="77777777" w:rsidTr="00DD595E">
        <w:trPr>
          <w:cantSplit/>
        </w:trPr>
        <w:tc>
          <w:tcPr>
            <w:tcW w:w="1271" w:type="dxa"/>
          </w:tcPr>
          <w:p w14:paraId="4CB0157B" w14:textId="2B841B9D" w:rsidR="00210144" w:rsidRDefault="00210144">
            <w:pPr>
              <w:pStyle w:val="Tabletext0"/>
            </w:pPr>
            <w:r>
              <w:t>Setting,</w:t>
            </w:r>
            <w:r w:rsidR="00627714">
              <w:br/>
            </w:r>
            <w:r>
              <w:t>years of data collection</w:t>
            </w:r>
          </w:p>
        </w:tc>
        <w:tc>
          <w:tcPr>
            <w:tcW w:w="1134" w:type="dxa"/>
          </w:tcPr>
          <w:p w14:paraId="1A34FE6E" w14:textId="07CB35FD" w:rsidR="00210144" w:rsidRPr="00F93E7B" w:rsidRDefault="00210144">
            <w:pPr>
              <w:pStyle w:val="Tabletext0"/>
              <w:jc w:val="center"/>
            </w:pPr>
            <w:r>
              <w:t>Australia, 2009-2012</w:t>
            </w:r>
          </w:p>
        </w:tc>
        <w:tc>
          <w:tcPr>
            <w:tcW w:w="1701" w:type="dxa"/>
          </w:tcPr>
          <w:p w14:paraId="7E118744" w14:textId="75510032" w:rsidR="00210144" w:rsidRPr="00F93E7B" w:rsidRDefault="00210144">
            <w:pPr>
              <w:pStyle w:val="Tabletext0"/>
              <w:jc w:val="center"/>
            </w:pPr>
            <w:r>
              <w:t>Australia,</w:t>
            </w:r>
            <w:r w:rsidR="00AB704A">
              <w:br/>
            </w:r>
            <w:r>
              <w:t>July 2010-June 2012</w:t>
            </w:r>
          </w:p>
        </w:tc>
        <w:tc>
          <w:tcPr>
            <w:tcW w:w="2384" w:type="dxa"/>
            <w:gridSpan w:val="2"/>
          </w:tcPr>
          <w:p w14:paraId="017F3C95" w14:textId="08BB4F28" w:rsidR="00210144" w:rsidRPr="00396270" w:rsidRDefault="00210144">
            <w:pPr>
              <w:pStyle w:val="Tabletext0"/>
              <w:jc w:val="center"/>
              <w:rPr>
                <w:i/>
                <w:iCs/>
              </w:rPr>
            </w:pPr>
            <w:r w:rsidRPr="00396270">
              <w:rPr>
                <w:i/>
                <w:iCs/>
              </w:rPr>
              <w:t>United States,</w:t>
            </w:r>
            <w:r w:rsidR="00627714">
              <w:rPr>
                <w:i/>
                <w:iCs/>
              </w:rPr>
              <w:br/>
            </w:r>
            <w:r w:rsidR="00E32E26" w:rsidRPr="00396270">
              <w:rPr>
                <w:i/>
                <w:iCs/>
              </w:rPr>
              <w:t>Sept</w:t>
            </w:r>
            <w:r w:rsidRPr="00396270">
              <w:rPr>
                <w:i/>
                <w:iCs/>
              </w:rPr>
              <w:t xml:space="preserve"> 201</w:t>
            </w:r>
            <w:r w:rsidR="00E32E26" w:rsidRPr="00396270">
              <w:rPr>
                <w:i/>
                <w:iCs/>
              </w:rPr>
              <w:t>4</w:t>
            </w:r>
            <w:r w:rsidRPr="00396270">
              <w:rPr>
                <w:i/>
                <w:iCs/>
              </w:rPr>
              <w:t>-</w:t>
            </w:r>
            <w:r w:rsidR="00E32E26" w:rsidRPr="00396270">
              <w:rPr>
                <w:i/>
                <w:iCs/>
              </w:rPr>
              <w:t>Aug 2016</w:t>
            </w:r>
          </w:p>
        </w:tc>
        <w:tc>
          <w:tcPr>
            <w:tcW w:w="2526" w:type="dxa"/>
            <w:gridSpan w:val="3"/>
          </w:tcPr>
          <w:p w14:paraId="0943E3CB" w14:textId="44DD66E8" w:rsidR="00210144" w:rsidRPr="00396270" w:rsidRDefault="00210144">
            <w:pPr>
              <w:pStyle w:val="Tabletext0"/>
              <w:jc w:val="center"/>
              <w:rPr>
                <w:i/>
                <w:iCs/>
              </w:rPr>
            </w:pPr>
            <w:r w:rsidRPr="00396270">
              <w:rPr>
                <w:i/>
                <w:iCs/>
              </w:rPr>
              <w:t>United States,</w:t>
            </w:r>
            <w:r w:rsidR="00627714">
              <w:rPr>
                <w:i/>
                <w:iCs/>
              </w:rPr>
              <w:br/>
            </w:r>
            <w:r w:rsidR="00E32E26" w:rsidRPr="00396270">
              <w:rPr>
                <w:i/>
                <w:iCs/>
              </w:rPr>
              <w:t>Sept 2014-Aug 2016</w:t>
            </w:r>
          </w:p>
        </w:tc>
      </w:tr>
      <w:tr w:rsidR="004348D2" w14:paraId="7A8798B3" w14:textId="77777777" w:rsidTr="0079297C">
        <w:trPr>
          <w:cantSplit/>
        </w:trPr>
        <w:tc>
          <w:tcPr>
            <w:tcW w:w="1271" w:type="dxa"/>
          </w:tcPr>
          <w:p w14:paraId="476121EE" w14:textId="32F55194" w:rsidR="009E212B" w:rsidRDefault="009E212B">
            <w:pPr>
              <w:pStyle w:val="Tabletext0"/>
            </w:pPr>
            <w:r>
              <w:t>Population</w:t>
            </w:r>
            <w:r w:rsidR="00BA3E76">
              <w:t xml:space="preserve"> (number of patients)</w:t>
            </w:r>
          </w:p>
        </w:tc>
        <w:tc>
          <w:tcPr>
            <w:tcW w:w="1134" w:type="dxa"/>
          </w:tcPr>
          <w:p w14:paraId="745F7FB9" w14:textId="1DAB0F40" w:rsidR="009E212B" w:rsidRDefault="009E212B">
            <w:pPr>
              <w:pStyle w:val="Tabletext0"/>
              <w:jc w:val="center"/>
            </w:pPr>
            <w:r w:rsidRPr="00F93E7B">
              <w:t>BTT/BTC (n=25)</w:t>
            </w:r>
            <w:r w:rsidR="00426531">
              <w:t xml:space="preserve"> </w:t>
            </w:r>
          </w:p>
        </w:tc>
        <w:tc>
          <w:tcPr>
            <w:tcW w:w="1701" w:type="dxa"/>
          </w:tcPr>
          <w:p w14:paraId="3125603C" w14:textId="77777777" w:rsidR="004348D2" w:rsidRDefault="009E212B">
            <w:pPr>
              <w:pStyle w:val="Tabletext0"/>
              <w:jc w:val="center"/>
            </w:pPr>
            <w:r w:rsidRPr="00F93E7B">
              <w:t xml:space="preserve">BTT/BTC </w:t>
            </w:r>
          </w:p>
          <w:p w14:paraId="0EB3DB5D" w14:textId="6638EE93" w:rsidR="009E212B" w:rsidRDefault="009E212B">
            <w:pPr>
              <w:pStyle w:val="Tabletext0"/>
              <w:jc w:val="center"/>
            </w:pPr>
            <w:r w:rsidRPr="00F93E7B">
              <w:t>(n=24)</w:t>
            </w:r>
            <w:r w:rsidR="00426531">
              <w:t xml:space="preserve"> </w:t>
            </w:r>
          </w:p>
        </w:tc>
        <w:tc>
          <w:tcPr>
            <w:tcW w:w="2384" w:type="dxa"/>
            <w:gridSpan w:val="2"/>
          </w:tcPr>
          <w:p w14:paraId="13F67F84" w14:textId="77777777" w:rsidR="009E212B" w:rsidRDefault="009E212B">
            <w:pPr>
              <w:pStyle w:val="Tabletext0"/>
              <w:jc w:val="center"/>
              <w:rPr>
                <w:i/>
                <w:iCs/>
              </w:rPr>
            </w:pPr>
            <w:r>
              <w:t>BTT/</w:t>
            </w:r>
            <w:r w:rsidRPr="00316E20">
              <w:rPr>
                <w:i/>
                <w:iCs/>
              </w:rPr>
              <w:t>BTC</w:t>
            </w:r>
            <w:r>
              <w:rPr>
                <w:i/>
                <w:iCs/>
              </w:rPr>
              <w:t xml:space="preserve"> (n=137)</w:t>
            </w:r>
          </w:p>
          <w:p w14:paraId="24F33BB4" w14:textId="5943A007" w:rsidR="00590272" w:rsidRDefault="00590272">
            <w:pPr>
              <w:pStyle w:val="Tabletext0"/>
              <w:jc w:val="center"/>
            </w:pPr>
          </w:p>
        </w:tc>
        <w:tc>
          <w:tcPr>
            <w:tcW w:w="2526" w:type="dxa"/>
            <w:gridSpan w:val="3"/>
          </w:tcPr>
          <w:p w14:paraId="224635B8" w14:textId="77777777" w:rsidR="009E212B" w:rsidRPr="00316E20" w:rsidRDefault="009E212B">
            <w:pPr>
              <w:pStyle w:val="Tabletext0"/>
              <w:jc w:val="center"/>
              <w:rPr>
                <w:i/>
                <w:iCs/>
              </w:rPr>
            </w:pPr>
            <w:r>
              <w:t xml:space="preserve">DT </w:t>
            </w:r>
            <w:r>
              <w:rPr>
                <w:i/>
                <w:iCs/>
              </w:rPr>
              <w:t>(n=200)</w:t>
            </w:r>
          </w:p>
        </w:tc>
      </w:tr>
      <w:tr w:rsidR="004348D2" w14:paraId="269E7719" w14:textId="77777777" w:rsidTr="0079297C">
        <w:trPr>
          <w:cantSplit/>
        </w:trPr>
        <w:tc>
          <w:tcPr>
            <w:tcW w:w="1271" w:type="dxa"/>
          </w:tcPr>
          <w:p w14:paraId="3EFA0875" w14:textId="4E1B5686" w:rsidR="009E212B" w:rsidRDefault="00635D52">
            <w:pPr>
              <w:pStyle w:val="Tabletext0"/>
            </w:pPr>
            <w:r>
              <w:t>L</w:t>
            </w:r>
            <w:r w:rsidR="00ED6CA5">
              <w:t>VAD</w:t>
            </w:r>
            <w:r w:rsidR="009E212B">
              <w:t xml:space="preserve"> device</w:t>
            </w:r>
          </w:p>
        </w:tc>
        <w:tc>
          <w:tcPr>
            <w:tcW w:w="1134" w:type="dxa"/>
          </w:tcPr>
          <w:p w14:paraId="19234D0B" w14:textId="397BC3B3" w:rsidR="009E212B" w:rsidRDefault="009E212B">
            <w:pPr>
              <w:pStyle w:val="Tabletext0"/>
            </w:pPr>
            <w:r>
              <w:t>H</w:t>
            </w:r>
            <w:r w:rsidR="00003DDA">
              <w:t>VAD</w:t>
            </w:r>
            <w:r>
              <w:t xml:space="preserve"> </w:t>
            </w:r>
            <w:r w:rsidRPr="00F93E7B">
              <w:t>(n=25)</w:t>
            </w:r>
          </w:p>
        </w:tc>
        <w:tc>
          <w:tcPr>
            <w:tcW w:w="1701" w:type="dxa"/>
          </w:tcPr>
          <w:p w14:paraId="7A4F5EFB" w14:textId="566E796B" w:rsidR="009E212B" w:rsidRDefault="009E212B">
            <w:pPr>
              <w:pStyle w:val="Tabletext0"/>
              <w:jc w:val="left"/>
            </w:pPr>
            <w:r>
              <w:t>HeartMate II</w:t>
            </w:r>
            <w:r w:rsidR="00DD595E">
              <w:t xml:space="preserve"> </w:t>
            </w:r>
            <w:r>
              <w:t>(n=5); HVAD</w:t>
            </w:r>
            <w:r w:rsidR="00DD595E">
              <w:t xml:space="preserve"> </w:t>
            </w:r>
            <w:r>
              <w:t>(n=8</w:t>
            </w:r>
            <w:proofErr w:type="gramStart"/>
            <w:r>
              <w:t>);</w:t>
            </w:r>
            <w:proofErr w:type="gramEnd"/>
            <w:r>
              <w:t xml:space="preserve"> </w:t>
            </w:r>
          </w:p>
          <w:p w14:paraId="51FBC808" w14:textId="77777777" w:rsidR="009E212B" w:rsidRDefault="009E212B">
            <w:pPr>
              <w:pStyle w:val="Tabletext0"/>
              <w:jc w:val="left"/>
            </w:pPr>
            <w:proofErr w:type="spellStart"/>
            <w:r>
              <w:t>VentrAssist</w:t>
            </w:r>
            <w:proofErr w:type="spellEnd"/>
            <w:r>
              <w:t xml:space="preserve"> (n=11)</w:t>
            </w:r>
          </w:p>
        </w:tc>
        <w:tc>
          <w:tcPr>
            <w:tcW w:w="1227" w:type="dxa"/>
          </w:tcPr>
          <w:p w14:paraId="4335B6B2" w14:textId="33C86CD8" w:rsidR="009E212B" w:rsidRDefault="009E212B">
            <w:pPr>
              <w:pStyle w:val="Tabletext0"/>
              <w:jc w:val="left"/>
            </w:pPr>
            <w:r>
              <w:t>HeartMate II (n=62)</w:t>
            </w:r>
          </w:p>
        </w:tc>
        <w:tc>
          <w:tcPr>
            <w:tcW w:w="1228" w:type="dxa"/>
            <w:gridSpan w:val="2"/>
          </w:tcPr>
          <w:p w14:paraId="7EAE91B1" w14:textId="77777777" w:rsidR="009E212B" w:rsidRDefault="009E212B">
            <w:pPr>
              <w:pStyle w:val="Tabletext0"/>
              <w:jc w:val="left"/>
            </w:pPr>
            <w:r>
              <w:t>HeartMate 3 (n=75)</w:t>
            </w:r>
          </w:p>
        </w:tc>
        <w:tc>
          <w:tcPr>
            <w:tcW w:w="1227" w:type="dxa"/>
          </w:tcPr>
          <w:p w14:paraId="0A183B00" w14:textId="77777777" w:rsidR="009E212B" w:rsidRDefault="009E212B">
            <w:pPr>
              <w:pStyle w:val="Tabletext0"/>
              <w:jc w:val="left"/>
            </w:pPr>
            <w:r>
              <w:t>HeartMate II (</w:t>
            </w:r>
            <w:r w:rsidRPr="00FF56CA">
              <w:rPr>
                <w:i/>
                <w:iCs/>
              </w:rPr>
              <w:t>n=98</w:t>
            </w:r>
            <w:r>
              <w:t>)</w:t>
            </w:r>
          </w:p>
        </w:tc>
        <w:tc>
          <w:tcPr>
            <w:tcW w:w="1228" w:type="dxa"/>
          </w:tcPr>
          <w:p w14:paraId="5E9C20AD" w14:textId="77777777" w:rsidR="009E212B" w:rsidRDefault="009E212B">
            <w:pPr>
              <w:pStyle w:val="Tabletext0"/>
              <w:jc w:val="left"/>
            </w:pPr>
            <w:r>
              <w:t>HeartMate 3 (n=102)</w:t>
            </w:r>
          </w:p>
        </w:tc>
      </w:tr>
      <w:tr w:rsidR="004348D2" w14:paraId="3F974635" w14:textId="77777777" w:rsidTr="0079297C">
        <w:trPr>
          <w:cantSplit/>
        </w:trPr>
        <w:tc>
          <w:tcPr>
            <w:tcW w:w="1271" w:type="dxa"/>
          </w:tcPr>
          <w:p w14:paraId="284BC34A" w14:textId="77777777" w:rsidR="009E212B" w:rsidRDefault="009E212B">
            <w:pPr>
              <w:pStyle w:val="Tabletext0"/>
            </w:pPr>
            <w:r>
              <w:t>Total costs per patient per year (median)</w:t>
            </w:r>
          </w:p>
        </w:tc>
        <w:tc>
          <w:tcPr>
            <w:tcW w:w="1134" w:type="dxa"/>
          </w:tcPr>
          <w:p w14:paraId="7D8FB31D" w14:textId="74D369CA" w:rsidR="009E212B" w:rsidRDefault="009E212B">
            <w:pPr>
              <w:pStyle w:val="Tabletext0"/>
            </w:pPr>
            <w:r>
              <w:t xml:space="preserve">AUD$ </w:t>
            </w:r>
            <w:r w:rsidRPr="00F93E7B">
              <w:t>39,130</w:t>
            </w:r>
            <w:r w:rsidR="003C0837">
              <w:rPr>
                <w:vertAlign w:val="superscript"/>
              </w:rPr>
              <w:t>a</w:t>
            </w:r>
          </w:p>
        </w:tc>
        <w:tc>
          <w:tcPr>
            <w:tcW w:w="1701" w:type="dxa"/>
          </w:tcPr>
          <w:p w14:paraId="0CD75972" w14:textId="0B3CF296" w:rsidR="009E212B" w:rsidRDefault="009E212B" w:rsidP="00A94502">
            <w:pPr>
              <w:pStyle w:val="Tabletext0"/>
            </w:pPr>
            <w:r>
              <w:t>AUD$</w:t>
            </w:r>
            <w:r w:rsidR="00A94502">
              <w:t xml:space="preserve"> </w:t>
            </w:r>
            <w:r w:rsidRPr="00F93E7B">
              <w:t>11,669</w:t>
            </w:r>
            <w:r w:rsidR="003C0837">
              <w:rPr>
                <w:vertAlign w:val="superscript"/>
              </w:rPr>
              <w:t>a</w:t>
            </w:r>
          </w:p>
        </w:tc>
        <w:tc>
          <w:tcPr>
            <w:tcW w:w="1227" w:type="dxa"/>
          </w:tcPr>
          <w:p w14:paraId="7E6A1938" w14:textId="2DB75A6C" w:rsidR="009E212B" w:rsidRPr="0079297C" w:rsidRDefault="009E212B">
            <w:pPr>
              <w:pStyle w:val="Tabletext0"/>
              <w:rPr>
                <w:vertAlign w:val="superscript"/>
              </w:rPr>
            </w:pPr>
            <w:r>
              <w:t>USD</w:t>
            </w:r>
            <w:r w:rsidRPr="00FF56CA">
              <w:t>$</w:t>
            </w:r>
            <w:r>
              <w:t xml:space="preserve"> </w:t>
            </w:r>
            <w:r w:rsidRPr="00FF56CA">
              <w:t>82,751</w:t>
            </w:r>
            <w:r w:rsidR="00455122">
              <w:rPr>
                <w:vertAlign w:val="superscript"/>
              </w:rPr>
              <w:t>b</w:t>
            </w:r>
          </w:p>
          <w:p w14:paraId="3C8F3245" w14:textId="435E3E72" w:rsidR="0040088C" w:rsidRPr="0079297C" w:rsidRDefault="0040088C">
            <w:pPr>
              <w:pStyle w:val="Tabletext0"/>
              <w:rPr>
                <w:i/>
                <w:iCs/>
              </w:rPr>
            </w:pPr>
            <w:r w:rsidRPr="0079297C">
              <w:rPr>
                <w:i/>
                <w:iCs/>
              </w:rPr>
              <w:t>(AUD$</w:t>
            </w:r>
            <w:r w:rsidR="00F33A8E" w:rsidRPr="0079297C">
              <w:rPr>
                <w:i/>
                <w:iCs/>
              </w:rPr>
              <w:t xml:space="preserve"> </w:t>
            </w:r>
            <w:r w:rsidR="001359F2">
              <w:rPr>
                <w:i/>
                <w:iCs/>
              </w:rPr>
              <w:t>149,902</w:t>
            </w:r>
            <w:r w:rsidR="00CB0E13">
              <w:rPr>
                <w:i/>
                <w:iCs/>
                <w:vertAlign w:val="superscript"/>
              </w:rPr>
              <w:t>c</w:t>
            </w:r>
            <w:r w:rsidR="00F33A8E" w:rsidRPr="0079297C">
              <w:rPr>
                <w:i/>
                <w:iCs/>
              </w:rPr>
              <w:t>)</w:t>
            </w:r>
          </w:p>
        </w:tc>
        <w:tc>
          <w:tcPr>
            <w:tcW w:w="1228" w:type="dxa"/>
            <w:gridSpan w:val="2"/>
          </w:tcPr>
          <w:p w14:paraId="3ABDC833" w14:textId="0857F2F9" w:rsidR="009E212B" w:rsidRPr="0079297C" w:rsidRDefault="009E212B">
            <w:pPr>
              <w:pStyle w:val="Tabletext0"/>
              <w:rPr>
                <w:vertAlign w:val="superscript"/>
              </w:rPr>
            </w:pPr>
            <w:r>
              <w:t>USD</w:t>
            </w:r>
            <w:r w:rsidRPr="004B1545">
              <w:t>$</w:t>
            </w:r>
            <w:r>
              <w:t xml:space="preserve"> </w:t>
            </w:r>
            <w:r w:rsidRPr="004B1545">
              <w:t>47,053</w:t>
            </w:r>
            <w:r w:rsidR="00455122">
              <w:rPr>
                <w:vertAlign w:val="superscript"/>
              </w:rPr>
              <w:t>b</w:t>
            </w:r>
          </w:p>
          <w:p w14:paraId="5C886252" w14:textId="63CAA2B1" w:rsidR="0029483D" w:rsidRPr="0079297C" w:rsidRDefault="0029483D">
            <w:pPr>
              <w:pStyle w:val="Tabletext0"/>
              <w:rPr>
                <w:i/>
                <w:iCs/>
              </w:rPr>
            </w:pPr>
            <w:r w:rsidRPr="0079297C">
              <w:rPr>
                <w:i/>
                <w:iCs/>
              </w:rPr>
              <w:t>(AUD</w:t>
            </w:r>
            <w:r>
              <w:rPr>
                <w:i/>
                <w:iCs/>
              </w:rPr>
              <w:t>$</w:t>
            </w:r>
            <w:r w:rsidRPr="0079297C">
              <w:rPr>
                <w:i/>
                <w:iCs/>
              </w:rPr>
              <w:t xml:space="preserve"> </w:t>
            </w:r>
            <w:r w:rsidR="001359F2">
              <w:rPr>
                <w:i/>
                <w:iCs/>
              </w:rPr>
              <w:t>85,236</w:t>
            </w:r>
            <w:r w:rsidR="00CB0E13">
              <w:rPr>
                <w:i/>
                <w:iCs/>
                <w:vertAlign w:val="superscript"/>
              </w:rPr>
              <w:t>c</w:t>
            </w:r>
            <w:r w:rsidRPr="0079297C">
              <w:rPr>
                <w:i/>
                <w:iCs/>
              </w:rPr>
              <w:t>)</w:t>
            </w:r>
          </w:p>
        </w:tc>
        <w:tc>
          <w:tcPr>
            <w:tcW w:w="1227" w:type="dxa"/>
          </w:tcPr>
          <w:p w14:paraId="49A4355E" w14:textId="0F5DEE61" w:rsidR="009E212B" w:rsidRPr="0079297C" w:rsidRDefault="009E212B">
            <w:pPr>
              <w:pStyle w:val="Tabletext0"/>
              <w:rPr>
                <w:vertAlign w:val="superscript"/>
              </w:rPr>
            </w:pPr>
            <w:r>
              <w:t>USD</w:t>
            </w:r>
            <w:r w:rsidRPr="00FF56CA">
              <w:t>$</w:t>
            </w:r>
            <w:r>
              <w:t xml:space="preserve"> </w:t>
            </w:r>
            <w:r w:rsidRPr="00FF56CA">
              <w:t>70,751</w:t>
            </w:r>
            <w:r w:rsidR="00455122">
              <w:rPr>
                <w:vertAlign w:val="superscript"/>
              </w:rPr>
              <w:t>b</w:t>
            </w:r>
          </w:p>
          <w:p w14:paraId="7730DB26" w14:textId="4476BCC3" w:rsidR="0029483D" w:rsidRPr="0079297C" w:rsidRDefault="0029483D">
            <w:pPr>
              <w:pStyle w:val="Tabletext0"/>
              <w:rPr>
                <w:i/>
                <w:iCs/>
              </w:rPr>
            </w:pPr>
            <w:r w:rsidRPr="0079297C">
              <w:rPr>
                <w:i/>
                <w:iCs/>
              </w:rPr>
              <w:t xml:space="preserve">(AUD$ </w:t>
            </w:r>
            <w:r w:rsidR="001359F2">
              <w:rPr>
                <w:i/>
                <w:iCs/>
              </w:rPr>
              <w:t>128,164</w:t>
            </w:r>
            <w:r w:rsidR="00CB0E13">
              <w:rPr>
                <w:i/>
                <w:iCs/>
                <w:vertAlign w:val="superscript"/>
              </w:rPr>
              <w:t>c</w:t>
            </w:r>
            <w:r w:rsidRPr="0079297C">
              <w:rPr>
                <w:i/>
                <w:iCs/>
              </w:rPr>
              <w:t>)</w:t>
            </w:r>
          </w:p>
        </w:tc>
        <w:tc>
          <w:tcPr>
            <w:tcW w:w="1228" w:type="dxa"/>
          </w:tcPr>
          <w:p w14:paraId="087DF5D8" w14:textId="632B7F9D" w:rsidR="009E212B" w:rsidRPr="0079297C" w:rsidRDefault="009E212B">
            <w:pPr>
              <w:pStyle w:val="Tabletext0"/>
              <w:rPr>
                <w:vertAlign w:val="superscript"/>
              </w:rPr>
            </w:pPr>
            <w:r>
              <w:t>USD</w:t>
            </w:r>
            <w:r w:rsidRPr="004B1545">
              <w:t>$</w:t>
            </w:r>
            <w:r>
              <w:t xml:space="preserve"> </w:t>
            </w:r>
            <w:r w:rsidRPr="004B1545">
              <w:t>33,423</w:t>
            </w:r>
            <w:r w:rsidR="00455122">
              <w:rPr>
                <w:vertAlign w:val="superscript"/>
              </w:rPr>
              <w:t>b</w:t>
            </w:r>
          </w:p>
          <w:p w14:paraId="28542835" w14:textId="50BF8700" w:rsidR="0029483D" w:rsidRPr="0079297C" w:rsidRDefault="0029483D">
            <w:pPr>
              <w:pStyle w:val="Tabletext0"/>
              <w:rPr>
                <w:i/>
                <w:iCs/>
              </w:rPr>
            </w:pPr>
            <w:r w:rsidRPr="0079297C">
              <w:rPr>
                <w:i/>
                <w:iCs/>
              </w:rPr>
              <w:t xml:space="preserve">(AUD$ </w:t>
            </w:r>
            <w:r w:rsidR="00080B83">
              <w:rPr>
                <w:i/>
                <w:iCs/>
              </w:rPr>
              <w:t>60,545</w:t>
            </w:r>
            <w:r w:rsidR="00CB0E13">
              <w:rPr>
                <w:i/>
                <w:iCs/>
                <w:vertAlign w:val="superscript"/>
              </w:rPr>
              <w:t>c</w:t>
            </w:r>
            <w:r w:rsidRPr="0079297C">
              <w:rPr>
                <w:i/>
                <w:iCs/>
              </w:rPr>
              <w:t>)</w:t>
            </w:r>
          </w:p>
        </w:tc>
      </w:tr>
    </w:tbl>
    <w:p w14:paraId="296D27A3" w14:textId="0E95DD7E" w:rsidR="009E212B" w:rsidRPr="001A66EE" w:rsidRDefault="009E212B" w:rsidP="001A66EE">
      <w:pPr>
        <w:pStyle w:val="TableFooter"/>
      </w:pPr>
      <w:r w:rsidRPr="001A66EE">
        <w:t>Source: Table 11</w:t>
      </w:r>
      <w:r w:rsidR="00B467D0" w:rsidRPr="001A66EE">
        <w:t>, pp29-30;</w:t>
      </w:r>
      <w:r w:rsidRPr="001A66EE">
        <w:t xml:space="preserve"> and Table 12</w:t>
      </w:r>
      <w:r w:rsidR="00B467D0" w:rsidRPr="001A66EE">
        <w:t>, p31</w:t>
      </w:r>
      <w:r w:rsidRPr="001A66EE">
        <w:t xml:space="preserve"> of MSAC</w:t>
      </w:r>
      <w:r w:rsidR="00B467D0" w:rsidRPr="001A66EE">
        <w:t xml:space="preserve"> Application</w:t>
      </w:r>
      <w:r w:rsidRPr="001A66EE">
        <w:t xml:space="preserve"> </w:t>
      </w:r>
      <w:r w:rsidR="009A5664">
        <w:t>1749 Resubmission</w:t>
      </w:r>
      <w:r w:rsidR="00B467D0" w:rsidRPr="001A66EE">
        <w:t xml:space="preserve"> ADAR</w:t>
      </w:r>
      <w:r w:rsidR="00306325">
        <w:t>.</w:t>
      </w:r>
    </w:p>
    <w:p w14:paraId="5B965D86" w14:textId="04013858" w:rsidR="009E212B" w:rsidRPr="001A66EE" w:rsidRDefault="009E212B" w:rsidP="001A66EE">
      <w:pPr>
        <w:pStyle w:val="TableFooter"/>
      </w:pPr>
      <w:r w:rsidRPr="001A66EE">
        <w:t xml:space="preserve">BTC = bridge to candidacy; BTT = bridge to transplant; DT = destination therapy; </w:t>
      </w:r>
      <w:r w:rsidR="005B0577">
        <w:t xml:space="preserve">HVAD = </w:t>
      </w:r>
      <w:proofErr w:type="spellStart"/>
      <w:r w:rsidR="005B0577">
        <w:t>HeartWare</w:t>
      </w:r>
      <w:proofErr w:type="spellEnd"/>
      <w:r w:rsidR="005B0577">
        <w:t xml:space="preserve"> ventricular assist device; </w:t>
      </w:r>
      <w:r w:rsidR="00003DDA">
        <w:t>L</w:t>
      </w:r>
      <w:r w:rsidR="00ED6CA5">
        <w:t>VAD</w:t>
      </w:r>
      <w:r w:rsidRPr="001A66EE">
        <w:t xml:space="preserve"> = </w:t>
      </w:r>
      <w:r w:rsidR="00596728">
        <w:t xml:space="preserve">left </w:t>
      </w:r>
      <w:r w:rsidRPr="001A66EE">
        <w:t>ventricular assist device; n = number of participants.</w:t>
      </w:r>
    </w:p>
    <w:p w14:paraId="239DCC7D" w14:textId="23CE28E7" w:rsidR="0040088C" w:rsidRDefault="0021106A" w:rsidP="001A66EE">
      <w:pPr>
        <w:pStyle w:val="TableFooter"/>
        <w:rPr>
          <w:vertAlign w:val="superscript"/>
        </w:rPr>
      </w:pPr>
      <w:r>
        <w:rPr>
          <w:i/>
          <w:iCs/>
        </w:rPr>
        <w:t xml:space="preserve">Notes: </w:t>
      </w:r>
      <w:r w:rsidR="009E212B" w:rsidRPr="001A66EE">
        <w:rPr>
          <w:i/>
          <w:iCs/>
        </w:rPr>
        <w:t>Italics added during commentary.</w:t>
      </w:r>
      <w:r w:rsidR="0040088C" w:rsidRPr="0040088C">
        <w:rPr>
          <w:vertAlign w:val="superscript"/>
        </w:rPr>
        <w:t xml:space="preserve"> </w:t>
      </w:r>
    </w:p>
    <w:p w14:paraId="283D19D3" w14:textId="1E76A10C" w:rsidR="009E212B" w:rsidRDefault="0040088C" w:rsidP="001A66EE">
      <w:pPr>
        <w:pStyle w:val="TableFooter"/>
      </w:pPr>
      <w:proofErr w:type="spellStart"/>
      <w:r w:rsidRPr="00F526A7">
        <w:rPr>
          <w:vertAlign w:val="superscript"/>
        </w:rPr>
        <w:t>a</w:t>
      </w:r>
      <w:proofErr w:type="spellEnd"/>
      <w:r>
        <w:t xml:space="preserve"> </w:t>
      </w:r>
      <w:r w:rsidRPr="001A66EE">
        <w:t>Costs were inflated to 2024 AUD prices</w:t>
      </w:r>
      <w:r w:rsidR="00455122">
        <w:t>.</w:t>
      </w:r>
    </w:p>
    <w:p w14:paraId="1ACA6B75" w14:textId="649D5A1B" w:rsidR="00455122" w:rsidRPr="00455122" w:rsidRDefault="003C0837" w:rsidP="001A66EE">
      <w:pPr>
        <w:pStyle w:val="TableFooter"/>
        <w:rPr>
          <w:i/>
          <w:iCs/>
        </w:rPr>
      </w:pPr>
      <w:r w:rsidRPr="00455122">
        <w:rPr>
          <w:i/>
          <w:iCs/>
          <w:vertAlign w:val="superscript"/>
        </w:rPr>
        <w:t>b</w:t>
      </w:r>
      <w:r w:rsidR="004F46F4" w:rsidRPr="0079297C">
        <w:rPr>
          <w:i/>
          <w:iCs/>
        </w:rPr>
        <w:t xml:space="preserve"> </w:t>
      </w:r>
      <w:r w:rsidR="008D6237">
        <w:rPr>
          <w:i/>
          <w:iCs/>
        </w:rPr>
        <w:t>C</w:t>
      </w:r>
      <w:r w:rsidR="00455122" w:rsidRPr="0079297C">
        <w:rPr>
          <w:i/>
          <w:iCs/>
        </w:rPr>
        <w:t>osts</w:t>
      </w:r>
      <w:r w:rsidR="004E3C0B">
        <w:rPr>
          <w:i/>
          <w:iCs/>
        </w:rPr>
        <w:t xml:space="preserve"> were</w:t>
      </w:r>
      <w:r w:rsidR="00455122" w:rsidRPr="0079297C">
        <w:rPr>
          <w:i/>
          <w:iCs/>
        </w:rPr>
        <w:t xml:space="preserve"> presented in 2017 </w:t>
      </w:r>
      <w:r w:rsidR="008D6237">
        <w:rPr>
          <w:i/>
          <w:iCs/>
        </w:rPr>
        <w:t xml:space="preserve">USD </w:t>
      </w:r>
      <w:r w:rsidR="00455122" w:rsidRPr="0079297C">
        <w:rPr>
          <w:i/>
          <w:iCs/>
        </w:rPr>
        <w:t>prices</w:t>
      </w:r>
      <w:r w:rsidR="008D6237">
        <w:rPr>
          <w:i/>
          <w:iCs/>
        </w:rPr>
        <w:t xml:space="preserve"> in the Mehra et al., 2018</w:t>
      </w:r>
      <w:r w:rsidR="00455122" w:rsidRPr="0079297C">
        <w:rPr>
          <w:i/>
          <w:iCs/>
        </w:rPr>
        <w:t>.</w:t>
      </w:r>
    </w:p>
    <w:p w14:paraId="1DCF9C1D" w14:textId="1398159F" w:rsidR="0040088C" w:rsidRPr="00504C2E" w:rsidRDefault="00455122" w:rsidP="0079297C">
      <w:pPr>
        <w:pStyle w:val="TableFooter"/>
        <w:jc w:val="left"/>
        <w:rPr>
          <w:i/>
          <w:iCs/>
        </w:rPr>
      </w:pPr>
      <w:r w:rsidRPr="0079297C">
        <w:rPr>
          <w:i/>
          <w:iCs/>
          <w:vertAlign w:val="superscript"/>
        </w:rPr>
        <w:t>c</w:t>
      </w:r>
      <w:r>
        <w:rPr>
          <w:i/>
          <w:iCs/>
        </w:rPr>
        <w:t xml:space="preserve"> </w:t>
      </w:r>
      <w:r w:rsidR="003C0837">
        <w:rPr>
          <w:i/>
          <w:iCs/>
        </w:rPr>
        <w:t xml:space="preserve">Costs were inflated and converted to </w:t>
      </w:r>
      <w:r w:rsidR="006D05CC">
        <w:rPr>
          <w:i/>
          <w:iCs/>
        </w:rPr>
        <w:t xml:space="preserve">2024 </w:t>
      </w:r>
      <w:r w:rsidR="003C0837">
        <w:rPr>
          <w:i/>
          <w:iCs/>
        </w:rPr>
        <w:t>AUD prices based</w:t>
      </w:r>
      <w:r w:rsidR="004F46F4" w:rsidRPr="0079297C">
        <w:rPr>
          <w:i/>
          <w:iCs/>
        </w:rPr>
        <w:t xml:space="preserve"> on the conversion rate of USD$1 to AUD$1.</w:t>
      </w:r>
      <w:r w:rsidR="006D05CC">
        <w:rPr>
          <w:i/>
          <w:iCs/>
        </w:rPr>
        <w:t>45 (</w:t>
      </w:r>
      <w:r w:rsidR="006D05CC" w:rsidRPr="006D05CC">
        <w:rPr>
          <w:i/>
          <w:iCs/>
        </w:rPr>
        <w:t>https://eppi.ioe.ac.uk/costconversion/default.aspx</w:t>
      </w:r>
      <w:r w:rsidR="006D05CC">
        <w:rPr>
          <w:i/>
          <w:iCs/>
        </w:rPr>
        <w:t>)</w:t>
      </w:r>
    </w:p>
    <w:p w14:paraId="6EA48B05" w14:textId="45CE19A3" w:rsidR="009E212B" w:rsidRDefault="009E212B" w:rsidP="009E212B">
      <w:r>
        <w:t xml:space="preserve">A total of five clinicians participated in the survey. </w:t>
      </w:r>
      <w:r w:rsidR="00686F6D">
        <w:t>F</w:t>
      </w:r>
      <w:r w:rsidR="00DE378C">
        <w:t>our</w:t>
      </w:r>
      <w:r>
        <w:t xml:space="preserve"> </w:t>
      </w:r>
      <w:r w:rsidR="00686F6D">
        <w:t xml:space="preserve">of them </w:t>
      </w:r>
      <w:r>
        <w:t>were heart failure and transplant cardiologists</w:t>
      </w:r>
      <w:r w:rsidR="00686F6D">
        <w:t xml:space="preserve"> from implant</w:t>
      </w:r>
      <w:r w:rsidR="003E6BFC">
        <w:t xml:space="preserve"> </w:t>
      </w:r>
      <w:r w:rsidR="00686F6D">
        <w:t>centres in Quee</w:t>
      </w:r>
      <w:r w:rsidR="004E727B">
        <w:t>n</w:t>
      </w:r>
      <w:r w:rsidR="00686F6D">
        <w:t>sland</w:t>
      </w:r>
      <w:r>
        <w:t>,</w:t>
      </w:r>
      <w:r w:rsidR="00686F6D">
        <w:t xml:space="preserve"> Western Australia, Victoria and New South Wales.</w:t>
      </w:r>
      <w:r>
        <w:t xml:space="preserve"> </w:t>
      </w:r>
      <w:r w:rsidR="00686F6D">
        <w:t xml:space="preserve">A </w:t>
      </w:r>
      <w:r>
        <w:t>cardiologist</w:t>
      </w:r>
      <w:r w:rsidR="008E594E">
        <w:t>/</w:t>
      </w:r>
      <w:r w:rsidR="008E594E" w:rsidRPr="00686F6D">
        <w:t>heart failure</w:t>
      </w:r>
      <w:r w:rsidR="008E594E">
        <w:t xml:space="preserve"> specialist</w:t>
      </w:r>
      <w:r w:rsidR="00686F6D">
        <w:t xml:space="preserve"> from a non—implanter centre</w:t>
      </w:r>
      <w:r>
        <w:t xml:space="preserve"> w</w:t>
      </w:r>
      <w:r w:rsidR="00686F6D">
        <w:t>as</w:t>
      </w:r>
      <w:r>
        <w:t xml:space="preserve"> </w:t>
      </w:r>
      <w:r w:rsidR="00260694">
        <w:t xml:space="preserve">also </w:t>
      </w:r>
      <w:r>
        <w:t>involved in the feedback consultations. The key results from the survey were:</w:t>
      </w:r>
    </w:p>
    <w:p w14:paraId="3976379A" w14:textId="39873C5A" w:rsidR="009E212B" w:rsidRDefault="009E212B" w:rsidP="003F2B9C">
      <w:pPr>
        <w:pStyle w:val="ListParagraph"/>
        <w:numPr>
          <w:ilvl w:val="0"/>
          <w:numId w:val="15"/>
        </w:numPr>
      </w:pPr>
      <w:r>
        <w:t xml:space="preserve">All </w:t>
      </w:r>
      <w:r w:rsidR="00DE378C">
        <w:t>five</w:t>
      </w:r>
      <w:r>
        <w:t xml:space="preserve"> clinicians responded that the contemporary </w:t>
      </w:r>
      <w:r w:rsidR="00ED409F">
        <w:t>L</w:t>
      </w:r>
      <w:r w:rsidR="00ED6CA5">
        <w:t>VAD</w:t>
      </w:r>
      <w:r>
        <w:t xml:space="preserve"> aftercare costs were below </w:t>
      </w:r>
      <w:bookmarkStart w:id="38" w:name="_Hlk177492182"/>
      <w:r>
        <w:t xml:space="preserve">$39,130.03 </w:t>
      </w:r>
      <w:bookmarkEnd w:id="38"/>
      <w:r>
        <w:t xml:space="preserve">(cost inflated from Prichard </w:t>
      </w:r>
      <w:r w:rsidR="00DE378C">
        <w:t xml:space="preserve">et al., </w:t>
      </w:r>
      <w:r>
        <w:t>2020), with 3 out of 5 clinicians expressed the costs to be between $11,669.22 (cost inflated from Marasco</w:t>
      </w:r>
      <w:r w:rsidR="00DE378C">
        <w:t xml:space="preserve"> et al.,</w:t>
      </w:r>
      <w:r>
        <w:t xml:space="preserve"> 2016) and </w:t>
      </w:r>
      <w:r w:rsidRPr="00355478">
        <w:t>$39,130.03</w:t>
      </w:r>
      <w:r>
        <w:t>.</w:t>
      </w:r>
    </w:p>
    <w:p w14:paraId="073FE14C" w14:textId="635473D6" w:rsidR="009E212B" w:rsidRDefault="009E212B" w:rsidP="003F2B9C">
      <w:pPr>
        <w:pStyle w:val="ListParagraph"/>
        <w:numPr>
          <w:ilvl w:val="0"/>
          <w:numId w:val="15"/>
        </w:numPr>
      </w:pPr>
      <w:r>
        <w:t xml:space="preserve">All </w:t>
      </w:r>
      <w:r w:rsidR="001758BD">
        <w:t>five</w:t>
      </w:r>
      <w:r>
        <w:t xml:space="preserve"> clinicians agreed that aftercare costs with DT were lower than in BTT/BTC.</w:t>
      </w:r>
    </w:p>
    <w:p w14:paraId="38B2C5A0" w14:textId="25F4817D" w:rsidR="009E212B" w:rsidRDefault="009E212B" w:rsidP="003F2B9C">
      <w:pPr>
        <w:pStyle w:val="ListParagraph"/>
        <w:numPr>
          <w:ilvl w:val="0"/>
          <w:numId w:val="15"/>
        </w:numPr>
      </w:pPr>
      <w:r>
        <w:t xml:space="preserve">All </w:t>
      </w:r>
      <w:r w:rsidR="001758BD">
        <w:t>five</w:t>
      </w:r>
      <w:r>
        <w:t xml:space="preserve"> clinicians concurred that aftercare costs with HM3</w:t>
      </w:r>
      <w:r w:rsidR="00345876">
        <w:t xml:space="preserve"> would be lower</w:t>
      </w:r>
      <w:r>
        <w:t xml:space="preserve">, compared to older generation </w:t>
      </w:r>
      <w:r w:rsidR="00ED409F">
        <w:t>L</w:t>
      </w:r>
      <w:r w:rsidR="00ED6CA5">
        <w:t>VAD</w:t>
      </w:r>
      <w:r>
        <w:t xml:space="preserve"> such as HM2 and H</w:t>
      </w:r>
      <w:r w:rsidR="00CF22ED">
        <w:t>VAD</w:t>
      </w:r>
      <w:r>
        <w:t>.</w:t>
      </w:r>
    </w:p>
    <w:p w14:paraId="3D545AA0" w14:textId="6662E4B7" w:rsidR="009E212B" w:rsidRDefault="00E3546F" w:rsidP="003F2B9C">
      <w:pPr>
        <w:pStyle w:val="ListParagraph"/>
        <w:numPr>
          <w:ilvl w:val="0"/>
          <w:numId w:val="15"/>
        </w:numPr>
      </w:pPr>
      <w:r>
        <w:t>All respondents considered that the magnitude of aftercare costs would be lower in subsequent years compared to the first year after implant.</w:t>
      </w:r>
    </w:p>
    <w:p w14:paraId="68257B3F" w14:textId="787AB917" w:rsidR="009E212B" w:rsidRDefault="009E212B" w:rsidP="003F2B9C">
      <w:pPr>
        <w:pStyle w:val="ListParagraph"/>
        <w:numPr>
          <w:ilvl w:val="0"/>
          <w:numId w:val="15"/>
        </w:numPr>
      </w:pPr>
      <w:r>
        <w:t xml:space="preserve">All </w:t>
      </w:r>
      <w:r w:rsidR="00EA6691">
        <w:t>five</w:t>
      </w:r>
      <w:r>
        <w:t xml:space="preserve"> clinicians agreed that $</w:t>
      </w:r>
      <w:r w:rsidR="001A6D18" w:rsidRPr="001A6D18">
        <w:rPr>
          <w:b/>
          <w:bCs/>
        </w:rPr>
        <w:t>redacted</w:t>
      </w:r>
      <w:r>
        <w:t xml:space="preserve"> aftercare costs in the first year after index hospitalisation </w:t>
      </w:r>
      <w:r w:rsidR="00E3546F">
        <w:t>w</w:t>
      </w:r>
      <w:r>
        <w:t xml:space="preserve">ould be an outlier in the Australian </w:t>
      </w:r>
      <w:r w:rsidR="00ED409F">
        <w:t>L</w:t>
      </w:r>
      <w:r w:rsidR="00ED6CA5">
        <w:t>VAD</w:t>
      </w:r>
      <w:r>
        <w:t xml:space="preserve"> setting.</w:t>
      </w:r>
    </w:p>
    <w:p w14:paraId="00F618E6" w14:textId="4E42A4CB" w:rsidR="009E212B" w:rsidRPr="00B63079" w:rsidRDefault="009E212B" w:rsidP="009E212B">
      <w:r w:rsidRPr="00B63079">
        <w:t xml:space="preserve">Overall, the results of the survey supported the magnitude of </w:t>
      </w:r>
      <w:r w:rsidR="00ED409F" w:rsidRPr="00B63079">
        <w:t>L</w:t>
      </w:r>
      <w:r w:rsidR="00ED6CA5" w:rsidRPr="00B63079">
        <w:t>VAD</w:t>
      </w:r>
      <w:r w:rsidRPr="00B63079">
        <w:t xml:space="preserve"> aftercare costs applied in the original submission</w:t>
      </w:r>
      <w:r w:rsidR="002C086B" w:rsidRPr="00B63079">
        <w:t xml:space="preserve"> ADAR</w:t>
      </w:r>
      <w:r w:rsidRPr="00B63079">
        <w:t xml:space="preserve"> which was approximately between Marasco</w:t>
      </w:r>
      <w:r w:rsidR="00032493" w:rsidRPr="00B63079">
        <w:t xml:space="preserve"> et al., 2016</w:t>
      </w:r>
      <w:r w:rsidRPr="00B63079">
        <w:t xml:space="preserve"> and Prichard</w:t>
      </w:r>
      <w:r w:rsidR="00032493" w:rsidRPr="00B63079">
        <w:t xml:space="preserve"> et al. 2020</w:t>
      </w:r>
      <w:r w:rsidRPr="00B63079">
        <w:t xml:space="preserve"> ($11,669.22 to $39,130.03).</w:t>
      </w:r>
      <w:r w:rsidR="00B32163" w:rsidRPr="00B63079">
        <w:t xml:space="preserve"> </w:t>
      </w:r>
      <w:r w:rsidR="00A6146F" w:rsidRPr="00B63079">
        <w:t xml:space="preserve">However, the commentary considered </w:t>
      </w:r>
      <w:r w:rsidR="00095F16" w:rsidRPr="00B63079">
        <w:t xml:space="preserve">that </w:t>
      </w:r>
      <w:r w:rsidR="00A6146F" w:rsidRPr="00B63079">
        <w:t>the aftercare costs from Prichard et al., 2020 w</w:t>
      </w:r>
      <w:r w:rsidR="007F77DA">
        <w:t>ere</w:t>
      </w:r>
      <w:r w:rsidR="00A6146F" w:rsidRPr="00B63079">
        <w:t xml:space="preserve"> underestimated as the study reported $0 in rehabilitation costs and $0 in </w:t>
      </w:r>
      <w:r w:rsidR="00ED409F" w:rsidRPr="00B63079">
        <w:t>“</w:t>
      </w:r>
      <w:r w:rsidR="00A6146F" w:rsidRPr="00B63079">
        <w:t>other hospital</w:t>
      </w:r>
      <w:r w:rsidR="00ED409F" w:rsidRPr="00B63079">
        <w:t>”</w:t>
      </w:r>
      <w:r w:rsidR="00A6146F" w:rsidRPr="00B63079">
        <w:t xml:space="preserve"> costs (</w:t>
      </w:r>
      <w:r w:rsidR="008D07DA" w:rsidRPr="00B63079">
        <w:t xml:space="preserve">as defined by </w:t>
      </w:r>
      <w:r w:rsidR="00A6146F" w:rsidRPr="00B63079">
        <w:t xml:space="preserve">all costs reported outside the </w:t>
      </w:r>
      <w:r w:rsidR="00A6146F" w:rsidRPr="00B63079">
        <w:lastRenderedPageBreak/>
        <w:t xml:space="preserve">implant hospital) after </w:t>
      </w:r>
      <w:r w:rsidR="00ED409F" w:rsidRPr="00B63079">
        <w:t>L</w:t>
      </w:r>
      <w:r w:rsidR="00A6146F" w:rsidRPr="00B63079">
        <w:t>VAD implantation.</w:t>
      </w:r>
      <w:r w:rsidR="00067B4B" w:rsidRPr="00B63079">
        <w:t xml:space="preserve"> </w:t>
      </w:r>
      <w:r w:rsidR="00774857" w:rsidRPr="0079297C">
        <w:t xml:space="preserve">Based on the data from </w:t>
      </w:r>
      <w:proofErr w:type="spellStart"/>
      <w:r w:rsidR="00774857" w:rsidRPr="0079297C">
        <w:t>Moghei</w:t>
      </w:r>
      <w:proofErr w:type="spellEnd"/>
      <w:r w:rsidR="00774857" w:rsidRPr="0079297C">
        <w:t xml:space="preserve"> M et al., 2019</w:t>
      </w:r>
      <w:r w:rsidR="00B63079" w:rsidRPr="0079297C">
        <w:rPr>
          <w:rStyle w:val="FootnoteReference"/>
        </w:rPr>
        <w:footnoteReference w:id="20"/>
      </w:r>
      <w:r w:rsidR="00774857" w:rsidRPr="0079297C">
        <w:t>,</w:t>
      </w:r>
      <w:r w:rsidR="00B63079" w:rsidRPr="0079297C">
        <w:t xml:space="preserve"> a cross-sectional multinational study including Australia, which characterised the costs of cardiac rehabilitation,</w:t>
      </w:r>
      <w:r w:rsidR="00774857" w:rsidRPr="0079297C">
        <w:t xml:space="preserve"> t</w:t>
      </w:r>
      <w:r w:rsidR="00985BC7" w:rsidRPr="00B63079">
        <w:t>he mean cost of a cardiac rehabilitation program</w:t>
      </w:r>
      <w:r w:rsidR="00B63079" w:rsidRPr="0079297C">
        <w:t xml:space="preserve"> following an acute cardiac event or hospitalisation</w:t>
      </w:r>
      <w:r w:rsidR="00774857" w:rsidRPr="0079297C">
        <w:t xml:space="preserve"> </w:t>
      </w:r>
      <w:r w:rsidR="00B63079" w:rsidRPr="0079297C">
        <w:t xml:space="preserve">was USD </w:t>
      </w:r>
      <w:r w:rsidR="005F248C">
        <w:t>$</w:t>
      </w:r>
      <w:r w:rsidR="00B63079" w:rsidRPr="0079297C">
        <w:t>1,024, which was</w:t>
      </w:r>
      <w:r w:rsidR="00774857" w:rsidRPr="0079297C">
        <w:t xml:space="preserve"> ap</w:t>
      </w:r>
      <w:r w:rsidR="00985BC7" w:rsidRPr="00B63079">
        <w:t xml:space="preserve">proximately </w:t>
      </w:r>
      <w:r w:rsidR="005F248C">
        <w:t xml:space="preserve">AUD </w:t>
      </w:r>
      <w:r w:rsidR="00985BC7" w:rsidRPr="00B63079">
        <w:t>$1,890</w:t>
      </w:r>
      <w:r w:rsidR="00344DD6">
        <w:t xml:space="preserve"> (</w:t>
      </w:r>
      <w:r w:rsidR="00B63079" w:rsidRPr="0079297C">
        <w:t>adjusted to AUD 2024 price</w:t>
      </w:r>
      <w:r w:rsidR="00344DD6">
        <w:t>)</w:t>
      </w:r>
      <w:r w:rsidR="003E4473" w:rsidRPr="00B63079">
        <w:t xml:space="preserve">. </w:t>
      </w:r>
      <w:r w:rsidR="00774857" w:rsidRPr="0079297C">
        <w:t>That co</w:t>
      </w:r>
      <w:r w:rsidR="00DB1B7E">
        <w:t>s</w:t>
      </w:r>
      <w:r w:rsidR="00774857" w:rsidRPr="0079297C">
        <w:t xml:space="preserve">t </w:t>
      </w:r>
      <w:r w:rsidR="007F77DA">
        <w:t>was</w:t>
      </w:r>
      <w:r w:rsidR="003E4473" w:rsidRPr="00B63079">
        <w:t xml:space="preserve"> driven by personnel, exercise equipment and stress testing</w:t>
      </w:r>
      <w:r w:rsidR="003E4473" w:rsidRPr="00B63079">
        <w:rPr>
          <w:vertAlign w:val="superscript"/>
        </w:rPr>
        <w:t>19</w:t>
      </w:r>
      <w:r w:rsidR="003E4473" w:rsidRPr="00B63079">
        <w:t xml:space="preserve">. </w:t>
      </w:r>
      <w:r w:rsidR="007F77DA">
        <w:t xml:space="preserve">The commentary also noted that </w:t>
      </w:r>
      <w:r w:rsidR="00067B4B" w:rsidRPr="00B63079">
        <w:t>LVAD patients</w:t>
      </w:r>
      <w:r w:rsidR="00DE027D">
        <w:t xml:space="preserve"> after implantation may incur additional costs outside the implant centres such as</w:t>
      </w:r>
      <w:r w:rsidR="00067B4B" w:rsidRPr="00B63079">
        <w:t xml:space="preserve"> routine LVAD care, driveline evaluation, routine laboratory testing and cardiac rehabilitation</w:t>
      </w:r>
      <w:r w:rsidR="00415F95" w:rsidRPr="00B63079">
        <w:rPr>
          <w:rStyle w:val="FootnoteReference"/>
        </w:rPr>
        <w:footnoteReference w:id="21"/>
      </w:r>
      <w:r w:rsidR="00067B4B" w:rsidRPr="00B63079">
        <w:t>, especially those who live remotely or away from the implant centres.</w:t>
      </w:r>
    </w:p>
    <w:p w14:paraId="7C25F070" w14:textId="4433069B" w:rsidR="009E212B" w:rsidRDefault="009E212B" w:rsidP="009E212B">
      <w:r>
        <w:t>Regarding the format of aftercare services (e.g. in-person, telehealth and/or hybrid), three of the clinicians</w:t>
      </w:r>
      <w:r w:rsidR="006375A4">
        <w:t>, who</w:t>
      </w:r>
      <w:r>
        <w:t xml:space="preserve"> were additionally consulted </w:t>
      </w:r>
      <w:r w:rsidR="002A052E">
        <w:t xml:space="preserve">by the applicant </w:t>
      </w:r>
      <w:r>
        <w:t>via informal individual interviews</w:t>
      </w:r>
      <w:r w:rsidR="00000B11">
        <w:t xml:space="preserve">, </w:t>
      </w:r>
      <w:r>
        <w:t>were not able to provide a breakdown of the format of aftercare service</w:t>
      </w:r>
      <w:r w:rsidR="00773D73">
        <w:t>s</w:t>
      </w:r>
      <w:r>
        <w:t xml:space="preserve">. The clinicians emphasised that the format is dependent on clinical best practice and patient preference or situation, with in-person aftercare services as the preferred format, and telehealth or hybrid consult for patients living remotely. The informal interviews with clinicians revealed that the costs of aftercare services, regardless of the format, were included in the overall aftercare costings post </w:t>
      </w:r>
      <w:r w:rsidR="00596728">
        <w:t>L</w:t>
      </w:r>
      <w:r w:rsidR="00ED6CA5">
        <w:t>VAD</w:t>
      </w:r>
      <w:r>
        <w:t xml:space="preserve"> implantation. Of note, the costing for private-funded patients who obtain aftercare services at the public hospital was unaddressed. It was uncertain if these patients will be funded by private insurance or </w:t>
      </w:r>
      <w:r w:rsidR="00DF174D">
        <w:t xml:space="preserve">public hospital system or </w:t>
      </w:r>
      <w:r>
        <w:t>out-of-pocket payment.</w:t>
      </w:r>
    </w:p>
    <w:p w14:paraId="2BFA8B02" w14:textId="21CE759E" w:rsidR="009E212B" w:rsidRDefault="009E212B" w:rsidP="0079297C">
      <w:r>
        <w:t>Overall, the resubmission</w:t>
      </w:r>
      <w:r w:rsidR="0003383F">
        <w:t xml:space="preserve"> ADAR</w:t>
      </w:r>
      <w:r>
        <w:t xml:space="preserve">’s approach in obtaining contemporary and informed estimates of the aftercare costs post </w:t>
      </w:r>
      <w:r w:rsidR="00596728">
        <w:t>L</w:t>
      </w:r>
      <w:r w:rsidR="00ED6CA5">
        <w:t>VAD</w:t>
      </w:r>
      <w:r>
        <w:t xml:space="preserve"> implantation from Australian hospitals was </w:t>
      </w:r>
      <w:r w:rsidR="00F60C6A">
        <w:t xml:space="preserve">inadequate </w:t>
      </w:r>
      <w:r w:rsidR="009E06BE" w:rsidRPr="009E06BE">
        <w:t>as it only involved consulting with Australian clinical experts to validate</w:t>
      </w:r>
      <w:r w:rsidR="009E06BE">
        <w:t xml:space="preserve"> </w:t>
      </w:r>
      <w:r>
        <w:t xml:space="preserve">the aftercare costs based on </w:t>
      </w:r>
      <w:r w:rsidR="00D40652">
        <w:t xml:space="preserve">two published studies, </w:t>
      </w:r>
      <w:r>
        <w:t xml:space="preserve">Prichard </w:t>
      </w:r>
      <w:r w:rsidR="00343C1C">
        <w:t xml:space="preserve">et al., </w:t>
      </w:r>
      <w:r>
        <w:t>2020 and Marasco</w:t>
      </w:r>
      <w:r w:rsidR="00343C1C">
        <w:t xml:space="preserve"> et al.,</w:t>
      </w:r>
      <w:r>
        <w:t xml:space="preserve"> 2016</w:t>
      </w:r>
      <w:r w:rsidR="009E06BE">
        <w:t xml:space="preserve">. </w:t>
      </w:r>
      <w:r w:rsidR="009E06BE" w:rsidRPr="009E06BE">
        <w:t>The commentary consider</w:t>
      </w:r>
      <w:r w:rsidR="00D40652">
        <w:t>ed</w:t>
      </w:r>
      <w:r w:rsidR="009E06BE" w:rsidRPr="009E06BE">
        <w:t xml:space="preserve"> that a micro-costing approach to obtain the actual costs of post LVAD implantation may be more accurate.</w:t>
      </w:r>
    </w:p>
    <w:p w14:paraId="15541AD6" w14:textId="77777777" w:rsidR="009E212B" w:rsidRPr="0080087A" w:rsidRDefault="009E212B" w:rsidP="0080087A">
      <w:pPr>
        <w:pStyle w:val="Heading3"/>
      </w:pPr>
      <w:r w:rsidRPr="0080087A">
        <w:t>Results of revised base case and likely overestimated case analysis</w:t>
      </w:r>
    </w:p>
    <w:p w14:paraId="569649A6" w14:textId="19E9B6DB" w:rsidR="009E212B" w:rsidRDefault="00945131" w:rsidP="009E212B">
      <w:r>
        <w:t>Based on t</w:t>
      </w:r>
      <w:r w:rsidR="009E212B">
        <w:t>he resubmission</w:t>
      </w:r>
      <w:r w:rsidR="00795426">
        <w:t xml:space="preserve"> ADAR</w:t>
      </w:r>
      <w:r>
        <w:t>,</w:t>
      </w:r>
      <w:r w:rsidR="009E212B">
        <w:t xml:space="preserve"> </w:t>
      </w:r>
      <w:r>
        <w:t>the</w:t>
      </w:r>
      <w:r w:rsidR="009E212B">
        <w:t xml:space="preserve"> cost of the index admission for HM3 implantation </w:t>
      </w:r>
      <w:r>
        <w:t>was</w:t>
      </w:r>
      <w:r w:rsidR="009E212B">
        <w:t xml:space="preserve"> $</w:t>
      </w:r>
      <w:r w:rsidR="00A74717" w:rsidRPr="00A74717">
        <w:rPr>
          <w:b/>
          <w:bCs/>
        </w:rPr>
        <w:t>redacted</w:t>
      </w:r>
      <w:r>
        <w:t xml:space="preserve"> per patient</w:t>
      </w:r>
      <w:r w:rsidR="009E212B">
        <w:t xml:space="preserve">, which </w:t>
      </w:r>
      <w:r>
        <w:t>included the</w:t>
      </w:r>
      <w:r w:rsidR="009E212B">
        <w:t xml:space="preserve"> costs associated with the HM3 </w:t>
      </w:r>
      <w:r>
        <w:t>L</w:t>
      </w:r>
      <w:r w:rsidR="00ED6CA5">
        <w:t>VAD</w:t>
      </w:r>
      <w:r w:rsidR="009E212B">
        <w:t xml:space="preserve"> implant surgery and implant kit ($</w:t>
      </w:r>
      <w:r w:rsidR="001A6D18" w:rsidRPr="001A6D18">
        <w:rPr>
          <w:b/>
          <w:bCs/>
        </w:rPr>
        <w:t>redacted</w:t>
      </w:r>
      <w:r w:rsidR="009E212B">
        <w:t>) and costs associated with the implant procedure and recovery ($76,480</w:t>
      </w:r>
      <w:r w:rsidR="00972FF6">
        <w:t>, this cost has been inflated to AUD 2024. The cost presented in the original ADAR for this is $72,163.79</w:t>
      </w:r>
      <w:r w:rsidR="009E212B">
        <w:t xml:space="preserve">). </w:t>
      </w:r>
    </w:p>
    <w:p w14:paraId="5BBF552E" w14:textId="1B621B83" w:rsidR="00AB704A" w:rsidRDefault="009E212B" w:rsidP="00AB704A">
      <w:r>
        <w:fldChar w:fldCharType="begin"/>
      </w:r>
      <w:r>
        <w:instrText xml:space="preserve"> REF _Ref69725870 \h </w:instrText>
      </w:r>
      <w:r w:rsidR="0080087A">
        <w:instrText xml:space="preserve"> \* MERGEFORMAT </w:instrText>
      </w:r>
      <w:r>
        <w:fldChar w:fldCharType="separate"/>
      </w:r>
      <w:r w:rsidR="005544FB" w:rsidRPr="00CE28E3">
        <w:t>Table</w:t>
      </w:r>
      <w:r w:rsidR="005544FB">
        <w:t> 8</w:t>
      </w:r>
      <w:r>
        <w:fldChar w:fldCharType="end"/>
      </w:r>
      <w:r>
        <w:t xml:space="preserve"> presents the stepped economic analysis for the applicant-proposed </w:t>
      </w:r>
      <w:r w:rsidR="00F65CAF">
        <w:t>“</w:t>
      </w:r>
      <w:r>
        <w:t>revised base case</w:t>
      </w:r>
      <w:r w:rsidR="00F65CAF">
        <w:t>”</w:t>
      </w:r>
      <w:r>
        <w:t xml:space="preserve"> and </w:t>
      </w:r>
      <w:r w:rsidR="00F65CAF">
        <w:t>“</w:t>
      </w:r>
      <w:r>
        <w:t>likely overestimated case</w:t>
      </w:r>
      <w:r w:rsidR="00F65CAF">
        <w:t>”</w:t>
      </w:r>
      <w:r>
        <w:t xml:space="preserve"> results of the economic evaluation.</w:t>
      </w:r>
      <w:r w:rsidR="00AB704A">
        <w:br w:type="page"/>
      </w:r>
    </w:p>
    <w:p w14:paraId="30BD2193" w14:textId="01217C59" w:rsidR="009E212B" w:rsidRPr="00CE28E3" w:rsidRDefault="009E212B" w:rsidP="009E212B">
      <w:pPr>
        <w:pStyle w:val="Caption"/>
      </w:pPr>
      <w:bookmarkStart w:id="39" w:name="_Ref69725870"/>
      <w:r w:rsidRPr="00CE28E3">
        <w:lastRenderedPageBreak/>
        <w:t>Table</w:t>
      </w:r>
      <w:r>
        <w:t> </w:t>
      </w:r>
      <w:r w:rsidRPr="00CE28E3">
        <w:rPr>
          <w:noProof/>
        </w:rPr>
        <w:fldChar w:fldCharType="begin"/>
      </w:r>
      <w:r w:rsidRPr="00CE28E3">
        <w:rPr>
          <w:noProof/>
        </w:rPr>
        <w:instrText xml:space="preserve"> SEQ Table \* ARABIC </w:instrText>
      </w:r>
      <w:r w:rsidRPr="00CE28E3">
        <w:rPr>
          <w:noProof/>
        </w:rPr>
        <w:fldChar w:fldCharType="separate"/>
      </w:r>
      <w:r w:rsidR="006461F2">
        <w:rPr>
          <w:noProof/>
        </w:rPr>
        <w:t>10</w:t>
      </w:r>
      <w:r w:rsidRPr="00CE28E3">
        <w:rPr>
          <w:noProof/>
        </w:rPr>
        <w:fldChar w:fldCharType="end"/>
      </w:r>
      <w:bookmarkEnd w:id="39"/>
      <w:r w:rsidRPr="00CE28E3">
        <w:t xml:space="preserve"> </w:t>
      </w:r>
      <w:r w:rsidRPr="00CE28E3">
        <w:tab/>
        <w:t>Results of the stepped economic analysis</w:t>
      </w:r>
    </w:p>
    <w:tbl>
      <w:tblPr>
        <w:tblStyle w:val="TableGrid1"/>
        <w:tblW w:w="5001" w:type="pct"/>
        <w:tblLayout w:type="fixed"/>
        <w:tblLook w:val="04A0" w:firstRow="1" w:lastRow="0" w:firstColumn="1" w:lastColumn="0" w:noHBand="0" w:noVBand="1"/>
        <w:tblCaption w:val="Results of the stepped economic analyses"/>
      </w:tblPr>
      <w:tblGrid>
        <w:gridCol w:w="3536"/>
        <w:gridCol w:w="1324"/>
        <w:gridCol w:w="1326"/>
        <w:gridCol w:w="1326"/>
        <w:gridCol w:w="1506"/>
      </w:tblGrid>
      <w:tr w:rsidR="009E212B" w:rsidRPr="00CE28E3" w14:paraId="6DAB8DC8" w14:textId="77777777" w:rsidTr="00B92A2F">
        <w:trPr>
          <w:cnfStyle w:val="100000000000" w:firstRow="1" w:lastRow="0" w:firstColumn="0" w:lastColumn="0" w:oddVBand="0" w:evenVBand="0" w:oddHBand="0" w:evenHBand="0" w:firstRowFirstColumn="0" w:firstRowLastColumn="0" w:lastRowFirstColumn="0" w:lastRowLastColumn="0"/>
          <w:cantSplit/>
          <w:trHeight w:val="300"/>
          <w:tblHeader/>
        </w:trPr>
        <w:tc>
          <w:tcPr>
            <w:tcW w:w="1961" w:type="pct"/>
            <w:noWrap/>
            <w:hideMark/>
          </w:tcPr>
          <w:p w14:paraId="62BDE056" w14:textId="77777777" w:rsidR="009E212B" w:rsidRPr="00CE28E3" w:rsidRDefault="009E212B" w:rsidP="00AB704A">
            <w:pPr>
              <w:pStyle w:val="TableHeading"/>
              <w:spacing w:before="0" w:after="0"/>
            </w:pPr>
            <w:bookmarkStart w:id="40" w:name="Title_Table6"/>
            <w:bookmarkStart w:id="41" w:name="_Hlk68276518"/>
            <w:bookmarkEnd w:id="40"/>
            <w:r>
              <w:t>Step</w:t>
            </w:r>
          </w:p>
        </w:tc>
        <w:tc>
          <w:tcPr>
            <w:tcW w:w="734" w:type="pct"/>
            <w:noWrap/>
            <w:hideMark/>
          </w:tcPr>
          <w:p w14:paraId="29543E93" w14:textId="5DBE761C" w:rsidR="009E212B" w:rsidRPr="00CE28E3" w:rsidRDefault="009E212B" w:rsidP="00AB704A">
            <w:pPr>
              <w:pStyle w:val="TableHeading"/>
              <w:spacing w:before="0" w:after="0"/>
              <w:jc w:val="center"/>
            </w:pPr>
            <w:r>
              <w:t>HM3</w:t>
            </w:r>
          </w:p>
        </w:tc>
        <w:tc>
          <w:tcPr>
            <w:tcW w:w="735" w:type="pct"/>
            <w:noWrap/>
            <w:hideMark/>
          </w:tcPr>
          <w:p w14:paraId="1FF1667F" w14:textId="77777777" w:rsidR="009E212B" w:rsidRPr="00CE28E3" w:rsidRDefault="009E212B" w:rsidP="00AB704A">
            <w:pPr>
              <w:pStyle w:val="TableHeading"/>
              <w:spacing w:before="0" w:after="0"/>
              <w:jc w:val="center"/>
            </w:pPr>
            <w:r>
              <w:t>OMM</w:t>
            </w:r>
          </w:p>
        </w:tc>
        <w:tc>
          <w:tcPr>
            <w:tcW w:w="735" w:type="pct"/>
            <w:noWrap/>
            <w:hideMark/>
          </w:tcPr>
          <w:p w14:paraId="0AF5C87E" w14:textId="77777777" w:rsidR="009E212B" w:rsidRPr="00CE28E3" w:rsidRDefault="009E212B" w:rsidP="00AB704A">
            <w:pPr>
              <w:pStyle w:val="TableHeading"/>
              <w:spacing w:before="0" w:after="0"/>
              <w:jc w:val="center"/>
            </w:pPr>
            <w:r w:rsidRPr="009E23EC">
              <w:t>Increment</w:t>
            </w:r>
          </w:p>
        </w:tc>
        <w:tc>
          <w:tcPr>
            <w:tcW w:w="835" w:type="pct"/>
          </w:tcPr>
          <w:p w14:paraId="12193FA6" w14:textId="77777777" w:rsidR="009E212B" w:rsidRPr="00CE28E3" w:rsidRDefault="009E212B" w:rsidP="00AB704A">
            <w:pPr>
              <w:pStyle w:val="TableHeading"/>
              <w:spacing w:before="0" w:after="0"/>
              <w:jc w:val="center"/>
            </w:pPr>
            <w:r w:rsidRPr="00CE28E3">
              <w:t>ICER</w:t>
            </w:r>
          </w:p>
        </w:tc>
      </w:tr>
      <w:tr w:rsidR="009E212B" w:rsidRPr="00CE28E3" w14:paraId="4DCF746A" w14:textId="77777777">
        <w:trPr>
          <w:cantSplit/>
          <w:trHeight w:val="300"/>
        </w:trPr>
        <w:tc>
          <w:tcPr>
            <w:tcW w:w="5000" w:type="pct"/>
            <w:gridSpan w:val="5"/>
            <w:noWrap/>
          </w:tcPr>
          <w:p w14:paraId="696B209F" w14:textId="2756CFBF" w:rsidR="009E212B" w:rsidRPr="005B0C43" w:rsidRDefault="009E212B" w:rsidP="00AB704A">
            <w:pPr>
              <w:pStyle w:val="Tabletext0"/>
              <w:spacing w:before="0" w:after="0"/>
              <w:rPr>
                <w:b/>
                <w:bCs/>
              </w:rPr>
            </w:pPr>
            <w:r w:rsidRPr="005B0C43">
              <w:rPr>
                <w:b/>
                <w:bCs/>
              </w:rPr>
              <w:t>Original</w:t>
            </w:r>
            <w:r w:rsidR="00266179">
              <w:rPr>
                <w:b/>
                <w:bCs/>
              </w:rPr>
              <w:t xml:space="preserve"> ADAR</w:t>
            </w:r>
            <w:r w:rsidRPr="005B0C43">
              <w:rPr>
                <w:b/>
                <w:bCs/>
              </w:rPr>
              <w:t xml:space="preserve"> base case</w:t>
            </w:r>
            <w:r>
              <w:rPr>
                <w:b/>
                <w:bCs/>
              </w:rPr>
              <w:t xml:space="preserve"> </w:t>
            </w:r>
            <w:r w:rsidRPr="001B056E">
              <w:t>(Trial-based costs and outcomes with lifetime horizon)</w:t>
            </w:r>
          </w:p>
        </w:tc>
      </w:tr>
      <w:tr w:rsidR="009E212B" w:rsidRPr="00CE28E3" w14:paraId="0BF5B663" w14:textId="77777777">
        <w:trPr>
          <w:cantSplit/>
          <w:trHeight w:val="300"/>
        </w:trPr>
        <w:tc>
          <w:tcPr>
            <w:tcW w:w="1961" w:type="pct"/>
            <w:noWrap/>
          </w:tcPr>
          <w:p w14:paraId="2AB1DBA1" w14:textId="77777777" w:rsidR="009E212B" w:rsidRDefault="009E212B" w:rsidP="00AB704A">
            <w:pPr>
              <w:pStyle w:val="Tabletext0"/>
              <w:spacing w:before="0" w:after="0"/>
            </w:pPr>
            <w:r>
              <w:t>Costs</w:t>
            </w:r>
          </w:p>
          <w:p w14:paraId="04437028" w14:textId="77777777" w:rsidR="009E212B" w:rsidRDefault="009E212B" w:rsidP="00AB704A">
            <w:pPr>
              <w:pStyle w:val="Tabletext0"/>
              <w:spacing w:before="0" w:after="0"/>
            </w:pPr>
            <w:r>
              <w:t>QALY</w:t>
            </w:r>
          </w:p>
        </w:tc>
        <w:tc>
          <w:tcPr>
            <w:tcW w:w="734" w:type="pct"/>
            <w:noWrap/>
          </w:tcPr>
          <w:p w14:paraId="2A3258A5" w14:textId="3618AD4D" w:rsidR="009E212B" w:rsidRDefault="009E212B" w:rsidP="00AB704A">
            <w:pPr>
              <w:pStyle w:val="Tabletext0"/>
              <w:spacing w:before="0" w:after="0"/>
              <w:jc w:val="right"/>
            </w:pPr>
            <w:r>
              <w:t>$</w:t>
            </w:r>
            <w:r w:rsidR="001950C6" w:rsidRPr="001950C6">
              <w:rPr>
                <w:b/>
                <w:bCs/>
              </w:rPr>
              <w:t>redacted</w:t>
            </w:r>
          </w:p>
          <w:p w14:paraId="687F6890" w14:textId="77777777" w:rsidR="009E212B" w:rsidRDefault="009E212B" w:rsidP="00AB704A">
            <w:pPr>
              <w:pStyle w:val="Tabletext0"/>
              <w:spacing w:before="0" w:after="0"/>
              <w:jc w:val="right"/>
            </w:pPr>
            <w:r>
              <w:t>4.929</w:t>
            </w:r>
          </w:p>
        </w:tc>
        <w:tc>
          <w:tcPr>
            <w:tcW w:w="735" w:type="pct"/>
            <w:noWrap/>
          </w:tcPr>
          <w:p w14:paraId="7ADB461C" w14:textId="77777777" w:rsidR="009E212B" w:rsidRDefault="009E212B" w:rsidP="00AB704A">
            <w:pPr>
              <w:pStyle w:val="Tabletext0"/>
              <w:spacing w:before="0" w:after="0"/>
              <w:jc w:val="right"/>
            </w:pPr>
            <w:r>
              <w:t>$87,522</w:t>
            </w:r>
          </w:p>
          <w:p w14:paraId="491D8C4B" w14:textId="77777777" w:rsidR="009E212B" w:rsidRDefault="009E212B" w:rsidP="00AB704A">
            <w:pPr>
              <w:pStyle w:val="Tabletext0"/>
              <w:spacing w:before="0" w:after="0"/>
              <w:jc w:val="right"/>
            </w:pPr>
            <w:r>
              <w:t>0.258</w:t>
            </w:r>
          </w:p>
        </w:tc>
        <w:tc>
          <w:tcPr>
            <w:tcW w:w="735" w:type="pct"/>
            <w:noWrap/>
          </w:tcPr>
          <w:p w14:paraId="0D9BF749" w14:textId="6BBD3039" w:rsidR="009E212B" w:rsidRDefault="009E212B" w:rsidP="00AB704A">
            <w:pPr>
              <w:pStyle w:val="Tabletext0"/>
              <w:spacing w:before="0" w:after="0"/>
              <w:jc w:val="right"/>
            </w:pPr>
            <w:r>
              <w:t>$</w:t>
            </w:r>
            <w:r w:rsidR="001950C6" w:rsidRPr="001950C6">
              <w:rPr>
                <w:b/>
                <w:bCs/>
              </w:rPr>
              <w:t>redacted</w:t>
            </w:r>
          </w:p>
          <w:p w14:paraId="336A5D6C" w14:textId="77777777" w:rsidR="009E212B" w:rsidRPr="009E23EC" w:rsidRDefault="009E212B" w:rsidP="00AB704A">
            <w:pPr>
              <w:pStyle w:val="Tabletext0"/>
              <w:spacing w:before="0" w:after="0"/>
              <w:jc w:val="right"/>
            </w:pPr>
            <w:r>
              <w:t>4.671</w:t>
            </w:r>
          </w:p>
        </w:tc>
        <w:tc>
          <w:tcPr>
            <w:tcW w:w="835" w:type="pct"/>
          </w:tcPr>
          <w:p w14:paraId="128ED107" w14:textId="53EFDEF6" w:rsidR="009E212B" w:rsidRPr="0079297C" w:rsidRDefault="009E212B" w:rsidP="00AB704A">
            <w:pPr>
              <w:pStyle w:val="Tabletext0"/>
              <w:spacing w:before="0" w:after="0"/>
              <w:jc w:val="right"/>
              <w:rPr>
                <w:vertAlign w:val="superscript"/>
              </w:rPr>
            </w:pPr>
            <w:r>
              <w:t>$</w:t>
            </w:r>
            <w:r w:rsidR="001950C6" w:rsidRPr="001950C6">
              <w:rPr>
                <w:b/>
                <w:bCs/>
              </w:rPr>
              <w:t>redacted</w:t>
            </w:r>
            <w:r w:rsidR="001950C6" w:rsidDel="001950C6">
              <w:t xml:space="preserve"> </w:t>
            </w:r>
            <w:r w:rsidR="00BC5E43">
              <w:rPr>
                <w:vertAlign w:val="superscript"/>
              </w:rPr>
              <w:t>a</w:t>
            </w:r>
          </w:p>
        </w:tc>
      </w:tr>
      <w:tr w:rsidR="009E212B" w:rsidRPr="00CE28E3" w14:paraId="2292CB22" w14:textId="77777777">
        <w:trPr>
          <w:cantSplit/>
          <w:trHeight w:val="300"/>
        </w:trPr>
        <w:tc>
          <w:tcPr>
            <w:tcW w:w="5000" w:type="pct"/>
            <w:gridSpan w:val="5"/>
            <w:noWrap/>
          </w:tcPr>
          <w:p w14:paraId="6C62BA52" w14:textId="0469297D" w:rsidR="009E212B" w:rsidRPr="00B60FDC" w:rsidRDefault="009E212B" w:rsidP="00AB704A">
            <w:pPr>
              <w:pStyle w:val="Tabletext0"/>
              <w:spacing w:before="0" w:after="0"/>
              <w:rPr>
                <w:b/>
                <w:bCs/>
              </w:rPr>
            </w:pPr>
            <w:r w:rsidRPr="00B60FDC">
              <w:rPr>
                <w:b/>
                <w:bCs/>
              </w:rPr>
              <w:t>Revised base case</w:t>
            </w:r>
          </w:p>
        </w:tc>
      </w:tr>
      <w:tr w:rsidR="009E212B" w:rsidRPr="00CE28E3" w14:paraId="14327BA6" w14:textId="77777777">
        <w:trPr>
          <w:cantSplit/>
          <w:trHeight w:val="300"/>
        </w:trPr>
        <w:tc>
          <w:tcPr>
            <w:tcW w:w="5000" w:type="pct"/>
            <w:gridSpan w:val="5"/>
            <w:tcBorders>
              <w:top w:val="nil"/>
            </w:tcBorders>
            <w:noWrap/>
          </w:tcPr>
          <w:p w14:paraId="7487AE31" w14:textId="15059A60" w:rsidR="009E212B" w:rsidRDefault="009E212B" w:rsidP="00AB704A">
            <w:pPr>
              <w:pStyle w:val="Tabletext0"/>
              <w:keepNext/>
              <w:spacing w:before="0" w:after="0"/>
            </w:pPr>
            <w:r>
              <w:t xml:space="preserve">Step 1 </w:t>
            </w:r>
            <w:r w:rsidRPr="00CE28E3">
              <w:t>–</w:t>
            </w:r>
            <w:r>
              <w:t xml:space="preserve"> Time horizon</w:t>
            </w:r>
            <w:r w:rsidR="00576D2D">
              <w:t xml:space="preserve"> of</w:t>
            </w:r>
            <w:r>
              <w:t xml:space="preserve"> 15 years</w:t>
            </w:r>
          </w:p>
        </w:tc>
      </w:tr>
      <w:tr w:rsidR="009E212B" w:rsidRPr="00CE28E3" w14:paraId="0BCE8F4F" w14:textId="77777777">
        <w:trPr>
          <w:cantSplit/>
          <w:trHeight w:val="300"/>
        </w:trPr>
        <w:tc>
          <w:tcPr>
            <w:tcW w:w="1961" w:type="pct"/>
            <w:tcBorders>
              <w:top w:val="nil"/>
            </w:tcBorders>
            <w:noWrap/>
          </w:tcPr>
          <w:p w14:paraId="6FBE4DDE" w14:textId="77777777" w:rsidR="009E212B" w:rsidRDefault="009E212B" w:rsidP="00AB704A">
            <w:pPr>
              <w:pStyle w:val="Tabletext0"/>
              <w:spacing w:before="0" w:after="0"/>
            </w:pPr>
            <w:r>
              <w:t>Costs</w:t>
            </w:r>
          </w:p>
          <w:p w14:paraId="72BE312F" w14:textId="77777777" w:rsidR="009E212B" w:rsidRDefault="009E212B" w:rsidP="00AB704A">
            <w:pPr>
              <w:pStyle w:val="Tabletext0"/>
              <w:spacing w:before="0" w:after="0"/>
            </w:pPr>
            <w:r>
              <w:t>QALY</w:t>
            </w:r>
          </w:p>
        </w:tc>
        <w:tc>
          <w:tcPr>
            <w:tcW w:w="734" w:type="pct"/>
            <w:tcBorders>
              <w:top w:val="nil"/>
            </w:tcBorders>
            <w:noWrap/>
          </w:tcPr>
          <w:p w14:paraId="0571DBE1" w14:textId="34495EB5" w:rsidR="009E212B" w:rsidRDefault="009E212B" w:rsidP="00AB704A">
            <w:pPr>
              <w:pStyle w:val="Tabletext0"/>
              <w:spacing w:before="0" w:after="0"/>
              <w:jc w:val="right"/>
            </w:pPr>
            <w:r w:rsidRPr="00932086">
              <w:t>$</w:t>
            </w:r>
            <w:r w:rsidR="001950C6" w:rsidRPr="001950C6">
              <w:rPr>
                <w:b/>
                <w:bCs/>
              </w:rPr>
              <w:t>redacted</w:t>
            </w:r>
          </w:p>
          <w:p w14:paraId="7C0CE754" w14:textId="77777777" w:rsidR="009E212B" w:rsidRDefault="009E212B" w:rsidP="00AB704A">
            <w:pPr>
              <w:pStyle w:val="Tabletext0"/>
              <w:spacing w:before="0" w:after="0"/>
              <w:jc w:val="right"/>
            </w:pPr>
            <w:r>
              <w:t>4.291</w:t>
            </w:r>
          </w:p>
        </w:tc>
        <w:tc>
          <w:tcPr>
            <w:tcW w:w="735" w:type="pct"/>
            <w:tcBorders>
              <w:top w:val="nil"/>
            </w:tcBorders>
            <w:noWrap/>
          </w:tcPr>
          <w:p w14:paraId="1613823F" w14:textId="77777777" w:rsidR="009E212B" w:rsidRDefault="009E212B" w:rsidP="00AB704A">
            <w:pPr>
              <w:pStyle w:val="Tabletext0"/>
              <w:spacing w:before="0" w:after="0"/>
              <w:jc w:val="right"/>
            </w:pPr>
            <w:r>
              <w:t>$87,522</w:t>
            </w:r>
          </w:p>
          <w:p w14:paraId="057860C4" w14:textId="77777777" w:rsidR="009E212B" w:rsidRDefault="009E212B" w:rsidP="00AB704A">
            <w:pPr>
              <w:pStyle w:val="Tabletext0"/>
              <w:spacing w:before="0" w:after="0"/>
              <w:jc w:val="right"/>
            </w:pPr>
            <w:r>
              <w:t>0.258</w:t>
            </w:r>
          </w:p>
        </w:tc>
        <w:tc>
          <w:tcPr>
            <w:tcW w:w="735" w:type="pct"/>
            <w:tcBorders>
              <w:top w:val="nil"/>
            </w:tcBorders>
            <w:noWrap/>
          </w:tcPr>
          <w:p w14:paraId="7624E351" w14:textId="7DC30956" w:rsidR="009E212B" w:rsidRDefault="009E212B" w:rsidP="00AB704A">
            <w:pPr>
              <w:pStyle w:val="Tabletext0"/>
              <w:spacing w:before="0" w:after="0"/>
              <w:jc w:val="right"/>
            </w:pPr>
            <w:r>
              <w:t>$</w:t>
            </w:r>
            <w:r w:rsidR="001950C6" w:rsidRPr="001950C6">
              <w:rPr>
                <w:b/>
                <w:bCs/>
              </w:rPr>
              <w:t>redacted</w:t>
            </w:r>
          </w:p>
          <w:p w14:paraId="00318966" w14:textId="77777777" w:rsidR="009E212B" w:rsidRDefault="009E212B" w:rsidP="00AB704A">
            <w:pPr>
              <w:pStyle w:val="Tabletext0"/>
              <w:spacing w:before="0" w:after="0"/>
              <w:jc w:val="right"/>
            </w:pPr>
            <w:r>
              <w:t>4.034</w:t>
            </w:r>
          </w:p>
        </w:tc>
        <w:tc>
          <w:tcPr>
            <w:tcW w:w="835" w:type="pct"/>
            <w:tcBorders>
              <w:top w:val="nil"/>
            </w:tcBorders>
          </w:tcPr>
          <w:p w14:paraId="0770C1FC" w14:textId="3D12B9C4" w:rsidR="009E212B" w:rsidRDefault="009E212B" w:rsidP="00AB704A">
            <w:pPr>
              <w:pStyle w:val="Tabletext0"/>
              <w:spacing w:before="0" w:after="0"/>
              <w:jc w:val="right"/>
            </w:pPr>
            <w:r>
              <w:t>$</w:t>
            </w:r>
            <w:r w:rsidR="001950C6" w:rsidRPr="001950C6">
              <w:rPr>
                <w:b/>
                <w:bCs/>
              </w:rPr>
              <w:t>redacted</w:t>
            </w:r>
          </w:p>
        </w:tc>
      </w:tr>
      <w:tr w:rsidR="009E212B" w:rsidRPr="00CE28E3" w14:paraId="0B9CAFAA" w14:textId="77777777">
        <w:trPr>
          <w:cantSplit/>
          <w:trHeight w:val="300"/>
        </w:trPr>
        <w:tc>
          <w:tcPr>
            <w:tcW w:w="5000" w:type="pct"/>
            <w:gridSpan w:val="5"/>
            <w:tcBorders>
              <w:bottom w:val="single" w:sz="4" w:space="0" w:color="auto"/>
            </w:tcBorders>
            <w:noWrap/>
            <w:hideMark/>
          </w:tcPr>
          <w:p w14:paraId="0E5C7261" w14:textId="2244CF5F" w:rsidR="009E212B" w:rsidRPr="00CE28E3" w:rsidRDefault="009E212B" w:rsidP="00AB704A">
            <w:pPr>
              <w:pStyle w:val="Tabletext0"/>
              <w:spacing w:before="0" w:after="0"/>
              <w:jc w:val="left"/>
            </w:pPr>
            <w:r w:rsidRPr="00CE28E3">
              <w:t xml:space="preserve">Step </w:t>
            </w:r>
            <w:r>
              <w:t>2</w:t>
            </w:r>
            <w:r w:rsidRPr="00CE28E3">
              <w:t xml:space="preserve"> – </w:t>
            </w:r>
            <w:r w:rsidR="00EF36F7">
              <w:t>Time horizon</w:t>
            </w:r>
            <w:r w:rsidR="00576D2D">
              <w:t xml:space="preserve"> of</w:t>
            </w:r>
            <w:r w:rsidR="00EF36F7">
              <w:t xml:space="preserve"> 15 years</w:t>
            </w:r>
            <w:r w:rsidR="00576D2D">
              <w:t xml:space="preserve"> and</w:t>
            </w:r>
            <w:r w:rsidR="00EF36F7">
              <w:t xml:space="preserve"> u</w:t>
            </w:r>
            <w:r>
              <w:t xml:space="preserve">tility values of 0.64 </w:t>
            </w:r>
            <w:r w:rsidR="00576D2D">
              <w:t>(</w:t>
            </w:r>
            <w:r>
              <w:t xml:space="preserve">OMM and </w:t>
            </w:r>
            <w:r w:rsidR="00596728">
              <w:t>L</w:t>
            </w:r>
            <w:r w:rsidR="00ED6CA5">
              <w:t>VAD</w:t>
            </w:r>
            <w:r>
              <w:t xml:space="preserve"> arm first cycle, and OMM arm subsequent cycles</w:t>
            </w:r>
            <w:r w:rsidR="00576D2D">
              <w:t>)</w:t>
            </w:r>
          </w:p>
        </w:tc>
      </w:tr>
      <w:tr w:rsidR="009E212B" w:rsidRPr="00CE28E3" w14:paraId="31109692" w14:textId="77777777">
        <w:trPr>
          <w:cantSplit/>
          <w:trHeight w:val="300"/>
        </w:trPr>
        <w:tc>
          <w:tcPr>
            <w:tcW w:w="1961" w:type="pct"/>
            <w:tcBorders>
              <w:bottom w:val="nil"/>
            </w:tcBorders>
            <w:noWrap/>
          </w:tcPr>
          <w:p w14:paraId="150BB0BA" w14:textId="77777777" w:rsidR="009E212B" w:rsidRPr="00CE28E3" w:rsidRDefault="009E212B" w:rsidP="00AB704A">
            <w:pPr>
              <w:pStyle w:val="Tabletext0"/>
              <w:spacing w:before="0" w:after="0"/>
            </w:pPr>
            <w:r>
              <w:t>Costs</w:t>
            </w:r>
          </w:p>
        </w:tc>
        <w:tc>
          <w:tcPr>
            <w:tcW w:w="734" w:type="pct"/>
            <w:tcBorders>
              <w:bottom w:val="nil"/>
            </w:tcBorders>
            <w:noWrap/>
          </w:tcPr>
          <w:p w14:paraId="7C878A3C" w14:textId="126D6D39" w:rsidR="009E212B" w:rsidRPr="00CE28E3" w:rsidRDefault="009E212B" w:rsidP="00AB704A">
            <w:pPr>
              <w:pStyle w:val="Tabletext0"/>
              <w:spacing w:before="0" w:after="0"/>
              <w:jc w:val="right"/>
            </w:pPr>
            <w:r w:rsidRPr="00932086">
              <w:t>$</w:t>
            </w:r>
            <w:r w:rsidR="001950C6" w:rsidRPr="001950C6">
              <w:rPr>
                <w:b/>
                <w:bCs/>
              </w:rPr>
              <w:t>redacted</w:t>
            </w:r>
          </w:p>
        </w:tc>
        <w:tc>
          <w:tcPr>
            <w:tcW w:w="735" w:type="pct"/>
            <w:tcBorders>
              <w:bottom w:val="nil"/>
            </w:tcBorders>
            <w:noWrap/>
          </w:tcPr>
          <w:p w14:paraId="76CF289D" w14:textId="42EFFC7E" w:rsidR="009E212B" w:rsidRPr="00CE28E3" w:rsidRDefault="009E212B" w:rsidP="00AB704A">
            <w:pPr>
              <w:pStyle w:val="Tabletext0"/>
              <w:spacing w:before="0" w:after="0"/>
              <w:jc w:val="right"/>
            </w:pPr>
            <w:r w:rsidRPr="00E11287">
              <w:t>$</w:t>
            </w:r>
            <w:r>
              <w:t>8</w:t>
            </w:r>
            <w:r w:rsidRPr="00E11287">
              <w:t>7,5</w:t>
            </w:r>
            <w:r>
              <w:t>22</w:t>
            </w:r>
          </w:p>
        </w:tc>
        <w:tc>
          <w:tcPr>
            <w:tcW w:w="735" w:type="pct"/>
            <w:tcBorders>
              <w:bottom w:val="nil"/>
            </w:tcBorders>
            <w:noWrap/>
          </w:tcPr>
          <w:p w14:paraId="045602F4" w14:textId="0B03CF18" w:rsidR="009E212B" w:rsidRPr="00CE28E3" w:rsidRDefault="009E212B" w:rsidP="00AB704A">
            <w:pPr>
              <w:pStyle w:val="Tabletext0"/>
              <w:spacing w:before="0" w:after="0"/>
              <w:jc w:val="right"/>
            </w:pPr>
            <w:r>
              <w:t>$</w:t>
            </w:r>
            <w:r w:rsidR="001950C6" w:rsidRPr="001950C6">
              <w:rPr>
                <w:b/>
                <w:bCs/>
              </w:rPr>
              <w:t>redacted</w:t>
            </w:r>
          </w:p>
        </w:tc>
        <w:tc>
          <w:tcPr>
            <w:tcW w:w="835" w:type="pct"/>
            <w:tcBorders>
              <w:bottom w:val="nil"/>
            </w:tcBorders>
          </w:tcPr>
          <w:p w14:paraId="72BBFE1D" w14:textId="43128796" w:rsidR="009E212B" w:rsidRPr="00CE28E3" w:rsidRDefault="009E212B" w:rsidP="00AB704A">
            <w:pPr>
              <w:pStyle w:val="Tabletext0"/>
              <w:spacing w:before="0" w:after="0"/>
              <w:jc w:val="right"/>
            </w:pPr>
            <w:r>
              <w:t>$</w:t>
            </w:r>
            <w:r w:rsidR="001950C6" w:rsidRPr="001950C6">
              <w:rPr>
                <w:b/>
                <w:bCs/>
              </w:rPr>
              <w:t>redacted</w:t>
            </w:r>
          </w:p>
        </w:tc>
      </w:tr>
      <w:tr w:rsidR="009E212B" w:rsidRPr="00CE28E3" w14:paraId="3493CDAF" w14:textId="77777777">
        <w:trPr>
          <w:cantSplit/>
          <w:trHeight w:val="300"/>
        </w:trPr>
        <w:tc>
          <w:tcPr>
            <w:tcW w:w="1961" w:type="pct"/>
            <w:tcBorders>
              <w:top w:val="nil"/>
            </w:tcBorders>
            <w:noWrap/>
          </w:tcPr>
          <w:p w14:paraId="646D3894" w14:textId="77777777" w:rsidR="009E212B" w:rsidRDefault="009E212B" w:rsidP="00AB704A">
            <w:pPr>
              <w:pStyle w:val="Tabletext0"/>
              <w:spacing w:before="0" w:after="0"/>
            </w:pPr>
            <w:r>
              <w:t>QALY</w:t>
            </w:r>
          </w:p>
        </w:tc>
        <w:tc>
          <w:tcPr>
            <w:tcW w:w="734" w:type="pct"/>
            <w:tcBorders>
              <w:top w:val="nil"/>
            </w:tcBorders>
            <w:noWrap/>
          </w:tcPr>
          <w:p w14:paraId="4D2061ED" w14:textId="77777777" w:rsidR="009E212B" w:rsidRPr="00CE28E3" w:rsidRDefault="009E212B" w:rsidP="00AB704A">
            <w:pPr>
              <w:pStyle w:val="Tabletext0"/>
              <w:spacing w:before="0" w:after="0"/>
              <w:jc w:val="right"/>
            </w:pPr>
            <w:r w:rsidRPr="00932086">
              <w:t>4.300</w:t>
            </w:r>
          </w:p>
        </w:tc>
        <w:tc>
          <w:tcPr>
            <w:tcW w:w="735" w:type="pct"/>
            <w:tcBorders>
              <w:top w:val="nil"/>
            </w:tcBorders>
            <w:noWrap/>
          </w:tcPr>
          <w:p w14:paraId="6E59AAF8" w14:textId="77777777" w:rsidR="009E212B" w:rsidRPr="00CE28E3" w:rsidRDefault="009E212B" w:rsidP="00AB704A">
            <w:pPr>
              <w:pStyle w:val="Tabletext0"/>
              <w:spacing w:before="0" w:after="0"/>
              <w:jc w:val="right"/>
            </w:pPr>
            <w:r w:rsidRPr="00E11287">
              <w:t>0.375</w:t>
            </w:r>
          </w:p>
        </w:tc>
        <w:tc>
          <w:tcPr>
            <w:tcW w:w="735" w:type="pct"/>
            <w:tcBorders>
              <w:top w:val="nil"/>
            </w:tcBorders>
            <w:noWrap/>
          </w:tcPr>
          <w:p w14:paraId="0100DF30" w14:textId="77777777" w:rsidR="009E212B" w:rsidRPr="00CE28E3" w:rsidRDefault="009E212B" w:rsidP="00AB704A">
            <w:pPr>
              <w:pStyle w:val="Tabletext0"/>
              <w:spacing w:before="0" w:after="0"/>
              <w:jc w:val="right"/>
            </w:pPr>
            <w:r>
              <w:t>3.925</w:t>
            </w:r>
          </w:p>
        </w:tc>
        <w:tc>
          <w:tcPr>
            <w:tcW w:w="835" w:type="pct"/>
            <w:tcBorders>
              <w:top w:val="nil"/>
            </w:tcBorders>
          </w:tcPr>
          <w:p w14:paraId="197EE7EA" w14:textId="77777777" w:rsidR="009E212B" w:rsidRPr="00CE28E3" w:rsidRDefault="009E212B" w:rsidP="00AB704A">
            <w:pPr>
              <w:pStyle w:val="Tabletext0"/>
              <w:spacing w:before="0" w:after="0"/>
              <w:jc w:val="right"/>
            </w:pPr>
          </w:p>
        </w:tc>
      </w:tr>
      <w:tr w:rsidR="009E212B" w:rsidRPr="00CE28E3" w14:paraId="1A6DCF52" w14:textId="77777777">
        <w:trPr>
          <w:cantSplit/>
          <w:trHeight w:val="300"/>
        </w:trPr>
        <w:tc>
          <w:tcPr>
            <w:tcW w:w="5000" w:type="pct"/>
            <w:gridSpan w:val="5"/>
            <w:tcBorders>
              <w:bottom w:val="single" w:sz="4" w:space="0" w:color="auto"/>
            </w:tcBorders>
            <w:noWrap/>
          </w:tcPr>
          <w:p w14:paraId="2546711B" w14:textId="47B5BDF2" w:rsidR="009E212B" w:rsidRPr="00CE28E3" w:rsidRDefault="009E212B" w:rsidP="00AB704A">
            <w:pPr>
              <w:pStyle w:val="Tabletext0"/>
              <w:spacing w:before="0" w:after="0"/>
            </w:pPr>
            <w:r w:rsidRPr="00CE28E3">
              <w:t xml:space="preserve">Step </w:t>
            </w:r>
            <w:r>
              <w:t>3</w:t>
            </w:r>
            <w:r w:rsidRPr="00CE28E3">
              <w:t xml:space="preserve"> </w:t>
            </w:r>
            <w:r>
              <w:t>–</w:t>
            </w:r>
            <w:r w:rsidRPr="00CE28E3">
              <w:t xml:space="preserve"> </w:t>
            </w:r>
            <w:r w:rsidR="00EF36F7">
              <w:t>Time horizon</w:t>
            </w:r>
            <w:r w:rsidR="00576D2D">
              <w:t xml:space="preserve"> of</w:t>
            </w:r>
            <w:r w:rsidR="00EF36F7">
              <w:t xml:space="preserve"> 15 years; utility values of 0.64 </w:t>
            </w:r>
            <w:r w:rsidR="00576D2D">
              <w:t>(</w:t>
            </w:r>
            <w:r w:rsidR="00EF36F7">
              <w:t xml:space="preserve">OMM and </w:t>
            </w:r>
            <w:r w:rsidR="00596728">
              <w:t>L</w:t>
            </w:r>
            <w:r w:rsidR="00EF36F7">
              <w:t>VAD arm first cycle, and OMM arm subsequent cycles</w:t>
            </w:r>
            <w:r w:rsidR="00576D2D">
              <w:t>)</w:t>
            </w:r>
            <w:r w:rsidR="00EF36F7">
              <w:t xml:space="preserve">; </w:t>
            </w:r>
            <w:r w:rsidR="00576D2D">
              <w:t xml:space="preserve">and </w:t>
            </w:r>
            <w:r w:rsidR="00EF36F7">
              <w:t>a</w:t>
            </w:r>
            <w:r>
              <w:t>nnual risk of device replacement</w:t>
            </w:r>
            <w:r w:rsidR="00576D2D">
              <w:t xml:space="preserve"> (</w:t>
            </w:r>
            <w:r>
              <w:t>Years 0-2 = 0.01; Years 2+ = 0.011</w:t>
            </w:r>
            <w:r w:rsidR="00576D2D">
              <w:t>)</w:t>
            </w:r>
          </w:p>
        </w:tc>
      </w:tr>
      <w:tr w:rsidR="009E212B" w:rsidRPr="00CE28E3" w14:paraId="32D0E329" w14:textId="77777777">
        <w:trPr>
          <w:cantSplit/>
          <w:trHeight w:val="300"/>
        </w:trPr>
        <w:tc>
          <w:tcPr>
            <w:tcW w:w="1961" w:type="pct"/>
            <w:tcBorders>
              <w:bottom w:val="nil"/>
            </w:tcBorders>
            <w:noWrap/>
          </w:tcPr>
          <w:p w14:paraId="01B748F5" w14:textId="77777777" w:rsidR="009E212B" w:rsidRPr="00CE28E3" w:rsidRDefault="009E212B" w:rsidP="00AB704A">
            <w:pPr>
              <w:pStyle w:val="Tabletext0"/>
              <w:spacing w:before="0" w:after="0"/>
            </w:pPr>
            <w:r>
              <w:t>Costs</w:t>
            </w:r>
          </w:p>
        </w:tc>
        <w:tc>
          <w:tcPr>
            <w:tcW w:w="734" w:type="pct"/>
            <w:tcBorders>
              <w:bottom w:val="nil"/>
            </w:tcBorders>
            <w:noWrap/>
          </w:tcPr>
          <w:p w14:paraId="6F7697C2" w14:textId="38E8519F" w:rsidR="009E212B" w:rsidRPr="00CE28E3" w:rsidRDefault="009E212B" w:rsidP="00AB704A">
            <w:pPr>
              <w:pStyle w:val="Tabletext0"/>
              <w:spacing w:before="0" w:after="0"/>
              <w:jc w:val="right"/>
            </w:pPr>
            <w:r w:rsidRPr="00932086">
              <w:t>$</w:t>
            </w:r>
            <w:r w:rsidR="001950C6" w:rsidRPr="001950C6">
              <w:rPr>
                <w:b/>
                <w:bCs/>
              </w:rPr>
              <w:t>redacted</w:t>
            </w:r>
          </w:p>
        </w:tc>
        <w:tc>
          <w:tcPr>
            <w:tcW w:w="735" w:type="pct"/>
            <w:tcBorders>
              <w:bottom w:val="nil"/>
            </w:tcBorders>
            <w:noWrap/>
          </w:tcPr>
          <w:p w14:paraId="33A8F13E" w14:textId="77777777" w:rsidR="009E212B" w:rsidRPr="00CE28E3" w:rsidRDefault="009E212B" w:rsidP="00AB704A">
            <w:pPr>
              <w:pStyle w:val="Tabletext0"/>
              <w:spacing w:before="0" w:after="0"/>
              <w:jc w:val="right"/>
            </w:pPr>
            <w:r w:rsidRPr="00E11287">
              <w:t>$</w:t>
            </w:r>
            <w:r>
              <w:t>8</w:t>
            </w:r>
            <w:r w:rsidRPr="00E11287">
              <w:t>7,5</w:t>
            </w:r>
            <w:r>
              <w:t>22</w:t>
            </w:r>
          </w:p>
        </w:tc>
        <w:tc>
          <w:tcPr>
            <w:tcW w:w="735" w:type="pct"/>
            <w:tcBorders>
              <w:bottom w:val="nil"/>
            </w:tcBorders>
            <w:noWrap/>
          </w:tcPr>
          <w:p w14:paraId="733B9EC7" w14:textId="43900938" w:rsidR="009E212B" w:rsidRPr="00CE28E3" w:rsidRDefault="009E212B" w:rsidP="00AB704A">
            <w:pPr>
              <w:pStyle w:val="Tabletext0"/>
              <w:spacing w:before="0" w:after="0"/>
              <w:jc w:val="right"/>
            </w:pPr>
            <w:r>
              <w:t>$</w:t>
            </w:r>
            <w:r w:rsidR="001950C6" w:rsidRPr="001950C6">
              <w:rPr>
                <w:b/>
                <w:bCs/>
              </w:rPr>
              <w:t>redacted</w:t>
            </w:r>
          </w:p>
        </w:tc>
        <w:tc>
          <w:tcPr>
            <w:tcW w:w="835" w:type="pct"/>
            <w:tcBorders>
              <w:bottom w:val="nil"/>
            </w:tcBorders>
          </w:tcPr>
          <w:p w14:paraId="51472E87" w14:textId="30B32B28" w:rsidR="009E212B" w:rsidRPr="00CE28E3" w:rsidRDefault="009E212B" w:rsidP="00AB704A">
            <w:pPr>
              <w:pStyle w:val="Tabletext0"/>
              <w:spacing w:before="0" w:after="0"/>
              <w:jc w:val="right"/>
            </w:pPr>
            <w:r>
              <w:t>$</w:t>
            </w:r>
            <w:r w:rsidR="00F82F0A" w:rsidRPr="001950C6">
              <w:rPr>
                <w:b/>
                <w:bCs/>
              </w:rPr>
              <w:t>redacted</w:t>
            </w:r>
          </w:p>
        </w:tc>
      </w:tr>
      <w:tr w:rsidR="009E212B" w:rsidRPr="00CE28E3" w14:paraId="0CBE8A4F" w14:textId="77777777">
        <w:trPr>
          <w:cantSplit/>
          <w:trHeight w:val="300"/>
        </w:trPr>
        <w:tc>
          <w:tcPr>
            <w:tcW w:w="1961" w:type="pct"/>
            <w:tcBorders>
              <w:top w:val="nil"/>
            </w:tcBorders>
            <w:noWrap/>
          </w:tcPr>
          <w:p w14:paraId="12A767E0" w14:textId="77777777" w:rsidR="009E212B" w:rsidRDefault="009E212B" w:rsidP="00AB704A">
            <w:pPr>
              <w:pStyle w:val="Tabletext0"/>
              <w:spacing w:before="0" w:after="0"/>
            </w:pPr>
            <w:r>
              <w:t>QALY</w:t>
            </w:r>
          </w:p>
        </w:tc>
        <w:tc>
          <w:tcPr>
            <w:tcW w:w="734" w:type="pct"/>
            <w:tcBorders>
              <w:top w:val="nil"/>
            </w:tcBorders>
            <w:noWrap/>
          </w:tcPr>
          <w:p w14:paraId="3B48B6E5" w14:textId="77777777" w:rsidR="009E212B" w:rsidRDefault="009E212B" w:rsidP="00AB704A">
            <w:pPr>
              <w:pStyle w:val="Tabletext0"/>
              <w:spacing w:before="0" w:after="0"/>
              <w:jc w:val="right"/>
            </w:pPr>
            <w:r w:rsidRPr="00932086">
              <w:t>4.300</w:t>
            </w:r>
          </w:p>
        </w:tc>
        <w:tc>
          <w:tcPr>
            <w:tcW w:w="735" w:type="pct"/>
            <w:tcBorders>
              <w:top w:val="nil"/>
            </w:tcBorders>
            <w:noWrap/>
          </w:tcPr>
          <w:p w14:paraId="6F9D43B5" w14:textId="77777777" w:rsidR="009E212B" w:rsidRDefault="009E212B" w:rsidP="00AB704A">
            <w:pPr>
              <w:pStyle w:val="Tabletext0"/>
              <w:spacing w:before="0" w:after="0"/>
              <w:jc w:val="right"/>
            </w:pPr>
            <w:r w:rsidRPr="00E11287">
              <w:t>0.375</w:t>
            </w:r>
          </w:p>
        </w:tc>
        <w:tc>
          <w:tcPr>
            <w:tcW w:w="735" w:type="pct"/>
            <w:tcBorders>
              <w:top w:val="nil"/>
            </w:tcBorders>
            <w:noWrap/>
          </w:tcPr>
          <w:p w14:paraId="7F3B72C2" w14:textId="77777777" w:rsidR="009E212B" w:rsidRDefault="009E212B" w:rsidP="00AB704A">
            <w:pPr>
              <w:pStyle w:val="Tabletext0"/>
              <w:spacing w:before="0" w:after="0"/>
              <w:jc w:val="right"/>
            </w:pPr>
            <w:r>
              <w:t>3.925</w:t>
            </w:r>
          </w:p>
        </w:tc>
        <w:tc>
          <w:tcPr>
            <w:tcW w:w="835" w:type="pct"/>
            <w:tcBorders>
              <w:top w:val="nil"/>
            </w:tcBorders>
            <w:vAlign w:val="bottom"/>
          </w:tcPr>
          <w:p w14:paraId="26AE6DFF" w14:textId="77777777" w:rsidR="009E212B" w:rsidRPr="00CE28E3" w:rsidRDefault="009E212B" w:rsidP="00AB704A">
            <w:pPr>
              <w:pStyle w:val="Tabletext0"/>
              <w:spacing w:before="0" w:after="0"/>
              <w:jc w:val="right"/>
            </w:pPr>
          </w:p>
        </w:tc>
      </w:tr>
      <w:tr w:rsidR="009E212B" w:rsidRPr="00CE28E3" w14:paraId="3C409D26" w14:textId="77777777">
        <w:trPr>
          <w:cantSplit/>
          <w:trHeight w:val="300"/>
        </w:trPr>
        <w:tc>
          <w:tcPr>
            <w:tcW w:w="5000" w:type="pct"/>
            <w:gridSpan w:val="5"/>
            <w:noWrap/>
          </w:tcPr>
          <w:p w14:paraId="04CCB4CC" w14:textId="0BFB6DF3" w:rsidR="009E212B" w:rsidRPr="00CE28E3" w:rsidRDefault="009E212B" w:rsidP="00AB704A">
            <w:pPr>
              <w:pStyle w:val="Tabletext0"/>
              <w:spacing w:before="0" w:after="0"/>
              <w:jc w:val="left"/>
            </w:pPr>
            <w:r>
              <w:t xml:space="preserve">Step 4 – </w:t>
            </w:r>
            <w:r w:rsidR="00EF36F7" w:rsidRPr="00EF36F7">
              <w:t>Time horizon</w:t>
            </w:r>
            <w:r w:rsidR="00576D2D">
              <w:t xml:space="preserve"> of</w:t>
            </w:r>
            <w:r w:rsidR="00EF36F7" w:rsidRPr="00EF36F7">
              <w:t xml:space="preserve"> 15 years; utility values of 0.64 </w:t>
            </w:r>
            <w:r w:rsidR="00576D2D">
              <w:t>(</w:t>
            </w:r>
            <w:r w:rsidR="00EF36F7" w:rsidRPr="00EF36F7">
              <w:t xml:space="preserve">OMM and </w:t>
            </w:r>
            <w:r w:rsidR="00596728">
              <w:t>L</w:t>
            </w:r>
            <w:r w:rsidR="00EF36F7" w:rsidRPr="00EF36F7">
              <w:t>VAD arm first cycle, and OMM arm subsequent cycles</w:t>
            </w:r>
            <w:r w:rsidR="00576D2D">
              <w:t>)</w:t>
            </w:r>
            <w:r w:rsidR="00EF36F7" w:rsidRPr="00EF36F7">
              <w:t>; annual risk of device replacement</w:t>
            </w:r>
            <w:r w:rsidR="00576D2D">
              <w:t xml:space="preserve"> (</w:t>
            </w:r>
            <w:r w:rsidR="00EF36F7" w:rsidRPr="00EF36F7">
              <w:t>Years 0-2 = 0.01; Years 2+ = 0.011</w:t>
            </w:r>
            <w:r w:rsidR="00576D2D">
              <w:t>)</w:t>
            </w:r>
            <w:r w:rsidR="00EF36F7">
              <w:t>;</w:t>
            </w:r>
            <w:r w:rsidR="00576D2D">
              <w:t xml:space="preserve"> and</w:t>
            </w:r>
            <w:r w:rsidR="00EF36F7">
              <w:t xml:space="preserve"> </w:t>
            </w:r>
            <w:r>
              <w:t xml:space="preserve">OMM first cycle cost = $4,958.11 </w:t>
            </w:r>
          </w:p>
        </w:tc>
      </w:tr>
      <w:tr w:rsidR="009E212B" w:rsidRPr="00CE28E3" w14:paraId="6B66DE40" w14:textId="77777777">
        <w:trPr>
          <w:cantSplit/>
          <w:trHeight w:val="300"/>
        </w:trPr>
        <w:tc>
          <w:tcPr>
            <w:tcW w:w="1961" w:type="pct"/>
            <w:tcBorders>
              <w:bottom w:val="nil"/>
            </w:tcBorders>
            <w:noWrap/>
          </w:tcPr>
          <w:p w14:paraId="15D986A3" w14:textId="77777777" w:rsidR="009E212B" w:rsidRPr="00CE28E3" w:rsidRDefault="009E212B" w:rsidP="00AB704A">
            <w:pPr>
              <w:pStyle w:val="Tabletext0"/>
              <w:spacing w:before="0" w:after="0"/>
            </w:pPr>
            <w:r>
              <w:t>Costs</w:t>
            </w:r>
          </w:p>
        </w:tc>
        <w:tc>
          <w:tcPr>
            <w:tcW w:w="734" w:type="pct"/>
            <w:tcBorders>
              <w:bottom w:val="nil"/>
            </w:tcBorders>
            <w:noWrap/>
          </w:tcPr>
          <w:p w14:paraId="550EC7CC" w14:textId="648B6190" w:rsidR="009E212B" w:rsidRPr="00CE28E3" w:rsidRDefault="009E212B" w:rsidP="00AB704A">
            <w:pPr>
              <w:pStyle w:val="Tabletext0"/>
              <w:spacing w:before="0" w:after="0"/>
              <w:jc w:val="right"/>
            </w:pPr>
            <w:r>
              <w:t>$</w:t>
            </w:r>
            <w:r w:rsidR="001950C6" w:rsidRPr="001950C6">
              <w:rPr>
                <w:b/>
                <w:bCs/>
              </w:rPr>
              <w:t>redacted</w:t>
            </w:r>
          </w:p>
        </w:tc>
        <w:tc>
          <w:tcPr>
            <w:tcW w:w="735" w:type="pct"/>
            <w:tcBorders>
              <w:bottom w:val="nil"/>
            </w:tcBorders>
            <w:noWrap/>
          </w:tcPr>
          <w:p w14:paraId="3313B9DF" w14:textId="77777777" w:rsidR="009E212B" w:rsidRPr="00CE28E3" w:rsidRDefault="009E212B" w:rsidP="00AB704A">
            <w:pPr>
              <w:pStyle w:val="Tabletext0"/>
              <w:spacing w:before="0" w:after="0"/>
              <w:jc w:val="right"/>
            </w:pPr>
            <w:r>
              <w:t>$72,557</w:t>
            </w:r>
          </w:p>
        </w:tc>
        <w:tc>
          <w:tcPr>
            <w:tcW w:w="735" w:type="pct"/>
            <w:tcBorders>
              <w:bottom w:val="nil"/>
            </w:tcBorders>
            <w:noWrap/>
          </w:tcPr>
          <w:p w14:paraId="16CE74E9" w14:textId="522ACED1" w:rsidR="009E212B" w:rsidRPr="00CE28E3" w:rsidRDefault="009E212B" w:rsidP="00AB704A">
            <w:pPr>
              <w:pStyle w:val="Tabletext0"/>
              <w:spacing w:before="0" w:after="0"/>
              <w:jc w:val="right"/>
            </w:pPr>
            <w:r>
              <w:t>$</w:t>
            </w:r>
            <w:r w:rsidR="001950C6" w:rsidRPr="001950C6">
              <w:rPr>
                <w:b/>
                <w:bCs/>
              </w:rPr>
              <w:t>redacted</w:t>
            </w:r>
          </w:p>
        </w:tc>
        <w:tc>
          <w:tcPr>
            <w:tcW w:w="835" w:type="pct"/>
            <w:tcBorders>
              <w:bottom w:val="nil"/>
            </w:tcBorders>
          </w:tcPr>
          <w:p w14:paraId="0967BA68" w14:textId="59B69D73" w:rsidR="009E212B" w:rsidRPr="00CE28E3" w:rsidRDefault="009E212B" w:rsidP="00AB704A">
            <w:pPr>
              <w:pStyle w:val="Tabletext0"/>
              <w:spacing w:before="0" w:after="0"/>
              <w:jc w:val="right"/>
            </w:pPr>
            <w:r>
              <w:t>$</w:t>
            </w:r>
            <w:r w:rsidR="00F82F0A" w:rsidRPr="001950C6">
              <w:rPr>
                <w:b/>
                <w:bCs/>
              </w:rPr>
              <w:t>redacted</w:t>
            </w:r>
          </w:p>
        </w:tc>
      </w:tr>
      <w:tr w:rsidR="009E212B" w:rsidRPr="00CE28E3" w14:paraId="04CDC69C" w14:textId="77777777">
        <w:trPr>
          <w:cantSplit/>
          <w:trHeight w:val="300"/>
        </w:trPr>
        <w:tc>
          <w:tcPr>
            <w:tcW w:w="1961" w:type="pct"/>
            <w:tcBorders>
              <w:top w:val="nil"/>
            </w:tcBorders>
            <w:noWrap/>
          </w:tcPr>
          <w:p w14:paraId="64693F79" w14:textId="77777777" w:rsidR="009E212B" w:rsidRDefault="009E212B" w:rsidP="00AB704A">
            <w:pPr>
              <w:pStyle w:val="Tabletext0"/>
              <w:spacing w:before="0" w:after="0"/>
            </w:pPr>
            <w:r>
              <w:t>QALY</w:t>
            </w:r>
          </w:p>
        </w:tc>
        <w:tc>
          <w:tcPr>
            <w:tcW w:w="734" w:type="pct"/>
            <w:tcBorders>
              <w:top w:val="nil"/>
            </w:tcBorders>
            <w:noWrap/>
          </w:tcPr>
          <w:p w14:paraId="34B4F979" w14:textId="77777777" w:rsidR="009E212B" w:rsidRDefault="009E212B" w:rsidP="00AB704A">
            <w:pPr>
              <w:pStyle w:val="Tabletext0"/>
              <w:spacing w:before="0" w:after="0"/>
              <w:jc w:val="right"/>
            </w:pPr>
            <w:r>
              <w:t>4.300</w:t>
            </w:r>
          </w:p>
        </w:tc>
        <w:tc>
          <w:tcPr>
            <w:tcW w:w="735" w:type="pct"/>
            <w:tcBorders>
              <w:top w:val="nil"/>
            </w:tcBorders>
            <w:noWrap/>
          </w:tcPr>
          <w:p w14:paraId="1DD35BBE" w14:textId="77777777" w:rsidR="009E212B" w:rsidRDefault="009E212B" w:rsidP="00AB704A">
            <w:pPr>
              <w:pStyle w:val="Tabletext0"/>
              <w:spacing w:before="0" w:after="0"/>
              <w:jc w:val="right"/>
            </w:pPr>
            <w:r>
              <w:t>0.375</w:t>
            </w:r>
          </w:p>
        </w:tc>
        <w:tc>
          <w:tcPr>
            <w:tcW w:w="735" w:type="pct"/>
            <w:tcBorders>
              <w:top w:val="nil"/>
            </w:tcBorders>
            <w:noWrap/>
          </w:tcPr>
          <w:p w14:paraId="5073581F" w14:textId="77777777" w:rsidR="009E212B" w:rsidRDefault="009E212B" w:rsidP="00AB704A">
            <w:pPr>
              <w:pStyle w:val="Tabletext0"/>
              <w:spacing w:before="0" w:after="0"/>
              <w:jc w:val="right"/>
            </w:pPr>
            <w:r>
              <w:t>3.925</w:t>
            </w:r>
          </w:p>
        </w:tc>
        <w:tc>
          <w:tcPr>
            <w:tcW w:w="835" w:type="pct"/>
            <w:tcBorders>
              <w:top w:val="nil"/>
            </w:tcBorders>
          </w:tcPr>
          <w:p w14:paraId="74087DC4" w14:textId="77777777" w:rsidR="009E212B" w:rsidRPr="00CE28E3" w:rsidRDefault="009E212B" w:rsidP="00AB704A">
            <w:pPr>
              <w:pStyle w:val="Tabletext0"/>
              <w:spacing w:before="0" w:after="0"/>
              <w:jc w:val="right"/>
            </w:pPr>
          </w:p>
        </w:tc>
      </w:tr>
      <w:tr w:rsidR="009E212B" w:rsidRPr="00CE28E3" w14:paraId="3F5CA106" w14:textId="77777777">
        <w:trPr>
          <w:cantSplit/>
          <w:trHeight w:val="300"/>
        </w:trPr>
        <w:tc>
          <w:tcPr>
            <w:tcW w:w="5000" w:type="pct"/>
            <w:gridSpan w:val="5"/>
            <w:noWrap/>
          </w:tcPr>
          <w:p w14:paraId="654912A1" w14:textId="7C560B46" w:rsidR="009E212B" w:rsidRPr="00CE28E3" w:rsidRDefault="009E212B" w:rsidP="00AB704A">
            <w:pPr>
              <w:pStyle w:val="Tabletext0"/>
              <w:spacing w:before="0" w:after="0"/>
              <w:jc w:val="left"/>
            </w:pPr>
            <w:r>
              <w:t xml:space="preserve">Step 5 – </w:t>
            </w:r>
            <w:r w:rsidR="00EF36F7" w:rsidRPr="00EF36F7">
              <w:t>Time horizon</w:t>
            </w:r>
            <w:r w:rsidR="001D67DD">
              <w:t xml:space="preserve"> of</w:t>
            </w:r>
            <w:r w:rsidR="00EF36F7" w:rsidRPr="00EF36F7">
              <w:t xml:space="preserve"> 15 years; utility values of 0.64 </w:t>
            </w:r>
            <w:r w:rsidR="001D67DD">
              <w:t>(</w:t>
            </w:r>
            <w:r w:rsidR="00EF36F7" w:rsidRPr="00EF36F7">
              <w:t xml:space="preserve">OMM and </w:t>
            </w:r>
            <w:r w:rsidR="00596728">
              <w:t>L</w:t>
            </w:r>
            <w:r w:rsidR="00EF36F7" w:rsidRPr="00EF36F7">
              <w:t>VAD arm first cycle, and OMM arm subsequent cycles</w:t>
            </w:r>
            <w:r w:rsidR="001D67DD">
              <w:t>)</w:t>
            </w:r>
            <w:r w:rsidR="00EF36F7" w:rsidRPr="00EF36F7">
              <w:t>; annual risk of device replacement</w:t>
            </w:r>
            <w:r w:rsidR="001D67DD">
              <w:t xml:space="preserve"> (</w:t>
            </w:r>
            <w:r w:rsidR="00EF36F7" w:rsidRPr="00EF36F7">
              <w:t>Years 0-2 = 0.01; Years 2+ = 0.011</w:t>
            </w:r>
            <w:r w:rsidR="001D67DD">
              <w:t>)</w:t>
            </w:r>
            <w:r w:rsidR="00EF36F7">
              <w:t xml:space="preserve">; OMM first cycle cost = $4,958.11; </w:t>
            </w:r>
            <w:r w:rsidR="001D67DD">
              <w:t xml:space="preserve">and </w:t>
            </w:r>
            <w:r w:rsidR="00EF36F7">
              <w:t>a</w:t>
            </w:r>
            <w:r>
              <w:t>ftercare costs = $19,489.46 per year in months 0-24</w:t>
            </w:r>
            <w:r w:rsidR="00C64813">
              <w:t>.</w:t>
            </w:r>
          </w:p>
        </w:tc>
      </w:tr>
      <w:tr w:rsidR="009E212B" w:rsidRPr="00CE28E3" w14:paraId="5B0FAF9B" w14:textId="77777777">
        <w:trPr>
          <w:cantSplit/>
          <w:trHeight w:val="300"/>
        </w:trPr>
        <w:tc>
          <w:tcPr>
            <w:tcW w:w="1961" w:type="pct"/>
            <w:tcBorders>
              <w:bottom w:val="nil"/>
            </w:tcBorders>
            <w:noWrap/>
          </w:tcPr>
          <w:p w14:paraId="5F9A4AA7" w14:textId="77777777" w:rsidR="009E212B" w:rsidRPr="00CE28E3" w:rsidRDefault="009E212B" w:rsidP="00AB704A">
            <w:pPr>
              <w:pStyle w:val="Tabletext0"/>
              <w:spacing w:before="0" w:after="0"/>
            </w:pPr>
            <w:r>
              <w:t>Costs</w:t>
            </w:r>
          </w:p>
        </w:tc>
        <w:tc>
          <w:tcPr>
            <w:tcW w:w="734" w:type="pct"/>
            <w:tcBorders>
              <w:bottom w:val="nil"/>
            </w:tcBorders>
            <w:noWrap/>
          </w:tcPr>
          <w:p w14:paraId="3D2EE2F4" w14:textId="4DC32BE1" w:rsidR="009E212B" w:rsidRPr="00CE28E3" w:rsidRDefault="009E212B" w:rsidP="00AB704A">
            <w:pPr>
              <w:pStyle w:val="Tabletext0"/>
              <w:spacing w:before="0" w:after="0"/>
              <w:jc w:val="right"/>
            </w:pPr>
            <w:r>
              <w:t>$</w:t>
            </w:r>
            <w:r w:rsidR="001950C6" w:rsidRPr="001950C6">
              <w:rPr>
                <w:b/>
                <w:bCs/>
              </w:rPr>
              <w:t>redacted</w:t>
            </w:r>
          </w:p>
        </w:tc>
        <w:tc>
          <w:tcPr>
            <w:tcW w:w="735" w:type="pct"/>
            <w:tcBorders>
              <w:bottom w:val="nil"/>
            </w:tcBorders>
            <w:noWrap/>
          </w:tcPr>
          <w:p w14:paraId="4AC56EE6" w14:textId="77777777" w:rsidR="009E212B" w:rsidRPr="00CE28E3" w:rsidRDefault="009E212B" w:rsidP="00AB704A">
            <w:pPr>
              <w:pStyle w:val="Tabletext0"/>
              <w:spacing w:before="0" w:after="0"/>
              <w:jc w:val="right"/>
            </w:pPr>
            <w:r>
              <w:t>$72,557</w:t>
            </w:r>
          </w:p>
        </w:tc>
        <w:tc>
          <w:tcPr>
            <w:tcW w:w="735" w:type="pct"/>
            <w:tcBorders>
              <w:bottom w:val="nil"/>
            </w:tcBorders>
            <w:noWrap/>
          </w:tcPr>
          <w:p w14:paraId="133C599B" w14:textId="53772E2E" w:rsidR="009E212B" w:rsidRPr="00CE28E3" w:rsidRDefault="009E212B" w:rsidP="00AB704A">
            <w:pPr>
              <w:pStyle w:val="Tabletext0"/>
              <w:spacing w:before="0" w:after="0"/>
              <w:jc w:val="right"/>
            </w:pPr>
            <w:r>
              <w:t>$</w:t>
            </w:r>
            <w:r w:rsidR="001950C6" w:rsidRPr="001950C6">
              <w:rPr>
                <w:b/>
                <w:bCs/>
              </w:rPr>
              <w:t>redacted</w:t>
            </w:r>
          </w:p>
        </w:tc>
        <w:tc>
          <w:tcPr>
            <w:tcW w:w="835" w:type="pct"/>
            <w:tcBorders>
              <w:bottom w:val="nil"/>
            </w:tcBorders>
          </w:tcPr>
          <w:p w14:paraId="0D463FF1" w14:textId="36E5B894" w:rsidR="009E212B" w:rsidRPr="00CE28E3" w:rsidRDefault="009E212B" w:rsidP="00AB704A">
            <w:pPr>
              <w:pStyle w:val="Tabletext0"/>
              <w:spacing w:before="0" w:after="0"/>
              <w:jc w:val="right"/>
            </w:pPr>
            <w:r>
              <w:t>$</w:t>
            </w:r>
            <w:r w:rsidR="00F82F0A" w:rsidRPr="001950C6">
              <w:rPr>
                <w:b/>
                <w:bCs/>
              </w:rPr>
              <w:t>redacted</w:t>
            </w:r>
          </w:p>
        </w:tc>
      </w:tr>
      <w:tr w:rsidR="009E212B" w:rsidRPr="00CE28E3" w14:paraId="7EC26DB4" w14:textId="77777777">
        <w:trPr>
          <w:cantSplit/>
          <w:trHeight w:val="300"/>
        </w:trPr>
        <w:tc>
          <w:tcPr>
            <w:tcW w:w="1961" w:type="pct"/>
            <w:tcBorders>
              <w:top w:val="nil"/>
            </w:tcBorders>
            <w:noWrap/>
          </w:tcPr>
          <w:p w14:paraId="03D0A9D9" w14:textId="77777777" w:rsidR="009E212B" w:rsidRDefault="009E212B" w:rsidP="00AB704A">
            <w:pPr>
              <w:pStyle w:val="Tabletext0"/>
              <w:spacing w:before="0" w:after="0"/>
            </w:pPr>
            <w:r>
              <w:t>QALY</w:t>
            </w:r>
          </w:p>
        </w:tc>
        <w:tc>
          <w:tcPr>
            <w:tcW w:w="734" w:type="pct"/>
            <w:tcBorders>
              <w:top w:val="nil"/>
            </w:tcBorders>
            <w:noWrap/>
          </w:tcPr>
          <w:p w14:paraId="7710A9D1" w14:textId="77777777" w:rsidR="009E212B" w:rsidRDefault="009E212B" w:rsidP="00AB704A">
            <w:pPr>
              <w:pStyle w:val="Tabletext0"/>
              <w:spacing w:before="0" w:after="0"/>
              <w:jc w:val="right"/>
            </w:pPr>
            <w:r>
              <w:t>4.300</w:t>
            </w:r>
          </w:p>
        </w:tc>
        <w:tc>
          <w:tcPr>
            <w:tcW w:w="735" w:type="pct"/>
            <w:tcBorders>
              <w:top w:val="nil"/>
            </w:tcBorders>
            <w:noWrap/>
          </w:tcPr>
          <w:p w14:paraId="554FBBC6" w14:textId="77777777" w:rsidR="009E212B" w:rsidRDefault="009E212B" w:rsidP="00AB704A">
            <w:pPr>
              <w:pStyle w:val="Tabletext0"/>
              <w:spacing w:before="0" w:after="0"/>
              <w:jc w:val="right"/>
            </w:pPr>
            <w:r>
              <w:t>0.375</w:t>
            </w:r>
          </w:p>
        </w:tc>
        <w:tc>
          <w:tcPr>
            <w:tcW w:w="735" w:type="pct"/>
            <w:tcBorders>
              <w:top w:val="nil"/>
            </w:tcBorders>
            <w:noWrap/>
          </w:tcPr>
          <w:p w14:paraId="6EE376B7" w14:textId="77777777" w:rsidR="009E212B" w:rsidRDefault="009E212B" w:rsidP="00AB704A">
            <w:pPr>
              <w:pStyle w:val="Tabletext0"/>
              <w:spacing w:before="0" w:after="0"/>
              <w:jc w:val="right"/>
            </w:pPr>
            <w:r>
              <w:t>3.925</w:t>
            </w:r>
          </w:p>
        </w:tc>
        <w:tc>
          <w:tcPr>
            <w:tcW w:w="835" w:type="pct"/>
            <w:tcBorders>
              <w:top w:val="nil"/>
            </w:tcBorders>
          </w:tcPr>
          <w:p w14:paraId="274E37E1" w14:textId="77777777" w:rsidR="009E212B" w:rsidRPr="00CE28E3" w:rsidRDefault="009E212B" w:rsidP="00AB704A">
            <w:pPr>
              <w:pStyle w:val="Tabletext0"/>
              <w:spacing w:before="0" w:after="0"/>
              <w:jc w:val="right"/>
            </w:pPr>
          </w:p>
        </w:tc>
      </w:tr>
      <w:tr w:rsidR="009E212B" w:rsidRPr="00CE28E3" w14:paraId="4B77C646" w14:textId="77777777">
        <w:trPr>
          <w:cantSplit/>
          <w:trHeight w:val="300"/>
        </w:trPr>
        <w:tc>
          <w:tcPr>
            <w:tcW w:w="5000" w:type="pct"/>
            <w:gridSpan w:val="5"/>
            <w:tcBorders>
              <w:top w:val="nil"/>
            </w:tcBorders>
            <w:noWrap/>
          </w:tcPr>
          <w:p w14:paraId="03F790B9" w14:textId="77777777" w:rsidR="009E212B" w:rsidRDefault="009E212B" w:rsidP="00AB704A">
            <w:pPr>
              <w:pStyle w:val="Tabletext0"/>
              <w:spacing w:before="0" w:after="0"/>
              <w:jc w:val="left"/>
            </w:pPr>
            <w:r>
              <w:rPr>
                <w:b/>
                <w:bCs/>
              </w:rPr>
              <w:t>L</w:t>
            </w:r>
            <w:r w:rsidRPr="00B60FDC">
              <w:rPr>
                <w:b/>
                <w:bCs/>
              </w:rPr>
              <w:t>ikely overestimated case</w:t>
            </w:r>
          </w:p>
        </w:tc>
      </w:tr>
      <w:tr w:rsidR="009E212B" w:rsidRPr="00CE28E3" w14:paraId="51EAD748" w14:textId="77777777">
        <w:trPr>
          <w:cantSplit/>
          <w:trHeight w:val="300"/>
        </w:trPr>
        <w:tc>
          <w:tcPr>
            <w:tcW w:w="5000" w:type="pct"/>
            <w:gridSpan w:val="5"/>
            <w:tcBorders>
              <w:top w:val="nil"/>
            </w:tcBorders>
            <w:noWrap/>
          </w:tcPr>
          <w:p w14:paraId="4CFE46B1" w14:textId="624FAA88" w:rsidR="009E212B" w:rsidRDefault="009E212B" w:rsidP="00AB704A">
            <w:pPr>
              <w:pStyle w:val="Tabletext0"/>
              <w:spacing w:before="0" w:after="0"/>
              <w:jc w:val="left"/>
            </w:pPr>
            <w:r>
              <w:t xml:space="preserve">Step 1 </w:t>
            </w:r>
            <w:r w:rsidRPr="00CE28E3">
              <w:t>–</w:t>
            </w:r>
            <w:r>
              <w:t xml:space="preserve"> Time horizon</w:t>
            </w:r>
            <w:r w:rsidR="00BD0CD9">
              <w:t xml:space="preserve"> of</w:t>
            </w:r>
            <w:r>
              <w:t xml:space="preserve"> 10 years</w:t>
            </w:r>
          </w:p>
        </w:tc>
      </w:tr>
      <w:tr w:rsidR="009E212B" w:rsidRPr="00CE28E3" w14:paraId="27766E5A" w14:textId="77777777">
        <w:trPr>
          <w:cantSplit/>
          <w:trHeight w:val="300"/>
        </w:trPr>
        <w:tc>
          <w:tcPr>
            <w:tcW w:w="1961" w:type="pct"/>
            <w:tcBorders>
              <w:top w:val="nil"/>
            </w:tcBorders>
            <w:noWrap/>
          </w:tcPr>
          <w:p w14:paraId="3951BCF9" w14:textId="77777777" w:rsidR="009E212B" w:rsidRDefault="009E212B" w:rsidP="00AB704A">
            <w:pPr>
              <w:pStyle w:val="Tabletext0"/>
              <w:spacing w:before="0" w:after="0"/>
            </w:pPr>
            <w:r>
              <w:t>Costs</w:t>
            </w:r>
          </w:p>
          <w:p w14:paraId="0FCB71CE" w14:textId="77777777" w:rsidR="009E212B" w:rsidRDefault="009E212B" w:rsidP="00AB704A">
            <w:pPr>
              <w:pStyle w:val="Tabletext0"/>
              <w:spacing w:before="0" w:after="0"/>
            </w:pPr>
            <w:r>
              <w:t>QALY</w:t>
            </w:r>
          </w:p>
        </w:tc>
        <w:tc>
          <w:tcPr>
            <w:tcW w:w="734" w:type="pct"/>
            <w:tcBorders>
              <w:top w:val="nil"/>
            </w:tcBorders>
            <w:noWrap/>
          </w:tcPr>
          <w:p w14:paraId="0AD99B0B" w14:textId="25E6C801" w:rsidR="009E212B" w:rsidRDefault="009E212B" w:rsidP="00AB704A">
            <w:pPr>
              <w:pStyle w:val="Tabletext0"/>
              <w:spacing w:before="0" w:after="0"/>
              <w:jc w:val="right"/>
            </w:pPr>
            <w:r>
              <w:t>$</w:t>
            </w:r>
            <w:r w:rsidR="001950C6" w:rsidRPr="001950C6">
              <w:rPr>
                <w:b/>
                <w:bCs/>
              </w:rPr>
              <w:t>redacted</w:t>
            </w:r>
          </w:p>
          <w:p w14:paraId="591DB91B" w14:textId="77777777" w:rsidR="009E212B" w:rsidRDefault="009E212B" w:rsidP="00AB704A">
            <w:pPr>
              <w:pStyle w:val="Tabletext0"/>
              <w:spacing w:before="0" w:after="0"/>
              <w:jc w:val="right"/>
            </w:pPr>
            <w:r>
              <w:t>3.648</w:t>
            </w:r>
          </w:p>
        </w:tc>
        <w:tc>
          <w:tcPr>
            <w:tcW w:w="735" w:type="pct"/>
            <w:tcBorders>
              <w:top w:val="nil"/>
            </w:tcBorders>
            <w:noWrap/>
          </w:tcPr>
          <w:p w14:paraId="64531EEB" w14:textId="77777777" w:rsidR="009E212B" w:rsidRDefault="009E212B" w:rsidP="00AB704A">
            <w:pPr>
              <w:pStyle w:val="Tabletext0"/>
              <w:spacing w:before="0" w:after="0"/>
              <w:jc w:val="right"/>
            </w:pPr>
            <w:r>
              <w:t>$87,522</w:t>
            </w:r>
          </w:p>
          <w:p w14:paraId="63D5FC9A" w14:textId="77777777" w:rsidR="009E212B" w:rsidRDefault="009E212B" w:rsidP="00AB704A">
            <w:pPr>
              <w:pStyle w:val="Tabletext0"/>
              <w:spacing w:before="0" w:after="0"/>
              <w:jc w:val="right"/>
            </w:pPr>
            <w:r>
              <w:t>0.258</w:t>
            </w:r>
          </w:p>
        </w:tc>
        <w:tc>
          <w:tcPr>
            <w:tcW w:w="735" w:type="pct"/>
            <w:tcBorders>
              <w:top w:val="nil"/>
            </w:tcBorders>
            <w:noWrap/>
          </w:tcPr>
          <w:p w14:paraId="23489AFB" w14:textId="219397B8" w:rsidR="009E212B" w:rsidRDefault="009E212B" w:rsidP="00AB704A">
            <w:pPr>
              <w:pStyle w:val="Tabletext0"/>
              <w:spacing w:before="0" w:after="0"/>
              <w:jc w:val="right"/>
            </w:pPr>
            <w:r>
              <w:t>$</w:t>
            </w:r>
            <w:r w:rsidR="001950C6" w:rsidRPr="001950C6">
              <w:rPr>
                <w:b/>
                <w:bCs/>
              </w:rPr>
              <w:t>redacted</w:t>
            </w:r>
          </w:p>
          <w:p w14:paraId="336E4C67" w14:textId="77777777" w:rsidR="009E212B" w:rsidRDefault="009E212B" w:rsidP="00AB704A">
            <w:pPr>
              <w:pStyle w:val="Tabletext0"/>
              <w:spacing w:before="0" w:after="0"/>
              <w:jc w:val="right"/>
            </w:pPr>
            <w:r>
              <w:t>3.391</w:t>
            </w:r>
          </w:p>
        </w:tc>
        <w:tc>
          <w:tcPr>
            <w:tcW w:w="835" w:type="pct"/>
            <w:tcBorders>
              <w:top w:val="nil"/>
            </w:tcBorders>
          </w:tcPr>
          <w:p w14:paraId="2975CE41" w14:textId="743B01C1" w:rsidR="009E212B" w:rsidRDefault="009E212B" w:rsidP="00AB704A">
            <w:pPr>
              <w:pStyle w:val="Tabletext0"/>
              <w:spacing w:before="0" w:after="0"/>
              <w:jc w:val="right"/>
            </w:pPr>
            <w:r>
              <w:t>$</w:t>
            </w:r>
            <w:r w:rsidR="00F82F0A" w:rsidRPr="001950C6">
              <w:rPr>
                <w:b/>
                <w:bCs/>
              </w:rPr>
              <w:t>redacted</w:t>
            </w:r>
          </w:p>
        </w:tc>
      </w:tr>
      <w:tr w:rsidR="009E212B" w:rsidRPr="00CE28E3" w14:paraId="597817A4" w14:textId="77777777">
        <w:trPr>
          <w:cantSplit/>
          <w:trHeight w:val="300"/>
        </w:trPr>
        <w:tc>
          <w:tcPr>
            <w:tcW w:w="5000" w:type="pct"/>
            <w:gridSpan w:val="5"/>
            <w:tcBorders>
              <w:top w:val="nil"/>
            </w:tcBorders>
            <w:noWrap/>
          </w:tcPr>
          <w:p w14:paraId="05744B44" w14:textId="77BF2E09" w:rsidR="009E212B" w:rsidRDefault="009E212B" w:rsidP="00AB704A">
            <w:pPr>
              <w:pStyle w:val="Tabletext0"/>
              <w:spacing w:before="0" w:after="0"/>
              <w:jc w:val="left"/>
            </w:pPr>
            <w:r w:rsidRPr="00D97910">
              <w:t xml:space="preserve">Step 2 – </w:t>
            </w:r>
            <w:r w:rsidR="00BD0CD9">
              <w:t>Time horizon of 10 years</w:t>
            </w:r>
            <w:r w:rsidR="00BD0CD9" w:rsidRPr="00D97910">
              <w:t xml:space="preserve"> </w:t>
            </w:r>
            <w:r w:rsidR="00BD0CD9">
              <w:t>and u</w:t>
            </w:r>
            <w:r w:rsidRPr="00D97910">
              <w:t xml:space="preserve">tility values of 0.64 </w:t>
            </w:r>
            <w:r w:rsidR="00BD0CD9">
              <w:t>(</w:t>
            </w:r>
            <w:r w:rsidRPr="00D97910">
              <w:t xml:space="preserve">OMM and </w:t>
            </w:r>
            <w:r w:rsidR="00596728">
              <w:t>L</w:t>
            </w:r>
            <w:r w:rsidR="00ED6CA5">
              <w:t>VAD</w:t>
            </w:r>
            <w:r w:rsidRPr="00D97910">
              <w:t xml:space="preserve"> arm first cycle, and OMM arm subsequent cycles</w:t>
            </w:r>
            <w:r w:rsidR="00BD0CD9">
              <w:t>)</w:t>
            </w:r>
          </w:p>
        </w:tc>
      </w:tr>
      <w:tr w:rsidR="009E212B" w:rsidRPr="00CE28E3" w14:paraId="0210EEBA" w14:textId="77777777">
        <w:trPr>
          <w:cantSplit/>
          <w:trHeight w:val="300"/>
        </w:trPr>
        <w:tc>
          <w:tcPr>
            <w:tcW w:w="1961" w:type="pct"/>
            <w:tcBorders>
              <w:top w:val="nil"/>
            </w:tcBorders>
            <w:noWrap/>
          </w:tcPr>
          <w:p w14:paraId="6F2FC14C" w14:textId="77777777" w:rsidR="009E212B" w:rsidRDefault="009E212B" w:rsidP="00AB704A">
            <w:pPr>
              <w:pStyle w:val="Tabletext0"/>
              <w:spacing w:before="0" w:after="0"/>
            </w:pPr>
            <w:r>
              <w:t>Costs</w:t>
            </w:r>
          </w:p>
          <w:p w14:paraId="16176ED5" w14:textId="77777777" w:rsidR="009E212B" w:rsidRDefault="009E212B" w:rsidP="00AB704A">
            <w:pPr>
              <w:pStyle w:val="Tabletext0"/>
              <w:spacing w:before="0" w:after="0"/>
            </w:pPr>
            <w:r>
              <w:t>QALY</w:t>
            </w:r>
          </w:p>
        </w:tc>
        <w:tc>
          <w:tcPr>
            <w:tcW w:w="734" w:type="pct"/>
            <w:tcBorders>
              <w:top w:val="nil"/>
            </w:tcBorders>
            <w:noWrap/>
          </w:tcPr>
          <w:p w14:paraId="1C039C5A" w14:textId="16BF3803" w:rsidR="009E212B" w:rsidRDefault="009E212B" w:rsidP="00AB704A">
            <w:pPr>
              <w:pStyle w:val="Tabletext0"/>
              <w:spacing w:before="0" w:after="0"/>
              <w:jc w:val="right"/>
            </w:pPr>
            <w:r>
              <w:t>$</w:t>
            </w:r>
            <w:r w:rsidR="001950C6" w:rsidRPr="001950C6">
              <w:rPr>
                <w:b/>
                <w:bCs/>
              </w:rPr>
              <w:t>redacted</w:t>
            </w:r>
          </w:p>
          <w:p w14:paraId="5191DA4C" w14:textId="77777777" w:rsidR="009E212B" w:rsidRDefault="009E212B" w:rsidP="00AB704A">
            <w:pPr>
              <w:pStyle w:val="Tabletext0"/>
              <w:spacing w:before="0" w:after="0"/>
              <w:jc w:val="right"/>
            </w:pPr>
            <w:r>
              <w:t>3.648</w:t>
            </w:r>
          </w:p>
        </w:tc>
        <w:tc>
          <w:tcPr>
            <w:tcW w:w="735" w:type="pct"/>
            <w:tcBorders>
              <w:top w:val="nil"/>
            </w:tcBorders>
            <w:noWrap/>
          </w:tcPr>
          <w:p w14:paraId="637078E3" w14:textId="77777777" w:rsidR="009E212B" w:rsidRDefault="009E212B" w:rsidP="00AB704A">
            <w:pPr>
              <w:pStyle w:val="Tabletext0"/>
              <w:spacing w:before="0" w:after="0"/>
              <w:jc w:val="right"/>
            </w:pPr>
            <w:r w:rsidRPr="00E11287">
              <w:t>$</w:t>
            </w:r>
            <w:r>
              <w:t>8</w:t>
            </w:r>
            <w:r w:rsidRPr="00E11287">
              <w:t>7,5</w:t>
            </w:r>
            <w:r>
              <w:t>22</w:t>
            </w:r>
          </w:p>
          <w:p w14:paraId="6CDA9027" w14:textId="77777777" w:rsidR="009E212B" w:rsidRDefault="009E212B" w:rsidP="00AB704A">
            <w:pPr>
              <w:pStyle w:val="Tabletext0"/>
              <w:spacing w:before="0" w:after="0"/>
              <w:jc w:val="right"/>
            </w:pPr>
            <w:r w:rsidRPr="00E11287">
              <w:t>0.375</w:t>
            </w:r>
          </w:p>
        </w:tc>
        <w:tc>
          <w:tcPr>
            <w:tcW w:w="735" w:type="pct"/>
            <w:tcBorders>
              <w:top w:val="nil"/>
            </w:tcBorders>
            <w:noWrap/>
          </w:tcPr>
          <w:p w14:paraId="17D91365" w14:textId="40D477F9" w:rsidR="009E212B" w:rsidRDefault="009E212B" w:rsidP="00AB704A">
            <w:pPr>
              <w:pStyle w:val="Tabletext0"/>
              <w:spacing w:before="0" w:after="0"/>
              <w:jc w:val="right"/>
            </w:pPr>
            <w:r>
              <w:t>$</w:t>
            </w:r>
            <w:r w:rsidR="001950C6" w:rsidRPr="001950C6">
              <w:rPr>
                <w:b/>
                <w:bCs/>
              </w:rPr>
              <w:t>redacted</w:t>
            </w:r>
          </w:p>
          <w:p w14:paraId="7DC9BA77" w14:textId="77777777" w:rsidR="009E212B" w:rsidRDefault="009E212B" w:rsidP="00AB704A">
            <w:pPr>
              <w:pStyle w:val="Tabletext0"/>
              <w:spacing w:before="0" w:after="0"/>
              <w:jc w:val="right"/>
            </w:pPr>
            <w:r>
              <w:t>3.282</w:t>
            </w:r>
          </w:p>
        </w:tc>
        <w:tc>
          <w:tcPr>
            <w:tcW w:w="835" w:type="pct"/>
            <w:tcBorders>
              <w:top w:val="nil"/>
            </w:tcBorders>
          </w:tcPr>
          <w:p w14:paraId="3F0370F3" w14:textId="79179357" w:rsidR="009E212B" w:rsidRDefault="009E212B" w:rsidP="00AB704A">
            <w:pPr>
              <w:pStyle w:val="Tabletext0"/>
              <w:spacing w:before="0" w:after="0"/>
              <w:jc w:val="right"/>
            </w:pPr>
            <w:r>
              <w:t>$</w:t>
            </w:r>
            <w:r w:rsidR="00F82F0A" w:rsidRPr="001950C6">
              <w:rPr>
                <w:b/>
                <w:bCs/>
              </w:rPr>
              <w:t>redacted</w:t>
            </w:r>
          </w:p>
        </w:tc>
      </w:tr>
      <w:tr w:rsidR="009E212B" w:rsidRPr="00CE28E3" w14:paraId="2DF2964E" w14:textId="77777777">
        <w:trPr>
          <w:cantSplit/>
          <w:trHeight w:val="300"/>
        </w:trPr>
        <w:tc>
          <w:tcPr>
            <w:tcW w:w="5000" w:type="pct"/>
            <w:gridSpan w:val="5"/>
            <w:tcBorders>
              <w:top w:val="nil"/>
            </w:tcBorders>
            <w:noWrap/>
          </w:tcPr>
          <w:p w14:paraId="5EA2FDE1" w14:textId="7ADC7D48" w:rsidR="009E212B" w:rsidRDefault="009E212B" w:rsidP="00AB704A">
            <w:pPr>
              <w:pStyle w:val="Tabletext0"/>
              <w:spacing w:before="0" w:after="0"/>
              <w:jc w:val="left"/>
            </w:pPr>
            <w:r w:rsidRPr="00CE28E3">
              <w:t xml:space="preserve">Step </w:t>
            </w:r>
            <w:r>
              <w:t>3</w:t>
            </w:r>
            <w:r w:rsidRPr="00CE28E3">
              <w:t xml:space="preserve"> </w:t>
            </w:r>
            <w:r>
              <w:t>–</w:t>
            </w:r>
            <w:r w:rsidRPr="00CE28E3">
              <w:t xml:space="preserve"> </w:t>
            </w:r>
            <w:r w:rsidR="00BF437E">
              <w:t>Time horizon of 10 years; u</w:t>
            </w:r>
            <w:r w:rsidR="00BF437E" w:rsidRPr="00D97910">
              <w:t xml:space="preserve">tility values of 0.64 </w:t>
            </w:r>
            <w:r w:rsidR="00BF437E">
              <w:t>(</w:t>
            </w:r>
            <w:r w:rsidR="00BF437E" w:rsidRPr="00D97910">
              <w:t xml:space="preserve">OMM and </w:t>
            </w:r>
            <w:r w:rsidR="00596728">
              <w:t>L</w:t>
            </w:r>
            <w:r w:rsidR="00BF437E">
              <w:t>VAD</w:t>
            </w:r>
            <w:r w:rsidR="00BF437E" w:rsidRPr="00D97910">
              <w:t xml:space="preserve"> arm first cycle, and OMM arm subsequent cycles</w:t>
            </w:r>
            <w:r w:rsidR="00BF437E">
              <w:t>)</w:t>
            </w:r>
            <w:r w:rsidR="009370DD">
              <w:t>;</w:t>
            </w:r>
            <w:r w:rsidR="00BF437E">
              <w:t xml:space="preserve"> and a</w:t>
            </w:r>
            <w:r>
              <w:t>nnual risk of device replacement</w:t>
            </w:r>
            <w:r w:rsidR="00BF437E">
              <w:t xml:space="preserve"> (</w:t>
            </w:r>
            <w:r>
              <w:t>Years 0-2 = 0.01; Years 2+ = 0.022</w:t>
            </w:r>
            <w:r w:rsidR="00BF437E">
              <w:t>)</w:t>
            </w:r>
          </w:p>
        </w:tc>
      </w:tr>
      <w:tr w:rsidR="009E212B" w:rsidRPr="00CE28E3" w14:paraId="58AD5C1D" w14:textId="77777777">
        <w:trPr>
          <w:cantSplit/>
          <w:trHeight w:val="300"/>
        </w:trPr>
        <w:tc>
          <w:tcPr>
            <w:tcW w:w="1961" w:type="pct"/>
            <w:tcBorders>
              <w:top w:val="nil"/>
            </w:tcBorders>
            <w:noWrap/>
          </w:tcPr>
          <w:p w14:paraId="2B5992EC" w14:textId="0126D032" w:rsidR="009E212B" w:rsidRDefault="009E212B" w:rsidP="00AB704A">
            <w:pPr>
              <w:pStyle w:val="Tabletext0"/>
              <w:spacing w:before="0" w:after="0"/>
            </w:pPr>
            <w:r>
              <w:t>Costs</w:t>
            </w:r>
          </w:p>
          <w:p w14:paraId="266627F3" w14:textId="77777777" w:rsidR="009E212B" w:rsidRDefault="009E212B" w:rsidP="00AB704A">
            <w:pPr>
              <w:pStyle w:val="Tabletext0"/>
              <w:spacing w:before="0" w:after="0"/>
            </w:pPr>
            <w:r>
              <w:t>QALY</w:t>
            </w:r>
          </w:p>
        </w:tc>
        <w:tc>
          <w:tcPr>
            <w:tcW w:w="734" w:type="pct"/>
            <w:tcBorders>
              <w:top w:val="nil"/>
            </w:tcBorders>
            <w:noWrap/>
          </w:tcPr>
          <w:p w14:paraId="3817624E" w14:textId="187C6A97" w:rsidR="009E212B" w:rsidRPr="00305B5A" w:rsidRDefault="009E212B" w:rsidP="00AB704A">
            <w:pPr>
              <w:pStyle w:val="Tabletext0"/>
              <w:spacing w:before="0" w:after="0"/>
              <w:jc w:val="right"/>
              <w:rPr>
                <w:i/>
                <w:iCs/>
              </w:rPr>
            </w:pPr>
            <w:r w:rsidRPr="00D74C1B">
              <w:t>$</w:t>
            </w:r>
            <w:r w:rsidR="001950C6" w:rsidRPr="001950C6">
              <w:rPr>
                <w:b/>
                <w:bCs/>
              </w:rPr>
              <w:t>redacted</w:t>
            </w:r>
            <w:r w:rsidRPr="00305B5A">
              <w:t xml:space="preserve"> </w:t>
            </w:r>
          </w:p>
          <w:p w14:paraId="742319AF" w14:textId="77777777" w:rsidR="009E212B" w:rsidRDefault="009E212B" w:rsidP="00AB704A">
            <w:pPr>
              <w:pStyle w:val="Tabletext0"/>
              <w:spacing w:before="0" w:after="0"/>
              <w:jc w:val="right"/>
            </w:pPr>
            <w:r>
              <w:t>3.657</w:t>
            </w:r>
          </w:p>
        </w:tc>
        <w:tc>
          <w:tcPr>
            <w:tcW w:w="735" w:type="pct"/>
            <w:tcBorders>
              <w:top w:val="nil"/>
            </w:tcBorders>
            <w:noWrap/>
          </w:tcPr>
          <w:p w14:paraId="073244AB" w14:textId="3162AFE3" w:rsidR="009E212B" w:rsidRDefault="009E212B" w:rsidP="00AB704A">
            <w:pPr>
              <w:pStyle w:val="Tabletext0"/>
              <w:spacing w:before="0" w:after="0"/>
              <w:jc w:val="right"/>
            </w:pPr>
            <w:r>
              <w:t>$87,522</w:t>
            </w:r>
          </w:p>
          <w:p w14:paraId="2E80FBD6" w14:textId="77777777" w:rsidR="009E212B" w:rsidRDefault="009E212B" w:rsidP="00AB704A">
            <w:pPr>
              <w:pStyle w:val="Tabletext0"/>
              <w:spacing w:before="0" w:after="0"/>
              <w:jc w:val="right"/>
            </w:pPr>
            <w:r>
              <w:t>0.375</w:t>
            </w:r>
          </w:p>
        </w:tc>
        <w:tc>
          <w:tcPr>
            <w:tcW w:w="735" w:type="pct"/>
            <w:tcBorders>
              <w:top w:val="nil"/>
            </w:tcBorders>
            <w:noWrap/>
          </w:tcPr>
          <w:p w14:paraId="2470C452" w14:textId="7811F19A" w:rsidR="009E212B" w:rsidRDefault="009E212B" w:rsidP="00AB704A">
            <w:pPr>
              <w:pStyle w:val="Tabletext0"/>
              <w:spacing w:before="0" w:after="0"/>
              <w:jc w:val="right"/>
            </w:pPr>
            <w:r>
              <w:t>$</w:t>
            </w:r>
            <w:r w:rsidR="001950C6" w:rsidRPr="001950C6">
              <w:rPr>
                <w:b/>
                <w:bCs/>
              </w:rPr>
              <w:t>redacted</w:t>
            </w:r>
          </w:p>
          <w:p w14:paraId="152837F9" w14:textId="77777777" w:rsidR="009E212B" w:rsidRDefault="009E212B" w:rsidP="00AB704A">
            <w:pPr>
              <w:pStyle w:val="Tabletext0"/>
              <w:spacing w:before="0" w:after="0"/>
              <w:jc w:val="right"/>
            </w:pPr>
            <w:r>
              <w:t>3.282</w:t>
            </w:r>
          </w:p>
        </w:tc>
        <w:tc>
          <w:tcPr>
            <w:tcW w:w="835" w:type="pct"/>
            <w:tcBorders>
              <w:top w:val="nil"/>
            </w:tcBorders>
          </w:tcPr>
          <w:p w14:paraId="42F813CD" w14:textId="259C26F7" w:rsidR="009E212B" w:rsidRPr="00D74C1B" w:rsidRDefault="009E212B" w:rsidP="00AB704A">
            <w:pPr>
              <w:pStyle w:val="Tabletext0"/>
              <w:spacing w:before="0" w:after="0"/>
              <w:jc w:val="right"/>
            </w:pPr>
            <w:r w:rsidRPr="00D74C1B">
              <w:t>$</w:t>
            </w:r>
            <w:r w:rsidR="00F82F0A" w:rsidRPr="001950C6">
              <w:rPr>
                <w:b/>
                <w:bCs/>
              </w:rPr>
              <w:t>redacted</w:t>
            </w:r>
          </w:p>
          <w:p w14:paraId="421C747B" w14:textId="22F26CD0" w:rsidR="009E212B" w:rsidRPr="005B3AFC" w:rsidRDefault="009E212B" w:rsidP="00AB704A">
            <w:pPr>
              <w:pStyle w:val="Tabletext0"/>
              <w:spacing w:before="0" w:after="0"/>
              <w:jc w:val="right"/>
              <w:rPr>
                <w:i/>
                <w:iCs/>
              </w:rPr>
            </w:pPr>
          </w:p>
        </w:tc>
      </w:tr>
      <w:tr w:rsidR="009E212B" w:rsidRPr="00CE28E3" w14:paraId="3EDB1A08" w14:textId="77777777">
        <w:trPr>
          <w:cantSplit/>
          <w:trHeight w:val="300"/>
        </w:trPr>
        <w:tc>
          <w:tcPr>
            <w:tcW w:w="5000" w:type="pct"/>
            <w:gridSpan w:val="5"/>
            <w:tcBorders>
              <w:top w:val="nil"/>
            </w:tcBorders>
            <w:noWrap/>
          </w:tcPr>
          <w:p w14:paraId="0DB39EAD" w14:textId="473C9993" w:rsidR="009E212B" w:rsidRDefault="009E212B" w:rsidP="00AB704A">
            <w:pPr>
              <w:pStyle w:val="Tabletext0"/>
              <w:spacing w:before="0" w:after="0"/>
              <w:jc w:val="left"/>
            </w:pPr>
            <w:r>
              <w:t xml:space="preserve">Step 4 – </w:t>
            </w:r>
            <w:r w:rsidR="00BF437E">
              <w:t>Time horizon of 10 years; u</w:t>
            </w:r>
            <w:r w:rsidR="00BF437E" w:rsidRPr="00D97910">
              <w:t xml:space="preserve">tility values of 0.64 </w:t>
            </w:r>
            <w:r w:rsidR="00BF437E">
              <w:t>(</w:t>
            </w:r>
            <w:r w:rsidR="00BF437E" w:rsidRPr="00D97910">
              <w:t xml:space="preserve">OMM and </w:t>
            </w:r>
            <w:r w:rsidR="00596728">
              <w:t>L</w:t>
            </w:r>
            <w:r w:rsidR="00BF437E">
              <w:t>VAD</w:t>
            </w:r>
            <w:r w:rsidR="00BF437E" w:rsidRPr="00D97910">
              <w:t xml:space="preserve"> arm first cycle, and OMM arm subsequent cycles</w:t>
            </w:r>
            <w:r w:rsidR="00BF437E">
              <w:t xml:space="preserve">); annual risk of device replacement (Years 0-2 = 0.01; Years 2+ = 0.022); and </w:t>
            </w:r>
            <w:r>
              <w:t>OMM first cycle cost = $0</w:t>
            </w:r>
          </w:p>
        </w:tc>
      </w:tr>
      <w:tr w:rsidR="009E212B" w:rsidRPr="00CE28E3" w14:paraId="556BADCC" w14:textId="77777777">
        <w:trPr>
          <w:cantSplit/>
          <w:trHeight w:val="300"/>
        </w:trPr>
        <w:tc>
          <w:tcPr>
            <w:tcW w:w="1961" w:type="pct"/>
            <w:tcBorders>
              <w:top w:val="nil"/>
            </w:tcBorders>
            <w:noWrap/>
          </w:tcPr>
          <w:p w14:paraId="04BB944A" w14:textId="49452142" w:rsidR="009E212B" w:rsidRDefault="009E212B" w:rsidP="00AB704A">
            <w:pPr>
              <w:pStyle w:val="Tabletext0"/>
              <w:spacing w:before="0" w:after="0"/>
            </w:pPr>
            <w:r>
              <w:t>Costs</w:t>
            </w:r>
          </w:p>
          <w:p w14:paraId="2B34988D" w14:textId="77777777" w:rsidR="009E212B" w:rsidRDefault="009E212B" w:rsidP="00AB704A">
            <w:pPr>
              <w:pStyle w:val="Tabletext0"/>
              <w:spacing w:before="0" w:after="0"/>
            </w:pPr>
            <w:r>
              <w:t>QALY</w:t>
            </w:r>
          </w:p>
        </w:tc>
        <w:tc>
          <w:tcPr>
            <w:tcW w:w="734" w:type="pct"/>
            <w:tcBorders>
              <w:top w:val="nil"/>
            </w:tcBorders>
            <w:noWrap/>
          </w:tcPr>
          <w:p w14:paraId="1BCD1F82" w14:textId="0A7F8B31" w:rsidR="009E212B" w:rsidRPr="00AE197F" w:rsidRDefault="009E212B" w:rsidP="00AB704A">
            <w:pPr>
              <w:pStyle w:val="Tabletext0"/>
              <w:spacing w:before="0" w:after="0"/>
              <w:jc w:val="right"/>
              <w:rPr>
                <w:i/>
                <w:iCs/>
              </w:rPr>
            </w:pPr>
            <w:r w:rsidRPr="00D74C1B">
              <w:t>$</w:t>
            </w:r>
            <w:r w:rsidR="001950C6" w:rsidRPr="001950C6">
              <w:rPr>
                <w:b/>
                <w:bCs/>
              </w:rPr>
              <w:t>redacted</w:t>
            </w:r>
          </w:p>
          <w:p w14:paraId="273E803D" w14:textId="77777777" w:rsidR="009E212B" w:rsidRDefault="009E212B" w:rsidP="00AB704A">
            <w:pPr>
              <w:pStyle w:val="Tabletext0"/>
              <w:spacing w:before="0" w:after="0"/>
              <w:jc w:val="right"/>
            </w:pPr>
            <w:r>
              <w:t>3.657</w:t>
            </w:r>
          </w:p>
        </w:tc>
        <w:tc>
          <w:tcPr>
            <w:tcW w:w="735" w:type="pct"/>
            <w:tcBorders>
              <w:top w:val="nil"/>
            </w:tcBorders>
            <w:noWrap/>
          </w:tcPr>
          <w:p w14:paraId="2A75F5FE" w14:textId="01577EA8" w:rsidR="009E212B" w:rsidRDefault="009E212B" w:rsidP="00AB704A">
            <w:pPr>
              <w:pStyle w:val="Tabletext0"/>
              <w:spacing w:before="0" w:after="0"/>
              <w:jc w:val="right"/>
            </w:pPr>
            <w:r>
              <w:t>$70,078</w:t>
            </w:r>
          </w:p>
          <w:p w14:paraId="0A6ADB75" w14:textId="77777777" w:rsidR="009E212B" w:rsidRDefault="009E212B" w:rsidP="00AB704A">
            <w:pPr>
              <w:pStyle w:val="Tabletext0"/>
              <w:spacing w:before="0" w:after="0"/>
              <w:jc w:val="right"/>
            </w:pPr>
            <w:r>
              <w:t>0.375</w:t>
            </w:r>
          </w:p>
        </w:tc>
        <w:tc>
          <w:tcPr>
            <w:tcW w:w="735" w:type="pct"/>
            <w:tcBorders>
              <w:top w:val="nil"/>
            </w:tcBorders>
            <w:noWrap/>
          </w:tcPr>
          <w:p w14:paraId="67821C7E" w14:textId="5A0B901F" w:rsidR="009E212B" w:rsidRDefault="009E212B" w:rsidP="00AB704A">
            <w:pPr>
              <w:pStyle w:val="Tabletext0"/>
              <w:spacing w:before="0" w:after="0"/>
              <w:jc w:val="right"/>
            </w:pPr>
            <w:r>
              <w:t>$</w:t>
            </w:r>
            <w:r w:rsidR="001950C6" w:rsidRPr="001950C6">
              <w:rPr>
                <w:b/>
                <w:bCs/>
              </w:rPr>
              <w:t>redacted</w:t>
            </w:r>
          </w:p>
          <w:p w14:paraId="058C00CB" w14:textId="77777777" w:rsidR="009E212B" w:rsidRDefault="009E212B" w:rsidP="00AB704A">
            <w:pPr>
              <w:pStyle w:val="Tabletext0"/>
              <w:spacing w:before="0" w:after="0"/>
              <w:jc w:val="right"/>
            </w:pPr>
            <w:r>
              <w:t>3.282</w:t>
            </w:r>
          </w:p>
        </w:tc>
        <w:tc>
          <w:tcPr>
            <w:tcW w:w="835" w:type="pct"/>
            <w:tcBorders>
              <w:top w:val="nil"/>
            </w:tcBorders>
          </w:tcPr>
          <w:p w14:paraId="163A4B69" w14:textId="6A33D6CD" w:rsidR="009E212B" w:rsidRPr="00757EE2" w:rsidRDefault="009E212B" w:rsidP="00AB704A">
            <w:pPr>
              <w:pStyle w:val="Tabletext0"/>
              <w:spacing w:before="0" w:after="0"/>
              <w:jc w:val="right"/>
              <w:rPr>
                <w:i/>
                <w:iCs/>
              </w:rPr>
            </w:pPr>
            <w:r w:rsidRPr="00D74C1B">
              <w:t>$</w:t>
            </w:r>
            <w:r w:rsidR="00F82F0A" w:rsidRPr="001950C6">
              <w:rPr>
                <w:b/>
                <w:bCs/>
              </w:rPr>
              <w:t>redacted</w:t>
            </w:r>
          </w:p>
        </w:tc>
      </w:tr>
      <w:tr w:rsidR="009E212B" w:rsidRPr="00CE28E3" w14:paraId="0DE67DEB" w14:textId="77777777">
        <w:trPr>
          <w:cantSplit/>
          <w:trHeight w:val="300"/>
        </w:trPr>
        <w:tc>
          <w:tcPr>
            <w:tcW w:w="5000" w:type="pct"/>
            <w:gridSpan w:val="5"/>
            <w:tcBorders>
              <w:top w:val="nil"/>
            </w:tcBorders>
            <w:noWrap/>
          </w:tcPr>
          <w:p w14:paraId="1EF73CDC" w14:textId="5CB5D86C" w:rsidR="009E212B" w:rsidRDefault="009E212B" w:rsidP="00AB704A">
            <w:pPr>
              <w:pStyle w:val="Tabletext0"/>
              <w:spacing w:before="0" w:after="0"/>
              <w:jc w:val="left"/>
            </w:pPr>
            <w:r>
              <w:t xml:space="preserve">Step 5 – </w:t>
            </w:r>
            <w:r w:rsidR="00B346C0">
              <w:t>Time horizon of 10 years; u</w:t>
            </w:r>
            <w:r w:rsidR="00B346C0" w:rsidRPr="00D97910">
              <w:t xml:space="preserve">tility values of 0.64 </w:t>
            </w:r>
            <w:r w:rsidR="00B346C0">
              <w:t>(</w:t>
            </w:r>
            <w:r w:rsidR="00B346C0" w:rsidRPr="00D97910">
              <w:t xml:space="preserve">OMM and </w:t>
            </w:r>
            <w:r w:rsidR="00596728">
              <w:t>L</w:t>
            </w:r>
            <w:r w:rsidR="00B346C0">
              <w:t>VAD</w:t>
            </w:r>
            <w:r w:rsidR="00B346C0" w:rsidRPr="00D97910">
              <w:t xml:space="preserve"> arm first cycle, and OMM arm subsequent cycles</w:t>
            </w:r>
            <w:r w:rsidR="00B346C0">
              <w:t>); annual risk of device replacement (Years 0-2 = 0.01; Years 2+ = 0.022); OMM first cycle cost = $0; and a</w:t>
            </w:r>
            <w:r>
              <w:t>ftercare costs = $39,130.03 per year in months 0-24</w:t>
            </w:r>
          </w:p>
        </w:tc>
      </w:tr>
      <w:tr w:rsidR="009E212B" w:rsidRPr="00CE28E3" w14:paraId="0EFC74CF" w14:textId="77777777">
        <w:trPr>
          <w:cantSplit/>
          <w:trHeight w:val="300"/>
        </w:trPr>
        <w:tc>
          <w:tcPr>
            <w:tcW w:w="1961" w:type="pct"/>
            <w:tcBorders>
              <w:top w:val="nil"/>
            </w:tcBorders>
            <w:noWrap/>
          </w:tcPr>
          <w:p w14:paraId="72F69672" w14:textId="444279FF" w:rsidR="009E212B" w:rsidRDefault="009E212B" w:rsidP="00AB704A">
            <w:pPr>
              <w:pStyle w:val="Tabletext0"/>
              <w:spacing w:before="0" w:after="0"/>
            </w:pPr>
            <w:r>
              <w:t>Costs</w:t>
            </w:r>
          </w:p>
          <w:p w14:paraId="78F6823B" w14:textId="77777777" w:rsidR="009E212B" w:rsidRDefault="009E212B" w:rsidP="00AB704A">
            <w:pPr>
              <w:pStyle w:val="Tabletext0"/>
              <w:spacing w:before="0" w:after="0"/>
            </w:pPr>
            <w:r>
              <w:t>QALY</w:t>
            </w:r>
          </w:p>
        </w:tc>
        <w:tc>
          <w:tcPr>
            <w:tcW w:w="734" w:type="pct"/>
            <w:tcBorders>
              <w:top w:val="nil"/>
            </w:tcBorders>
            <w:noWrap/>
          </w:tcPr>
          <w:p w14:paraId="23EF0427" w14:textId="61C46271" w:rsidR="009E212B" w:rsidRPr="00D74C1B" w:rsidRDefault="009E212B" w:rsidP="00AB704A">
            <w:pPr>
              <w:pStyle w:val="Tabletext0"/>
              <w:spacing w:before="0" w:after="0"/>
              <w:jc w:val="right"/>
            </w:pPr>
            <w:r w:rsidRPr="00D74C1B">
              <w:t>$</w:t>
            </w:r>
            <w:r w:rsidR="001950C6" w:rsidRPr="001950C6">
              <w:rPr>
                <w:b/>
                <w:bCs/>
              </w:rPr>
              <w:t>redacted</w:t>
            </w:r>
          </w:p>
          <w:p w14:paraId="5AAC2868" w14:textId="77777777" w:rsidR="009E212B" w:rsidRDefault="009E212B" w:rsidP="00AB704A">
            <w:pPr>
              <w:pStyle w:val="Tabletext0"/>
              <w:spacing w:before="0" w:after="0"/>
              <w:jc w:val="right"/>
            </w:pPr>
            <w:r>
              <w:t>3.657</w:t>
            </w:r>
          </w:p>
        </w:tc>
        <w:tc>
          <w:tcPr>
            <w:tcW w:w="735" w:type="pct"/>
            <w:tcBorders>
              <w:top w:val="nil"/>
            </w:tcBorders>
            <w:noWrap/>
          </w:tcPr>
          <w:p w14:paraId="4EAF2B8E" w14:textId="03330F44" w:rsidR="009E212B" w:rsidRDefault="009E212B" w:rsidP="00AB704A">
            <w:pPr>
              <w:pStyle w:val="Tabletext0"/>
              <w:spacing w:before="0" w:after="0"/>
              <w:jc w:val="right"/>
            </w:pPr>
            <w:r>
              <w:t>$70,078</w:t>
            </w:r>
          </w:p>
          <w:p w14:paraId="3126C91E" w14:textId="77777777" w:rsidR="009E212B" w:rsidRDefault="009E212B" w:rsidP="00AB704A">
            <w:pPr>
              <w:pStyle w:val="Tabletext0"/>
              <w:spacing w:before="0" w:after="0"/>
              <w:jc w:val="right"/>
            </w:pPr>
            <w:r>
              <w:t>0.375</w:t>
            </w:r>
          </w:p>
        </w:tc>
        <w:tc>
          <w:tcPr>
            <w:tcW w:w="735" w:type="pct"/>
            <w:tcBorders>
              <w:top w:val="nil"/>
            </w:tcBorders>
            <w:noWrap/>
          </w:tcPr>
          <w:p w14:paraId="37FE5845" w14:textId="46017F70" w:rsidR="009E212B" w:rsidRPr="00D74C1B" w:rsidRDefault="009E212B" w:rsidP="00AB704A">
            <w:pPr>
              <w:pStyle w:val="Tabletext0"/>
              <w:spacing w:before="0" w:after="0"/>
              <w:jc w:val="right"/>
            </w:pPr>
            <w:r w:rsidRPr="00D74C1B">
              <w:t>$</w:t>
            </w:r>
            <w:r w:rsidR="001950C6" w:rsidRPr="001950C6">
              <w:rPr>
                <w:b/>
                <w:bCs/>
              </w:rPr>
              <w:t>redacted</w:t>
            </w:r>
          </w:p>
          <w:p w14:paraId="46AF7D40" w14:textId="77777777" w:rsidR="009E212B" w:rsidRDefault="009E212B" w:rsidP="00AB704A">
            <w:pPr>
              <w:pStyle w:val="Tabletext0"/>
              <w:spacing w:before="0" w:after="0"/>
              <w:jc w:val="right"/>
            </w:pPr>
            <w:r>
              <w:t>3.282</w:t>
            </w:r>
          </w:p>
        </w:tc>
        <w:tc>
          <w:tcPr>
            <w:tcW w:w="835" w:type="pct"/>
            <w:tcBorders>
              <w:top w:val="nil"/>
            </w:tcBorders>
          </w:tcPr>
          <w:p w14:paraId="18F87711" w14:textId="2DD51E3C" w:rsidR="009E212B" w:rsidRPr="006131B0" w:rsidRDefault="009E212B" w:rsidP="00AB704A">
            <w:pPr>
              <w:pStyle w:val="Tabletext0"/>
              <w:spacing w:before="0" w:after="0"/>
              <w:jc w:val="right"/>
              <w:rPr>
                <w:i/>
                <w:iCs/>
              </w:rPr>
            </w:pPr>
            <w:r w:rsidRPr="00D74C1B">
              <w:t>$</w:t>
            </w:r>
            <w:r w:rsidR="00F82F0A" w:rsidRPr="001950C6">
              <w:rPr>
                <w:b/>
                <w:bCs/>
              </w:rPr>
              <w:t>redacted</w:t>
            </w:r>
          </w:p>
        </w:tc>
      </w:tr>
    </w:tbl>
    <w:p w14:paraId="0619F46E" w14:textId="6F1D8681" w:rsidR="009E212B" w:rsidRDefault="009E212B" w:rsidP="009E212B">
      <w:pPr>
        <w:pStyle w:val="TableFooter"/>
      </w:pPr>
      <w:r>
        <w:t xml:space="preserve">Source: Table 20, pp38-39; Table 23, p40 of MSAC </w:t>
      </w:r>
      <w:r w:rsidR="0015292F">
        <w:t xml:space="preserve">Application </w:t>
      </w:r>
      <w:r w:rsidR="009A5664">
        <w:t>1749 Resubmission</w:t>
      </w:r>
      <w:r>
        <w:t xml:space="preserve"> </w:t>
      </w:r>
      <w:r w:rsidR="0015292F">
        <w:t>ADAR</w:t>
      </w:r>
      <w:r w:rsidR="00F77676">
        <w:t>.</w:t>
      </w:r>
    </w:p>
    <w:p w14:paraId="2CC2E186" w14:textId="2DE59C9C" w:rsidR="009E212B" w:rsidRDefault="009E212B" w:rsidP="009E212B">
      <w:pPr>
        <w:pStyle w:val="TableFooter"/>
      </w:pPr>
      <w:r>
        <w:t xml:space="preserve">HM3 = HeartMate 3: </w:t>
      </w:r>
      <w:r w:rsidRPr="00CE28E3">
        <w:t>ICER = incremental cost-effectiveness ratio;</w:t>
      </w:r>
      <w:r>
        <w:t xml:space="preserve"> </w:t>
      </w:r>
      <w:r w:rsidR="00596728">
        <w:t>L</w:t>
      </w:r>
      <w:r w:rsidR="00ED6CA5">
        <w:t>VAD</w:t>
      </w:r>
      <w:r>
        <w:t xml:space="preserve"> = ventricular assist device; OMM =</w:t>
      </w:r>
      <w:r w:rsidRPr="002340BE">
        <w:t xml:space="preserve"> </w:t>
      </w:r>
      <w:r>
        <w:t>o</w:t>
      </w:r>
      <w:r w:rsidRPr="002340BE">
        <w:t>ptimal medical management</w:t>
      </w:r>
      <w:r>
        <w:t>;</w:t>
      </w:r>
      <w:r w:rsidRPr="00CE28E3">
        <w:t xml:space="preserve"> QALY = quality-adjusted life year</w:t>
      </w:r>
      <w:r>
        <w:t>.</w:t>
      </w:r>
      <w:r w:rsidRPr="00CE28E3">
        <w:t xml:space="preserve"> </w:t>
      </w:r>
    </w:p>
    <w:p w14:paraId="49F9BC34" w14:textId="75D939E5" w:rsidR="00210C3F" w:rsidRPr="0079297C" w:rsidRDefault="00BC5E43" w:rsidP="009E212B">
      <w:pPr>
        <w:pStyle w:val="TableFooter"/>
      </w:pPr>
      <w:r>
        <w:t xml:space="preserve">Notes: </w:t>
      </w:r>
      <w:r w:rsidRPr="0079297C">
        <w:rPr>
          <w:vertAlign w:val="superscript"/>
        </w:rPr>
        <w:t>a</w:t>
      </w:r>
      <w:r>
        <w:t xml:space="preserve"> </w:t>
      </w:r>
      <w:r w:rsidR="008A5F43">
        <w:t>I</w:t>
      </w:r>
      <w:r w:rsidR="00C67113">
        <w:t>CER</w:t>
      </w:r>
      <w:r w:rsidR="008A5F43">
        <w:t xml:space="preserve"> </w:t>
      </w:r>
      <w:r w:rsidR="008A5F43" w:rsidRPr="008A5F43">
        <w:t>was updated</w:t>
      </w:r>
      <w:r w:rsidR="00C67113">
        <w:t xml:space="preserve"> in the resubmission ADAR</w:t>
      </w:r>
      <w:r w:rsidR="008A5F43" w:rsidRPr="008A5F43">
        <w:t xml:space="preserve"> based on price changes in the MBS and PBS items as of August 2024, and costs adjustment for inflation using the 2024 AIHW index.</w:t>
      </w:r>
      <w:r w:rsidR="00C67113">
        <w:t xml:space="preserve"> The</w:t>
      </w:r>
      <w:r w:rsidR="00C67113" w:rsidRPr="00C67113">
        <w:t xml:space="preserve"> </w:t>
      </w:r>
      <w:r w:rsidR="00C67113" w:rsidRPr="008A5F43">
        <w:t xml:space="preserve">ICER for the base case </w:t>
      </w:r>
      <w:r w:rsidR="00544FDE">
        <w:t xml:space="preserve">presented </w:t>
      </w:r>
      <w:r w:rsidR="00C67113">
        <w:t>in the MSAC Application 1749 ADAR was</w:t>
      </w:r>
      <w:r w:rsidR="00C67113" w:rsidRPr="008A5F43">
        <w:t xml:space="preserve"> </w:t>
      </w:r>
      <w:r w:rsidR="00945741">
        <w:t xml:space="preserve">originally </w:t>
      </w:r>
      <w:r w:rsidR="00C67113" w:rsidRPr="008A5F43">
        <w:t>$41,796</w:t>
      </w:r>
      <w:r w:rsidR="00C67113">
        <w:t>.</w:t>
      </w:r>
    </w:p>
    <w:bookmarkEnd w:id="41"/>
    <w:p w14:paraId="1352A9BD" w14:textId="7F84B2E0" w:rsidR="002F0638" w:rsidRDefault="002F0638" w:rsidP="009E212B">
      <w:r w:rsidRPr="002F0638">
        <w:lastRenderedPageBreak/>
        <w:t>The original base case ICER was $</w:t>
      </w:r>
      <w:r w:rsidR="00F82F0A" w:rsidRPr="00F82F0A">
        <w:rPr>
          <w:b/>
          <w:bCs/>
        </w:rPr>
        <w:t>redacted</w:t>
      </w:r>
      <w:r w:rsidR="00F34E73">
        <w:t xml:space="preserve"> t</w:t>
      </w:r>
      <w:r w:rsidR="00F34E73" w:rsidRPr="002F0638">
        <w:t xml:space="preserve">he </w:t>
      </w:r>
      <w:r w:rsidRPr="002F0638">
        <w:t xml:space="preserve">ICER for </w:t>
      </w:r>
      <w:r w:rsidR="009A152D">
        <w:t>the</w:t>
      </w:r>
      <w:r w:rsidRPr="002F0638">
        <w:t xml:space="preserve"> base case </w:t>
      </w:r>
      <w:r w:rsidR="006449A4">
        <w:t xml:space="preserve">of </w:t>
      </w:r>
      <w:r w:rsidRPr="002F0638">
        <w:t>$</w:t>
      </w:r>
      <w:r w:rsidR="00F82F0A" w:rsidRPr="00F82F0A">
        <w:rPr>
          <w:b/>
          <w:bCs/>
        </w:rPr>
        <w:t>redacted</w:t>
      </w:r>
      <w:r w:rsidRPr="002F0638">
        <w:t xml:space="preserve"> </w:t>
      </w:r>
      <w:r w:rsidR="006449A4">
        <w:t xml:space="preserve">which was </w:t>
      </w:r>
      <w:r w:rsidRPr="002F0638">
        <w:t xml:space="preserve">reported in the MSAC </w:t>
      </w:r>
      <w:r>
        <w:t>A</w:t>
      </w:r>
      <w:r w:rsidRPr="002F0638">
        <w:t>pplication 1749 was updated based on price changes in the MBS and PBS items as of August 2024, and costs adjustment for inflation using the 2024 AIHW index.</w:t>
      </w:r>
    </w:p>
    <w:p w14:paraId="1C37AF2D" w14:textId="415F491D" w:rsidR="0068052B" w:rsidRDefault="009E212B" w:rsidP="009E212B">
      <w:r>
        <w:t xml:space="preserve">The resubmission </w:t>
      </w:r>
      <w:r w:rsidR="007F4C9B">
        <w:t xml:space="preserve">ADAR </w:t>
      </w:r>
      <w:r>
        <w:t>presented an ICER of $</w:t>
      </w:r>
      <w:r w:rsidR="00F82F0A" w:rsidRPr="00F82F0A">
        <w:rPr>
          <w:b/>
          <w:bCs/>
        </w:rPr>
        <w:t>redacted</w:t>
      </w:r>
      <w:r>
        <w:t xml:space="preserve"> per QALY for the </w:t>
      </w:r>
      <w:r w:rsidR="007E4FCA">
        <w:t>“</w:t>
      </w:r>
      <w:r>
        <w:t>revised base case</w:t>
      </w:r>
      <w:r w:rsidR="007E4FCA">
        <w:t>”</w:t>
      </w:r>
      <w:r>
        <w:t xml:space="preserve"> (time horizon 15 years; utility value of 0.64 in all OMM cycles and </w:t>
      </w:r>
      <w:r w:rsidR="009A152D">
        <w:t xml:space="preserve">LVAD </w:t>
      </w:r>
      <w:r>
        <w:t>first cycle; annual risk of device replacement of 0.01 EPPY</w:t>
      </w:r>
      <w:r w:rsidR="009A152D">
        <w:t xml:space="preserve"> in Years 0-2 and 0.011 EPPY in Years 2+</w:t>
      </w:r>
      <w:r>
        <w:t>; OMM first cycle cost of $4,958.11; annual aftercare cost of $</w:t>
      </w:r>
      <w:r w:rsidR="00A74717" w:rsidRPr="00A74717">
        <w:rPr>
          <w:b/>
          <w:bCs/>
        </w:rPr>
        <w:t>redacted</w:t>
      </w:r>
      <w:r>
        <w:t xml:space="preserve"> in </w:t>
      </w:r>
      <w:r w:rsidR="009A152D">
        <w:t xml:space="preserve">LVAD </w:t>
      </w:r>
      <w:r>
        <w:t xml:space="preserve">arm in the first 2 years). </w:t>
      </w:r>
    </w:p>
    <w:p w14:paraId="3D2C0342" w14:textId="03CBBD2E" w:rsidR="009E212B" w:rsidRDefault="00695349" w:rsidP="009E212B">
      <w:bookmarkStart w:id="42" w:name="_Hlk181774893"/>
      <w:r w:rsidRPr="008A1379">
        <w:t>T</w:t>
      </w:r>
      <w:r w:rsidR="009E212B" w:rsidRPr="008A1379">
        <w:t>he resubmission</w:t>
      </w:r>
      <w:r w:rsidR="007E4FCA" w:rsidRPr="008A1379">
        <w:t xml:space="preserve"> ADAR</w:t>
      </w:r>
      <w:r w:rsidRPr="008A1379">
        <w:t xml:space="preserve"> also presented</w:t>
      </w:r>
      <w:r w:rsidR="00F80553" w:rsidRPr="008A1379">
        <w:t xml:space="preserve"> a</w:t>
      </w:r>
      <w:r w:rsidR="00C2141D" w:rsidRPr="008A1379">
        <w:t xml:space="preserve"> stepped economic analysis for</w:t>
      </w:r>
      <w:r w:rsidR="009E212B" w:rsidRPr="008A1379">
        <w:t xml:space="preserve"> the </w:t>
      </w:r>
      <w:r w:rsidR="007E4FCA" w:rsidRPr="008A1379">
        <w:t>“</w:t>
      </w:r>
      <w:r w:rsidR="009E212B" w:rsidRPr="008A1379">
        <w:t>likely overestimated case</w:t>
      </w:r>
      <w:r w:rsidR="007E4FCA" w:rsidRPr="008A1379">
        <w:t>”</w:t>
      </w:r>
      <w:r w:rsidR="009E212B" w:rsidRPr="008A1379">
        <w:t>.</w:t>
      </w:r>
      <w:r w:rsidR="00C2141D" w:rsidRPr="008A1379">
        <w:t xml:space="preserve"> </w:t>
      </w:r>
      <w:r w:rsidR="00396712" w:rsidRPr="00064A79">
        <w:t>Based on the resubmission ADAR, a device replacement rate of 0.022 EPPY was proposed in year 2-5 in the “likely overestimated case”. However, this rate was applied to the “suspected or confirmed pump thrombosis” in the economic model, as presented in Section 3 LVAD CEA Workbook of MSAC Application 1749 Resubmission ADAR. Of note, “suspected or confirmed thrombosis” incurred a cost of $15,474.83, while the “pump thrombosis resulting in reoperation” incurred a cost of $</w:t>
      </w:r>
      <w:r w:rsidR="00B73838" w:rsidRPr="00B73838">
        <w:rPr>
          <w:b/>
          <w:bCs/>
        </w:rPr>
        <w:t>redacted</w:t>
      </w:r>
      <w:r w:rsidR="00396712" w:rsidRPr="00064A79">
        <w:t xml:space="preserve"> in the economic model. By applying</w:t>
      </w:r>
      <w:r w:rsidR="00396712">
        <w:t xml:space="preserve"> </w:t>
      </w:r>
      <w:r w:rsidR="00C2141D" w:rsidRPr="008A1379">
        <w:t xml:space="preserve">the rate of </w:t>
      </w:r>
      <w:r w:rsidR="00A05AA7" w:rsidRPr="008A1379">
        <w:t xml:space="preserve">0.022 EPPY </w:t>
      </w:r>
      <w:r w:rsidR="00396712">
        <w:t>to</w:t>
      </w:r>
      <w:r w:rsidR="00396712" w:rsidRPr="008A1379">
        <w:t xml:space="preserve"> </w:t>
      </w:r>
      <w:r w:rsidR="00396712">
        <w:t>“</w:t>
      </w:r>
      <w:r w:rsidR="00A05AA7" w:rsidRPr="008A1379">
        <w:t>suspected or confirmed pump thrombosis</w:t>
      </w:r>
      <w:r w:rsidR="00396712">
        <w:t xml:space="preserve">” </w:t>
      </w:r>
      <w:r w:rsidR="00396712" w:rsidRPr="00064A79">
        <w:t xml:space="preserve">and not to “pump thrombosis resulting in reoperation”, </w:t>
      </w:r>
      <w:r w:rsidR="00396712">
        <w:t>t</w:t>
      </w:r>
      <w:r w:rsidR="00396712" w:rsidRPr="00064A79">
        <w:t xml:space="preserve">he resubmission ADAR underestimated the cost of device related </w:t>
      </w:r>
      <w:r w:rsidR="00396B29">
        <w:t>events</w:t>
      </w:r>
      <w:r w:rsidR="00280272" w:rsidRPr="008A1379">
        <w:t>. By applying the rate of 0.022 EPPY</w:t>
      </w:r>
      <w:r w:rsidR="00396712">
        <w:t xml:space="preserve"> </w:t>
      </w:r>
      <w:r w:rsidR="00396712" w:rsidRPr="00064A79">
        <w:t>to “pump thrombosis resulting in reoperation”,</w:t>
      </w:r>
      <w:r w:rsidR="00C2141D" w:rsidRPr="008A1379">
        <w:t xml:space="preserve"> </w:t>
      </w:r>
      <w:r w:rsidR="009E212B" w:rsidRPr="008A1379">
        <w:t xml:space="preserve">the ICER increased </w:t>
      </w:r>
      <w:r w:rsidR="00396712">
        <w:t>from $</w:t>
      </w:r>
      <w:r w:rsidR="00F82F0A" w:rsidRPr="00F82F0A">
        <w:rPr>
          <w:b/>
          <w:bCs/>
        </w:rPr>
        <w:t>redacted</w:t>
      </w:r>
      <w:r w:rsidR="00396712">
        <w:t xml:space="preserve"> </w:t>
      </w:r>
      <w:r w:rsidR="009E212B" w:rsidRPr="008A1379">
        <w:t>to $</w:t>
      </w:r>
      <w:r w:rsidR="00F82F0A" w:rsidRPr="00F82F0A">
        <w:rPr>
          <w:b/>
          <w:bCs/>
        </w:rPr>
        <w:t>redacted</w:t>
      </w:r>
      <w:r w:rsidR="009E212B" w:rsidRPr="008A1379">
        <w:t xml:space="preserve"> per QALY </w:t>
      </w:r>
      <w:r w:rsidR="00FE752C" w:rsidRPr="008A1379">
        <w:t>(</w:t>
      </w:r>
      <w:r w:rsidR="0068052B" w:rsidRPr="008A1379">
        <w:t>Step 3</w:t>
      </w:r>
      <w:r w:rsidR="00FE752C" w:rsidRPr="008A1379">
        <w:t>)</w:t>
      </w:r>
      <w:r w:rsidR="009E212B" w:rsidRPr="008A1379">
        <w:t>. The</w:t>
      </w:r>
      <w:r w:rsidR="009E212B">
        <w:t xml:space="preserve"> resubmission </w:t>
      </w:r>
      <w:r w:rsidR="007E4FCA">
        <w:t xml:space="preserve">ADAR </w:t>
      </w:r>
      <w:r w:rsidR="009E212B">
        <w:t xml:space="preserve">acknowledged that the time horizon and aftercare costs impacted the results of the economic evaluation. The disaggregated costs for </w:t>
      </w:r>
      <w:r w:rsidR="009A152D">
        <w:t xml:space="preserve">LVAD </w:t>
      </w:r>
      <w:r w:rsidR="009E212B">
        <w:t xml:space="preserve">vs OMM in both </w:t>
      </w:r>
      <w:r w:rsidR="007E4FCA">
        <w:t>“</w:t>
      </w:r>
      <w:r w:rsidR="009E212B">
        <w:t>revised</w:t>
      </w:r>
      <w:r w:rsidR="007E4FCA">
        <w:t>”</w:t>
      </w:r>
      <w:r w:rsidR="009E212B">
        <w:t xml:space="preserve"> and </w:t>
      </w:r>
      <w:r w:rsidR="007E4FCA">
        <w:t>"</w:t>
      </w:r>
      <w:r w:rsidR="009E212B">
        <w:t>likely overestimated case</w:t>
      </w:r>
      <w:r w:rsidR="007E4FCA">
        <w:t>”</w:t>
      </w:r>
      <w:r w:rsidR="009E212B">
        <w:t xml:space="preserve"> are presented in </w:t>
      </w:r>
      <w:r w:rsidR="009E212B">
        <w:fldChar w:fldCharType="begin"/>
      </w:r>
      <w:r w:rsidR="009E212B">
        <w:instrText xml:space="preserve"> REF _Ref178153968 \h </w:instrText>
      </w:r>
      <w:r w:rsidR="009E212B">
        <w:fldChar w:fldCharType="separate"/>
      </w:r>
      <w:r w:rsidR="005544FB">
        <w:t xml:space="preserve">Table </w:t>
      </w:r>
      <w:r w:rsidR="005544FB">
        <w:rPr>
          <w:noProof/>
        </w:rPr>
        <w:t>9</w:t>
      </w:r>
      <w:r w:rsidR="009E212B">
        <w:fldChar w:fldCharType="end"/>
      </w:r>
      <w:r w:rsidR="009E212B">
        <w:t>.</w:t>
      </w:r>
    </w:p>
    <w:p w14:paraId="5C85C2E8" w14:textId="4DDC8B89" w:rsidR="009E212B" w:rsidRDefault="009E212B" w:rsidP="009E212B">
      <w:pPr>
        <w:pStyle w:val="Caption"/>
      </w:pPr>
      <w:bookmarkStart w:id="43" w:name="_Ref178153968"/>
      <w:bookmarkEnd w:id="42"/>
      <w:r>
        <w:t xml:space="preserve">Table </w:t>
      </w:r>
      <w:r w:rsidR="006461F2">
        <w:fldChar w:fldCharType="begin"/>
      </w:r>
      <w:r w:rsidR="006461F2">
        <w:instrText xml:space="preserve"> SEQ Table \* ARABIC </w:instrText>
      </w:r>
      <w:r w:rsidR="006461F2">
        <w:fldChar w:fldCharType="separate"/>
      </w:r>
      <w:r w:rsidR="006461F2">
        <w:rPr>
          <w:noProof/>
        </w:rPr>
        <w:t>11</w:t>
      </w:r>
      <w:r w:rsidR="006461F2">
        <w:rPr>
          <w:noProof/>
        </w:rPr>
        <w:fldChar w:fldCharType="end"/>
      </w:r>
      <w:bookmarkEnd w:id="43"/>
      <w:r>
        <w:t xml:space="preserve"> Disaggregated costs (discounted)</w:t>
      </w:r>
    </w:p>
    <w:tbl>
      <w:tblPr>
        <w:tblStyle w:val="TableGrid"/>
        <w:tblW w:w="0" w:type="auto"/>
        <w:tblLook w:val="04A0" w:firstRow="1" w:lastRow="0" w:firstColumn="1" w:lastColumn="0" w:noHBand="0" w:noVBand="1"/>
      </w:tblPr>
      <w:tblGrid>
        <w:gridCol w:w="2689"/>
        <w:gridCol w:w="2109"/>
        <w:gridCol w:w="2109"/>
        <w:gridCol w:w="2109"/>
      </w:tblGrid>
      <w:tr w:rsidR="009E212B" w:rsidRPr="00BF0758" w14:paraId="6D20FFDA" w14:textId="77777777">
        <w:tc>
          <w:tcPr>
            <w:tcW w:w="2689" w:type="dxa"/>
          </w:tcPr>
          <w:p w14:paraId="12932682" w14:textId="77777777" w:rsidR="009E212B" w:rsidRPr="00F54D12" w:rsidRDefault="009E212B" w:rsidP="00AB704A">
            <w:pPr>
              <w:pStyle w:val="TableText"/>
              <w:spacing w:before="0" w:after="0"/>
              <w:rPr>
                <w:b/>
                <w:bCs/>
              </w:rPr>
            </w:pPr>
            <w:r w:rsidRPr="00F54D12">
              <w:rPr>
                <w:b/>
                <w:bCs/>
              </w:rPr>
              <w:t>Cost item</w:t>
            </w:r>
          </w:p>
        </w:tc>
        <w:tc>
          <w:tcPr>
            <w:tcW w:w="2109" w:type="dxa"/>
          </w:tcPr>
          <w:p w14:paraId="3239161B" w14:textId="2DED540F" w:rsidR="009E212B" w:rsidRPr="00F54D12" w:rsidRDefault="009A152D" w:rsidP="00AB704A">
            <w:pPr>
              <w:pStyle w:val="TableText"/>
              <w:spacing w:before="0" w:after="0"/>
              <w:rPr>
                <w:b/>
                <w:bCs/>
              </w:rPr>
            </w:pPr>
            <w:r>
              <w:rPr>
                <w:b/>
                <w:bCs/>
              </w:rPr>
              <w:t>LVAD</w:t>
            </w:r>
          </w:p>
        </w:tc>
        <w:tc>
          <w:tcPr>
            <w:tcW w:w="2109" w:type="dxa"/>
          </w:tcPr>
          <w:p w14:paraId="5311CB38" w14:textId="77777777" w:rsidR="009E212B" w:rsidRPr="00F54D12" w:rsidRDefault="009E212B" w:rsidP="00AB704A">
            <w:pPr>
              <w:pStyle w:val="TableText"/>
              <w:spacing w:before="0" w:after="0"/>
              <w:rPr>
                <w:b/>
                <w:bCs/>
              </w:rPr>
            </w:pPr>
            <w:r w:rsidRPr="00F54D12">
              <w:rPr>
                <w:b/>
                <w:bCs/>
              </w:rPr>
              <w:t>OMM</w:t>
            </w:r>
          </w:p>
        </w:tc>
        <w:tc>
          <w:tcPr>
            <w:tcW w:w="2109" w:type="dxa"/>
          </w:tcPr>
          <w:p w14:paraId="6CAE1322" w14:textId="77777777" w:rsidR="009E212B" w:rsidRPr="00F54D12" w:rsidRDefault="009E212B" w:rsidP="00AB704A">
            <w:pPr>
              <w:pStyle w:val="TableText"/>
              <w:spacing w:before="0" w:after="0"/>
              <w:rPr>
                <w:b/>
                <w:bCs/>
              </w:rPr>
            </w:pPr>
            <w:r w:rsidRPr="00F54D12">
              <w:rPr>
                <w:b/>
                <w:bCs/>
              </w:rPr>
              <w:t>Incremental</w:t>
            </w:r>
          </w:p>
        </w:tc>
      </w:tr>
      <w:tr w:rsidR="009E212B" w14:paraId="0B7790E1" w14:textId="77777777">
        <w:tc>
          <w:tcPr>
            <w:tcW w:w="9016" w:type="dxa"/>
            <w:gridSpan w:val="4"/>
          </w:tcPr>
          <w:p w14:paraId="26043BD1" w14:textId="77777777" w:rsidR="009E212B" w:rsidRPr="00F54D12" w:rsidRDefault="009E212B" w:rsidP="00AB704A">
            <w:pPr>
              <w:pStyle w:val="TableText"/>
              <w:spacing w:before="0" w:after="0"/>
              <w:rPr>
                <w:b/>
                <w:bCs/>
              </w:rPr>
            </w:pPr>
            <w:r w:rsidRPr="00F54D12">
              <w:rPr>
                <w:b/>
                <w:bCs/>
              </w:rPr>
              <w:t>Revised base case</w:t>
            </w:r>
          </w:p>
        </w:tc>
      </w:tr>
      <w:tr w:rsidR="009E212B" w14:paraId="713BACCE" w14:textId="77777777">
        <w:tc>
          <w:tcPr>
            <w:tcW w:w="2689" w:type="dxa"/>
          </w:tcPr>
          <w:p w14:paraId="04FDB3F3" w14:textId="77777777" w:rsidR="009E212B" w:rsidRDefault="009E212B" w:rsidP="00AB704A">
            <w:pPr>
              <w:pStyle w:val="TableText"/>
              <w:spacing w:before="0" w:after="0"/>
            </w:pPr>
            <w:r w:rsidRPr="00B957A2">
              <w:t>Pre-implant procedural costs</w:t>
            </w:r>
          </w:p>
        </w:tc>
        <w:tc>
          <w:tcPr>
            <w:tcW w:w="2109" w:type="dxa"/>
          </w:tcPr>
          <w:p w14:paraId="13ED2B33" w14:textId="77777777" w:rsidR="009E212B" w:rsidRDefault="009E212B" w:rsidP="00AB704A">
            <w:pPr>
              <w:pStyle w:val="TableText"/>
              <w:spacing w:before="0" w:after="0"/>
            </w:pPr>
            <w:r w:rsidRPr="004A7972">
              <w:t>$22,428</w:t>
            </w:r>
          </w:p>
        </w:tc>
        <w:tc>
          <w:tcPr>
            <w:tcW w:w="2109" w:type="dxa"/>
          </w:tcPr>
          <w:p w14:paraId="0C9F06AB" w14:textId="77777777" w:rsidR="009E212B" w:rsidRDefault="009E212B" w:rsidP="00AB704A">
            <w:pPr>
              <w:pStyle w:val="TableText"/>
              <w:spacing w:before="0" w:after="0"/>
            </w:pPr>
            <w:r w:rsidRPr="004A7972">
              <w:t>$22,428</w:t>
            </w:r>
          </w:p>
        </w:tc>
        <w:tc>
          <w:tcPr>
            <w:tcW w:w="2109" w:type="dxa"/>
          </w:tcPr>
          <w:p w14:paraId="4BCF7801" w14:textId="77777777" w:rsidR="009E212B" w:rsidRDefault="009E212B" w:rsidP="00AB704A">
            <w:pPr>
              <w:pStyle w:val="TableText"/>
              <w:spacing w:before="0" w:after="0"/>
            </w:pPr>
            <w:r w:rsidRPr="004A7972">
              <w:t>$</w:t>
            </w:r>
            <w:r>
              <w:t>0</w:t>
            </w:r>
          </w:p>
        </w:tc>
      </w:tr>
      <w:tr w:rsidR="009E212B" w14:paraId="65CC3C9E" w14:textId="77777777">
        <w:tc>
          <w:tcPr>
            <w:tcW w:w="2689" w:type="dxa"/>
          </w:tcPr>
          <w:p w14:paraId="19615100" w14:textId="5DCA1DC9" w:rsidR="009E212B" w:rsidRDefault="00596728" w:rsidP="00AB704A">
            <w:pPr>
              <w:pStyle w:val="TableText"/>
              <w:spacing w:before="0" w:after="0"/>
            </w:pPr>
            <w:r>
              <w:t>L</w:t>
            </w:r>
            <w:r w:rsidR="00ED6CA5">
              <w:t>VAD</w:t>
            </w:r>
            <w:r w:rsidR="009E212B" w:rsidRPr="00B957A2">
              <w:t xml:space="preserve"> procedural costs</w:t>
            </w:r>
          </w:p>
        </w:tc>
        <w:tc>
          <w:tcPr>
            <w:tcW w:w="2109" w:type="dxa"/>
          </w:tcPr>
          <w:p w14:paraId="456D31B6" w14:textId="28A8D402" w:rsidR="009E212B" w:rsidRDefault="009E212B" w:rsidP="00AB704A">
            <w:pPr>
              <w:pStyle w:val="TableText"/>
              <w:spacing w:before="0" w:after="0"/>
            </w:pPr>
            <w:r w:rsidRPr="004A7972">
              <w:t>$</w:t>
            </w:r>
            <w:r w:rsidR="00046019" w:rsidRPr="00046019">
              <w:rPr>
                <w:b/>
                <w:bCs/>
              </w:rPr>
              <w:t>redacted</w:t>
            </w:r>
          </w:p>
        </w:tc>
        <w:tc>
          <w:tcPr>
            <w:tcW w:w="2109" w:type="dxa"/>
          </w:tcPr>
          <w:p w14:paraId="0918DC40" w14:textId="77777777" w:rsidR="009E212B" w:rsidRDefault="009E212B" w:rsidP="00AB704A">
            <w:pPr>
              <w:pStyle w:val="TableText"/>
              <w:spacing w:before="0" w:after="0"/>
            </w:pPr>
            <w:r w:rsidRPr="00775C08">
              <w:t>$0</w:t>
            </w:r>
          </w:p>
        </w:tc>
        <w:tc>
          <w:tcPr>
            <w:tcW w:w="2109" w:type="dxa"/>
          </w:tcPr>
          <w:p w14:paraId="19C64185" w14:textId="6FDA0B8B"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r>
      <w:tr w:rsidR="009E212B" w14:paraId="1EF396A7" w14:textId="77777777">
        <w:tc>
          <w:tcPr>
            <w:tcW w:w="2689" w:type="dxa"/>
          </w:tcPr>
          <w:p w14:paraId="673E672B" w14:textId="77777777" w:rsidR="009E212B" w:rsidRDefault="009E212B" w:rsidP="00AB704A">
            <w:pPr>
              <w:pStyle w:val="TableText"/>
              <w:spacing w:before="0" w:after="0"/>
              <w:ind w:left="170"/>
            </w:pPr>
            <w:r w:rsidRPr="00B957A2">
              <w:t xml:space="preserve">Device </w:t>
            </w:r>
            <w:proofErr w:type="spellStart"/>
            <w:r>
              <w:t>c</w:t>
            </w:r>
            <w:r w:rsidRPr="00B957A2">
              <w:t>osts</w:t>
            </w:r>
            <w:r w:rsidRPr="00B957A2">
              <w:rPr>
                <w:vertAlign w:val="superscript"/>
              </w:rPr>
              <w:t>a</w:t>
            </w:r>
            <w:proofErr w:type="spellEnd"/>
          </w:p>
        </w:tc>
        <w:tc>
          <w:tcPr>
            <w:tcW w:w="2109" w:type="dxa"/>
          </w:tcPr>
          <w:p w14:paraId="6008BA6E" w14:textId="1AF9C3E4"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c>
          <w:tcPr>
            <w:tcW w:w="2109" w:type="dxa"/>
          </w:tcPr>
          <w:p w14:paraId="49E4F7AF" w14:textId="77777777" w:rsidR="009E212B" w:rsidRDefault="009E212B" w:rsidP="00AB704A">
            <w:pPr>
              <w:pStyle w:val="TableText"/>
              <w:spacing w:before="0" w:after="0"/>
            </w:pPr>
            <w:r w:rsidRPr="00775C08">
              <w:t>$0</w:t>
            </w:r>
          </w:p>
        </w:tc>
        <w:tc>
          <w:tcPr>
            <w:tcW w:w="2109" w:type="dxa"/>
          </w:tcPr>
          <w:p w14:paraId="6FFED9BA" w14:textId="7ADCC6FC" w:rsidR="009E212B" w:rsidRDefault="009E212B" w:rsidP="00AB704A">
            <w:pPr>
              <w:pStyle w:val="TableText"/>
              <w:spacing w:before="0" w:after="0"/>
            </w:pPr>
            <w:r>
              <w:t>$</w:t>
            </w:r>
            <w:r w:rsidR="00046019" w:rsidRPr="00046019">
              <w:rPr>
                <w:b/>
                <w:bCs/>
              </w:rPr>
              <w:t>redacted</w:t>
            </w:r>
            <w:r w:rsidR="00046019" w:rsidRPr="004A7972" w:rsidDel="00046019">
              <w:t xml:space="preserve"> </w:t>
            </w:r>
          </w:p>
        </w:tc>
      </w:tr>
      <w:tr w:rsidR="009E212B" w14:paraId="7BCDF795" w14:textId="77777777">
        <w:tc>
          <w:tcPr>
            <w:tcW w:w="2689" w:type="dxa"/>
          </w:tcPr>
          <w:p w14:paraId="01E755AB" w14:textId="77777777" w:rsidR="009E212B" w:rsidRDefault="009E212B" w:rsidP="00AB704A">
            <w:pPr>
              <w:pStyle w:val="TableText"/>
              <w:spacing w:before="0" w:after="0"/>
              <w:ind w:left="170"/>
            </w:pPr>
            <w:r w:rsidRPr="00B957A2">
              <w:t>Implant and post implant procedural costs</w:t>
            </w:r>
          </w:p>
        </w:tc>
        <w:tc>
          <w:tcPr>
            <w:tcW w:w="2109" w:type="dxa"/>
          </w:tcPr>
          <w:p w14:paraId="22CE4229" w14:textId="77777777" w:rsidR="009E212B" w:rsidRDefault="009E212B" w:rsidP="00AB704A">
            <w:pPr>
              <w:pStyle w:val="TableText"/>
              <w:spacing w:before="0" w:after="0"/>
            </w:pPr>
            <w:r w:rsidRPr="004A7972">
              <w:t>$76,48</w:t>
            </w:r>
            <w:r>
              <w:t>0</w:t>
            </w:r>
          </w:p>
        </w:tc>
        <w:tc>
          <w:tcPr>
            <w:tcW w:w="2109" w:type="dxa"/>
          </w:tcPr>
          <w:p w14:paraId="5DCCEBD9" w14:textId="77777777" w:rsidR="009E212B" w:rsidRDefault="009E212B" w:rsidP="00AB704A">
            <w:pPr>
              <w:pStyle w:val="TableText"/>
              <w:spacing w:before="0" w:after="0"/>
            </w:pPr>
            <w:r w:rsidRPr="00775C08">
              <w:t>$0</w:t>
            </w:r>
          </w:p>
        </w:tc>
        <w:tc>
          <w:tcPr>
            <w:tcW w:w="2109" w:type="dxa"/>
          </w:tcPr>
          <w:p w14:paraId="1980C338" w14:textId="77777777" w:rsidR="009E212B" w:rsidRDefault="009E212B" w:rsidP="00AB704A">
            <w:pPr>
              <w:pStyle w:val="TableText"/>
              <w:spacing w:before="0" w:after="0"/>
            </w:pPr>
            <w:r>
              <w:t>$</w:t>
            </w:r>
            <w:r w:rsidRPr="004A7972">
              <w:t>76,480</w:t>
            </w:r>
          </w:p>
        </w:tc>
      </w:tr>
      <w:tr w:rsidR="009E212B" w14:paraId="42B27F0A" w14:textId="77777777">
        <w:tc>
          <w:tcPr>
            <w:tcW w:w="9016" w:type="dxa"/>
            <w:gridSpan w:val="4"/>
          </w:tcPr>
          <w:p w14:paraId="27A010D5" w14:textId="77777777" w:rsidR="009E212B" w:rsidRPr="00E55CDF" w:rsidRDefault="009E212B" w:rsidP="00AB704A">
            <w:pPr>
              <w:pStyle w:val="TableText"/>
              <w:spacing w:before="0" w:after="0"/>
              <w:rPr>
                <w:i/>
                <w:iCs/>
              </w:rPr>
            </w:pPr>
            <w:r>
              <w:t>Aftercare costs</w:t>
            </w:r>
          </w:p>
        </w:tc>
      </w:tr>
      <w:tr w:rsidR="009E212B" w14:paraId="3017DD9E" w14:textId="77777777">
        <w:tc>
          <w:tcPr>
            <w:tcW w:w="2689" w:type="dxa"/>
          </w:tcPr>
          <w:p w14:paraId="54C07D4C" w14:textId="77777777" w:rsidR="009E212B" w:rsidRDefault="009E212B" w:rsidP="00AB704A">
            <w:pPr>
              <w:pStyle w:val="TableText"/>
              <w:spacing w:before="0" w:after="0"/>
              <w:ind w:left="170"/>
            </w:pPr>
            <w:r w:rsidRPr="00B957A2">
              <w:t xml:space="preserve">Ongoing </w:t>
            </w:r>
            <w:proofErr w:type="spellStart"/>
            <w:r w:rsidRPr="00B957A2">
              <w:t>management</w:t>
            </w:r>
            <w:r w:rsidRPr="00E55CDF">
              <w:rPr>
                <w:vertAlign w:val="superscript"/>
              </w:rPr>
              <w:t>b</w:t>
            </w:r>
            <w:proofErr w:type="spellEnd"/>
          </w:p>
        </w:tc>
        <w:tc>
          <w:tcPr>
            <w:tcW w:w="2109" w:type="dxa"/>
          </w:tcPr>
          <w:p w14:paraId="77939E34" w14:textId="77777777" w:rsidR="009E212B" w:rsidRPr="00FD4EB1" w:rsidRDefault="009E212B" w:rsidP="00AB704A">
            <w:pPr>
              <w:pStyle w:val="TableText"/>
              <w:spacing w:before="0" w:after="0"/>
            </w:pPr>
            <w:r w:rsidRPr="00FD4EB1">
              <w:t>$9,612</w:t>
            </w:r>
          </w:p>
        </w:tc>
        <w:tc>
          <w:tcPr>
            <w:tcW w:w="2109" w:type="dxa"/>
          </w:tcPr>
          <w:p w14:paraId="752929AC" w14:textId="77777777" w:rsidR="009E212B" w:rsidRPr="00FD4EB1" w:rsidRDefault="009E212B" w:rsidP="00AB704A">
            <w:pPr>
              <w:pStyle w:val="TableText"/>
              <w:spacing w:before="0" w:after="0"/>
            </w:pPr>
            <w:r w:rsidRPr="004F2B52">
              <w:t>$967</w:t>
            </w:r>
          </w:p>
        </w:tc>
        <w:tc>
          <w:tcPr>
            <w:tcW w:w="2109" w:type="dxa"/>
          </w:tcPr>
          <w:p w14:paraId="4730A432" w14:textId="77777777" w:rsidR="009E212B" w:rsidRDefault="009E212B" w:rsidP="00AB704A">
            <w:pPr>
              <w:pStyle w:val="TableText"/>
              <w:spacing w:before="0" w:after="0"/>
            </w:pPr>
            <w:r w:rsidRPr="004A7972">
              <w:t>$8,645</w:t>
            </w:r>
          </w:p>
        </w:tc>
      </w:tr>
      <w:tr w:rsidR="009E212B" w14:paraId="51CDFFE5" w14:textId="77777777">
        <w:tc>
          <w:tcPr>
            <w:tcW w:w="2689" w:type="dxa"/>
          </w:tcPr>
          <w:p w14:paraId="1E9DCCDE" w14:textId="04BE96D9" w:rsidR="009E212B" w:rsidRPr="00B957A2" w:rsidRDefault="009E212B" w:rsidP="00AB704A">
            <w:pPr>
              <w:pStyle w:val="TableText"/>
              <w:spacing w:before="0" w:after="0"/>
              <w:ind w:left="170"/>
            </w:pPr>
            <w:r>
              <w:t xml:space="preserve">Rehabilitation </w:t>
            </w:r>
          </w:p>
        </w:tc>
        <w:tc>
          <w:tcPr>
            <w:tcW w:w="2109" w:type="dxa"/>
          </w:tcPr>
          <w:p w14:paraId="26C92BA7" w14:textId="77777777" w:rsidR="009E212B" w:rsidRPr="00F3095F" w:rsidRDefault="009E212B" w:rsidP="00AB704A">
            <w:pPr>
              <w:pStyle w:val="TableText"/>
              <w:spacing w:before="0" w:after="0"/>
              <w:rPr>
                <w:i/>
                <w:iCs/>
              </w:rPr>
            </w:pPr>
            <w:r w:rsidRPr="00F3095F">
              <w:rPr>
                <w:i/>
                <w:iCs/>
              </w:rPr>
              <w:t>N</w:t>
            </w:r>
            <w:r>
              <w:rPr>
                <w:i/>
                <w:iCs/>
              </w:rPr>
              <w:t>A</w:t>
            </w:r>
          </w:p>
        </w:tc>
        <w:tc>
          <w:tcPr>
            <w:tcW w:w="2109" w:type="dxa"/>
          </w:tcPr>
          <w:p w14:paraId="0E9C78B1" w14:textId="77777777" w:rsidR="009E212B" w:rsidRPr="00F3095F" w:rsidRDefault="009E212B" w:rsidP="00AB704A">
            <w:pPr>
              <w:pStyle w:val="TableText"/>
              <w:spacing w:before="0" w:after="0"/>
              <w:rPr>
                <w:i/>
                <w:iCs/>
              </w:rPr>
            </w:pPr>
            <w:r w:rsidRPr="00F3095F">
              <w:rPr>
                <w:i/>
                <w:iCs/>
              </w:rPr>
              <w:t>N</w:t>
            </w:r>
            <w:r>
              <w:rPr>
                <w:i/>
                <w:iCs/>
              </w:rPr>
              <w:t>A</w:t>
            </w:r>
          </w:p>
        </w:tc>
        <w:tc>
          <w:tcPr>
            <w:tcW w:w="2109" w:type="dxa"/>
          </w:tcPr>
          <w:p w14:paraId="23CEDBAB" w14:textId="77777777" w:rsidR="009E212B" w:rsidRPr="00F3095F" w:rsidRDefault="009E212B" w:rsidP="00AB704A">
            <w:pPr>
              <w:pStyle w:val="TableText"/>
              <w:spacing w:before="0" w:after="0"/>
              <w:rPr>
                <w:i/>
                <w:iCs/>
              </w:rPr>
            </w:pPr>
            <w:r w:rsidRPr="00F3095F">
              <w:rPr>
                <w:i/>
                <w:iCs/>
              </w:rPr>
              <w:t>N</w:t>
            </w:r>
            <w:r>
              <w:rPr>
                <w:i/>
                <w:iCs/>
              </w:rPr>
              <w:t>A</w:t>
            </w:r>
          </w:p>
        </w:tc>
      </w:tr>
      <w:tr w:rsidR="009E212B" w14:paraId="3C8D4911" w14:textId="77777777">
        <w:tc>
          <w:tcPr>
            <w:tcW w:w="2689" w:type="dxa"/>
          </w:tcPr>
          <w:p w14:paraId="66DEC6AF" w14:textId="77777777" w:rsidR="009E212B" w:rsidRDefault="009E212B" w:rsidP="00AB704A">
            <w:pPr>
              <w:pStyle w:val="TableText"/>
              <w:spacing w:before="0" w:after="0"/>
              <w:ind w:left="170"/>
            </w:pPr>
            <w:r w:rsidRPr="00B957A2">
              <w:t>Device related event costs</w:t>
            </w:r>
          </w:p>
        </w:tc>
        <w:tc>
          <w:tcPr>
            <w:tcW w:w="2109" w:type="dxa"/>
          </w:tcPr>
          <w:p w14:paraId="0B792741" w14:textId="02CAA47E" w:rsidR="009E212B" w:rsidRDefault="009E212B" w:rsidP="00AB704A">
            <w:pPr>
              <w:pStyle w:val="TableText"/>
              <w:spacing w:before="0" w:after="0"/>
            </w:pPr>
            <w:r w:rsidRPr="004A7972">
              <w:t>$</w:t>
            </w:r>
            <w:r w:rsidR="00F22401" w:rsidRPr="00F22401">
              <w:rPr>
                <w:b/>
                <w:bCs/>
              </w:rPr>
              <w:t>redacted</w:t>
            </w:r>
          </w:p>
        </w:tc>
        <w:tc>
          <w:tcPr>
            <w:tcW w:w="2109" w:type="dxa"/>
          </w:tcPr>
          <w:p w14:paraId="41E3AFDF" w14:textId="77777777" w:rsidR="009E212B" w:rsidRDefault="009E212B" w:rsidP="00AB704A">
            <w:pPr>
              <w:pStyle w:val="TableText"/>
              <w:spacing w:before="0" w:after="0"/>
            </w:pPr>
            <w:r w:rsidRPr="004A7972">
              <w:t>$0</w:t>
            </w:r>
          </w:p>
        </w:tc>
        <w:tc>
          <w:tcPr>
            <w:tcW w:w="2109" w:type="dxa"/>
          </w:tcPr>
          <w:p w14:paraId="56DECDE2" w14:textId="33151B77" w:rsidR="009E212B" w:rsidRDefault="009E212B" w:rsidP="00AB704A">
            <w:pPr>
              <w:pStyle w:val="TableText"/>
              <w:spacing w:before="0" w:after="0"/>
            </w:pPr>
            <w:r w:rsidRPr="004A7972">
              <w:t>$</w:t>
            </w:r>
            <w:r w:rsidR="00F22401" w:rsidRPr="008C0B41">
              <w:rPr>
                <w:b/>
                <w:bCs/>
              </w:rPr>
              <w:t>redacted</w:t>
            </w:r>
            <w:r w:rsidR="00F22401" w:rsidRPr="004A7972" w:rsidDel="00F22401">
              <w:t xml:space="preserve"> </w:t>
            </w:r>
          </w:p>
        </w:tc>
      </w:tr>
      <w:tr w:rsidR="009E212B" w14:paraId="217167FE" w14:textId="77777777">
        <w:tc>
          <w:tcPr>
            <w:tcW w:w="2689" w:type="dxa"/>
            <w:tcBorders>
              <w:bottom w:val="single" w:sz="4" w:space="0" w:color="auto"/>
            </w:tcBorders>
          </w:tcPr>
          <w:p w14:paraId="1338F595" w14:textId="77777777" w:rsidR="009E212B" w:rsidRDefault="009E212B" w:rsidP="00AB704A">
            <w:pPr>
              <w:pStyle w:val="TableText"/>
              <w:spacing w:before="0" w:after="0"/>
              <w:ind w:left="170"/>
            </w:pPr>
            <w:r w:rsidRPr="00B957A2">
              <w:t>Disease related event costs</w:t>
            </w:r>
          </w:p>
        </w:tc>
        <w:tc>
          <w:tcPr>
            <w:tcW w:w="2109" w:type="dxa"/>
            <w:tcBorders>
              <w:bottom w:val="single" w:sz="4" w:space="0" w:color="auto"/>
            </w:tcBorders>
          </w:tcPr>
          <w:p w14:paraId="0B3217E5" w14:textId="77777777" w:rsidR="009E212B" w:rsidRDefault="009E212B" w:rsidP="00AB704A">
            <w:pPr>
              <w:pStyle w:val="TableText"/>
              <w:spacing w:before="0" w:after="0"/>
            </w:pPr>
            <w:r w:rsidRPr="004A7972">
              <w:t>$35,094</w:t>
            </w:r>
          </w:p>
        </w:tc>
        <w:tc>
          <w:tcPr>
            <w:tcW w:w="2109" w:type="dxa"/>
            <w:tcBorders>
              <w:bottom w:val="single" w:sz="4" w:space="0" w:color="auto"/>
            </w:tcBorders>
          </w:tcPr>
          <w:p w14:paraId="1BCB599A" w14:textId="77777777" w:rsidR="009E212B" w:rsidRDefault="009E212B" w:rsidP="00AB704A">
            <w:pPr>
              <w:pStyle w:val="TableText"/>
              <w:spacing w:before="0" w:after="0"/>
            </w:pPr>
            <w:r w:rsidRPr="004F2B52">
              <w:t>$49,162</w:t>
            </w:r>
          </w:p>
        </w:tc>
        <w:tc>
          <w:tcPr>
            <w:tcW w:w="2109" w:type="dxa"/>
            <w:tcBorders>
              <w:bottom w:val="single" w:sz="4" w:space="0" w:color="auto"/>
            </w:tcBorders>
          </w:tcPr>
          <w:p w14:paraId="63391F44" w14:textId="77777777" w:rsidR="009E212B" w:rsidRDefault="009E212B" w:rsidP="00AB704A">
            <w:pPr>
              <w:pStyle w:val="TableText"/>
              <w:spacing w:before="0" w:after="0"/>
            </w:pPr>
            <w:r w:rsidRPr="004A7972">
              <w:t>-$14,068</w:t>
            </w:r>
          </w:p>
        </w:tc>
      </w:tr>
      <w:tr w:rsidR="009E212B" w14:paraId="5CAF14A9" w14:textId="77777777">
        <w:tc>
          <w:tcPr>
            <w:tcW w:w="2689" w:type="dxa"/>
            <w:tcBorders>
              <w:bottom w:val="double" w:sz="4" w:space="0" w:color="auto"/>
            </w:tcBorders>
          </w:tcPr>
          <w:p w14:paraId="16AF5185" w14:textId="77777777" w:rsidR="009E212B" w:rsidRPr="00B957A2" w:rsidRDefault="009E212B" w:rsidP="00AB704A">
            <w:pPr>
              <w:pStyle w:val="TableText"/>
              <w:spacing w:before="0" w:after="0"/>
            </w:pPr>
            <w:r w:rsidRPr="00B957A2">
              <w:t>Tota</w:t>
            </w:r>
            <w:r>
              <w:t>l</w:t>
            </w:r>
          </w:p>
        </w:tc>
        <w:tc>
          <w:tcPr>
            <w:tcW w:w="2109" w:type="dxa"/>
            <w:tcBorders>
              <w:bottom w:val="double" w:sz="4" w:space="0" w:color="auto"/>
            </w:tcBorders>
          </w:tcPr>
          <w:p w14:paraId="5ED7116A" w14:textId="4BCB65B8"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c>
          <w:tcPr>
            <w:tcW w:w="2109" w:type="dxa"/>
            <w:tcBorders>
              <w:bottom w:val="double" w:sz="4" w:space="0" w:color="auto"/>
            </w:tcBorders>
          </w:tcPr>
          <w:p w14:paraId="7BC3EEE3" w14:textId="77777777" w:rsidR="009E212B" w:rsidRDefault="009E212B" w:rsidP="00AB704A">
            <w:pPr>
              <w:pStyle w:val="TableText"/>
              <w:spacing w:before="0" w:after="0"/>
            </w:pPr>
            <w:r w:rsidRPr="004A7972">
              <w:t>$72,557</w:t>
            </w:r>
          </w:p>
        </w:tc>
        <w:tc>
          <w:tcPr>
            <w:tcW w:w="2109" w:type="dxa"/>
            <w:tcBorders>
              <w:bottom w:val="double" w:sz="4" w:space="0" w:color="auto"/>
            </w:tcBorders>
          </w:tcPr>
          <w:p w14:paraId="26B08370" w14:textId="550A2B3E"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r>
      <w:tr w:rsidR="009E212B" w14:paraId="1846E0AB" w14:textId="77777777">
        <w:tc>
          <w:tcPr>
            <w:tcW w:w="9016" w:type="dxa"/>
            <w:gridSpan w:val="4"/>
            <w:tcBorders>
              <w:top w:val="double" w:sz="4" w:space="0" w:color="auto"/>
            </w:tcBorders>
          </w:tcPr>
          <w:p w14:paraId="43B88158" w14:textId="77777777" w:rsidR="009E212B" w:rsidRPr="00F54D12" w:rsidRDefault="009E212B" w:rsidP="00AB704A">
            <w:pPr>
              <w:pStyle w:val="TableText"/>
              <w:spacing w:before="0" w:after="0"/>
              <w:rPr>
                <w:b/>
                <w:bCs/>
              </w:rPr>
            </w:pPr>
            <w:r w:rsidRPr="00F54D12">
              <w:rPr>
                <w:b/>
                <w:bCs/>
              </w:rPr>
              <w:t>Likely overestimated case</w:t>
            </w:r>
          </w:p>
        </w:tc>
      </w:tr>
      <w:tr w:rsidR="009E212B" w14:paraId="15B6A235" w14:textId="77777777">
        <w:tc>
          <w:tcPr>
            <w:tcW w:w="2689" w:type="dxa"/>
          </w:tcPr>
          <w:p w14:paraId="7225AF79" w14:textId="77777777" w:rsidR="009E212B" w:rsidRDefault="009E212B" w:rsidP="00AB704A">
            <w:pPr>
              <w:pStyle w:val="TableText"/>
              <w:spacing w:before="0" w:after="0"/>
            </w:pPr>
            <w:r w:rsidRPr="00B957A2">
              <w:t>Pre-implant procedural costs</w:t>
            </w:r>
          </w:p>
        </w:tc>
        <w:tc>
          <w:tcPr>
            <w:tcW w:w="2109" w:type="dxa"/>
          </w:tcPr>
          <w:p w14:paraId="2AC9AD5E" w14:textId="77777777" w:rsidR="009E212B" w:rsidRDefault="009E212B" w:rsidP="00AB704A">
            <w:pPr>
              <w:pStyle w:val="TableText"/>
              <w:spacing w:before="0" w:after="0"/>
            </w:pPr>
            <w:r w:rsidRPr="004A7972">
              <w:t>$22,428</w:t>
            </w:r>
          </w:p>
        </w:tc>
        <w:tc>
          <w:tcPr>
            <w:tcW w:w="2109" w:type="dxa"/>
          </w:tcPr>
          <w:p w14:paraId="160CC518" w14:textId="77777777" w:rsidR="009E212B" w:rsidRDefault="009E212B" w:rsidP="00AB704A">
            <w:pPr>
              <w:pStyle w:val="TableText"/>
              <w:spacing w:before="0" w:after="0"/>
            </w:pPr>
            <w:r w:rsidRPr="004A7972">
              <w:t>$22,428</w:t>
            </w:r>
          </w:p>
        </w:tc>
        <w:tc>
          <w:tcPr>
            <w:tcW w:w="2109" w:type="dxa"/>
          </w:tcPr>
          <w:p w14:paraId="02F1EA50" w14:textId="77777777" w:rsidR="009E212B" w:rsidRDefault="009E212B" w:rsidP="00AB704A">
            <w:pPr>
              <w:pStyle w:val="TableText"/>
              <w:spacing w:before="0" w:after="0"/>
            </w:pPr>
            <w:r>
              <w:t>$0</w:t>
            </w:r>
          </w:p>
        </w:tc>
      </w:tr>
      <w:tr w:rsidR="009E212B" w14:paraId="53D7CB68" w14:textId="77777777">
        <w:tc>
          <w:tcPr>
            <w:tcW w:w="2689" w:type="dxa"/>
          </w:tcPr>
          <w:p w14:paraId="1A798601" w14:textId="47889508" w:rsidR="009E212B" w:rsidRDefault="00596728" w:rsidP="00AB704A">
            <w:pPr>
              <w:pStyle w:val="TableText"/>
              <w:spacing w:before="0" w:after="0"/>
            </w:pPr>
            <w:r>
              <w:t>L</w:t>
            </w:r>
            <w:r w:rsidR="00ED6CA5">
              <w:t>VAD</w:t>
            </w:r>
            <w:r w:rsidR="009E212B" w:rsidRPr="00B957A2">
              <w:t xml:space="preserve"> procedural costs</w:t>
            </w:r>
          </w:p>
        </w:tc>
        <w:tc>
          <w:tcPr>
            <w:tcW w:w="2109" w:type="dxa"/>
          </w:tcPr>
          <w:p w14:paraId="43168810" w14:textId="0229DCD8"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c>
          <w:tcPr>
            <w:tcW w:w="2109" w:type="dxa"/>
          </w:tcPr>
          <w:p w14:paraId="526EB463" w14:textId="77777777" w:rsidR="009E212B" w:rsidRDefault="009E212B" w:rsidP="00AB704A">
            <w:pPr>
              <w:pStyle w:val="TableText"/>
              <w:spacing w:before="0" w:after="0"/>
            </w:pPr>
            <w:r w:rsidRPr="00775C08">
              <w:t>$0</w:t>
            </w:r>
          </w:p>
        </w:tc>
        <w:tc>
          <w:tcPr>
            <w:tcW w:w="2109" w:type="dxa"/>
          </w:tcPr>
          <w:p w14:paraId="7C0B2D5A" w14:textId="1B09EC7D"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r>
      <w:tr w:rsidR="009E212B" w14:paraId="344A2367" w14:textId="77777777">
        <w:tc>
          <w:tcPr>
            <w:tcW w:w="2689" w:type="dxa"/>
          </w:tcPr>
          <w:p w14:paraId="18A33C69" w14:textId="77777777" w:rsidR="009E212B" w:rsidRDefault="009E212B" w:rsidP="00AB704A">
            <w:pPr>
              <w:pStyle w:val="TableText"/>
              <w:spacing w:before="0" w:after="0"/>
              <w:ind w:left="170"/>
            </w:pPr>
            <w:r w:rsidRPr="00B957A2">
              <w:t xml:space="preserve">Device </w:t>
            </w:r>
            <w:proofErr w:type="spellStart"/>
            <w:r>
              <w:t>c</w:t>
            </w:r>
            <w:r w:rsidRPr="00B957A2">
              <w:t>osts</w:t>
            </w:r>
            <w:r w:rsidRPr="00B957A2">
              <w:rPr>
                <w:vertAlign w:val="superscript"/>
              </w:rPr>
              <w:t>a</w:t>
            </w:r>
            <w:proofErr w:type="spellEnd"/>
          </w:p>
        </w:tc>
        <w:tc>
          <w:tcPr>
            <w:tcW w:w="2109" w:type="dxa"/>
          </w:tcPr>
          <w:p w14:paraId="495143A3" w14:textId="66C23CB8"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c>
          <w:tcPr>
            <w:tcW w:w="2109" w:type="dxa"/>
          </w:tcPr>
          <w:p w14:paraId="4D9CA698" w14:textId="77777777" w:rsidR="009E212B" w:rsidRDefault="009E212B" w:rsidP="00AB704A">
            <w:pPr>
              <w:pStyle w:val="TableText"/>
              <w:spacing w:before="0" w:after="0"/>
            </w:pPr>
            <w:r w:rsidRPr="00775C08">
              <w:t>$0</w:t>
            </w:r>
          </w:p>
        </w:tc>
        <w:tc>
          <w:tcPr>
            <w:tcW w:w="2109" w:type="dxa"/>
          </w:tcPr>
          <w:p w14:paraId="0DB00205" w14:textId="44A0505C" w:rsidR="009E212B" w:rsidRDefault="009E212B" w:rsidP="00AB704A">
            <w:pPr>
              <w:pStyle w:val="TableText"/>
              <w:spacing w:before="0" w:after="0"/>
            </w:pPr>
            <w:r>
              <w:t>$</w:t>
            </w:r>
            <w:r w:rsidR="00046019" w:rsidRPr="00046019">
              <w:rPr>
                <w:b/>
                <w:bCs/>
              </w:rPr>
              <w:t>redacted</w:t>
            </w:r>
            <w:r w:rsidR="00046019" w:rsidRPr="004A7972" w:rsidDel="00046019">
              <w:t xml:space="preserve"> </w:t>
            </w:r>
          </w:p>
        </w:tc>
      </w:tr>
      <w:tr w:rsidR="009E212B" w14:paraId="3E8A77DD" w14:textId="77777777">
        <w:tc>
          <w:tcPr>
            <w:tcW w:w="2689" w:type="dxa"/>
          </w:tcPr>
          <w:p w14:paraId="1B3CF8FE" w14:textId="77777777" w:rsidR="009E212B" w:rsidRDefault="009E212B" w:rsidP="00AB704A">
            <w:pPr>
              <w:pStyle w:val="TableText"/>
              <w:spacing w:before="0" w:after="0"/>
              <w:ind w:left="170"/>
            </w:pPr>
            <w:r w:rsidRPr="00B957A2">
              <w:t>Implant and post implant procedural costs</w:t>
            </w:r>
          </w:p>
        </w:tc>
        <w:tc>
          <w:tcPr>
            <w:tcW w:w="2109" w:type="dxa"/>
          </w:tcPr>
          <w:p w14:paraId="0D28E232" w14:textId="77777777" w:rsidR="009E212B" w:rsidRDefault="009E212B" w:rsidP="00AB704A">
            <w:pPr>
              <w:pStyle w:val="TableText"/>
              <w:spacing w:before="0" w:after="0"/>
            </w:pPr>
            <w:r w:rsidRPr="004A7972">
              <w:t>$76,48</w:t>
            </w:r>
            <w:r>
              <w:t>0</w:t>
            </w:r>
          </w:p>
        </w:tc>
        <w:tc>
          <w:tcPr>
            <w:tcW w:w="2109" w:type="dxa"/>
          </w:tcPr>
          <w:p w14:paraId="747A5B4C" w14:textId="77777777" w:rsidR="009E212B" w:rsidRDefault="009E212B" w:rsidP="00AB704A">
            <w:pPr>
              <w:pStyle w:val="TableText"/>
              <w:spacing w:before="0" w:after="0"/>
            </w:pPr>
            <w:r w:rsidRPr="00775C08">
              <w:t>$0</w:t>
            </w:r>
          </w:p>
        </w:tc>
        <w:tc>
          <w:tcPr>
            <w:tcW w:w="2109" w:type="dxa"/>
          </w:tcPr>
          <w:p w14:paraId="150D6939" w14:textId="77777777" w:rsidR="009E212B" w:rsidRDefault="009E212B" w:rsidP="00AB704A">
            <w:pPr>
              <w:pStyle w:val="TableText"/>
              <w:spacing w:before="0" w:after="0"/>
            </w:pPr>
            <w:r>
              <w:t>$</w:t>
            </w:r>
            <w:r w:rsidRPr="004A7972">
              <w:t>76,480</w:t>
            </w:r>
          </w:p>
        </w:tc>
      </w:tr>
      <w:tr w:rsidR="009E212B" w14:paraId="4B826DB2" w14:textId="77777777">
        <w:tc>
          <w:tcPr>
            <w:tcW w:w="2689" w:type="dxa"/>
          </w:tcPr>
          <w:p w14:paraId="6125300D" w14:textId="77777777" w:rsidR="009E212B" w:rsidRDefault="009E212B" w:rsidP="00AB704A">
            <w:pPr>
              <w:pStyle w:val="TableText"/>
              <w:spacing w:before="0" w:after="0"/>
            </w:pPr>
            <w:r>
              <w:t>Aftercare costs</w:t>
            </w:r>
          </w:p>
        </w:tc>
        <w:tc>
          <w:tcPr>
            <w:tcW w:w="2109" w:type="dxa"/>
          </w:tcPr>
          <w:p w14:paraId="6AB14999" w14:textId="77777777" w:rsidR="009E212B" w:rsidRDefault="009E212B" w:rsidP="00AB704A">
            <w:pPr>
              <w:pStyle w:val="TableText"/>
              <w:spacing w:before="0" w:after="0"/>
            </w:pPr>
          </w:p>
        </w:tc>
        <w:tc>
          <w:tcPr>
            <w:tcW w:w="2109" w:type="dxa"/>
          </w:tcPr>
          <w:p w14:paraId="2E615B7C" w14:textId="77777777" w:rsidR="009E212B" w:rsidRDefault="009E212B" w:rsidP="00AB704A">
            <w:pPr>
              <w:pStyle w:val="TableText"/>
              <w:spacing w:before="0" w:after="0"/>
            </w:pPr>
          </w:p>
        </w:tc>
        <w:tc>
          <w:tcPr>
            <w:tcW w:w="2109" w:type="dxa"/>
          </w:tcPr>
          <w:p w14:paraId="67FF62E9" w14:textId="77777777" w:rsidR="009E212B" w:rsidRDefault="009E212B" w:rsidP="00AB704A">
            <w:pPr>
              <w:pStyle w:val="TableText"/>
              <w:spacing w:before="0" w:after="0"/>
            </w:pPr>
          </w:p>
        </w:tc>
      </w:tr>
      <w:tr w:rsidR="009E212B" w14:paraId="1FCF8BF6" w14:textId="77777777">
        <w:tc>
          <w:tcPr>
            <w:tcW w:w="2689" w:type="dxa"/>
          </w:tcPr>
          <w:p w14:paraId="65B71277" w14:textId="77777777" w:rsidR="009E212B" w:rsidRPr="00E55CDF" w:rsidRDefault="009E212B" w:rsidP="00AB704A">
            <w:pPr>
              <w:pStyle w:val="TableText"/>
              <w:spacing w:before="0" w:after="0"/>
              <w:ind w:left="170"/>
              <w:rPr>
                <w:vertAlign w:val="superscript"/>
              </w:rPr>
            </w:pPr>
            <w:r w:rsidRPr="00B957A2">
              <w:t xml:space="preserve">Ongoing </w:t>
            </w:r>
            <w:proofErr w:type="spellStart"/>
            <w:r w:rsidRPr="00B957A2">
              <w:t>management</w:t>
            </w:r>
            <w:r>
              <w:rPr>
                <w:vertAlign w:val="superscript"/>
              </w:rPr>
              <w:t>b</w:t>
            </w:r>
            <w:proofErr w:type="spellEnd"/>
          </w:p>
        </w:tc>
        <w:tc>
          <w:tcPr>
            <w:tcW w:w="2109" w:type="dxa"/>
          </w:tcPr>
          <w:p w14:paraId="3B4C400A" w14:textId="5925641B" w:rsidR="009E212B" w:rsidRDefault="009E212B" w:rsidP="00AB704A">
            <w:pPr>
              <w:pStyle w:val="TableText"/>
              <w:spacing w:before="0" w:after="0"/>
            </w:pPr>
            <w:r>
              <w:t>$</w:t>
            </w:r>
            <w:r w:rsidRPr="004A7972">
              <w:t>8,165</w:t>
            </w:r>
          </w:p>
        </w:tc>
        <w:tc>
          <w:tcPr>
            <w:tcW w:w="2109" w:type="dxa"/>
          </w:tcPr>
          <w:p w14:paraId="77418D2E" w14:textId="77777777" w:rsidR="009E212B" w:rsidRDefault="009E212B" w:rsidP="00AB704A">
            <w:pPr>
              <w:pStyle w:val="TableText"/>
              <w:spacing w:before="0" w:after="0"/>
            </w:pPr>
            <w:r w:rsidRPr="004A7972">
              <w:t>$967</w:t>
            </w:r>
          </w:p>
        </w:tc>
        <w:tc>
          <w:tcPr>
            <w:tcW w:w="2109" w:type="dxa"/>
          </w:tcPr>
          <w:p w14:paraId="28D21DD7" w14:textId="77777777" w:rsidR="009E212B" w:rsidRDefault="009E212B" w:rsidP="00AB704A">
            <w:pPr>
              <w:pStyle w:val="TableText"/>
              <w:spacing w:before="0" w:after="0"/>
            </w:pPr>
            <w:r>
              <w:t>$</w:t>
            </w:r>
            <w:r w:rsidRPr="004A7972">
              <w:t>7,199</w:t>
            </w:r>
          </w:p>
        </w:tc>
      </w:tr>
      <w:tr w:rsidR="009E212B" w14:paraId="673643A5" w14:textId="77777777">
        <w:tc>
          <w:tcPr>
            <w:tcW w:w="2689" w:type="dxa"/>
          </w:tcPr>
          <w:p w14:paraId="78392173" w14:textId="1EADBCAE" w:rsidR="009E212B" w:rsidRPr="00B957A2" w:rsidRDefault="009E212B" w:rsidP="00AB704A">
            <w:pPr>
              <w:pStyle w:val="TableText"/>
              <w:spacing w:before="0" w:after="0"/>
              <w:ind w:left="170"/>
            </w:pPr>
            <w:r>
              <w:t xml:space="preserve">Rehabilitation </w:t>
            </w:r>
          </w:p>
        </w:tc>
        <w:tc>
          <w:tcPr>
            <w:tcW w:w="2109" w:type="dxa"/>
          </w:tcPr>
          <w:p w14:paraId="42C524C0" w14:textId="77777777" w:rsidR="009E212B" w:rsidRDefault="009E212B" w:rsidP="00AB704A">
            <w:pPr>
              <w:pStyle w:val="TableText"/>
              <w:spacing w:before="0" w:after="0"/>
            </w:pPr>
            <w:r w:rsidRPr="00F3095F">
              <w:rPr>
                <w:i/>
                <w:iCs/>
              </w:rPr>
              <w:t>N</w:t>
            </w:r>
            <w:r>
              <w:rPr>
                <w:i/>
                <w:iCs/>
              </w:rPr>
              <w:t>A</w:t>
            </w:r>
          </w:p>
        </w:tc>
        <w:tc>
          <w:tcPr>
            <w:tcW w:w="2109" w:type="dxa"/>
          </w:tcPr>
          <w:p w14:paraId="201FA9DA" w14:textId="77777777" w:rsidR="009E212B" w:rsidRPr="004A7972" w:rsidRDefault="009E212B" w:rsidP="00AB704A">
            <w:pPr>
              <w:pStyle w:val="TableText"/>
              <w:spacing w:before="0" w:after="0"/>
            </w:pPr>
            <w:r w:rsidRPr="00F3095F">
              <w:rPr>
                <w:i/>
                <w:iCs/>
              </w:rPr>
              <w:t>N</w:t>
            </w:r>
            <w:r>
              <w:rPr>
                <w:i/>
                <w:iCs/>
              </w:rPr>
              <w:t>A</w:t>
            </w:r>
          </w:p>
        </w:tc>
        <w:tc>
          <w:tcPr>
            <w:tcW w:w="2109" w:type="dxa"/>
          </w:tcPr>
          <w:p w14:paraId="79C3CA56" w14:textId="77777777" w:rsidR="009E212B" w:rsidRDefault="009E212B" w:rsidP="00AB704A">
            <w:pPr>
              <w:pStyle w:val="TableText"/>
              <w:spacing w:before="0" w:after="0"/>
            </w:pPr>
            <w:r w:rsidRPr="00F3095F">
              <w:rPr>
                <w:i/>
                <w:iCs/>
              </w:rPr>
              <w:t>N</w:t>
            </w:r>
            <w:r>
              <w:rPr>
                <w:i/>
                <w:iCs/>
              </w:rPr>
              <w:t>A</w:t>
            </w:r>
          </w:p>
        </w:tc>
      </w:tr>
      <w:tr w:rsidR="009E212B" w14:paraId="28208929" w14:textId="77777777">
        <w:tc>
          <w:tcPr>
            <w:tcW w:w="2689" w:type="dxa"/>
          </w:tcPr>
          <w:p w14:paraId="27CDFB44" w14:textId="77777777" w:rsidR="009E212B" w:rsidRDefault="009E212B" w:rsidP="00AB704A">
            <w:pPr>
              <w:pStyle w:val="TableText"/>
              <w:spacing w:before="0" w:after="0"/>
              <w:ind w:left="170"/>
            </w:pPr>
            <w:r w:rsidRPr="00B957A2">
              <w:t>Device related event costs</w:t>
            </w:r>
          </w:p>
        </w:tc>
        <w:tc>
          <w:tcPr>
            <w:tcW w:w="2109" w:type="dxa"/>
          </w:tcPr>
          <w:p w14:paraId="242D2FE1" w14:textId="5537BA61" w:rsidR="009E212B" w:rsidRDefault="009E212B" w:rsidP="00AB704A">
            <w:pPr>
              <w:pStyle w:val="TableText"/>
              <w:spacing w:before="0" w:after="0"/>
            </w:pPr>
            <w:r w:rsidRPr="004A7972">
              <w:t>$</w:t>
            </w:r>
            <w:r w:rsidR="00F22401" w:rsidRPr="008C0B41">
              <w:rPr>
                <w:b/>
                <w:bCs/>
              </w:rPr>
              <w:t>redacted</w:t>
            </w:r>
            <w:r w:rsidR="00F22401" w:rsidRPr="004A7972" w:rsidDel="00F22401">
              <w:t xml:space="preserve"> </w:t>
            </w:r>
          </w:p>
        </w:tc>
        <w:tc>
          <w:tcPr>
            <w:tcW w:w="2109" w:type="dxa"/>
          </w:tcPr>
          <w:p w14:paraId="74928BD9" w14:textId="77777777" w:rsidR="009E212B" w:rsidRDefault="009E212B" w:rsidP="00AB704A">
            <w:pPr>
              <w:pStyle w:val="TableText"/>
              <w:spacing w:before="0" w:after="0"/>
            </w:pPr>
            <w:r w:rsidRPr="004A7972">
              <w:t>$0</w:t>
            </w:r>
          </w:p>
        </w:tc>
        <w:tc>
          <w:tcPr>
            <w:tcW w:w="2109" w:type="dxa"/>
          </w:tcPr>
          <w:p w14:paraId="350BFE1E" w14:textId="55F5F6BA" w:rsidR="009E212B" w:rsidRDefault="009E212B" w:rsidP="00AB704A">
            <w:pPr>
              <w:pStyle w:val="TableText"/>
              <w:spacing w:before="0" w:after="0"/>
            </w:pPr>
            <w:r w:rsidRPr="004A7972">
              <w:t>$</w:t>
            </w:r>
            <w:r w:rsidR="00F22401" w:rsidRPr="008C0B41">
              <w:rPr>
                <w:b/>
                <w:bCs/>
              </w:rPr>
              <w:t>redacted</w:t>
            </w:r>
            <w:r w:rsidR="00F22401" w:rsidRPr="004A7972" w:rsidDel="00F22401">
              <w:t xml:space="preserve"> </w:t>
            </w:r>
          </w:p>
        </w:tc>
      </w:tr>
      <w:tr w:rsidR="009E212B" w14:paraId="6A01C916" w14:textId="77777777">
        <w:tc>
          <w:tcPr>
            <w:tcW w:w="2689" w:type="dxa"/>
          </w:tcPr>
          <w:p w14:paraId="033AAF95" w14:textId="77777777" w:rsidR="009E212B" w:rsidRDefault="009E212B" w:rsidP="00AB704A">
            <w:pPr>
              <w:pStyle w:val="TableText"/>
              <w:spacing w:before="0" w:after="0"/>
              <w:ind w:left="170"/>
            </w:pPr>
            <w:r w:rsidRPr="00B957A2">
              <w:t>Disease related event costs</w:t>
            </w:r>
          </w:p>
        </w:tc>
        <w:tc>
          <w:tcPr>
            <w:tcW w:w="2109" w:type="dxa"/>
          </w:tcPr>
          <w:p w14:paraId="7D6E97C1" w14:textId="77777777" w:rsidR="009E212B" w:rsidRDefault="009E212B" w:rsidP="00AB704A">
            <w:pPr>
              <w:pStyle w:val="TableText"/>
              <w:spacing w:before="0" w:after="0"/>
            </w:pPr>
            <w:r w:rsidRPr="004A7972">
              <w:t>$40,436</w:t>
            </w:r>
          </w:p>
        </w:tc>
        <w:tc>
          <w:tcPr>
            <w:tcW w:w="2109" w:type="dxa"/>
          </w:tcPr>
          <w:p w14:paraId="16C0C2E6" w14:textId="77777777" w:rsidR="009E212B" w:rsidRDefault="009E212B" w:rsidP="00AB704A">
            <w:pPr>
              <w:pStyle w:val="TableText"/>
              <w:spacing w:before="0" w:after="0"/>
            </w:pPr>
            <w:r w:rsidRPr="004A7972">
              <w:t>$46,683</w:t>
            </w:r>
          </w:p>
        </w:tc>
        <w:tc>
          <w:tcPr>
            <w:tcW w:w="2109" w:type="dxa"/>
          </w:tcPr>
          <w:p w14:paraId="7C01BECD" w14:textId="77777777" w:rsidR="009E212B" w:rsidRDefault="009E212B" w:rsidP="00AB704A">
            <w:pPr>
              <w:pStyle w:val="TableText"/>
              <w:spacing w:before="0" w:after="0"/>
            </w:pPr>
            <w:r w:rsidRPr="004A7972">
              <w:t>-$6,247</w:t>
            </w:r>
          </w:p>
        </w:tc>
      </w:tr>
      <w:tr w:rsidR="009E212B" w14:paraId="2C5E89E6" w14:textId="77777777">
        <w:tc>
          <w:tcPr>
            <w:tcW w:w="2689" w:type="dxa"/>
          </w:tcPr>
          <w:p w14:paraId="618C52B1" w14:textId="77777777" w:rsidR="009E212B" w:rsidRDefault="009E212B" w:rsidP="00AB704A">
            <w:pPr>
              <w:pStyle w:val="TableText"/>
              <w:spacing w:before="0" w:after="0"/>
            </w:pPr>
            <w:r w:rsidRPr="00B957A2">
              <w:t>Tota</w:t>
            </w:r>
            <w:r>
              <w:t>l</w:t>
            </w:r>
          </w:p>
        </w:tc>
        <w:tc>
          <w:tcPr>
            <w:tcW w:w="2109" w:type="dxa"/>
          </w:tcPr>
          <w:p w14:paraId="5F4D3A3F" w14:textId="58070F17"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c>
          <w:tcPr>
            <w:tcW w:w="2109" w:type="dxa"/>
          </w:tcPr>
          <w:p w14:paraId="30C07CF2" w14:textId="77777777" w:rsidR="009E212B" w:rsidRDefault="009E212B" w:rsidP="00AB704A">
            <w:pPr>
              <w:pStyle w:val="TableText"/>
              <w:spacing w:before="0" w:after="0"/>
            </w:pPr>
            <w:r w:rsidRPr="004A7972">
              <w:t>$70,078</w:t>
            </w:r>
          </w:p>
        </w:tc>
        <w:tc>
          <w:tcPr>
            <w:tcW w:w="2109" w:type="dxa"/>
          </w:tcPr>
          <w:p w14:paraId="638625A1" w14:textId="21DAD72C" w:rsidR="009E212B" w:rsidRDefault="009E212B" w:rsidP="00AB704A">
            <w:pPr>
              <w:pStyle w:val="TableText"/>
              <w:spacing w:before="0" w:after="0"/>
            </w:pPr>
            <w:r w:rsidRPr="004A7972">
              <w:t>$</w:t>
            </w:r>
            <w:r w:rsidR="00046019" w:rsidRPr="00046019">
              <w:rPr>
                <w:b/>
                <w:bCs/>
              </w:rPr>
              <w:t>redacted</w:t>
            </w:r>
            <w:r w:rsidR="00046019" w:rsidRPr="004A7972" w:rsidDel="00046019">
              <w:t xml:space="preserve"> </w:t>
            </w:r>
          </w:p>
        </w:tc>
      </w:tr>
    </w:tbl>
    <w:p w14:paraId="41DD126C" w14:textId="35732461" w:rsidR="009E212B" w:rsidRDefault="009E212B" w:rsidP="009E212B">
      <w:pPr>
        <w:pStyle w:val="TableFooter"/>
      </w:pPr>
      <w:r>
        <w:t>Source: Table 21 of p39</w:t>
      </w:r>
      <w:r w:rsidR="0006362E">
        <w:t>;</w:t>
      </w:r>
      <w:r>
        <w:t xml:space="preserve"> and Table 23 of p40 of MSAC </w:t>
      </w:r>
      <w:r w:rsidR="00757DF7">
        <w:t xml:space="preserve">Application </w:t>
      </w:r>
      <w:r w:rsidR="009A5664">
        <w:t>1749 Resubmission</w:t>
      </w:r>
      <w:r w:rsidR="00757DF7">
        <w:t xml:space="preserve"> ADAR</w:t>
      </w:r>
      <w:r>
        <w:t>.</w:t>
      </w:r>
    </w:p>
    <w:p w14:paraId="59189937" w14:textId="1B1EAE1F" w:rsidR="009E212B" w:rsidRDefault="009E212B" w:rsidP="009E212B">
      <w:pPr>
        <w:pStyle w:val="TableFooter"/>
      </w:pPr>
      <w:r>
        <w:t xml:space="preserve">HM3 = HeartMate 3; </w:t>
      </w:r>
      <w:r w:rsidR="00596728">
        <w:t>L</w:t>
      </w:r>
      <w:r w:rsidR="00ED6CA5">
        <w:t>VAD</w:t>
      </w:r>
      <w:r>
        <w:t xml:space="preserve"> = ventricular assist device; OMM = optimal medical management; NA = not available.</w:t>
      </w:r>
    </w:p>
    <w:p w14:paraId="5B6FF8D3" w14:textId="030A91D0" w:rsidR="009E212B" w:rsidRDefault="007E4FCA" w:rsidP="009E212B">
      <w:pPr>
        <w:pStyle w:val="TableFooter"/>
      </w:pPr>
      <w:r>
        <w:t>Notes</w:t>
      </w:r>
      <w:r w:rsidRPr="007E4FCA">
        <w:t xml:space="preserve">: </w:t>
      </w:r>
      <w:r w:rsidR="009E212B" w:rsidRPr="00D74C1B">
        <w:rPr>
          <w:vertAlign w:val="superscript"/>
        </w:rPr>
        <w:t>a</w:t>
      </w:r>
      <w:r w:rsidR="009E212B">
        <w:t xml:space="preserve"> Includes HM3 </w:t>
      </w:r>
      <w:r w:rsidR="00596728">
        <w:t>L</w:t>
      </w:r>
      <w:r w:rsidR="00ED6CA5">
        <w:t>VAD</w:t>
      </w:r>
      <w:r w:rsidR="009E212B">
        <w:t xml:space="preserve"> + implant kit.</w:t>
      </w:r>
      <w:r>
        <w:t xml:space="preserve"> </w:t>
      </w:r>
      <w:r w:rsidR="009E212B" w:rsidRPr="0079297C">
        <w:rPr>
          <w:vertAlign w:val="superscript"/>
        </w:rPr>
        <w:t>b</w:t>
      </w:r>
      <w:r w:rsidR="009E212B">
        <w:t xml:space="preserve"> Includes ECG, clinic visit, anticoagulation and antihypertensive management.</w:t>
      </w:r>
    </w:p>
    <w:p w14:paraId="71A9A398" w14:textId="2ABB236B" w:rsidR="009E212B" w:rsidRPr="00045CFB" w:rsidRDefault="009E212B" w:rsidP="009E212B">
      <w:pPr>
        <w:pStyle w:val="TableFooter"/>
        <w:rPr>
          <w:i/>
          <w:iCs/>
        </w:rPr>
      </w:pPr>
      <w:r w:rsidRPr="00045CFB">
        <w:rPr>
          <w:i/>
          <w:iCs/>
        </w:rPr>
        <w:t xml:space="preserve">Italics added during </w:t>
      </w:r>
      <w:r>
        <w:rPr>
          <w:i/>
          <w:iCs/>
        </w:rPr>
        <w:t>commentary.</w:t>
      </w:r>
    </w:p>
    <w:p w14:paraId="13F60278" w14:textId="3426ED5A" w:rsidR="009E212B" w:rsidRDefault="009E212B" w:rsidP="009E212B">
      <w:r>
        <w:lastRenderedPageBreak/>
        <w:fldChar w:fldCharType="begin"/>
      </w:r>
      <w:r>
        <w:instrText xml:space="preserve"> REF _Ref69726284 \h </w:instrText>
      </w:r>
      <w:r>
        <w:fldChar w:fldCharType="separate"/>
      </w:r>
      <w:r w:rsidR="00A56BA9" w:rsidRPr="00CE28E3">
        <w:t>Table</w:t>
      </w:r>
      <w:r w:rsidR="00A56BA9">
        <w:t> </w:t>
      </w:r>
      <w:r w:rsidR="00A56BA9">
        <w:rPr>
          <w:noProof/>
        </w:rPr>
        <w:t>10</w:t>
      </w:r>
      <w:r>
        <w:fldChar w:fldCharType="end"/>
      </w:r>
      <w:r>
        <w:t xml:space="preserve"> summarises the incremental cost-effectiveness for </w:t>
      </w:r>
      <w:r w:rsidR="009A152D">
        <w:t xml:space="preserve">LVAD </w:t>
      </w:r>
      <w:r>
        <w:t>vs OMM.</w:t>
      </w:r>
    </w:p>
    <w:p w14:paraId="5FC97FFF" w14:textId="5E5EB1EC" w:rsidR="009E212B" w:rsidRPr="00CE28E3" w:rsidRDefault="009E212B" w:rsidP="009E212B">
      <w:pPr>
        <w:pStyle w:val="Caption"/>
      </w:pPr>
      <w:bookmarkStart w:id="44" w:name="_Ref69726284"/>
      <w:r w:rsidRPr="00CE28E3">
        <w:t>Table</w:t>
      </w:r>
      <w:r>
        <w:t> </w:t>
      </w:r>
      <w:r w:rsidR="006461F2">
        <w:fldChar w:fldCharType="begin"/>
      </w:r>
      <w:r w:rsidR="006461F2">
        <w:instrText xml:space="preserve"> SEQ Table \* ARABIC </w:instrText>
      </w:r>
      <w:r w:rsidR="006461F2">
        <w:fldChar w:fldCharType="separate"/>
      </w:r>
      <w:r w:rsidR="006461F2">
        <w:rPr>
          <w:noProof/>
        </w:rPr>
        <w:t>12</w:t>
      </w:r>
      <w:r w:rsidR="006461F2">
        <w:rPr>
          <w:noProof/>
        </w:rPr>
        <w:fldChar w:fldCharType="end"/>
      </w:r>
      <w:bookmarkEnd w:id="44"/>
      <w:r w:rsidRPr="00CE28E3">
        <w:tab/>
      </w:r>
      <w:r>
        <w:t xml:space="preserve">Incremental cost-effectiveness for </w:t>
      </w:r>
      <w:r w:rsidR="009A152D">
        <w:t>LVAD</w:t>
      </w:r>
      <w:r>
        <w:t xml:space="preserve"> vs OMM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54"/>
        <w:gridCol w:w="2254"/>
        <w:gridCol w:w="2254"/>
        <w:gridCol w:w="2254"/>
      </w:tblGrid>
      <w:tr w:rsidR="009E212B" w:rsidRPr="00CE28E3" w14:paraId="7A736C1C" w14:textId="77777777">
        <w:trPr>
          <w:cantSplit/>
          <w:tblHeader/>
        </w:trPr>
        <w:tc>
          <w:tcPr>
            <w:tcW w:w="1250" w:type="pct"/>
            <w:shd w:val="clear" w:color="auto" w:fill="FFFFFF"/>
          </w:tcPr>
          <w:p w14:paraId="504041A3" w14:textId="77777777" w:rsidR="009E212B" w:rsidRPr="00CE28E3" w:rsidRDefault="009E212B">
            <w:pPr>
              <w:pStyle w:val="In-tableHeading"/>
            </w:pPr>
            <w:bookmarkStart w:id="45" w:name="Title_Table9" w:colFirst="0" w:colLast="0"/>
            <w:bookmarkStart w:id="46" w:name="_Hlk68276590"/>
            <w:r>
              <w:t xml:space="preserve">Parameter </w:t>
            </w:r>
          </w:p>
        </w:tc>
        <w:tc>
          <w:tcPr>
            <w:tcW w:w="1250" w:type="pct"/>
            <w:shd w:val="clear" w:color="auto" w:fill="FFFFFF"/>
          </w:tcPr>
          <w:p w14:paraId="4C22E88D" w14:textId="1E9D4C49" w:rsidR="009E212B" w:rsidRPr="00CE28E3" w:rsidRDefault="009A152D">
            <w:pPr>
              <w:pStyle w:val="In-tableHeading"/>
              <w:jc w:val="center"/>
            </w:pPr>
            <w:r>
              <w:t>LVAD</w:t>
            </w:r>
          </w:p>
        </w:tc>
        <w:tc>
          <w:tcPr>
            <w:tcW w:w="1250" w:type="pct"/>
            <w:shd w:val="clear" w:color="auto" w:fill="FFFFFF"/>
          </w:tcPr>
          <w:p w14:paraId="724036FF" w14:textId="77777777" w:rsidR="009E212B" w:rsidRPr="00CE28E3" w:rsidRDefault="009E212B">
            <w:pPr>
              <w:pStyle w:val="In-tableHeading"/>
              <w:jc w:val="center"/>
            </w:pPr>
            <w:r>
              <w:t>OMM</w:t>
            </w:r>
          </w:p>
        </w:tc>
        <w:tc>
          <w:tcPr>
            <w:tcW w:w="1250" w:type="pct"/>
            <w:shd w:val="clear" w:color="auto" w:fill="FFFFFF"/>
            <w:vAlign w:val="center"/>
          </w:tcPr>
          <w:p w14:paraId="248AC34F" w14:textId="77777777" w:rsidR="009E212B" w:rsidRPr="00CE28E3" w:rsidRDefault="009E212B">
            <w:pPr>
              <w:pStyle w:val="In-tableHeading"/>
              <w:jc w:val="center"/>
            </w:pPr>
            <w:r w:rsidRPr="00CE28E3">
              <w:t>Increment</w:t>
            </w:r>
          </w:p>
        </w:tc>
      </w:tr>
      <w:tr w:rsidR="009E212B" w:rsidRPr="00CE28E3" w14:paraId="6EE5763D" w14:textId="77777777">
        <w:trPr>
          <w:cantSplit/>
        </w:trPr>
        <w:tc>
          <w:tcPr>
            <w:tcW w:w="5000" w:type="pct"/>
            <w:gridSpan w:val="4"/>
            <w:shd w:val="clear" w:color="auto" w:fill="auto"/>
          </w:tcPr>
          <w:p w14:paraId="39077A23" w14:textId="77777777" w:rsidR="009E212B" w:rsidRPr="00AA2626" w:rsidRDefault="009E212B">
            <w:pPr>
              <w:pStyle w:val="Tabletext0"/>
              <w:rPr>
                <w:b/>
                <w:bCs/>
              </w:rPr>
            </w:pPr>
            <w:r w:rsidRPr="00AA2626">
              <w:rPr>
                <w:b/>
                <w:bCs/>
              </w:rPr>
              <w:t>Revised base case</w:t>
            </w:r>
          </w:p>
        </w:tc>
      </w:tr>
      <w:bookmarkEnd w:id="45"/>
      <w:tr w:rsidR="009E212B" w:rsidRPr="00CE28E3" w14:paraId="0FB3B22B" w14:textId="77777777">
        <w:trPr>
          <w:cantSplit/>
        </w:trPr>
        <w:tc>
          <w:tcPr>
            <w:tcW w:w="1250" w:type="pct"/>
            <w:shd w:val="clear" w:color="auto" w:fill="auto"/>
          </w:tcPr>
          <w:p w14:paraId="73F60715" w14:textId="77777777" w:rsidR="009E212B" w:rsidRPr="00CE28E3" w:rsidRDefault="009E212B">
            <w:pPr>
              <w:pStyle w:val="Tabletext0"/>
            </w:pPr>
            <w:r w:rsidRPr="00CE28E3">
              <w:t>Costs</w:t>
            </w:r>
          </w:p>
        </w:tc>
        <w:tc>
          <w:tcPr>
            <w:tcW w:w="1250" w:type="pct"/>
            <w:shd w:val="clear" w:color="auto" w:fill="auto"/>
          </w:tcPr>
          <w:p w14:paraId="407A9376" w14:textId="637D8973" w:rsidR="009E212B" w:rsidRPr="00CE28E3" w:rsidRDefault="009E212B">
            <w:pPr>
              <w:pStyle w:val="Tabletext0"/>
            </w:pPr>
            <w:r w:rsidRPr="00CE28E3">
              <w:t>$</w:t>
            </w:r>
            <w:r w:rsidR="00E81619" w:rsidRPr="00E81619">
              <w:rPr>
                <w:b/>
                <w:bCs/>
              </w:rPr>
              <w:t>redacted</w:t>
            </w:r>
          </w:p>
        </w:tc>
        <w:tc>
          <w:tcPr>
            <w:tcW w:w="1250" w:type="pct"/>
            <w:shd w:val="clear" w:color="auto" w:fill="auto"/>
          </w:tcPr>
          <w:p w14:paraId="3977DFD2" w14:textId="77777777" w:rsidR="009E212B" w:rsidRPr="00CE28E3" w:rsidRDefault="009E212B">
            <w:pPr>
              <w:pStyle w:val="Tabletext0"/>
            </w:pPr>
            <w:r w:rsidRPr="00CE28E3">
              <w:t>$</w:t>
            </w:r>
            <w:r>
              <w:t>72,557</w:t>
            </w:r>
          </w:p>
        </w:tc>
        <w:tc>
          <w:tcPr>
            <w:tcW w:w="1250" w:type="pct"/>
            <w:shd w:val="clear" w:color="auto" w:fill="auto"/>
          </w:tcPr>
          <w:p w14:paraId="46D25FD8" w14:textId="620EF224" w:rsidR="009E212B" w:rsidRPr="00CE28E3" w:rsidRDefault="009E212B">
            <w:pPr>
              <w:pStyle w:val="Tabletext0"/>
            </w:pPr>
            <w:r w:rsidRPr="00CE28E3">
              <w:t>$</w:t>
            </w:r>
            <w:r w:rsidR="00E81619" w:rsidRPr="00E81619">
              <w:rPr>
                <w:b/>
                <w:bCs/>
              </w:rPr>
              <w:t>redacted</w:t>
            </w:r>
          </w:p>
        </w:tc>
      </w:tr>
      <w:tr w:rsidR="009E212B" w:rsidRPr="00CE28E3" w14:paraId="308AE873" w14:textId="77777777">
        <w:trPr>
          <w:cantSplit/>
        </w:trPr>
        <w:tc>
          <w:tcPr>
            <w:tcW w:w="1250" w:type="pct"/>
            <w:shd w:val="clear" w:color="auto" w:fill="auto"/>
          </w:tcPr>
          <w:p w14:paraId="7BC6E725" w14:textId="77777777" w:rsidR="009E212B" w:rsidRPr="00CE28E3" w:rsidRDefault="009E212B">
            <w:pPr>
              <w:pStyle w:val="Tabletext0"/>
            </w:pPr>
            <w:r w:rsidRPr="00CE28E3">
              <w:t>Life years</w:t>
            </w:r>
          </w:p>
        </w:tc>
        <w:tc>
          <w:tcPr>
            <w:tcW w:w="1250" w:type="pct"/>
            <w:shd w:val="clear" w:color="auto" w:fill="auto"/>
          </w:tcPr>
          <w:p w14:paraId="189E7A3E" w14:textId="77777777" w:rsidR="009E212B" w:rsidRPr="00CE28E3" w:rsidRDefault="009E212B">
            <w:pPr>
              <w:pStyle w:val="Tabletext0"/>
            </w:pPr>
            <w:r>
              <w:t>5.451</w:t>
            </w:r>
          </w:p>
        </w:tc>
        <w:tc>
          <w:tcPr>
            <w:tcW w:w="1250" w:type="pct"/>
            <w:shd w:val="clear" w:color="auto" w:fill="auto"/>
          </w:tcPr>
          <w:p w14:paraId="12C4637C" w14:textId="77777777" w:rsidR="009E212B" w:rsidRPr="00CE28E3" w:rsidRDefault="009E212B">
            <w:pPr>
              <w:pStyle w:val="Tabletext0"/>
            </w:pPr>
            <w:r>
              <w:t>0.586</w:t>
            </w:r>
          </w:p>
        </w:tc>
        <w:tc>
          <w:tcPr>
            <w:tcW w:w="1250" w:type="pct"/>
            <w:shd w:val="clear" w:color="auto" w:fill="auto"/>
          </w:tcPr>
          <w:p w14:paraId="1329400D" w14:textId="77777777" w:rsidR="009E212B" w:rsidRPr="00CE28E3" w:rsidRDefault="009E212B">
            <w:pPr>
              <w:pStyle w:val="Tabletext0"/>
            </w:pPr>
            <w:r>
              <w:t>4.865</w:t>
            </w:r>
          </w:p>
        </w:tc>
      </w:tr>
      <w:tr w:rsidR="009E212B" w:rsidRPr="00CE28E3" w14:paraId="34A65D6A" w14:textId="77777777">
        <w:trPr>
          <w:cantSplit/>
        </w:trPr>
        <w:tc>
          <w:tcPr>
            <w:tcW w:w="1250" w:type="pct"/>
            <w:shd w:val="clear" w:color="auto" w:fill="auto"/>
          </w:tcPr>
          <w:p w14:paraId="5C044051" w14:textId="77777777" w:rsidR="009E212B" w:rsidRPr="00CE28E3" w:rsidRDefault="009E212B">
            <w:pPr>
              <w:pStyle w:val="Tabletext0"/>
            </w:pPr>
            <w:r w:rsidRPr="00CE28E3">
              <w:t>QALYS</w:t>
            </w:r>
          </w:p>
        </w:tc>
        <w:tc>
          <w:tcPr>
            <w:tcW w:w="1250" w:type="pct"/>
            <w:shd w:val="clear" w:color="auto" w:fill="auto"/>
          </w:tcPr>
          <w:p w14:paraId="2A245AA3" w14:textId="77777777" w:rsidR="009E212B" w:rsidRPr="00CE28E3" w:rsidRDefault="009E212B">
            <w:pPr>
              <w:pStyle w:val="Tabletext0"/>
            </w:pPr>
            <w:r>
              <w:t>4.300</w:t>
            </w:r>
          </w:p>
        </w:tc>
        <w:tc>
          <w:tcPr>
            <w:tcW w:w="1250" w:type="pct"/>
            <w:shd w:val="clear" w:color="auto" w:fill="auto"/>
          </w:tcPr>
          <w:p w14:paraId="4FB5F8AE" w14:textId="77777777" w:rsidR="009E212B" w:rsidRPr="00CE28E3" w:rsidRDefault="009E212B">
            <w:pPr>
              <w:pStyle w:val="Tabletext0"/>
            </w:pPr>
            <w:r>
              <w:t>0.375</w:t>
            </w:r>
          </w:p>
        </w:tc>
        <w:tc>
          <w:tcPr>
            <w:tcW w:w="1250" w:type="pct"/>
            <w:shd w:val="clear" w:color="auto" w:fill="auto"/>
          </w:tcPr>
          <w:p w14:paraId="13120068" w14:textId="77777777" w:rsidR="009E212B" w:rsidRPr="00CE28E3" w:rsidRDefault="009E212B">
            <w:pPr>
              <w:pStyle w:val="Tabletext0"/>
            </w:pPr>
            <w:r>
              <w:t>3.925</w:t>
            </w:r>
          </w:p>
        </w:tc>
      </w:tr>
      <w:tr w:rsidR="009E212B" w:rsidRPr="00CE28E3" w14:paraId="373E8096" w14:textId="77777777">
        <w:trPr>
          <w:cantSplit/>
        </w:trPr>
        <w:tc>
          <w:tcPr>
            <w:tcW w:w="3750" w:type="pct"/>
            <w:gridSpan w:val="3"/>
            <w:tcBorders>
              <w:right w:val="single" w:sz="4" w:space="0" w:color="000000"/>
            </w:tcBorders>
            <w:shd w:val="clear" w:color="auto" w:fill="auto"/>
          </w:tcPr>
          <w:p w14:paraId="6D5A77DB" w14:textId="77777777" w:rsidR="009E212B" w:rsidRPr="00756330" w:rsidRDefault="009E212B">
            <w:pPr>
              <w:pStyle w:val="Tabletext0"/>
              <w:rPr>
                <w:b/>
                <w:bCs/>
              </w:rPr>
            </w:pPr>
            <w:r w:rsidRPr="00756330">
              <w:rPr>
                <w:bCs/>
              </w:rPr>
              <w:t>Incremental cost per life year gained</w:t>
            </w:r>
          </w:p>
        </w:tc>
        <w:tc>
          <w:tcPr>
            <w:tcW w:w="1250" w:type="pct"/>
            <w:tcBorders>
              <w:left w:val="single" w:sz="4" w:space="0" w:color="000000"/>
            </w:tcBorders>
            <w:shd w:val="clear" w:color="auto" w:fill="auto"/>
          </w:tcPr>
          <w:p w14:paraId="42B51048" w14:textId="726C4876" w:rsidR="009E212B" w:rsidRPr="00756330" w:rsidRDefault="009E212B">
            <w:pPr>
              <w:pStyle w:val="Tabletext0"/>
              <w:rPr>
                <w:rFonts w:eastAsia="Calibri"/>
                <w:bCs/>
                <w:i/>
                <w:iCs/>
              </w:rPr>
            </w:pPr>
            <w:r w:rsidRPr="00756330">
              <w:rPr>
                <w:rFonts w:eastAsia="Calibri"/>
                <w:bCs/>
                <w:i/>
                <w:iCs/>
              </w:rPr>
              <w:t>$</w:t>
            </w:r>
            <w:r w:rsidR="00E81619" w:rsidRPr="00E81619">
              <w:rPr>
                <w:b/>
                <w:bCs/>
                <w:i/>
                <w:iCs/>
              </w:rPr>
              <w:t>redacted</w:t>
            </w:r>
            <w:r w:rsidR="00E81619" w:rsidRPr="00756330" w:rsidDel="00E81619">
              <w:rPr>
                <w:rFonts w:eastAsia="Calibri"/>
                <w:bCs/>
                <w:i/>
                <w:iCs/>
              </w:rPr>
              <w:t xml:space="preserve"> </w:t>
            </w:r>
          </w:p>
        </w:tc>
      </w:tr>
      <w:tr w:rsidR="009E212B" w:rsidRPr="00CE28E3" w14:paraId="6E4659B8" w14:textId="77777777">
        <w:trPr>
          <w:cantSplit/>
        </w:trPr>
        <w:tc>
          <w:tcPr>
            <w:tcW w:w="3750" w:type="pct"/>
            <w:gridSpan w:val="3"/>
            <w:tcBorders>
              <w:right w:val="single" w:sz="4" w:space="0" w:color="000000"/>
            </w:tcBorders>
            <w:shd w:val="clear" w:color="auto" w:fill="auto"/>
          </w:tcPr>
          <w:p w14:paraId="73D7B994" w14:textId="77777777" w:rsidR="009E212B" w:rsidRPr="00756330" w:rsidRDefault="009E212B">
            <w:pPr>
              <w:pStyle w:val="Tabletext0"/>
              <w:rPr>
                <w:b/>
                <w:bCs/>
              </w:rPr>
            </w:pPr>
            <w:r w:rsidRPr="00756330">
              <w:rPr>
                <w:bCs/>
              </w:rPr>
              <w:t>Incremental cost per QALY gained</w:t>
            </w:r>
          </w:p>
        </w:tc>
        <w:tc>
          <w:tcPr>
            <w:tcW w:w="1250" w:type="pct"/>
            <w:tcBorders>
              <w:left w:val="single" w:sz="4" w:space="0" w:color="000000"/>
            </w:tcBorders>
            <w:shd w:val="clear" w:color="auto" w:fill="auto"/>
          </w:tcPr>
          <w:p w14:paraId="35F760B9" w14:textId="3F24BA99" w:rsidR="009E212B" w:rsidRPr="00756330" w:rsidRDefault="009E212B">
            <w:pPr>
              <w:pStyle w:val="Tabletext0"/>
              <w:rPr>
                <w:rFonts w:eastAsia="Calibri"/>
                <w:bCs/>
              </w:rPr>
            </w:pPr>
            <w:r w:rsidRPr="00756330">
              <w:rPr>
                <w:rFonts w:eastAsia="Calibri"/>
                <w:bCs/>
              </w:rPr>
              <w:t>$</w:t>
            </w:r>
            <w:r w:rsidR="00E81619" w:rsidRPr="00E81619">
              <w:rPr>
                <w:b/>
                <w:bCs/>
              </w:rPr>
              <w:t>redacted</w:t>
            </w:r>
            <w:r w:rsidR="00E81619" w:rsidRPr="00756330" w:rsidDel="00E81619">
              <w:rPr>
                <w:rFonts w:eastAsia="Calibri"/>
                <w:bCs/>
              </w:rPr>
              <w:t xml:space="preserve"> </w:t>
            </w:r>
          </w:p>
        </w:tc>
      </w:tr>
      <w:tr w:rsidR="009E212B" w:rsidRPr="00CE28E3" w14:paraId="6710EE40" w14:textId="77777777">
        <w:trPr>
          <w:cantSplit/>
        </w:trPr>
        <w:tc>
          <w:tcPr>
            <w:tcW w:w="5000" w:type="pct"/>
            <w:gridSpan w:val="4"/>
            <w:shd w:val="clear" w:color="auto" w:fill="auto"/>
          </w:tcPr>
          <w:p w14:paraId="1BECD0BF" w14:textId="77777777" w:rsidR="009E212B" w:rsidRPr="00AA2626" w:rsidRDefault="009E212B">
            <w:pPr>
              <w:pStyle w:val="Tabletext0"/>
              <w:rPr>
                <w:rFonts w:eastAsia="Calibri"/>
                <w:b/>
                <w:bCs/>
              </w:rPr>
            </w:pPr>
            <w:r w:rsidRPr="00AA2626">
              <w:rPr>
                <w:b/>
                <w:bCs/>
              </w:rPr>
              <w:t>Likely overestimated case</w:t>
            </w:r>
          </w:p>
        </w:tc>
      </w:tr>
      <w:tr w:rsidR="009E212B" w:rsidRPr="00CE28E3" w14:paraId="7A860161" w14:textId="77777777">
        <w:trPr>
          <w:cantSplit/>
        </w:trPr>
        <w:tc>
          <w:tcPr>
            <w:tcW w:w="1250" w:type="pct"/>
            <w:tcBorders>
              <w:right w:val="single" w:sz="4" w:space="0" w:color="000000"/>
            </w:tcBorders>
            <w:shd w:val="clear" w:color="auto" w:fill="auto"/>
          </w:tcPr>
          <w:p w14:paraId="0F90F64E" w14:textId="77777777" w:rsidR="009E212B" w:rsidRPr="00E45956" w:rsidRDefault="009E212B">
            <w:pPr>
              <w:pStyle w:val="Tabletext0"/>
            </w:pPr>
            <w:r w:rsidRPr="00E45956">
              <w:t>Costs</w:t>
            </w:r>
          </w:p>
        </w:tc>
        <w:tc>
          <w:tcPr>
            <w:tcW w:w="1250" w:type="pct"/>
            <w:tcBorders>
              <w:right w:val="single" w:sz="4" w:space="0" w:color="000000"/>
            </w:tcBorders>
            <w:shd w:val="clear" w:color="auto" w:fill="auto"/>
          </w:tcPr>
          <w:p w14:paraId="4745B4C6" w14:textId="7F17506D" w:rsidR="009E212B" w:rsidRPr="00E45956" w:rsidRDefault="009E212B">
            <w:pPr>
              <w:pStyle w:val="Tabletext0"/>
            </w:pPr>
            <w:r w:rsidRPr="00E45956">
              <w:t>$</w:t>
            </w:r>
            <w:r w:rsidR="00E81619" w:rsidRPr="00E81619">
              <w:rPr>
                <w:b/>
                <w:bCs/>
              </w:rPr>
              <w:t>redacted</w:t>
            </w:r>
            <w:r w:rsidR="00E81619" w:rsidRPr="00E45956" w:rsidDel="00E81619">
              <w:t xml:space="preserve"> </w:t>
            </w:r>
          </w:p>
        </w:tc>
        <w:tc>
          <w:tcPr>
            <w:tcW w:w="1250" w:type="pct"/>
            <w:tcBorders>
              <w:right w:val="single" w:sz="4" w:space="0" w:color="000000"/>
            </w:tcBorders>
            <w:shd w:val="clear" w:color="auto" w:fill="auto"/>
          </w:tcPr>
          <w:p w14:paraId="5834F0BC" w14:textId="77777777" w:rsidR="009E212B" w:rsidRPr="00756330" w:rsidRDefault="009E212B">
            <w:pPr>
              <w:pStyle w:val="Tabletext0"/>
            </w:pPr>
            <w:r w:rsidRPr="00AA2626">
              <w:t>$70,078</w:t>
            </w:r>
          </w:p>
        </w:tc>
        <w:tc>
          <w:tcPr>
            <w:tcW w:w="1250" w:type="pct"/>
            <w:tcBorders>
              <w:left w:val="single" w:sz="4" w:space="0" w:color="000000"/>
            </w:tcBorders>
            <w:shd w:val="clear" w:color="auto" w:fill="auto"/>
          </w:tcPr>
          <w:p w14:paraId="02045037" w14:textId="3C75656D" w:rsidR="009E212B" w:rsidRPr="00AA2626" w:rsidRDefault="009E212B">
            <w:pPr>
              <w:pStyle w:val="Tabletext0"/>
              <w:rPr>
                <w:rFonts w:eastAsia="Calibri"/>
                <w:i/>
                <w:iCs/>
              </w:rPr>
            </w:pPr>
            <w:r w:rsidRPr="004A7972">
              <w:t>$</w:t>
            </w:r>
            <w:r w:rsidR="00E81619" w:rsidRPr="00E81619">
              <w:rPr>
                <w:b/>
                <w:bCs/>
              </w:rPr>
              <w:t>redacted</w:t>
            </w:r>
            <w:r w:rsidR="00E81619" w:rsidRPr="004A7972" w:rsidDel="00E81619">
              <w:t xml:space="preserve"> </w:t>
            </w:r>
          </w:p>
        </w:tc>
      </w:tr>
      <w:tr w:rsidR="009E212B" w:rsidRPr="00CE28E3" w14:paraId="16939DF7" w14:textId="77777777">
        <w:trPr>
          <w:cantSplit/>
        </w:trPr>
        <w:tc>
          <w:tcPr>
            <w:tcW w:w="1250" w:type="pct"/>
            <w:tcBorders>
              <w:right w:val="single" w:sz="4" w:space="0" w:color="000000"/>
            </w:tcBorders>
            <w:shd w:val="clear" w:color="auto" w:fill="auto"/>
          </w:tcPr>
          <w:p w14:paraId="01EFD750" w14:textId="77777777" w:rsidR="009E212B" w:rsidRDefault="009E212B">
            <w:pPr>
              <w:pStyle w:val="Tabletext0"/>
            </w:pPr>
            <w:r w:rsidRPr="00CE28E3">
              <w:t>Life years</w:t>
            </w:r>
          </w:p>
        </w:tc>
        <w:tc>
          <w:tcPr>
            <w:tcW w:w="1250" w:type="pct"/>
            <w:tcBorders>
              <w:right w:val="single" w:sz="4" w:space="0" w:color="000000"/>
            </w:tcBorders>
            <w:shd w:val="clear" w:color="auto" w:fill="auto"/>
          </w:tcPr>
          <w:p w14:paraId="6923BFD9" w14:textId="77777777" w:rsidR="009E212B" w:rsidRPr="00756330" w:rsidRDefault="009E212B">
            <w:pPr>
              <w:pStyle w:val="Tabletext0"/>
            </w:pPr>
            <w:r>
              <w:t>4.637</w:t>
            </w:r>
          </w:p>
        </w:tc>
        <w:tc>
          <w:tcPr>
            <w:tcW w:w="1250" w:type="pct"/>
            <w:tcBorders>
              <w:right w:val="single" w:sz="4" w:space="0" w:color="000000"/>
            </w:tcBorders>
            <w:shd w:val="clear" w:color="auto" w:fill="auto"/>
          </w:tcPr>
          <w:p w14:paraId="1B83D2FC" w14:textId="77777777" w:rsidR="009E212B" w:rsidRPr="00756330" w:rsidRDefault="009E212B">
            <w:pPr>
              <w:pStyle w:val="Tabletext0"/>
            </w:pPr>
            <w:r>
              <w:t>0.586</w:t>
            </w:r>
          </w:p>
        </w:tc>
        <w:tc>
          <w:tcPr>
            <w:tcW w:w="1250" w:type="pct"/>
            <w:tcBorders>
              <w:left w:val="single" w:sz="4" w:space="0" w:color="000000"/>
            </w:tcBorders>
            <w:shd w:val="clear" w:color="auto" w:fill="auto"/>
          </w:tcPr>
          <w:p w14:paraId="2B41CE49" w14:textId="77777777" w:rsidR="009E212B" w:rsidRPr="00756330" w:rsidRDefault="009E212B">
            <w:pPr>
              <w:pStyle w:val="Tabletext0"/>
              <w:rPr>
                <w:rFonts w:eastAsia="Calibri"/>
              </w:rPr>
            </w:pPr>
            <w:r>
              <w:rPr>
                <w:rFonts w:eastAsia="Calibri"/>
              </w:rPr>
              <w:t>4.051</w:t>
            </w:r>
          </w:p>
        </w:tc>
      </w:tr>
      <w:tr w:rsidR="009E212B" w:rsidRPr="00CE28E3" w14:paraId="7B8A9D2B" w14:textId="77777777">
        <w:trPr>
          <w:cantSplit/>
        </w:trPr>
        <w:tc>
          <w:tcPr>
            <w:tcW w:w="1250" w:type="pct"/>
            <w:tcBorders>
              <w:right w:val="single" w:sz="4" w:space="0" w:color="000000"/>
            </w:tcBorders>
            <w:shd w:val="clear" w:color="auto" w:fill="auto"/>
          </w:tcPr>
          <w:p w14:paraId="381FBF3C" w14:textId="77777777" w:rsidR="009E212B" w:rsidRDefault="009E212B">
            <w:pPr>
              <w:pStyle w:val="Tabletext0"/>
            </w:pPr>
            <w:r w:rsidRPr="00CE28E3">
              <w:t>QALYS</w:t>
            </w:r>
          </w:p>
        </w:tc>
        <w:tc>
          <w:tcPr>
            <w:tcW w:w="1250" w:type="pct"/>
            <w:tcBorders>
              <w:right w:val="single" w:sz="4" w:space="0" w:color="000000"/>
            </w:tcBorders>
            <w:shd w:val="clear" w:color="auto" w:fill="auto"/>
          </w:tcPr>
          <w:p w14:paraId="34F8249C" w14:textId="77777777" w:rsidR="009E212B" w:rsidRPr="00756330" w:rsidRDefault="009E212B">
            <w:pPr>
              <w:pStyle w:val="Tabletext0"/>
            </w:pPr>
            <w:r>
              <w:t>3.657</w:t>
            </w:r>
          </w:p>
        </w:tc>
        <w:tc>
          <w:tcPr>
            <w:tcW w:w="1250" w:type="pct"/>
            <w:tcBorders>
              <w:right w:val="single" w:sz="4" w:space="0" w:color="000000"/>
            </w:tcBorders>
            <w:shd w:val="clear" w:color="auto" w:fill="auto"/>
          </w:tcPr>
          <w:p w14:paraId="2EA136E9" w14:textId="77777777" w:rsidR="009E212B" w:rsidRPr="00756330" w:rsidRDefault="009E212B">
            <w:pPr>
              <w:pStyle w:val="Tabletext0"/>
            </w:pPr>
            <w:r w:rsidRPr="00AA2626">
              <w:t>0.375</w:t>
            </w:r>
          </w:p>
        </w:tc>
        <w:tc>
          <w:tcPr>
            <w:tcW w:w="1250" w:type="pct"/>
            <w:tcBorders>
              <w:left w:val="single" w:sz="4" w:space="0" w:color="000000"/>
            </w:tcBorders>
            <w:shd w:val="clear" w:color="auto" w:fill="auto"/>
          </w:tcPr>
          <w:p w14:paraId="79C451FF" w14:textId="77777777" w:rsidR="009E212B" w:rsidRPr="00756330" w:rsidRDefault="009E212B">
            <w:pPr>
              <w:pStyle w:val="Tabletext0"/>
              <w:rPr>
                <w:rFonts w:eastAsia="Calibri"/>
              </w:rPr>
            </w:pPr>
            <w:r>
              <w:rPr>
                <w:rFonts w:eastAsia="Calibri"/>
              </w:rPr>
              <w:t>3.282</w:t>
            </w:r>
          </w:p>
        </w:tc>
      </w:tr>
      <w:tr w:rsidR="009E212B" w:rsidRPr="00CE28E3" w14:paraId="651F3867" w14:textId="77777777">
        <w:trPr>
          <w:cantSplit/>
        </w:trPr>
        <w:tc>
          <w:tcPr>
            <w:tcW w:w="3750" w:type="pct"/>
            <w:gridSpan w:val="3"/>
            <w:tcBorders>
              <w:right w:val="single" w:sz="4" w:space="0" w:color="000000"/>
            </w:tcBorders>
            <w:shd w:val="clear" w:color="auto" w:fill="auto"/>
          </w:tcPr>
          <w:p w14:paraId="0FBC6C71" w14:textId="77777777" w:rsidR="009E212B" w:rsidRPr="00756330" w:rsidRDefault="009E212B">
            <w:pPr>
              <w:pStyle w:val="Tabletext0"/>
            </w:pPr>
            <w:r w:rsidRPr="00756330">
              <w:rPr>
                <w:bCs/>
              </w:rPr>
              <w:t>Incremental cost per life year gained</w:t>
            </w:r>
          </w:p>
        </w:tc>
        <w:tc>
          <w:tcPr>
            <w:tcW w:w="1250" w:type="pct"/>
            <w:tcBorders>
              <w:left w:val="single" w:sz="4" w:space="0" w:color="000000"/>
            </w:tcBorders>
            <w:shd w:val="clear" w:color="auto" w:fill="auto"/>
          </w:tcPr>
          <w:p w14:paraId="4A98DB3B" w14:textId="7EC0DBF0" w:rsidR="009E212B" w:rsidRPr="00AA2626" w:rsidRDefault="009E212B">
            <w:pPr>
              <w:pStyle w:val="Tabletext0"/>
              <w:rPr>
                <w:rFonts w:eastAsia="Calibri"/>
                <w:i/>
                <w:iCs/>
              </w:rPr>
            </w:pPr>
            <w:r w:rsidRPr="00AA2626">
              <w:rPr>
                <w:rFonts w:eastAsia="Calibri"/>
                <w:i/>
                <w:iCs/>
              </w:rPr>
              <w:t>$</w:t>
            </w:r>
            <w:r w:rsidR="00E81619" w:rsidRPr="00E81619">
              <w:rPr>
                <w:b/>
                <w:bCs/>
                <w:i/>
                <w:iCs/>
              </w:rPr>
              <w:t>redacted</w:t>
            </w:r>
            <w:r w:rsidR="00E81619" w:rsidDel="00E81619">
              <w:rPr>
                <w:rFonts w:eastAsia="Calibri"/>
                <w:i/>
                <w:iCs/>
              </w:rPr>
              <w:t xml:space="preserve"> </w:t>
            </w:r>
          </w:p>
        </w:tc>
      </w:tr>
      <w:tr w:rsidR="009E212B" w:rsidRPr="00CE28E3" w14:paraId="216547AE" w14:textId="77777777">
        <w:trPr>
          <w:cantSplit/>
        </w:trPr>
        <w:tc>
          <w:tcPr>
            <w:tcW w:w="3750" w:type="pct"/>
            <w:gridSpan w:val="3"/>
            <w:tcBorders>
              <w:right w:val="single" w:sz="4" w:space="0" w:color="000000"/>
            </w:tcBorders>
            <w:shd w:val="clear" w:color="auto" w:fill="auto"/>
          </w:tcPr>
          <w:p w14:paraId="79C3BCAD" w14:textId="77777777" w:rsidR="009E212B" w:rsidRPr="00756330" w:rsidRDefault="009E212B">
            <w:pPr>
              <w:pStyle w:val="Tabletext0"/>
            </w:pPr>
            <w:r w:rsidRPr="00756330">
              <w:rPr>
                <w:bCs/>
              </w:rPr>
              <w:t>Incremental cost per QALY gained</w:t>
            </w:r>
          </w:p>
        </w:tc>
        <w:tc>
          <w:tcPr>
            <w:tcW w:w="1250" w:type="pct"/>
            <w:tcBorders>
              <w:left w:val="single" w:sz="4" w:space="0" w:color="000000"/>
            </w:tcBorders>
            <w:shd w:val="clear" w:color="auto" w:fill="auto"/>
          </w:tcPr>
          <w:p w14:paraId="652A4350" w14:textId="47C2821E" w:rsidR="009E212B" w:rsidRPr="00CF4E9C" w:rsidRDefault="009E212B">
            <w:pPr>
              <w:pStyle w:val="Tabletext0"/>
              <w:rPr>
                <w:rFonts w:eastAsia="Calibri"/>
              </w:rPr>
            </w:pPr>
            <w:r w:rsidRPr="00CF4E9C">
              <w:rPr>
                <w:rFonts w:eastAsia="Calibri"/>
              </w:rPr>
              <w:t>$</w:t>
            </w:r>
            <w:r w:rsidR="00E81619" w:rsidRPr="00E81619">
              <w:rPr>
                <w:b/>
                <w:bCs/>
              </w:rPr>
              <w:t>redacted</w:t>
            </w:r>
            <w:r w:rsidR="00E81619" w:rsidRPr="00CF4E9C" w:rsidDel="00E81619">
              <w:rPr>
                <w:rFonts w:eastAsia="Calibri"/>
              </w:rPr>
              <w:t xml:space="preserve"> </w:t>
            </w:r>
          </w:p>
        </w:tc>
      </w:tr>
    </w:tbl>
    <w:bookmarkEnd w:id="46"/>
    <w:p w14:paraId="457B9C1A" w14:textId="03054A90" w:rsidR="009E212B" w:rsidRDefault="009E212B" w:rsidP="009E212B">
      <w:pPr>
        <w:pStyle w:val="TableFooter"/>
        <w:rPr>
          <w:rFonts w:eastAsia="Calibri"/>
          <w:snapToGrid w:val="0"/>
          <w:lang w:eastAsia="en-AU"/>
        </w:rPr>
      </w:pPr>
      <w:r>
        <w:rPr>
          <w:rFonts w:eastAsia="Calibri"/>
          <w:snapToGrid w:val="0"/>
          <w:lang w:eastAsia="en-AU"/>
        </w:rPr>
        <w:t>Source: Table 25 of p41; Table 26 of p41 of MSAC</w:t>
      </w:r>
      <w:r w:rsidR="009A73F0">
        <w:rPr>
          <w:rFonts w:eastAsia="Calibri"/>
          <w:snapToGrid w:val="0"/>
          <w:lang w:eastAsia="en-AU"/>
        </w:rPr>
        <w:t xml:space="preserve"> Application</w:t>
      </w:r>
      <w:r>
        <w:rPr>
          <w:rFonts w:eastAsia="Calibri"/>
          <w:snapToGrid w:val="0"/>
          <w:lang w:eastAsia="en-AU"/>
        </w:rPr>
        <w:t xml:space="preserve"> </w:t>
      </w:r>
      <w:r w:rsidR="009A5664">
        <w:rPr>
          <w:rFonts w:eastAsia="Calibri"/>
          <w:snapToGrid w:val="0"/>
          <w:lang w:eastAsia="en-AU"/>
        </w:rPr>
        <w:t>1749 Resubmission</w:t>
      </w:r>
      <w:r w:rsidR="009A73F0">
        <w:rPr>
          <w:rFonts w:eastAsia="Calibri"/>
          <w:snapToGrid w:val="0"/>
          <w:lang w:eastAsia="en-AU"/>
        </w:rPr>
        <w:t xml:space="preserve"> ADAR.</w:t>
      </w:r>
    </w:p>
    <w:p w14:paraId="32206CA2" w14:textId="458418BA" w:rsidR="009E212B" w:rsidRDefault="009E212B" w:rsidP="009E212B">
      <w:pPr>
        <w:pStyle w:val="TableFooter"/>
        <w:rPr>
          <w:rFonts w:eastAsia="Calibri"/>
          <w:snapToGrid w:val="0"/>
          <w:lang w:eastAsia="en-AU"/>
        </w:rPr>
      </w:pPr>
      <w:r w:rsidRPr="00C161FF">
        <w:rPr>
          <w:rFonts w:eastAsia="Calibri"/>
          <w:snapToGrid w:val="0"/>
          <w:lang w:eastAsia="en-AU"/>
        </w:rPr>
        <w:t xml:space="preserve">HM3 = HeartMate 3: </w:t>
      </w:r>
      <w:bookmarkStart w:id="47" w:name="_Hlk177980972"/>
      <w:r w:rsidRPr="00C161FF">
        <w:rPr>
          <w:rFonts w:eastAsia="Calibri"/>
          <w:snapToGrid w:val="0"/>
          <w:lang w:eastAsia="en-AU"/>
        </w:rPr>
        <w:t>OMM = optimal medical management</w:t>
      </w:r>
      <w:bookmarkEnd w:id="47"/>
      <w:r w:rsidRPr="00C161FF">
        <w:rPr>
          <w:rFonts w:eastAsia="Calibri"/>
          <w:snapToGrid w:val="0"/>
          <w:lang w:eastAsia="en-AU"/>
        </w:rPr>
        <w:t xml:space="preserve">; QALY = quality-adjusted life year. </w:t>
      </w:r>
    </w:p>
    <w:p w14:paraId="20F45EDE" w14:textId="7829758D" w:rsidR="009E212B" w:rsidRDefault="0021106A" w:rsidP="009E212B">
      <w:pPr>
        <w:pStyle w:val="TableFooter"/>
        <w:rPr>
          <w:rFonts w:eastAsia="Calibri"/>
          <w:i/>
          <w:iCs/>
          <w:snapToGrid w:val="0"/>
          <w:lang w:eastAsia="en-AU"/>
        </w:rPr>
      </w:pPr>
      <w:r>
        <w:rPr>
          <w:rFonts w:eastAsia="Calibri"/>
          <w:i/>
          <w:iCs/>
          <w:snapToGrid w:val="0"/>
          <w:lang w:eastAsia="en-AU"/>
        </w:rPr>
        <w:t xml:space="preserve">Notes: </w:t>
      </w:r>
      <w:r w:rsidR="009E212B" w:rsidRPr="00756330">
        <w:rPr>
          <w:rFonts w:eastAsia="Calibri"/>
          <w:i/>
          <w:iCs/>
          <w:snapToGrid w:val="0"/>
          <w:lang w:eastAsia="en-AU"/>
        </w:rPr>
        <w:t xml:space="preserve">Italics added during </w:t>
      </w:r>
      <w:r w:rsidR="009E212B">
        <w:rPr>
          <w:rFonts w:eastAsia="Calibri"/>
          <w:i/>
          <w:iCs/>
          <w:snapToGrid w:val="0"/>
          <w:lang w:eastAsia="en-AU"/>
        </w:rPr>
        <w:t>commentary.</w:t>
      </w:r>
    </w:p>
    <w:p w14:paraId="59E82039" w14:textId="274B9EFA" w:rsidR="009E212B" w:rsidRPr="00756330" w:rsidRDefault="009E212B" w:rsidP="009E212B">
      <w:pPr>
        <w:rPr>
          <w:snapToGrid w:val="0"/>
          <w:lang w:eastAsia="en-AU"/>
        </w:rPr>
      </w:pPr>
      <w:r>
        <w:rPr>
          <w:snapToGrid w:val="0"/>
          <w:lang w:eastAsia="en-AU"/>
        </w:rPr>
        <w:t xml:space="preserve">The </w:t>
      </w:r>
      <w:r w:rsidR="009A152D">
        <w:rPr>
          <w:snapToGrid w:val="0"/>
          <w:lang w:eastAsia="en-AU"/>
        </w:rPr>
        <w:t>commentary considered that the</w:t>
      </w:r>
      <w:r>
        <w:rPr>
          <w:snapToGrid w:val="0"/>
          <w:lang w:eastAsia="en-AU"/>
        </w:rPr>
        <w:t xml:space="preserve"> incremental cost per QALY in the </w:t>
      </w:r>
      <w:r w:rsidR="005F5CC0">
        <w:rPr>
          <w:snapToGrid w:val="0"/>
          <w:lang w:eastAsia="en-AU"/>
        </w:rPr>
        <w:t>“</w:t>
      </w:r>
      <w:r>
        <w:rPr>
          <w:snapToGrid w:val="0"/>
          <w:lang w:eastAsia="en-AU"/>
        </w:rPr>
        <w:t>revised base case</w:t>
      </w:r>
      <w:r w:rsidR="005F5CC0">
        <w:rPr>
          <w:snapToGrid w:val="0"/>
          <w:lang w:eastAsia="en-AU"/>
        </w:rPr>
        <w:t>”</w:t>
      </w:r>
      <w:r>
        <w:rPr>
          <w:snapToGrid w:val="0"/>
          <w:lang w:eastAsia="en-AU"/>
        </w:rPr>
        <w:t xml:space="preserve"> and </w:t>
      </w:r>
      <w:r w:rsidR="005F5CC0">
        <w:rPr>
          <w:snapToGrid w:val="0"/>
          <w:lang w:eastAsia="en-AU"/>
        </w:rPr>
        <w:t>“</w:t>
      </w:r>
      <w:r>
        <w:rPr>
          <w:snapToGrid w:val="0"/>
          <w:lang w:eastAsia="en-AU"/>
        </w:rPr>
        <w:t>likely overestimated case</w:t>
      </w:r>
      <w:r w:rsidR="005F5CC0">
        <w:rPr>
          <w:snapToGrid w:val="0"/>
          <w:lang w:eastAsia="en-AU"/>
        </w:rPr>
        <w:t>”</w:t>
      </w:r>
      <w:r>
        <w:rPr>
          <w:snapToGrid w:val="0"/>
          <w:lang w:eastAsia="en-AU"/>
        </w:rPr>
        <w:t xml:space="preserve"> were underestimated because the aftercare costs did not include rehabilitation costs (as provided by allied health workers) for patients who received </w:t>
      </w:r>
      <w:r w:rsidR="00596728">
        <w:rPr>
          <w:snapToGrid w:val="0"/>
          <w:lang w:eastAsia="en-AU"/>
        </w:rPr>
        <w:t>L</w:t>
      </w:r>
      <w:r w:rsidR="00ED6CA5">
        <w:rPr>
          <w:snapToGrid w:val="0"/>
          <w:lang w:eastAsia="en-AU"/>
        </w:rPr>
        <w:t>VAD</w:t>
      </w:r>
      <w:r>
        <w:rPr>
          <w:snapToGrid w:val="0"/>
          <w:lang w:eastAsia="en-AU"/>
        </w:rPr>
        <w:t xml:space="preserve"> implantation, as well as potential underestimation in the rate of pump replacement over a </w:t>
      </w:r>
      <w:r w:rsidR="00DB5CA8">
        <w:rPr>
          <w:snapToGrid w:val="0"/>
          <w:lang w:eastAsia="en-AU"/>
        </w:rPr>
        <w:t>10- or 15-year</w:t>
      </w:r>
      <w:r>
        <w:rPr>
          <w:snapToGrid w:val="0"/>
          <w:lang w:eastAsia="en-AU"/>
        </w:rPr>
        <w:t xml:space="preserve"> time horizon, as a result of pump thrombosis, device malfunction and infection.</w:t>
      </w:r>
    </w:p>
    <w:p w14:paraId="3928FFAD" w14:textId="77777777" w:rsidR="009E212B" w:rsidRDefault="009E212B" w:rsidP="009E212B">
      <w:pPr>
        <w:pStyle w:val="Heading3"/>
      </w:pPr>
      <w:r>
        <w:t>Uncertainty analysis: Model inputs and assumptions</w:t>
      </w:r>
    </w:p>
    <w:p w14:paraId="45669291" w14:textId="401DA2CA" w:rsidR="00AB704A" w:rsidRDefault="00CD33C3" w:rsidP="00AB704A">
      <w:r>
        <w:t>The key drivers of the model are presented in</w:t>
      </w:r>
      <w:r w:rsidR="009D5C62">
        <w:t xml:space="preserve"> </w:t>
      </w:r>
      <w:r w:rsidR="009D5C62">
        <w:fldChar w:fldCharType="begin"/>
      </w:r>
      <w:r w:rsidR="009D5C62">
        <w:instrText xml:space="preserve"> REF _Ref178665266 \h </w:instrText>
      </w:r>
      <w:r w:rsidR="009D5C62">
        <w:fldChar w:fldCharType="separate"/>
      </w:r>
      <w:r w:rsidR="00A56BA9" w:rsidRPr="00CE28E3">
        <w:t>Table</w:t>
      </w:r>
      <w:r w:rsidR="00A56BA9">
        <w:t> </w:t>
      </w:r>
      <w:r w:rsidR="00A56BA9">
        <w:rPr>
          <w:noProof/>
        </w:rPr>
        <w:t>11</w:t>
      </w:r>
      <w:r w:rsidR="009D5C62">
        <w:fldChar w:fldCharType="end"/>
      </w:r>
      <w:r>
        <w:t>.</w:t>
      </w:r>
      <w:r w:rsidR="00AB704A">
        <w:br w:type="page"/>
      </w:r>
    </w:p>
    <w:p w14:paraId="2599F0C9" w14:textId="1B663757" w:rsidR="00C21037" w:rsidRPr="00CE28E3" w:rsidRDefault="00C21037" w:rsidP="00C21037">
      <w:pPr>
        <w:pStyle w:val="Caption"/>
      </w:pPr>
      <w:bookmarkStart w:id="48" w:name="_Ref178665266"/>
      <w:r w:rsidRPr="00CE28E3">
        <w:lastRenderedPageBreak/>
        <w:t>Table</w:t>
      </w:r>
      <w:r>
        <w:t> </w:t>
      </w:r>
      <w:r w:rsidR="006461F2">
        <w:fldChar w:fldCharType="begin"/>
      </w:r>
      <w:r w:rsidR="006461F2">
        <w:instrText xml:space="preserve"> SEQ Table \* ARABIC </w:instrText>
      </w:r>
      <w:r w:rsidR="006461F2">
        <w:fldChar w:fldCharType="separate"/>
      </w:r>
      <w:r w:rsidR="006461F2">
        <w:rPr>
          <w:noProof/>
        </w:rPr>
        <w:t>13</w:t>
      </w:r>
      <w:r w:rsidR="006461F2">
        <w:rPr>
          <w:noProof/>
        </w:rPr>
        <w:fldChar w:fldCharType="end"/>
      </w:r>
      <w:bookmarkEnd w:id="48"/>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3"/>
        <w:gridCol w:w="2784"/>
      </w:tblGrid>
      <w:tr w:rsidR="00C21037" w:rsidRPr="00CE28E3" w14:paraId="37E9F8B9" w14:textId="77777777" w:rsidTr="00B92A2F">
        <w:trPr>
          <w:cantSplit/>
          <w:tblHeader/>
        </w:trPr>
        <w:tc>
          <w:tcPr>
            <w:tcW w:w="626" w:type="pct"/>
            <w:shd w:val="clear" w:color="auto" w:fill="auto"/>
            <w:vAlign w:val="center"/>
          </w:tcPr>
          <w:p w14:paraId="1DB71A53" w14:textId="77777777" w:rsidR="00C21037" w:rsidRPr="00CE28E3" w:rsidRDefault="00C21037">
            <w:pPr>
              <w:pStyle w:val="In-tableHeading"/>
              <w:jc w:val="center"/>
            </w:pPr>
            <w:bookmarkStart w:id="49" w:name="Title_Table10" w:colFirst="0" w:colLast="0"/>
            <w:bookmarkStart w:id="50" w:name="_Hlk68276626"/>
            <w:r w:rsidRPr="00CE28E3">
              <w:t>Description</w:t>
            </w:r>
          </w:p>
        </w:tc>
        <w:tc>
          <w:tcPr>
            <w:tcW w:w="2830" w:type="pct"/>
            <w:shd w:val="clear" w:color="auto" w:fill="auto"/>
            <w:vAlign w:val="center"/>
          </w:tcPr>
          <w:p w14:paraId="1479AAB0" w14:textId="77777777" w:rsidR="00C21037" w:rsidRPr="00CE28E3" w:rsidRDefault="00C21037">
            <w:pPr>
              <w:pStyle w:val="In-tableHeading"/>
              <w:jc w:val="center"/>
            </w:pPr>
            <w:r w:rsidRPr="00CE28E3">
              <w:t>Method/Value</w:t>
            </w:r>
          </w:p>
        </w:tc>
        <w:tc>
          <w:tcPr>
            <w:tcW w:w="1544" w:type="pct"/>
            <w:shd w:val="clear" w:color="auto" w:fill="auto"/>
            <w:vAlign w:val="center"/>
          </w:tcPr>
          <w:p w14:paraId="1A95CED2" w14:textId="77777777" w:rsidR="00C21037" w:rsidRPr="00CE28E3" w:rsidRDefault="00C21037">
            <w:pPr>
              <w:pStyle w:val="In-tableHeading"/>
              <w:jc w:val="center"/>
            </w:pPr>
            <w:r w:rsidRPr="00CE28E3">
              <w:t>Impact</w:t>
            </w:r>
          </w:p>
          <w:p w14:paraId="002C2091" w14:textId="62F3164F" w:rsidR="00C21037" w:rsidRPr="00CE28E3" w:rsidRDefault="00C21037">
            <w:pPr>
              <w:pStyle w:val="In-tableHeading"/>
              <w:spacing w:after="160"/>
              <w:jc w:val="center"/>
            </w:pPr>
            <w:r w:rsidRPr="00D14191">
              <w:rPr>
                <w:rFonts w:cs="Arial"/>
                <w:szCs w:val="20"/>
              </w:rPr>
              <w:t>Revised base case</w:t>
            </w:r>
            <w:r w:rsidRPr="00CE28E3">
              <w:rPr>
                <w:rFonts w:cs="Arial"/>
                <w:szCs w:val="20"/>
              </w:rPr>
              <w:t>: $</w:t>
            </w:r>
            <w:r w:rsidR="00B73838">
              <w:rPr>
                <w:rFonts w:cs="Arial"/>
                <w:szCs w:val="20"/>
              </w:rPr>
              <w:t>redacted</w:t>
            </w:r>
            <w:r w:rsidRPr="00CE28E3">
              <w:rPr>
                <w:rFonts w:cs="Arial"/>
                <w:szCs w:val="20"/>
              </w:rPr>
              <w:t>/QALY gained</w:t>
            </w:r>
          </w:p>
        </w:tc>
      </w:tr>
      <w:bookmarkEnd w:id="49"/>
      <w:tr w:rsidR="00C21037" w:rsidRPr="00CE28E3" w14:paraId="1FEF1ACD" w14:textId="77777777" w:rsidTr="00B92A2F">
        <w:trPr>
          <w:cantSplit/>
        </w:trPr>
        <w:tc>
          <w:tcPr>
            <w:tcW w:w="626" w:type="pct"/>
            <w:shd w:val="clear" w:color="auto" w:fill="auto"/>
            <w:vAlign w:val="center"/>
          </w:tcPr>
          <w:p w14:paraId="25F7A4D5" w14:textId="77777777" w:rsidR="00C21037" w:rsidRPr="00CE28E3" w:rsidRDefault="00C21037">
            <w:pPr>
              <w:pStyle w:val="TableText"/>
              <w:rPr>
                <w:lang w:val="en-US"/>
              </w:rPr>
            </w:pPr>
            <w:r>
              <w:rPr>
                <w:lang w:val="en-US"/>
              </w:rPr>
              <w:t>Time horizon</w:t>
            </w:r>
          </w:p>
        </w:tc>
        <w:tc>
          <w:tcPr>
            <w:tcW w:w="2830" w:type="pct"/>
            <w:shd w:val="clear" w:color="auto" w:fill="auto"/>
            <w:vAlign w:val="center"/>
          </w:tcPr>
          <w:p w14:paraId="287B3627" w14:textId="77777777" w:rsidR="00C21037" w:rsidRPr="00CE28E3" w:rsidRDefault="00C21037">
            <w:pPr>
              <w:pStyle w:val="TableText"/>
              <w:rPr>
                <w:lang w:val="en-US"/>
              </w:rPr>
            </w:pPr>
            <w:r>
              <w:rPr>
                <w:lang w:val="en-US"/>
              </w:rPr>
              <w:t>Treatment effect continued beyond the 5-year trial period for up to 15 years.</w:t>
            </w:r>
          </w:p>
        </w:tc>
        <w:tc>
          <w:tcPr>
            <w:tcW w:w="1544" w:type="pct"/>
            <w:shd w:val="clear" w:color="auto" w:fill="auto"/>
            <w:vAlign w:val="center"/>
          </w:tcPr>
          <w:p w14:paraId="19D9478B" w14:textId="20B312A2" w:rsidR="00C21037" w:rsidRPr="004F2B52" w:rsidRDefault="00C21037">
            <w:pPr>
              <w:pStyle w:val="TableText"/>
              <w:rPr>
                <w:lang w:val="en-US"/>
              </w:rPr>
            </w:pPr>
            <w:r w:rsidRPr="004F2B52">
              <w:rPr>
                <w:lang w:val="en-US"/>
              </w:rPr>
              <w:t xml:space="preserve">High, </w:t>
            </w:r>
            <w:proofErr w:type="spellStart"/>
            <w:r w:rsidRPr="004F2B52">
              <w:rPr>
                <w:lang w:val="en-US"/>
              </w:rPr>
              <w:t>favours</w:t>
            </w:r>
            <w:proofErr w:type="spellEnd"/>
            <w:r w:rsidRPr="004F2B52">
              <w:rPr>
                <w:lang w:val="en-US"/>
              </w:rPr>
              <w:t xml:space="preserve"> </w:t>
            </w:r>
            <w:r w:rsidR="00C93D26">
              <w:rPr>
                <w:lang w:val="en-US"/>
              </w:rPr>
              <w:t>LVAD</w:t>
            </w:r>
          </w:p>
          <w:p w14:paraId="3F9A5D03" w14:textId="22ABC47F" w:rsidR="00C21037" w:rsidRPr="00084E8E" w:rsidRDefault="00C21037">
            <w:pPr>
              <w:pStyle w:val="TableText"/>
              <w:rPr>
                <w:lang w:val="en-US"/>
              </w:rPr>
            </w:pPr>
            <w:r w:rsidRPr="00084E8E">
              <w:rPr>
                <w:lang w:val="en-US"/>
              </w:rPr>
              <w:t>Using a time horizon of 5 years increased the ICER to $</w:t>
            </w:r>
            <w:r w:rsidR="00E81619" w:rsidRPr="00E81619">
              <w:rPr>
                <w:b/>
                <w:bCs/>
              </w:rPr>
              <w:t>redacted</w:t>
            </w:r>
            <w:r w:rsidR="00E81619" w:rsidRPr="00084E8E" w:rsidDel="00E81619">
              <w:rPr>
                <w:lang w:val="en-US"/>
              </w:rPr>
              <w:t xml:space="preserve"> </w:t>
            </w:r>
            <w:r w:rsidRPr="00084E8E">
              <w:rPr>
                <w:lang w:val="en-US"/>
              </w:rPr>
              <w:t>/QALY gained.</w:t>
            </w:r>
          </w:p>
        </w:tc>
      </w:tr>
      <w:tr w:rsidR="00C21037" w:rsidRPr="00CE28E3" w14:paraId="398BE721" w14:textId="77777777" w:rsidTr="00B92A2F">
        <w:trPr>
          <w:cantSplit/>
        </w:trPr>
        <w:tc>
          <w:tcPr>
            <w:tcW w:w="626" w:type="pct"/>
            <w:shd w:val="clear" w:color="auto" w:fill="auto"/>
            <w:vAlign w:val="center"/>
          </w:tcPr>
          <w:p w14:paraId="32E3F4BA" w14:textId="5BA09551" w:rsidR="00C21037" w:rsidRDefault="00596728">
            <w:pPr>
              <w:pStyle w:val="TableText"/>
              <w:rPr>
                <w:lang w:val="en-US"/>
              </w:rPr>
            </w:pPr>
            <w:r>
              <w:rPr>
                <w:lang w:val="en-US"/>
              </w:rPr>
              <w:t>L</w:t>
            </w:r>
            <w:r w:rsidR="00ED6CA5">
              <w:rPr>
                <w:lang w:val="en-US"/>
              </w:rPr>
              <w:t>VAD</w:t>
            </w:r>
            <w:r w:rsidR="00C21037">
              <w:rPr>
                <w:lang w:val="en-US"/>
              </w:rPr>
              <w:t xml:space="preserve"> device cost</w:t>
            </w:r>
          </w:p>
        </w:tc>
        <w:tc>
          <w:tcPr>
            <w:tcW w:w="2830" w:type="pct"/>
            <w:shd w:val="clear" w:color="auto" w:fill="auto"/>
            <w:vAlign w:val="center"/>
          </w:tcPr>
          <w:p w14:paraId="6E305DA2" w14:textId="55332CD4" w:rsidR="00C21037" w:rsidRDefault="00C21037">
            <w:pPr>
              <w:pStyle w:val="TableText"/>
              <w:rPr>
                <w:lang w:val="en-US"/>
              </w:rPr>
            </w:pPr>
            <w:r>
              <w:rPr>
                <w:lang w:val="en-US"/>
              </w:rPr>
              <w:t xml:space="preserve">High value of </w:t>
            </w:r>
            <w:r w:rsidR="00596728">
              <w:rPr>
                <w:lang w:val="en-US"/>
              </w:rPr>
              <w:t>L</w:t>
            </w:r>
            <w:r w:rsidR="00ED6CA5">
              <w:rPr>
                <w:lang w:val="en-US"/>
              </w:rPr>
              <w:t>VAD</w:t>
            </w:r>
            <w:r>
              <w:rPr>
                <w:lang w:val="en-US"/>
              </w:rPr>
              <w:t xml:space="preserve"> device cost, which included private health funded </w:t>
            </w:r>
            <w:r w:rsidR="00596728">
              <w:rPr>
                <w:lang w:val="en-US"/>
              </w:rPr>
              <w:t>L</w:t>
            </w:r>
            <w:r w:rsidR="00ED6CA5">
              <w:rPr>
                <w:lang w:val="en-US"/>
              </w:rPr>
              <w:t>VAD</w:t>
            </w:r>
            <w:r>
              <w:rPr>
                <w:lang w:val="en-US"/>
              </w:rPr>
              <w:t xml:space="preserve"> implant kit and HM3 Mini Apical Cuff Kit, as well as the Patient Support Kit </w:t>
            </w:r>
            <w:proofErr w:type="spellStart"/>
            <w:r>
              <w:rPr>
                <w:lang w:val="en-US"/>
              </w:rPr>
              <w:t>Bundle</w:t>
            </w:r>
            <w:r>
              <w:rPr>
                <w:vertAlign w:val="superscript"/>
                <w:lang w:val="en-US"/>
              </w:rPr>
              <w:t>a</w:t>
            </w:r>
            <w:proofErr w:type="spellEnd"/>
          </w:p>
        </w:tc>
        <w:tc>
          <w:tcPr>
            <w:tcW w:w="1544" w:type="pct"/>
            <w:shd w:val="clear" w:color="auto" w:fill="auto"/>
            <w:vAlign w:val="center"/>
          </w:tcPr>
          <w:p w14:paraId="5084F66D" w14:textId="77777777" w:rsidR="00C21037" w:rsidRPr="002D3544" w:rsidRDefault="00C21037">
            <w:pPr>
              <w:pStyle w:val="TableText"/>
              <w:rPr>
                <w:lang w:val="en-US"/>
              </w:rPr>
            </w:pPr>
            <w:r w:rsidRPr="002D3544">
              <w:rPr>
                <w:lang w:val="en-US"/>
              </w:rPr>
              <w:t xml:space="preserve">High, </w:t>
            </w:r>
            <w:proofErr w:type="spellStart"/>
            <w:r w:rsidRPr="002D3544">
              <w:rPr>
                <w:lang w:val="en-US"/>
              </w:rPr>
              <w:t>favours</w:t>
            </w:r>
            <w:proofErr w:type="spellEnd"/>
            <w:r w:rsidRPr="002D3544">
              <w:rPr>
                <w:lang w:val="en-US"/>
              </w:rPr>
              <w:t xml:space="preserve"> OMM</w:t>
            </w:r>
          </w:p>
          <w:p w14:paraId="17EEA711" w14:textId="7009AB30" w:rsidR="00C21037" w:rsidRPr="002D3544" w:rsidRDefault="00C21037">
            <w:pPr>
              <w:pStyle w:val="TableText"/>
              <w:rPr>
                <w:lang w:val="en-US"/>
              </w:rPr>
            </w:pPr>
            <w:r w:rsidRPr="002D3544">
              <w:rPr>
                <w:lang w:val="en-US"/>
              </w:rPr>
              <w:t>Using a device cost of $</w:t>
            </w:r>
            <w:r w:rsidR="00B73838" w:rsidRPr="00B73838">
              <w:rPr>
                <w:b/>
                <w:bCs/>
                <w:lang w:val="en-US"/>
              </w:rPr>
              <w:t>redacted</w:t>
            </w:r>
            <w:r w:rsidRPr="002D3544">
              <w:rPr>
                <w:lang w:val="en-US"/>
              </w:rPr>
              <w:t xml:space="preserve"> reduced the ICER to $</w:t>
            </w:r>
            <w:r w:rsidR="00E81619" w:rsidRPr="00E81619">
              <w:rPr>
                <w:b/>
                <w:bCs/>
              </w:rPr>
              <w:t>redacted</w:t>
            </w:r>
            <w:r w:rsidR="00E81619" w:rsidRPr="002D3544" w:rsidDel="00E81619">
              <w:rPr>
                <w:lang w:val="en-US"/>
              </w:rPr>
              <w:t xml:space="preserve"> </w:t>
            </w:r>
            <w:r w:rsidR="002D3544">
              <w:rPr>
                <w:vertAlign w:val="superscript"/>
                <w:lang w:val="en-US"/>
              </w:rPr>
              <w:t>b</w:t>
            </w:r>
            <w:r w:rsidRPr="002D3544">
              <w:rPr>
                <w:lang w:val="en-US"/>
              </w:rPr>
              <w:t>/QALY gained</w:t>
            </w:r>
          </w:p>
        </w:tc>
      </w:tr>
      <w:tr w:rsidR="00C21037" w:rsidRPr="00CE28E3" w14:paraId="7DF28D01" w14:textId="77777777" w:rsidTr="00B92A2F">
        <w:trPr>
          <w:cantSplit/>
        </w:trPr>
        <w:tc>
          <w:tcPr>
            <w:tcW w:w="626" w:type="pct"/>
            <w:shd w:val="clear" w:color="auto" w:fill="auto"/>
            <w:vAlign w:val="center"/>
          </w:tcPr>
          <w:p w14:paraId="472EC06B" w14:textId="77777777" w:rsidR="00C21037" w:rsidRDefault="00C21037">
            <w:pPr>
              <w:pStyle w:val="TableText"/>
              <w:rPr>
                <w:lang w:val="en-US"/>
              </w:rPr>
            </w:pPr>
            <w:r w:rsidRPr="00A11427">
              <w:rPr>
                <w:lang w:val="en-US"/>
              </w:rPr>
              <w:t>Procedural and recovery costs</w:t>
            </w:r>
          </w:p>
        </w:tc>
        <w:tc>
          <w:tcPr>
            <w:tcW w:w="2830" w:type="pct"/>
            <w:shd w:val="clear" w:color="auto" w:fill="auto"/>
            <w:vAlign w:val="center"/>
          </w:tcPr>
          <w:p w14:paraId="6798A422" w14:textId="6B9A91A2" w:rsidR="00C21037" w:rsidRDefault="00C21037">
            <w:pPr>
              <w:pStyle w:val="TableText"/>
              <w:rPr>
                <w:lang w:val="en-US"/>
              </w:rPr>
            </w:pPr>
            <w:r>
              <w:rPr>
                <w:lang w:val="en-US"/>
              </w:rPr>
              <w:t xml:space="preserve">High value for implant procedure and post-recovery costs from Prichard </w:t>
            </w:r>
            <w:r w:rsidR="00D513BB">
              <w:rPr>
                <w:lang w:val="en-US"/>
              </w:rPr>
              <w:t xml:space="preserve">et al., </w:t>
            </w:r>
            <w:r>
              <w:rPr>
                <w:lang w:val="en-US"/>
              </w:rPr>
              <w:t>2020</w:t>
            </w:r>
          </w:p>
        </w:tc>
        <w:tc>
          <w:tcPr>
            <w:tcW w:w="1544" w:type="pct"/>
            <w:shd w:val="clear" w:color="auto" w:fill="auto"/>
            <w:vAlign w:val="center"/>
          </w:tcPr>
          <w:p w14:paraId="65DD8F54" w14:textId="77777777" w:rsidR="00C21037" w:rsidRPr="002D3544" w:rsidRDefault="00C21037">
            <w:pPr>
              <w:pStyle w:val="TableText"/>
              <w:rPr>
                <w:lang w:val="en-US"/>
              </w:rPr>
            </w:pPr>
            <w:r w:rsidRPr="002D3544">
              <w:rPr>
                <w:lang w:val="en-US"/>
              </w:rPr>
              <w:t xml:space="preserve">High, </w:t>
            </w:r>
            <w:proofErr w:type="spellStart"/>
            <w:r w:rsidRPr="002D3544">
              <w:rPr>
                <w:lang w:val="en-US"/>
              </w:rPr>
              <w:t>favours</w:t>
            </w:r>
            <w:proofErr w:type="spellEnd"/>
            <w:r w:rsidRPr="002D3544">
              <w:rPr>
                <w:lang w:val="en-US"/>
              </w:rPr>
              <w:t xml:space="preserve"> OMM</w:t>
            </w:r>
          </w:p>
          <w:p w14:paraId="7FD087B1" w14:textId="3DF93FB5" w:rsidR="00C21037" w:rsidRPr="002D3544" w:rsidRDefault="00C21037">
            <w:pPr>
              <w:pStyle w:val="TableText"/>
              <w:rPr>
                <w:lang w:val="en-US"/>
              </w:rPr>
            </w:pPr>
            <w:r w:rsidRPr="002D3544">
              <w:rPr>
                <w:lang w:val="en-US"/>
              </w:rPr>
              <w:t xml:space="preserve">Use of </w:t>
            </w:r>
            <w:r w:rsidR="00344285">
              <w:rPr>
                <w:lang w:val="en-US"/>
              </w:rPr>
              <w:t xml:space="preserve">a lower </w:t>
            </w:r>
            <w:r w:rsidRPr="002D3544">
              <w:rPr>
                <w:lang w:val="en-US"/>
              </w:rPr>
              <w:t>procedural and recovery cost of $38,240.02 reduced the ICER to $</w:t>
            </w:r>
            <w:r w:rsidR="00E81619" w:rsidRPr="00E81619">
              <w:rPr>
                <w:b/>
                <w:bCs/>
              </w:rPr>
              <w:t>redacted</w:t>
            </w:r>
            <w:r w:rsidR="00E81619" w:rsidRPr="002D3544" w:rsidDel="00E81619">
              <w:rPr>
                <w:lang w:val="en-US"/>
              </w:rPr>
              <w:t xml:space="preserve"> </w:t>
            </w:r>
            <w:r w:rsidR="002D3544">
              <w:rPr>
                <w:vertAlign w:val="superscript"/>
                <w:lang w:val="en-US"/>
              </w:rPr>
              <w:t>b</w:t>
            </w:r>
            <w:r w:rsidRPr="002D3544">
              <w:rPr>
                <w:lang w:val="en-US"/>
              </w:rPr>
              <w:t>/QALY gained.</w:t>
            </w:r>
          </w:p>
        </w:tc>
      </w:tr>
      <w:tr w:rsidR="00C21037" w:rsidRPr="00CE28E3" w14:paraId="526ADEB1" w14:textId="77777777" w:rsidTr="00B92A2F">
        <w:trPr>
          <w:cantSplit/>
        </w:trPr>
        <w:tc>
          <w:tcPr>
            <w:tcW w:w="626" w:type="pct"/>
            <w:shd w:val="clear" w:color="auto" w:fill="auto"/>
            <w:vAlign w:val="center"/>
          </w:tcPr>
          <w:p w14:paraId="78E14CCE" w14:textId="6535CA59" w:rsidR="00C73457" w:rsidRPr="00C73457" w:rsidRDefault="00C73457" w:rsidP="00C73457">
            <w:pPr>
              <w:pStyle w:val="TableText"/>
              <w:rPr>
                <w:lang w:val="en-US"/>
              </w:rPr>
            </w:pPr>
            <w:r>
              <w:rPr>
                <w:lang w:val="en-US"/>
              </w:rPr>
              <w:t>H</w:t>
            </w:r>
            <w:r w:rsidRPr="00C73457">
              <w:rPr>
                <w:lang w:val="en-US"/>
              </w:rPr>
              <w:t xml:space="preserve">ealth state utility </w:t>
            </w:r>
            <w:r>
              <w:rPr>
                <w:lang w:val="en-US"/>
              </w:rPr>
              <w:t xml:space="preserve">in </w:t>
            </w:r>
            <w:r w:rsidR="00596728">
              <w:rPr>
                <w:lang w:val="en-US"/>
              </w:rPr>
              <w:t>L</w:t>
            </w:r>
            <w:r w:rsidRPr="00C73457">
              <w:rPr>
                <w:lang w:val="en-US"/>
              </w:rPr>
              <w:t>VAD</w:t>
            </w:r>
            <w:r>
              <w:rPr>
                <w:lang w:val="en-US"/>
              </w:rPr>
              <w:t xml:space="preserve"> arm for</w:t>
            </w:r>
            <w:r w:rsidRPr="00C73457">
              <w:rPr>
                <w:lang w:val="en-US"/>
              </w:rPr>
              <w:t xml:space="preserve"> subsequent </w:t>
            </w:r>
          </w:p>
          <w:p w14:paraId="5D185B5E" w14:textId="2B11F104" w:rsidR="00C21037" w:rsidRDefault="00C73457" w:rsidP="00C73457">
            <w:pPr>
              <w:pStyle w:val="TableText"/>
              <w:rPr>
                <w:lang w:val="en-US"/>
              </w:rPr>
            </w:pPr>
            <w:r w:rsidRPr="00C73457">
              <w:rPr>
                <w:lang w:val="en-US"/>
              </w:rPr>
              <w:t>cycles</w:t>
            </w:r>
          </w:p>
        </w:tc>
        <w:tc>
          <w:tcPr>
            <w:tcW w:w="2830" w:type="pct"/>
            <w:shd w:val="clear" w:color="auto" w:fill="auto"/>
            <w:vAlign w:val="center"/>
          </w:tcPr>
          <w:p w14:paraId="0A7616AB" w14:textId="23DE5225" w:rsidR="00C21037" w:rsidRDefault="00C21037">
            <w:pPr>
              <w:pStyle w:val="TableText"/>
              <w:rPr>
                <w:lang w:val="en-US"/>
              </w:rPr>
            </w:pPr>
            <w:r>
              <w:rPr>
                <w:lang w:val="en-US"/>
              </w:rPr>
              <w:t xml:space="preserve">High value for model health states taken from Sato </w:t>
            </w:r>
            <w:r w:rsidR="00402F38">
              <w:rPr>
                <w:lang w:val="en-US"/>
              </w:rPr>
              <w:t xml:space="preserve">et al., </w:t>
            </w:r>
            <w:r>
              <w:rPr>
                <w:lang w:val="en-US"/>
              </w:rPr>
              <w:t>2022 and no disutility for adverse events.</w:t>
            </w:r>
          </w:p>
        </w:tc>
        <w:tc>
          <w:tcPr>
            <w:tcW w:w="1544" w:type="pct"/>
            <w:shd w:val="clear" w:color="auto" w:fill="auto"/>
            <w:vAlign w:val="center"/>
          </w:tcPr>
          <w:p w14:paraId="6F5058B6" w14:textId="10DE9BDC" w:rsidR="00C21037" w:rsidRPr="002D3544" w:rsidRDefault="00C21037">
            <w:pPr>
              <w:pStyle w:val="TableText"/>
              <w:rPr>
                <w:lang w:val="en-US"/>
              </w:rPr>
            </w:pPr>
            <w:r w:rsidRPr="002D3544">
              <w:rPr>
                <w:lang w:val="en-US"/>
              </w:rPr>
              <w:t xml:space="preserve">High, </w:t>
            </w:r>
            <w:proofErr w:type="spellStart"/>
            <w:r w:rsidRPr="002D3544">
              <w:rPr>
                <w:lang w:val="en-US"/>
              </w:rPr>
              <w:t>favours</w:t>
            </w:r>
            <w:proofErr w:type="spellEnd"/>
            <w:r w:rsidRPr="002D3544">
              <w:rPr>
                <w:lang w:val="en-US"/>
              </w:rPr>
              <w:t xml:space="preserve"> </w:t>
            </w:r>
            <w:r w:rsidR="00C93D26" w:rsidRPr="002D3544">
              <w:rPr>
                <w:lang w:val="en-US"/>
              </w:rPr>
              <w:t>LVAD</w:t>
            </w:r>
          </w:p>
          <w:p w14:paraId="78683FF7" w14:textId="1E0DD28E" w:rsidR="00C21037" w:rsidRPr="002D3544" w:rsidRDefault="00C21037">
            <w:pPr>
              <w:pStyle w:val="TableText"/>
              <w:rPr>
                <w:lang w:val="en-US"/>
              </w:rPr>
            </w:pPr>
            <w:r w:rsidRPr="002D3544">
              <w:rPr>
                <w:lang w:val="en-US"/>
              </w:rPr>
              <w:t xml:space="preserve">Use of </w:t>
            </w:r>
            <w:r w:rsidR="00F7327D" w:rsidRPr="002D3544">
              <w:rPr>
                <w:lang w:val="en-US"/>
              </w:rPr>
              <w:t xml:space="preserve">lower </w:t>
            </w:r>
            <w:r w:rsidRPr="002D3544">
              <w:rPr>
                <w:lang w:val="en-US"/>
              </w:rPr>
              <w:t xml:space="preserve">health state utility 0.59 for </w:t>
            </w:r>
            <w:r w:rsidR="00596728" w:rsidRPr="002D3544">
              <w:rPr>
                <w:lang w:val="en-US"/>
              </w:rPr>
              <w:t>L</w:t>
            </w:r>
            <w:r w:rsidR="00ED6CA5" w:rsidRPr="002D3544">
              <w:rPr>
                <w:lang w:val="en-US"/>
              </w:rPr>
              <w:t>VAD</w:t>
            </w:r>
            <w:r w:rsidRPr="002D3544">
              <w:rPr>
                <w:lang w:val="en-US"/>
              </w:rPr>
              <w:t xml:space="preserve"> subsequent cycles increased the ICER to $</w:t>
            </w:r>
            <w:r w:rsidR="00E81619" w:rsidRPr="00E81619">
              <w:rPr>
                <w:b/>
                <w:bCs/>
              </w:rPr>
              <w:t>redacted</w:t>
            </w:r>
            <w:r w:rsidR="00E81619" w:rsidRPr="002D3544" w:rsidDel="00E81619">
              <w:rPr>
                <w:lang w:val="en-US"/>
              </w:rPr>
              <w:t xml:space="preserve"> </w:t>
            </w:r>
            <w:r w:rsidR="002D3544">
              <w:rPr>
                <w:vertAlign w:val="superscript"/>
                <w:lang w:val="en-US"/>
              </w:rPr>
              <w:t>b</w:t>
            </w:r>
            <w:r w:rsidRPr="002D3544">
              <w:rPr>
                <w:lang w:val="en-US"/>
              </w:rPr>
              <w:t>/QALY gained.</w:t>
            </w:r>
          </w:p>
        </w:tc>
      </w:tr>
    </w:tbl>
    <w:p w14:paraId="68EDFECB" w14:textId="0EBDD0EA" w:rsidR="00C21037" w:rsidRDefault="00C21037" w:rsidP="00C21037">
      <w:pPr>
        <w:pStyle w:val="TableFooter"/>
      </w:pPr>
      <w:bookmarkStart w:id="51" w:name="_Hlk68276635"/>
      <w:bookmarkEnd w:id="50"/>
      <w:r>
        <w:t xml:space="preserve">Source: Table 27, pp43-45 of MSAC Application </w:t>
      </w:r>
      <w:r w:rsidR="009A5664">
        <w:t>1749 Resubmission</w:t>
      </w:r>
      <w:r>
        <w:t xml:space="preserve"> ADAR.</w:t>
      </w:r>
    </w:p>
    <w:p w14:paraId="0D54B16D" w14:textId="6323E8B7" w:rsidR="00C21037" w:rsidRDefault="00C21037" w:rsidP="00C21037">
      <w:pPr>
        <w:pStyle w:val="TableFooter"/>
      </w:pPr>
      <w:r>
        <w:t xml:space="preserve">HM3 = HeartMate 3; </w:t>
      </w:r>
      <w:r w:rsidRPr="00CE28E3">
        <w:t>ICER = incremental cost-effectiveness ratio;</w:t>
      </w:r>
      <w:r w:rsidRPr="000F1E77">
        <w:t xml:space="preserve"> </w:t>
      </w:r>
      <w:bookmarkStart w:id="52" w:name="_Hlk177988864"/>
      <w:r w:rsidR="00596728">
        <w:t>L</w:t>
      </w:r>
      <w:r w:rsidR="00ED6CA5">
        <w:t>VAD</w:t>
      </w:r>
      <w:r>
        <w:t xml:space="preserve"> =</w:t>
      </w:r>
      <w:r w:rsidRPr="00EA0886">
        <w:t xml:space="preserve"> </w:t>
      </w:r>
      <w:r w:rsidR="00596728">
        <w:t xml:space="preserve">left </w:t>
      </w:r>
      <w:r>
        <w:t>v</w:t>
      </w:r>
      <w:r w:rsidRPr="00EA0886">
        <w:t xml:space="preserve">entricular </w:t>
      </w:r>
      <w:r>
        <w:t>a</w:t>
      </w:r>
      <w:r w:rsidRPr="00EA0886">
        <w:t xml:space="preserve">ssist </w:t>
      </w:r>
      <w:r>
        <w:t>d</w:t>
      </w:r>
      <w:r w:rsidRPr="00EA0886">
        <w:t>evice</w:t>
      </w:r>
      <w:r>
        <w:t xml:space="preserve">; </w:t>
      </w:r>
      <w:bookmarkEnd w:id="52"/>
      <w:r w:rsidRPr="000F1E77">
        <w:t>OMM = optimal medical management</w:t>
      </w:r>
      <w:r>
        <w:t>;</w:t>
      </w:r>
      <w:r w:rsidRPr="00CE28E3">
        <w:t xml:space="preserve"> QALY = quality-adjusted life year</w:t>
      </w:r>
      <w:r>
        <w:t>.</w:t>
      </w:r>
      <w:r w:rsidRPr="00CE28E3">
        <w:t xml:space="preserve"> </w:t>
      </w:r>
    </w:p>
    <w:p w14:paraId="052769DC" w14:textId="77777777" w:rsidR="00C21037" w:rsidRDefault="00C21037" w:rsidP="00C21037">
      <w:pPr>
        <w:pStyle w:val="TableFooter"/>
      </w:pPr>
      <w:r>
        <w:t xml:space="preserve">Notes: </w:t>
      </w:r>
      <w:r w:rsidRPr="00D74C1B">
        <w:rPr>
          <w:vertAlign w:val="superscript"/>
        </w:rPr>
        <w:t>a</w:t>
      </w:r>
      <w:r w:rsidRPr="00E8347C">
        <w:t xml:space="preserve"> P</w:t>
      </w:r>
      <w:r w:rsidRPr="00C018E5">
        <w:t>atient Support Kit bundle at a reduced rate to hospitals relative to the combined cost of individual items</w:t>
      </w:r>
      <w:r>
        <w:t xml:space="preserve"> was supplied by the sponsor.</w:t>
      </w:r>
    </w:p>
    <w:p w14:paraId="4313AFEF" w14:textId="20DAF2DA" w:rsidR="002D3544" w:rsidRPr="002D3544" w:rsidRDefault="002D3544" w:rsidP="00C21037">
      <w:pPr>
        <w:pStyle w:val="TableFooter"/>
      </w:pPr>
      <w:r w:rsidRPr="00A46A10">
        <w:rPr>
          <w:vertAlign w:val="superscript"/>
        </w:rPr>
        <w:t>b</w:t>
      </w:r>
      <w:r w:rsidRPr="00A46A10">
        <w:t xml:space="preserve"> These ICER</w:t>
      </w:r>
      <w:r w:rsidR="0023680D">
        <w:t>s</w:t>
      </w:r>
      <w:r w:rsidRPr="00A46A10">
        <w:t xml:space="preserve"> were not traceable from the Section 3 LVAD CEA Workbook of MSAC Application 1749 Resubmission ADAR. However, the </w:t>
      </w:r>
      <w:r w:rsidR="00F629E9" w:rsidRPr="00A46A10">
        <w:t>differences</w:t>
      </w:r>
      <w:r w:rsidR="00445804" w:rsidRPr="0079297C">
        <w:t xml:space="preserve"> between the presented ICER</w:t>
      </w:r>
      <w:r w:rsidR="0023680D">
        <w:t>s</w:t>
      </w:r>
      <w:r w:rsidR="00445804" w:rsidRPr="0079297C">
        <w:t xml:space="preserve"> and calculated ICER</w:t>
      </w:r>
      <w:r w:rsidR="0023680D">
        <w:t>s</w:t>
      </w:r>
      <w:r w:rsidR="00445804" w:rsidRPr="0079297C">
        <w:t xml:space="preserve"> by the commentary</w:t>
      </w:r>
      <w:r w:rsidR="00F629E9" w:rsidRPr="00A46A10">
        <w:t xml:space="preserve"> were minimal</w:t>
      </w:r>
      <w:r w:rsidR="00ED2141" w:rsidRPr="00A46A10">
        <w:t>, with less than 3% differences</w:t>
      </w:r>
      <w:r w:rsidR="00445804" w:rsidRPr="00A46A10">
        <w:t>.</w:t>
      </w:r>
    </w:p>
    <w:bookmarkEnd w:id="51"/>
    <w:p w14:paraId="61282DE0" w14:textId="01A0198F" w:rsidR="00AB704A" w:rsidRDefault="009E212B" w:rsidP="00AB704A">
      <w:r>
        <w:t xml:space="preserve">Univariate sensitivity analyses presented in the resubmission ADAR showed that the model, as per the original model, was most sensitive to the variations in the discount rate, time horizon, </w:t>
      </w:r>
      <w:r w:rsidR="00596728">
        <w:t>L</w:t>
      </w:r>
      <w:r w:rsidR="00ED6CA5">
        <w:t>VAD</w:t>
      </w:r>
      <w:r>
        <w:t xml:space="preserve"> device cost and procedural costs with </w:t>
      </w:r>
      <w:r w:rsidR="00596728">
        <w:t>L</w:t>
      </w:r>
      <w:r w:rsidR="00ED6CA5">
        <w:t>VAD</w:t>
      </w:r>
      <w:r>
        <w:t xml:space="preserve"> implantation. The resubmission </w:t>
      </w:r>
      <w:r w:rsidR="00B65914">
        <w:t xml:space="preserve">ADAR </w:t>
      </w:r>
      <w:r>
        <w:t xml:space="preserve">claimed that variations in OMM costs (first and subsequent cycles), </w:t>
      </w:r>
      <w:r w:rsidR="00596728">
        <w:t>L</w:t>
      </w:r>
      <w:r w:rsidR="00ED6CA5">
        <w:t>VAD</w:t>
      </w:r>
      <w:r>
        <w:t xml:space="preserve"> disease and device related costs (month 1-24 and 25</w:t>
      </w:r>
      <w:r w:rsidR="00C93D26">
        <w:t>+</w:t>
      </w:r>
      <w:r>
        <w:t xml:space="preserve">), </w:t>
      </w:r>
      <w:r w:rsidR="00001182">
        <w:t xml:space="preserve">and </w:t>
      </w:r>
      <w:r>
        <w:t xml:space="preserve">ongoing management had minimal impact on the model. </w:t>
      </w:r>
      <w:r w:rsidRPr="003153CE">
        <w:t>The results of key univariat</w:t>
      </w:r>
      <w:r>
        <w:t>e</w:t>
      </w:r>
      <w:r w:rsidRPr="003153CE">
        <w:t xml:space="preserve"> sensitivity analyses are summarised</w:t>
      </w:r>
      <w:r>
        <w:t xml:space="preserve"> </w:t>
      </w:r>
      <w:r w:rsidR="00C52F7C">
        <w:t>in</w:t>
      </w:r>
      <w:r>
        <w:t xml:space="preserve"> </w:t>
      </w:r>
      <w:r>
        <w:fldChar w:fldCharType="begin"/>
      </w:r>
      <w:r>
        <w:instrText xml:space="preserve"> REF _Ref69726347 \h </w:instrText>
      </w:r>
      <w:r>
        <w:fldChar w:fldCharType="separate"/>
      </w:r>
      <w:r w:rsidR="0096520E" w:rsidRPr="00CE28E3">
        <w:t>Table</w:t>
      </w:r>
      <w:r w:rsidR="0096520E">
        <w:t> </w:t>
      </w:r>
      <w:r w:rsidR="0096520E">
        <w:rPr>
          <w:noProof/>
        </w:rPr>
        <w:t>12</w:t>
      </w:r>
      <w:r>
        <w:fldChar w:fldCharType="end"/>
      </w:r>
      <w:r>
        <w:t>.</w:t>
      </w:r>
      <w:r w:rsidR="00AB704A">
        <w:br w:type="page"/>
      </w:r>
    </w:p>
    <w:p w14:paraId="1FF797E8" w14:textId="0230AD5C" w:rsidR="009E212B" w:rsidRPr="00CE28E3" w:rsidRDefault="009E212B" w:rsidP="009E212B">
      <w:pPr>
        <w:pStyle w:val="Caption"/>
      </w:pPr>
      <w:bookmarkStart w:id="53" w:name="_Ref69726347"/>
      <w:r w:rsidRPr="00CE28E3">
        <w:lastRenderedPageBreak/>
        <w:t>Table</w:t>
      </w:r>
      <w:r>
        <w:t> </w:t>
      </w:r>
      <w:r w:rsidR="006461F2">
        <w:fldChar w:fldCharType="begin"/>
      </w:r>
      <w:r w:rsidR="006461F2">
        <w:instrText xml:space="preserve"> SEQ Table \* ARABIC </w:instrText>
      </w:r>
      <w:r w:rsidR="006461F2">
        <w:fldChar w:fldCharType="separate"/>
      </w:r>
      <w:r w:rsidR="006461F2">
        <w:rPr>
          <w:noProof/>
        </w:rPr>
        <w:t>14</w:t>
      </w:r>
      <w:r w:rsidR="006461F2">
        <w:rPr>
          <w:noProof/>
        </w:rPr>
        <w:fldChar w:fldCharType="end"/>
      </w:r>
      <w:bookmarkEnd w:id="53"/>
      <w:r w:rsidRPr="00CE28E3">
        <w:tab/>
        <w:t>Sensitivity analyses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2"/>
        <w:gridCol w:w="1226"/>
        <w:gridCol w:w="1183"/>
        <w:gridCol w:w="1134"/>
        <w:gridCol w:w="1365"/>
      </w:tblGrid>
      <w:tr w:rsidR="009E212B" w:rsidRPr="00CE28E3" w14:paraId="2B4F70E0" w14:textId="77777777" w:rsidTr="00A57FE3">
        <w:trPr>
          <w:trHeight w:val="420"/>
        </w:trPr>
        <w:tc>
          <w:tcPr>
            <w:tcW w:w="1334" w:type="pct"/>
          </w:tcPr>
          <w:p w14:paraId="788B5527" w14:textId="77777777" w:rsidR="009E212B" w:rsidRPr="00CE28E3" w:rsidRDefault="009E212B" w:rsidP="00AB704A">
            <w:pPr>
              <w:pStyle w:val="In-tableHeading"/>
              <w:jc w:val="center"/>
            </w:pPr>
            <w:bookmarkStart w:id="54" w:name="Title_Table11" w:colFirst="0" w:colLast="0"/>
            <w:bookmarkStart w:id="55" w:name="_Hlk68276702"/>
            <w:r w:rsidRPr="00CE28E3">
              <w:t>Analyses</w:t>
            </w:r>
          </w:p>
        </w:tc>
        <w:tc>
          <w:tcPr>
            <w:tcW w:w="944" w:type="pct"/>
          </w:tcPr>
          <w:p w14:paraId="144EAA03" w14:textId="77777777" w:rsidR="009E212B" w:rsidRPr="00CE28E3" w:rsidRDefault="009E212B" w:rsidP="00AB704A">
            <w:pPr>
              <w:pStyle w:val="In-tableHeading"/>
              <w:jc w:val="center"/>
            </w:pPr>
            <w:r>
              <w:t>Sensitivity</w:t>
            </w:r>
          </w:p>
        </w:tc>
        <w:tc>
          <w:tcPr>
            <w:tcW w:w="680" w:type="pct"/>
          </w:tcPr>
          <w:p w14:paraId="28DCFDD9" w14:textId="77777777" w:rsidR="009E212B" w:rsidRPr="00CE28E3" w:rsidRDefault="009E212B" w:rsidP="00AB704A">
            <w:pPr>
              <w:pStyle w:val="In-tableHeading"/>
              <w:jc w:val="center"/>
            </w:pPr>
            <w:r w:rsidRPr="00CE28E3">
              <w:t>Incremental cost</w:t>
            </w:r>
          </w:p>
        </w:tc>
        <w:tc>
          <w:tcPr>
            <w:tcW w:w="656" w:type="pct"/>
          </w:tcPr>
          <w:p w14:paraId="41032F9F" w14:textId="77777777" w:rsidR="009E212B" w:rsidRPr="00CE28E3" w:rsidRDefault="009E212B" w:rsidP="00AB704A">
            <w:pPr>
              <w:pStyle w:val="In-tableHeading"/>
              <w:jc w:val="center"/>
            </w:pPr>
            <w:r w:rsidRPr="00CE28E3">
              <w:t>Incremental QALY</w:t>
            </w:r>
          </w:p>
        </w:tc>
        <w:tc>
          <w:tcPr>
            <w:tcW w:w="629" w:type="pct"/>
          </w:tcPr>
          <w:p w14:paraId="3246ACAC" w14:textId="77777777" w:rsidR="009E212B" w:rsidRPr="00CE28E3" w:rsidRDefault="009E212B" w:rsidP="00AB704A">
            <w:pPr>
              <w:pStyle w:val="In-tableHeading"/>
              <w:jc w:val="center"/>
            </w:pPr>
            <w:r w:rsidRPr="00CE28E3">
              <w:t>ICER</w:t>
            </w:r>
          </w:p>
        </w:tc>
        <w:tc>
          <w:tcPr>
            <w:tcW w:w="758" w:type="pct"/>
          </w:tcPr>
          <w:p w14:paraId="5C5B0804" w14:textId="77777777" w:rsidR="009E212B" w:rsidRPr="00CE28E3" w:rsidRDefault="009E212B" w:rsidP="00AB704A">
            <w:pPr>
              <w:pStyle w:val="In-tableHeading"/>
              <w:jc w:val="center"/>
            </w:pPr>
            <w:r>
              <w:t>% change from revised base case ICER</w:t>
            </w:r>
          </w:p>
        </w:tc>
      </w:tr>
      <w:bookmarkEnd w:id="54"/>
      <w:tr w:rsidR="009E212B" w:rsidRPr="00CE28E3" w14:paraId="0A0F0F35" w14:textId="77777777" w:rsidTr="00A57FE3">
        <w:tc>
          <w:tcPr>
            <w:tcW w:w="2278" w:type="pct"/>
            <w:gridSpan w:val="2"/>
          </w:tcPr>
          <w:p w14:paraId="21A9F8AD" w14:textId="77777777" w:rsidR="009E212B" w:rsidRPr="00CB00C8" w:rsidRDefault="009E212B" w:rsidP="00AB704A">
            <w:pPr>
              <w:pStyle w:val="TableText"/>
              <w:keepNext/>
              <w:spacing w:before="0" w:after="0"/>
              <w:rPr>
                <w:rFonts w:eastAsia="Calibri"/>
                <w:b/>
                <w:szCs w:val="20"/>
              </w:rPr>
            </w:pPr>
            <w:r>
              <w:rPr>
                <w:b/>
              </w:rPr>
              <w:t>Revised b</w:t>
            </w:r>
            <w:r w:rsidRPr="00CE28E3">
              <w:rPr>
                <w:b/>
              </w:rPr>
              <w:t>ase case</w:t>
            </w:r>
          </w:p>
        </w:tc>
        <w:tc>
          <w:tcPr>
            <w:tcW w:w="680" w:type="pct"/>
          </w:tcPr>
          <w:p w14:paraId="10B5BA46" w14:textId="00496225" w:rsidR="009E212B" w:rsidRPr="00CE28E3" w:rsidRDefault="009E212B" w:rsidP="00AB704A">
            <w:pPr>
              <w:pStyle w:val="TableText"/>
              <w:keepNext/>
              <w:spacing w:before="0" w:after="0"/>
              <w:jc w:val="center"/>
              <w:rPr>
                <w:b/>
                <w:highlight w:val="black"/>
              </w:rPr>
            </w:pPr>
            <w:r w:rsidRPr="00CB00C8">
              <w:rPr>
                <w:rFonts w:eastAsia="Calibri"/>
                <w:b/>
                <w:szCs w:val="20"/>
              </w:rPr>
              <w:t>$</w:t>
            </w:r>
            <w:r w:rsidR="004113A4">
              <w:rPr>
                <w:rFonts w:eastAsia="Calibri"/>
                <w:b/>
                <w:szCs w:val="20"/>
              </w:rPr>
              <w:t>redacted</w:t>
            </w:r>
          </w:p>
        </w:tc>
        <w:tc>
          <w:tcPr>
            <w:tcW w:w="656" w:type="pct"/>
          </w:tcPr>
          <w:p w14:paraId="26B7D677" w14:textId="77777777" w:rsidR="009E212B" w:rsidRPr="00CE28E3" w:rsidRDefault="009E212B" w:rsidP="00AB704A">
            <w:pPr>
              <w:pStyle w:val="TableText"/>
              <w:keepNext/>
              <w:spacing w:before="0" w:after="0"/>
              <w:jc w:val="center"/>
              <w:rPr>
                <w:b/>
              </w:rPr>
            </w:pPr>
            <w:r>
              <w:rPr>
                <w:rFonts w:eastAsia="Calibri"/>
                <w:b/>
                <w:szCs w:val="20"/>
              </w:rPr>
              <w:t>3.925</w:t>
            </w:r>
          </w:p>
        </w:tc>
        <w:tc>
          <w:tcPr>
            <w:tcW w:w="629" w:type="pct"/>
          </w:tcPr>
          <w:p w14:paraId="75AB4E32" w14:textId="1A46E74E" w:rsidR="009E212B" w:rsidRPr="00CE28E3" w:rsidRDefault="009E212B" w:rsidP="00AB704A">
            <w:pPr>
              <w:pStyle w:val="TableText"/>
              <w:keepNext/>
              <w:spacing w:before="0" w:after="0"/>
              <w:jc w:val="center"/>
              <w:rPr>
                <w:b/>
                <w:highlight w:val="black"/>
              </w:rPr>
            </w:pPr>
            <w:r w:rsidRPr="00CB00C8">
              <w:rPr>
                <w:rFonts w:eastAsia="Calibri"/>
                <w:b/>
                <w:szCs w:val="20"/>
              </w:rPr>
              <w:t>$</w:t>
            </w:r>
            <w:r w:rsidR="00932DD9">
              <w:rPr>
                <w:rFonts w:eastAsia="Calibri"/>
                <w:b/>
                <w:szCs w:val="20"/>
              </w:rPr>
              <w:t>redacted</w:t>
            </w:r>
          </w:p>
        </w:tc>
        <w:tc>
          <w:tcPr>
            <w:tcW w:w="758" w:type="pct"/>
          </w:tcPr>
          <w:p w14:paraId="47E3D27E" w14:textId="77777777" w:rsidR="009E212B" w:rsidRPr="00CB00C8" w:rsidRDefault="009E212B" w:rsidP="00AB704A">
            <w:pPr>
              <w:pStyle w:val="TableText"/>
              <w:keepNext/>
              <w:spacing w:before="0" w:after="0"/>
              <w:jc w:val="center"/>
              <w:rPr>
                <w:rFonts w:eastAsia="Calibri"/>
                <w:b/>
                <w:szCs w:val="20"/>
              </w:rPr>
            </w:pPr>
            <w:r>
              <w:rPr>
                <w:rFonts w:eastAsia="Calibri"/>
                <w:b/>
                <w:szCs w:val="20"/>
              </w:rPr>
              <w:t>0%</w:t>
            </w:r>
          </w:p>
        </w:tc>
      </w:tr>
      <w:tr w:rsidR="009E212B" w:rsidRPr="00CE28E3" w14:paraId="49EE573B" w14:textId="77777777" w:rsidTr="00A57FE3">
        <w:tc>
          <w:tcPr>
            <w:tcW w:w="1334" w:type="pct"/>
            <w:vMerge w:val="restart"/>
          </w:tcPr>
          <w:p w14:paraId="7EC71926" w14:textId="77777777" w:rsidR="009E212B" w:rsidRDefault="009E212B" w:rsidP="00AB704A">
            <w:pPr>
              <w:pStyle w:val="TableText"/>
              <w:keepNext/>
              <w:spacing w:before="0" w:after="0"/>
              <w:rPr>
                <w:bCs/>
              </w:rPr>
            </w:pPr>
            <w:r w:rsidRPr="00B563B1">
              <w:rPr>
                <w:bCs/>
              </w:rPr>
              <w:t xml:space="preserve">Discount rate </w:t>
            </w:r>
          </w:p>
          <w:p w14:paraId="371CD026" w14:textId="77777777" w:rsidR="009E212B" w:rsidRPr="00B563B1" w:rsidRDefault="009E212B" w:rsidP="00AB704A">
            <w:pPr>
              <w:pStyle w:val="TableText"/>
              <w:keepNext/>
              <w:spacing w:before="0" w:after="0"/>
              <w:rPr>
                <w:bCs/>
              </w:rPr>
            </w:pPr>
            <w:r w:rsidRPr="00B563B1">
              <w:rPr>
                <w:bCs/>
              </w:rPr>
              <w:t>(revised base case 5%)</w:t>
            </w:r>
          </w:p>
        </w:tc>
        <w:tc>
          <w:tcPr>
            <w:tcW w:w="944" w:type="pct"/>
          </w:tcPr>
          <w:p w14:paraId="676A19B2" w14:textId="77777777" w:rsidR="009E212B" w:rsidRPr="00B563B1" w:rsidRDefault="009E212B" w:rsidP="00AB704A">
            <w:pPr>
              <w:pStyle w:val="TableText"/>
              <w:keepNext/>
              <w:spacing w:before="0" w:after="0"/>
              <w:jc w:val="center"/>
              <w:rPr>
                <w:rFonts w:eastAsia="Calibri"/>
                <w:bCs/>
                <w:szCs w:val="20"/>
              </w:rPr>
            </w:pPr>
            <w:r w:rsidRPr="00B563B1">
              <w:rPr>
                <w:bCs/>
              </w:rPr>
              <w:t>0%</w:t>
            </w:r>
          </w:p>
        </w:tc>
        <w:tc>
          <w:tcPr>
            <w:tcW w:w="680" w:type="pct"/>
          </w:tcPr>
          <w:p w14:paraId="6C689DF9" w14:textId="2D246837" w:rsidR="009E212B" w:rsidRPr="00B563B1" w:rsidRDefault="009E212B" w:rsidP="00AB704A">
            <w:pPr>
              <w:pStyle w:val="TableText"/>
              <w:keepNext/>
              <w:spacing w:before="0" w:after="0"/>
              <w:jc w:val="center"/>
              <w:rPr>
                <w:rFonts w:eastAsia="Calibri"/>
                <w:bCs/>
                <w:szCs w:val="20"/>
              </w:rPr>
            </w:pPr>
            <w:r w:rsidRPr="00B563B1">
              <w:rPr>
                <w:rFonts w:eastAsia="Calibri"/>
                <w:bCs/>
                <w:szCs w:val="20"/>
              </w:rPr>
              <w:t>$</w:t>
            </w:r>
            <w:r w:rsidR="004113A4">
              <w:rPr>
                <w:rFonts w:eastAsia="Calibri"/>
                <w:b/>
                <w:szCs w:val="20"/>
              </w:rPr>
              <w:t>redacted</w:t>
            </w:r>
          </w:p>
        </w:tc>
        <w:tc>
          <w:tcPr>
            <w:tcW w:w="656" w:type="pct"/>
          </w:tcPr>
          <w:p w14:paraId="04815145" w14:textId="77777777" w:rsidR="009E212B" w:rsidRPr="00B563B1" w:rsidRDefault="009E212B" w:rsidP="00AB704A">
            <w:pPr>
              <w:pStyle w:val="TableText"/>
              <w:keepNext/>
              <w:spacing w:before="0" w:after="0"/>
              <w:jc w:val="center"/>
              <w:rPr>
                <w:rFonts w:eastAsia="Calibri"/>
                <w:bCs/>
                <w:szCs w:val="20"/>
              </w:rPr>
            </w:pPr>
            <w:r w:rsidRPr="00B563B1">
              <w:rPr>
                <w:rFonts w:eastAsia="Calibri"/>
                <w:bCs/>
                <w:szCs w:val="20"/>
              </w:rPr>
              <w:t>5.235</w:t>
            </w:r>
          </w:p>
        </w:tc>
        <w:tc>
          <w:tcPr>
            <w:tcW w:w="629" w:type="pct"/>
          </w:tcPr>
          <w:p w14:paraId="701788A0" w14:textId="68BED5C2" w:rsidR="009E212B" w:rsidRPr="00B563B1" w:rsidRDefault="009E212B" w:rsidP="00AB704A">
            <w:pPr>
              <w:pStyle w:val="TableText"/>
              <w:keepNext/>
              <w:spacing w:before="0" w:after="0"/>
              <w:jc w:val="center"/>
              <w:rPr>
                <w:rFonts w:eastAsia="Calibri"/>
                <w:bCs/>
                <w:szCs w:val="20"/>
              </w:rPr>
            </w:pPr>
            <w:r w:rsidRPr="00B563B1">
              <w:rPr>
                <w:rFonts w:eastAsia="Calibri"/>
                <w:bCs/>
                <w:szCs w:val="20"/>
              </w:rPr>
              <w:t>$</w:t>
            </w:r>
            <w:r w:rsidR="004113A4">
              <w:rPr>
                <w:rFonts w:eastAsia="Calibri"/>
                <w:b/>
                <w:szCs w:val="20"/>
              </w:rPr>
              <w:t>redacted</w:t>
            </w:r>
          </w:p>
        </w:tc>
        <w:tc>
          <w:tcPr>
            <w:tcW w:w="758" w:type="pct"/>
          </w:tcPr>
          <w:p w14:paraId="51E143AE" w14:textId="77777777" w:rsidR="009E212B" w:rsidRPr="00B563B1" w:rsidRDefault="009E212B" w:rsidP="00AB704A">
            <w:pPr>
              <w:pStyle w:val="TableText"/>
              <w:keepNext/>
              <w:spacing w:before="0" w:after="0"/>
              <w:jc w:val="center"/>
              <w:rPr>
                <w:rFonts w:eastAsia="Calibri"/>
                <w:bCs/>
                <w:szCs w:val="20"/>
              </w:rPr>
            </w:pPr>
            <w:r w:rsidRPr="00B563B1">
              <w:rPr>
                <w:rFonts w:eastAsia="Calibri"/>
                <w:bCs/>
                <w:szCs w:val="20"/>
              </w:rPr>
              <w:t>–20%</w:t>
            </w:r>
          </w:p>
        </w:tc>
      </w:tr>
      <w:tr w:rsidR="009E212B" w:rsidRPr="00CE28E3" w14:paraId="0AEF1BAE" w14:textId="77777777" w:rsidTr="00A57FE3">
        <w:tc>
          <w:tcPr>
            <w:tcW w:w="1334" w:type="pct"/>
            <w:vMerge/>
          </w:tcPr>
          <w:p w14:paraId="57955749" w14:textId="77777777" w:rsidR="009E212B" w:rsidRPr="00B563B1" w:rsidRDefault="009E212B" w:rsidP="00AB704A">
            <w:pPr>
              <w:pStyle w:val="TableText"/>
              <w:keepNext/>
              <w:spacing w:before="0" w:after="0"/>
              <w:rPr>
                <w:bCs/>
              </w:rPr>
            </w:pPr>
          </w:p>
        </w:tc>
        <w:tc>
          <w:tcPr>
            <w:tcW w:w="944" w:type="pct"/>
          </w:tcPr>
          <w:p w14:paraId="17427818" w14:textId="77777777" w:rsidR="009E212B" w:rsidRPr="00B563B1" w:rsidRDefault="009E212B" w:rsidP="00AB704A">
            <w:pPr>
              <w:pStyle w:val="TableText"/>
              <w:keepNext/>
              <w:spacing w:before="0" w:after="0"/>
              <w:jc w:val="center"/>
              <w:rPr>
                <w:rFonts w:eastAsia="Calibri"/>
                <w:bCs/>
                <w:szCs w:val="20"/>
              </w:rPr>
            </w:pPr>
            <w:r w:rsidRPr="00B563B1">
              <w:rPr>
                <w:bCs/>
              </w:rPr>
              <w:t>3.5%</w:t>
            </w:r>
          </w:p>
        </w:tc>
        <w:tc>
          <w:tcPr>
            <w:tcW w:w="680" w:type="pct"/>
          </w:tcPr>
          <w:p w14:paraId="6C05EBC3" w14:textId="7C1B6657" w:rsidR="009E212B" w:rsidRPr="00B563B1" w:rsidRDefault="009E212B" w:rsidP="00AB704A">
            <w:pPr>
              <w:pStyle w:val="TableText"/>
              <w:keepNext/>
              <w:spacing w:before="0" w:after="0"/>
              <w:jc w:val="center"/>
              <w:rPr>
                <w:rFonts w:eastAsia="Calibri"/>
                <w:bCs/>
                <w:szCs w:val="20"/>
              </w:rPr>
            </w:pPr>
            <w:r w:rsidRPr="00B563B1">
              <w:rPr>
                <w:rFonts w:eastAsia="Calibri"/>
                <w:bCs/>
                <w:szCs w:val="20"/>
              </w:rPr>
              <w:t>$</w:t>
            </w:r>
            <w:r w:rsidR="004113A4">
              <w:rPr>
                <w:rFonts w:eastAsia="Calibri"/>
                <w:b/>
                <w:szCs w:val="20"/>
              </w:rPr>
              <w:t>redacted</w:t>
            </w:r>
            <w:r w:rsidR="004113A4" w:rsidRPr="00B563B1" w:rsidDel="004113A4">
              <w:rPr>
                <w:rFonts w:eastAsia="Calibri"/>
                <w:bCs/>
                <w:szCs w:val="20"/>
              </w:rPr>
              <w:t xml:space="preserve"> </w:t>
            </w:r>
          </w:p>
        </w:tc>
        <w:tc>
          <w:tcPr>
            <w:tcW w:w="656" w:type="pct"/>
          </w:tcPr>
          <w:p w14:paraId="3A3276C6" w14:textId="77777777" w:rsidR="009E212B" w:rsidRPr="00B563B1" w:rsidRDefault="009E212B" w:rsidP="00AB704A">
            <w:pPr>
              <w:pStyle w:val="TableText"/>
              <w:keepNext/>
              <w:spacing w:before="0" w:after="0"/>
              <w:jc w:val="center"/>
              <w:rPr>
                <w:rFonts w:eastAsia="Calibri"/>
                <w:bCs/>
                <w:szCs w:val="20"/>
              </w:rPr>
            </w:pPr>
            <w:r w:rsidRPr="00B563B1">
              <w:rPr>
                <w:rFonts w:eastAsia="Calibri"/>
                <w:bCs/>
                <w:szCs w:val="20"/>
              </w:rPr>
              <w:t>4.256</w:t>
            </w:r>
          </w:p>
        </w:tc>
        <w:tc>
          <w:tcPr>
            <w:tcW w:w="629" w:type="pct"/>
          </w:tcPr>
          <w:p w14:paraId="3D03692A" w14:textId="423202E7" w:rsidR="009E212B" w:rsidRPr="00B563B1" w:rsidRDefault="009E212B" w:rsidP="00AB704A">
            <w:pPr>
              <w:pStyle w:val="TableText"/>
              <w:keepNext/>
              <w:spacing w:before="0" w:after="0"/>
              <w:jc w:val="center"/>
              <w:rPr>
                <w:rFonts w:eastAsia="Calibri"/>
                <w:bCs/>
                <w:szCs w:val="20"/>
              </w:rPr>
            </w:pPr>
            <w:r w:rsidRPr="00B563B1">
              <w:rPr>
                <w:rFonts w:eastAsia="Calibri"/>
                <w:bCs/>
                <w:szCs w:val="20"/>
              </w:rPr>
              <w:t>$</w:t>
            </w:r>
            <w:r w:rsidR="004113A4">
              <w:rPr>
                <w:rFonts w:eastAsia="Calibri"/>
                <w:b/>
                <w:szCs w:val="20"/>
              </w:rPr>
              <w:t>redacted</w:t>
            </w:r>
          </w:p>
        </w:tc>
        <w:tc>
          <w:tcPr>
            <w:tcW w:w="758" w:type="pct"/>
          </w:tcPr>
          <w:p w14:paraId="46E644ED" w14:textId="77777777" w:rsidR="009E212B" w:rsidRPr="00B563B1" w:rsidRDefault="009E212B" w:rsidP="00AB704A">
            <w:pPr>
              <w:pStyle w:val="TableText"/>
              <w:keepNext/>
              <w:spacing w:before="0" w:after="0"/>
              <w:jc w:val="center"/>
              <w:rPr>
                <w:rFonts w:eastAsia="Calibri"/>
                <w:bCs/>
                <w:szCs w:val="20"/>
              </w:rPr>
            </w:pPr>
            <w:r w:rsidRPr="00B563B1">
              <w:rPr>
                <w:rFonts w:eastAsia="Calibri"/>
                <w:bCs/>
                <w:szCs w:val="20"/>
              </w:rPr>
              <w:t>–6%</w:t>
            </w:r>
          </w:p>
        </w:tc>
      </w:tr>
      <w:tr w:rsidR="009E212B" w:rsidRPr="00CE28E3" w14:paraId="3E68CCB0" w14:textId="77777777" w:rsidTr="00A57FE3">
        <w:tc>
          <w:tcPr>
            <w:tcW w:w="1334" w:type="pct"/>
            <w:vMerge w:val="restart"/>
          </w:tcPr>
          <w:p w14:paraId="1205A50D" w14:textId="77777777" w:rsidR="009E212B" w:rsidRDefault="009E212B" w:rsidP="00AB704A">
            <w:pPr>
              <w:pStyle w:val="TableText"/>
              <w:keepNext/>
              <w:spacing w:before="0" w:after="0"/>
            </w:pPr>
            <w:r w:rsidRPr="00CE28E3">
              <w:t>Time horizon</w:t>
            </w:r>
          </w:p>
          <w:p w14:paraId="7D999818" w14:textId="77777777" w:rsidR="009E212B" w:rsidRPr="00CE28E3" w:rsidRDefault="009E212B" w:rsidP="00AB704A">
            <w:pPr>
              <w:pStyle w:val="TableText"/>
              <w:keepNext/>
              <w:spacing w:before="0" w:after="0"/>
            </w:pPr>
            <w:r w:rsidRPr="00CE28E3">
              <w:t>(</w:t>
            </w:r>
            <w:r>
              <w:t xml:space="preserve">revised </w:t>
            </w:r>
            <w:r w:rsidRPr="00CE28E3">
              <w:t xml:space="preserve">base case </w:t>
            </w:r>
            <w:r>
              <w:t>15</w:t>
            </w:r>
            <w:r w:rsidRPr="00CE28E3">
              <w:t xml:space="preserve"> years)</w:t>
            </w:r>
          </w:p>
        </w:tc>
        <w:tc>
          <w:tcPr>
            <w:tcW w:w="944" w:type="pct"/>
          </w:tcPr>
          <w:p w14:paraId="086CCFA7" w14:textId="77777777" w:rsidR="009E212B" w:rsidRPr="00B563B1" w:rsidRDefault="009E212B" w:rsidP="00AB704A">
            <w:pPr>
              <w:pStyle w:val="TableText"/>
              <w:keepNext/>
              <w:spacing w:before="0" w:after="0"/>
              <w:jc w:val="center"/>
              <w:rPr>
                <w:rFonts w:eastAsia="Calibri"/>
                <w:szCs w:val="20"/>
              </w:rPr>
            </w:pPr>
            <w:r>
              <w:t>5</w:t>
            </w:r>
            <w:r w:rsidRPr="00CE28E3">
              <w:t xml:space="preserve"> years</w:t>
            </w:r>
          </w:p>
        </w:tc>
        <w:tc>
          <w:tcPr>
            <w:tcW w:w="680" w:type="pct"/>
          </w:tcPr>
          <w:p w14:paraId="5166E1C1" w14:textId="13A635F5" w:rsidR="009E212B" w:rsidRPr="00CE28E3" w:rsidRDefault="009E212B" w:rsidP="00AB704A">
            <w:pPr>
              <w:pStyle w:val="TableText"/>
              <w:keepNext/>
              <w:spacing w:before="0" w:after="0"/>
              <w:jc w:val="center"/>
              <w:rPr>
                <w:highlight w:val="black"/>
              </w:rPr>
            </w:pPr>
            <w:r w:rsidRPr="00B563B1">
              <w:rPr>
                <w:rFonts w:eastAsia="Calibri"/>
                <w:szCs w:val="20"/>
              </w:rPr>
              <w:t>$</w:t>
            </w:r>
            <w:r w:rsidR="004113A4">
              <w:rPr>
                <w:rFonts w:eastAsia="Calibri"/>
                <w:b/>
                <w:szCs w:val="20"/>
              </w:rPr>
              <w:t>redacted</w:t>
            </w:r>
            <w:r w:rsidR="004113A4" w:rsidRPr="00B563B1" w:rsidDel="004113A4">
              <w:rPr>
                <w:rFonts w:eastAsia="Calibri"/>
                <w:szCs w:val="20"/>
              </w:rPr>
              <w:t xml:space="preserve"> </w:t>
            </w:r>
          </w:p>
        </w:tc>
        <w:tc>
          <w:tcPr>
            <w:tcW w:w="656" w:type="pct"/>
          </w:tcPr>
          <w:p w14:paraId="72EF89C5" w14:textId="77777777" w:rsidR="009E212B" w:rsidRPr="00CE28E3" w:rsidRDefault="009E212B" w:rsidP="00AB704A">
            <w:pPr>
              <w:pStyle w:val="TableText"/>
              <w:keepNext/>
              <w:spacing w:before="0" w:after="0"/>
              <w:jc w:val="center"/>
            </w:pPr>
            <w:r w:rsidRPr="00B563B1">
              <w:rPr>
                <w:rFonts w:eastAsia="Calibri"/>
                <w:szCs w:val="20"/>
              </w:rPr>
              <w:t>2.090</w:t>
            </w:r>
          </w:p>
        </w:tc>
        <w:tc>
          <w:tcPr>
            <w:tcW w:w="629" w:type="pct"/>
          </w:tcPr>
          <w:p w14:paraId="6A85308B" w14:textId="6A70A9E7" w:rsidR="009E212B" w:rsidRPr="00CE28E3" w:rsidRDefault="009E212B" w:rsidP="00AB704A">
            <w:pPr>
              <w:pStyle w:val="TableText"/>
              <w:keepNext/>
              <w:spacing w:before="0" w:after="0"/>
              <w:jc w:val="center"/>
              <w:rPr>
                <w:highlight w:val="black"/>
              </w:rPr>
            </w:pPr>
            <w:r w:rsidRPr="00B563B1">
              <w:rPr>
                <w:rFonts w:eastAsia="Calibri"/>
                <w:szCs w:val="20"/>
              </w:rPr>
              <w:t>$</w:t>
            </w:r>
            <w:r w:rsidR="004113A4">
              <w:rPr>
                <w:rFonts w:eastAsia="Calibri"/>
                <w:b/>
                <w:szCs w:val="20"/>
              </w:rPr>
              <w:t>redacted</w:t>
            </w:r>
          </w:p>
        </w:tc>
        <w:tc>
          <w:tcPr>
            <w:tcW w:w="758" w:type="pct"/>
          </w:tcPr>
          <w:p w14:paraId="12A42695" w14:textId="77777777" w:rsidR="009E212B" w:rsidRPr="00B563B1" w:rsidRDefault="009E212B" w:rsidP="00AB704A">
            <w:pPr>
              <w:pStyle w:val="TableText"/>
              <w:keepNext/>
              <w:spacing w:before="0" w:after="0"/>
              <w:jc w:val="center"/>
              <w:rPr>
                <w:rFonts w:eastAsia="Calibri"/>
                <w:szCs w:val="20"/>
              </w:rPr>
            </w:pPr>
            <w:r>
              <w:rPr>
                <w:rFonts w:eastAsia="Calibri"/>
                <w:szCs w:val="20"/>
              </w:rPr>
              <w:t>71%</w:t>
            </w:r>
          </w:p>
        </w:tc>
      </w:tr>
      <w:tr w:rsidR="009E212B" w:rsidRPr="00CE28E3" w14:paraId="0EAB2646" w14:textId="77777777" w:rsidTr="00A57FE3">
        <w:trPr>
          <w:trHeight w:val="283"/>
        </w:trPr>
        <w:tc>
          <w:tcPr>
            <w:tcW w:w="1334" w:type="pct"/>
            <w:vMerge/>
          </w:tcPr>
          <w:p w14:paraId="55815C5F" w14:textId="77777777" w:rsidR="009E212B" w:rsidRPr="00CE28E3" w:rsidRDefault="009E212B" w:rsidP="00AB704A">
            <w:pPr>
              <w:pStyle w:val="TableText"/>
              <w:keepNext/>
              <w:spacing w:before="0" w:after="0"/>
            </w:pPr>
          </w:p>
        </w:tc>
        <w:tc>
          <w:tcPr>
            <w:tcW w:w="944" w:type="pct"/>
          </w:tcPr>
          <w:p w14:paraId="5EC17995" w14:textId="77777777" w:rsidR="009E212B" w:rsidRPr="00B563B1" w:rsidRDefault="009E212B" w:rsidP="00AB704A">
            <w:pPr>
              <w:pStyle w:val="TableText"/>
              <w:keepNext/>
              <w:spacing w:before="0" w:after="0"/>
              <w:jc w:val="center"/>
              <w:rPr>
                <w:rFonts w:eastAsia="Calibri"/>
                <w:szCs w:val="20"/>
              </w:rPr>
            </w:pPr>
            <w:r w:rsidRPr="00CE28E3">
              <w:t>10 years</w:t>
            </w:r>
          </w:p>
        </w:tc>
        <w:tc>
          <w:tcPr>
            <w:tcW w:w="680" w:type="pct"/>
          </w:tcPr>
          <w:p w14:paraId="3F623780" w14:textId="7F330211" w:rsidR="009E212B" w:rsidRPr="00CE28E3" w:rsidRDefault="009E212B" w:rsidP="00AB704A">
            <w:pPr>
              <w:pStyle w:val="TableText"/>
              <w:keepNext/>
              <w:spacing w:before="0" w:after="0"/>
              <w:jc w:val="center"/>
              <w:rPr>
                <w:highlight w:val="black"/>
              </w:rPr>
            </w:pPr>
            <w:r w:rsidRPr="00B563B1">
              <w:rPr>
                <w:rFonts w:eastAsia="Calibri"/>
                <w:szCs w:val="20"/>
              </w:rPr>
              <w:t>$</w:t>
            </w:r>
            <w:r w:rsidR="004113A4">
              <w:rPr>
                <w:rFonts w:eastAsia="Calibri"/>
                <w:b/>
                <w:szCs w:val="20"/>
              </w:rPr>
              <w:t>redacted</w:t>
            </w:r>
            <w:r w:rsidR="004113A4" w:rsidRPr="00B563B1" w:rsidDel="004113A4">
              <w:rPr>
                <w:rFonts w:eastAsia="Calibri"/>
                <w:szCs w:val="20"/>
              </w:rPr>
              <w:t xml:space="preserve"> </w:t>
            </w:r>
          </w:p>
        </w:tc>
        <w:tc>
          <w:tcPr>
            <w:tcW w:w="656" w:type="pct"/>
          </w:tcPr>
          <w:p w14:paraId="35F7F255" w14:textId="77777777" w:rsidR="009E212B" w:rsidRPr="00CE28E3" w:rsidRDefault="009E212B" w:rsidP="00AB704A">
            <w:pPr>
              <w:pStyle w:val="TableText"/>
              <w:keepNext/>
              <w:spacing w:before="0" w:after="0"/>
              <w:jc w:val="center"/>
            </w:pPr>
            <w:r w:rsidRPr="00B563B1">
              <w:rPr>
                <w:rFonts w:eastAsia="Calibri"/>
                <w:szCs w:val="20"/>
              </w:rPr>
              <w:t>3.282</w:t>
            </w:r>
          </w:p>
        </w:tc>
        <w:tc>
          <w:tcPr>
            <w:tcW w:w="629" w:type="pct"/>
          </w:tcPr>
          <w:p w14:paraId="04186FA3" w14:textId="62E34FBE" w:rsidR="009E212B" w:rsidRPr="00CE28E3" w:rsidRDefault="009E212B" w:rsidP="00AB704A">
            <w:pPr>
              <w:pStyle w:val="TableText"/>
              <w:keepNext/>
              <w:spacing w:before="0" w:after="0"/>
              <w:jc w:val="center"/>
              <w:rPr>
                <w:highlight w:val="black"/>
              </w:rPr>
            </w:pPr>
            <w:r w:rsidRPr="00B563B1">
              <w:rPr>
                <w:rFonts w:eastAsia="Calibri"/>
                <w:szCs w:val="20"/>
              </w:rPr>
              <w:t>$</w:t>
            </w:r>
            <w:r w:rsidR="004113A4">
              <w:rPr>
                <w:rFonts w:eastAsia="Calibri"/>
                <w:b/>
                <w:szCs w:val="20"/>
              </w:rPr>
              <w:t>redacted</w:t>
            </w:r>
          </w:p>
        </w:tc>
        <w:tc>
          <w:tcPr>
            <w:tcW w:w="758" w:type="pct"/>
          </w:tcPr>
          <w:p w14:paraId="387F8201" w14:textId="77777777" w:rsidR="009E212B" w:rsidRPr="00B563B1" w:rsidRDefault="009E212B" w:rsidP="00AB704A">
            <w:pPr>
              <w:pStyle w:val="TableText"/>
              <w:keepNext/>
              <w:spacing w:before="0" w:after="0"/>
              <w:jc w:val="center"/>
              <w:rPr>
                <w:rFonts w:eastAsia="Calibri"/>
                <w:szCs w:val="20"/>
              </w:rPr>
            </w:pPr>
            <w:r>
              <w:rPr>
                <w:rFonts w:eastAsia="Calibri"/>
                <w:szCs w:val="20"/>
              </w:rPr>
              <w:t>16%</w:t>
            </w:r>
          </w:p>
        </w:tc>
      </w:tr>
      <w:tr w:rsidR="009E212B" w:rsidRPr="00CE28E3" w14:paraId="54A85220" w14:textId="77777777" w:rsidTr="00A57FE3">
        <w:trPr>
          <w:trHeight w:val="283"/>
        </w:trPr>
        <w:tc>
          <w:tcPr>
            <w:tcW w:w="1334" w:type="pct"/>
            <w:vMerge/>
          </w:tcPr>
          <w:p w14:paraId="56E810F6" w14:textId="77777777" w:rsidR="009E212B" w:rsidRPr="00CE28E3" w:rsidRDefault="009E212B" w:rsidP="00AB704A">
            <w:pPr>
              <w:pStyle w:val="TableText"/>
              <w:keepNext/>
              <w:spacing w:before="0" w:after="0"/>
            </w:pPr>
          </w:p>
        </w:tc>
        <w:tc>
          <w:tcPr>
            <w:tcW w:w="944" w:type="pct"/>
          </w:tcPr>
          <w:p w14:paraId="1FDF9CCA" w14:textId="77777777" w:rsidR="009E212B" w:rsidRPr="00B563B1" w:rsidRDefault="009E212B" w:rsidP="00AB704A">
            <w:pPr>
              <w:pStyle w:val="TableText"/>
              <w:keepNext/>
              <w:spacing w:before="0" w:after="0"/>
              <w:jc w:val="center"/>
              <w:rPr>
                <w:rFonts w:eastAsia="Calibri"/>
                <w:szCs w:val="20"/>
              </w:rPr>
            </w:pPr>
            <w:r>
              <w:t>20 years</w:t>
            </w:r>
          </w:p>
        </w:tc>
        <w:tc>
          <w:tcPr>
            <w:tcW w:w="680" w:type="pct"/>
          </w:tcPr>
          <w:p w14:paraId="608EA8AE" w14:textId="457718BF" w:rsidR="009E212B" w:rsidRPr="00CE28E3" w:rsidRDefault="009E212B" w:rsidP="00AB704A">
            <w:pPr>
              <w:pStyle w:val="TableText"/>
              <w:keepNext/>
              <w:spacing w:before="0" w:after="0"/>
              <w:jc w:val="center"/>
              <w:rPr>
                <w:rFonts w:eastAsia="Calibri"/>
                <w:szCs w:val="20"/>
              </w:rPr>
            </w:pPr>
            <w:r w:rsidRPr="00B563B1">
              <w:rPr>
                <w:rFonts w:eastAsia="Calibri"/>
                <w:szCs w:val="20"/>
              </w:rPr>
              <w:t>$</w:t>
            </w:r>
            <w:r w:rsidR="004113A4">
              <w:rPr>
                <w:rFonts w:eastAsia="Calibri"/>
                <w:b/>
                <w:szCs w:val="20"/>
              </w:rPr>
              <w:t>redacted</w:t>
            </w:r>
            <w:r w:rsidR="004113A4" w:rsidRPr="00B563B1" w:rsidDel="004113A4">
              <w:rPr>
                <w:rFonts w:eastAsia="Calibri"/>
                <w:szCs w:val="20"/>
              </w:rPr>
              <w:t xml:space="preserve"> </w:t>
            </w:r>
          </w:p>
        </w:tc>
        <w:tc>
          <w:tcPr>
            <w:tcW w:w="656" w:type="pct"/>
          </w:tcPr>
          <w:p w14:paraId="5BE9F6FF" w14:textId="77777777" w:rsidR="009E212B" w:rsidRPr="00CE28E3" w:rsidRDefault="009E212B" w:rsidP="00AB704A">
            <w:pPr>
              <w:pStyle w:val="TableText"/>
              <w:keepNext/>
              <w:spacing w:before="0" w:after="0"/>
              <w:jc w:val="center"/>
              <w:rPr>
                <w:rFonts w:eastAsia="Calibri"/>
                <w:szCs w:val="20"/>
              </w:rPr>
            </w:pPr>
            <w:r w:rsidRPr="00B563B1">
              <w:rPr>
                <w:rFonts w:eastAsia="Calibri"/>
                <w:szCs w:val="20"/>
              </w:rPr>
              <w:t>4.281</w:t>
            </w:r>
          </w:p>
        </w:tc>
        <w:tc>
          <w:tcPr>
            <w:tcW w:w="629" w:type="pct"/>
          </w:tcPr>
          <w:p w14:paraId="39B58208" w14:textId="04FD205F" w:rsidR="009E212B" w:rsidRPr="00CE28E3" w:rsidRDefault="009E212B" w:rsidP="00AB704A">
            <w:pPr>
              <w:pStyle w:val="TableText"/>
              <w:keepNext/>
              <w:spacing w:before="0" w:after="0"/>
              <w:jc w:val="center"/>
              <w:rPr>
                <w:rFonts w:eastAsia="Calibri"/>
                <w:szCs w:val="20"/>
              </w:rPr>
            </w:pPr>
            <w:r w:rsidRPr="00B563B1">
              <w:rPr>
                <w:rFonts w:eastAsia="Calibri"/>
                <w:szCs w:val="20"/>
              </w:rPr>
              <w:t>$</w:t>
            </w:r>
            <w:r w:rsidR="004113A4">
              <w:rPr>
                <w:rFonts w:eastAsia="Calibri"/>
                <w:b/>
                <w:szCs w:val="20"/>
              </w:rPr>
              <w:t>redacted</w:t>
            </w:r>
          </w:p>
        </w:tc>
        <w:tc>
          <w:tcPr>
            <w:tcW w:w="758" w:type="pct"/>
          </w:tcPr>
          <w:p w14:paraId="034A4E3E" w14:textId="77777777" w:rsidR="009E212B" w:rsidRPr="00B563B1" w:rsidRDefault="009E212B" w:rsidP="00AB704A">
            <w:pPr>
              <w:pStyle w:val="TableText"/>
              <w:keepNext/>
              <w:spacing w:before="0" w:after="0"/>
              <w:jc w:val="center"/>
              <w:rPr>
                <w:rFonts w:eastAsia="Calibri"/>
                <w:szCs w:val="20"/>
              </w:rPr>
            </w:pPr>
            <w:r>
              <w:rPr>
                <w:rFonts w:eastAsia="Calibri"/>
                <w:szCs w:val="20"/>
              </w:rPr>
              <w:t>-7%</w:t>
            </w:r>
          </w:p>
        </w:tc>
      </w:tr>
      <w:tr w:rsidR="009E212B" w:rsidRPr="00CE28E3" w14:paraId="2CF21D5E" w14:textId="77777777" w:rsidTr="00A57FE3">
        <w:trPr>
          <w:trHeight w:val="283"/>
        </w:trPr>
        <w:tc>
          <w:tcPr>
            <w:tcW w:w="1334" w:type="pct"/>
            <w:vMerge w:val="restart"/>
          </w:tcPr>
          <w:p w14:paraId="586378E8" w14:textId="345AB150" w:rsidR="009E212B" w:rsidRPr="00C64B33" w:rsidRDefault="00596728" w:rsidP="00AB704A">
            <w:pPr>
              <w:pStyle w:val="TableText"/>
              <w:keepNext/>
              <w:spacing w:before="0" w:after="0"/>
            </w:pPr>
            <w:r w:rsidRPr="0079297C">
              <w:t>L</w:t>
            </w:r>
            <w:r w:rsidR="00ED6CA5" w:rsidRPr="0079297C">
              <w:t>VAD</w:t>
            </w:r>
            <w:r w:rsidR="009E212B" w:rsidRPr="0079297C">
              <w:t xml:space="preserve"> device cost</w:t>
            </w:r>
            <w:r w:rsidR="009E212B" w:rsidRPr="00C64B33">
              <w:t xml:space="preserve"> </w:t>
            </w:r>
          </w:p>
          <w:p w14:paraId="7B22409B" w14:textId="7DCF8CD6" w:rsidR="009E212B" w:rsidRPr="00C64B33" w:rsidRDefault="009E212B" w:rsidP="00AB704A">
            <w:pPr>
              <w:pStyle w:val="TableText"/>
              <w:keepNext/>
              <w:spacing w:before="0" w:after="0"/>
            </w:pPr>
            <w:r w:rsidRPr="00C64B33">
              <w:t>(revised base case $</w:t>
            </w:r>
            <w:proofErr w:type="gramStart"/>
            <w:r w:rsidR="00932DD9" w:rsidRPr="00932DD9">
              <w:rPr>
                <w:b/>
                <w:bCs/>
              </w:rPr>
              <w:t>redacted</w:t>
            </w:r>
            <w:r w:rsidR="00932DD9" w:rsidRPr="00C64B33" w:rsidDel="00932DD9">
              <w:t xml:space="preserve"> </w:t>
            </w:r>
            <w:r w:rsidRPr="00C64B33">
              <w:t>)</w:t>
            </w:r>
            <w:proofErr w:type="gramEnd"/>
          </w:p>
        </w:tc>
        <w:tc>
          <w:tcPr>
            <w:tcW w:w="944" w:type="pct"/>
          </w:tcPr>
          <w:p w14:paraId="6C1582D3" w14:textId="1E5AF404" w:rsidR="009E212B" w:rsidRPr="00C64B33" w:rsidRDefault="009E212B" w:rsidP="00AB704A">
            <w:pPr>
              <w:pStyle w:val="TableText"/>
              <w:keepNext/>
              <w:spacing w:before="0" w:after="0"/>
              <w:jc w:val="center"/>
            </w:pPr>
            <w:r w:rsidRPr="00C64B33">
              <w:t>$</w:t>
            </w:r>
            <w:r w:rsidR="00932DD9" w:rsidRPr="00932DD9">
              <w:rPr>
                <w:b/>
                <w:bCs/>
              </w:rPr>
              <w:t>redacted</w:t>
            </w:r>
            <w:r w:rsidRPr="00C64B33">
              <w:t xml:space="preserve"> </w:t>
            </w:r>
          </w:p>
          <w:p w14:paraId="1048D70F" w14:textId="77777777" w:rsidR="009E212B" w:rsidRPr="00C64B33" w:rsidRDefault="009E212B" w:rsidP="00AB704A">
            <w:pPr>
              <w:pStyle w:val="TableText"/>
              <w:keepNext/>
              <w:spacing w:before="0" w:after="0"/>
              <w:jc w:val="center"/>
              <w:rPr>
                <w:rFonts w:eastAsia="Calibri"/>
                <w:szCs w:val="20"/>
              </w:rPr>
            </w:pPr>
            <w:r w:rsidRPr="00C64B33">
              <w:t>(50% less than revised base case)</w:t>
            </w:r>
          </w:p>
        </w:tc>
        <w:tc>
          <w:tcPr>
            <w:tcW w:w="680" w:type="pct"/>
          </w:tcPr>
          <w:p w14:paraId="556F1E68" w14:textId="2250041D" w:rsidR="009E212B" w:rsidRPr="0079297C" w:rsidRDefault="009E212B" w:rsidP="00AB704A">
            <w:pPr>
              <w:pStyle w:val="TableText"/>
              <w:keepNext/>
              <w:spacing w:before="0" w:after="0"/>
              <w:jc w:val="center"/>
              <w:rPr>
                <w:rFonts w:eastAsia="Calibri"/>
                <w:szCs w:val="20"/>
                <w:vertAlign w:val="superscript"/>
              </w:rPr>
            </w:pPr>
            <w:r w:rsidRPr="00C64B33">
              <w:rPr>
                <w:rFonts w:eastAsia="Calibri"/>
                <w:szCs w:val="20"/>
              </w:rPr>
              <w:t>$</w:t>
            </w:r>
            <w:r w:rsidR="004113A4">
              <w:rPr>
                <w:rFonts w:eastAsia="Calibri"/>
                <w:b/>
                <w:szCs w:val="20"/>
              </w:rPr>
              <w:t>redacted</w:t>
            </w:r>
            <w:r w:rsidR="004113A4" w:rsidRPr="00C64B33" w:rsidDel="004113A4">
              <w:rPr>
                <w:rFonts w:eastAsia="Calibri"/>
                <w:szCs w:val="20"/>
              </w:rPr>
              <w:t xml:space="preserve"> </w:t>
            </w:r>
            <w:r w:rsidR="00FB742C" w:rsidRPr="00C64B33">
              <w:rPr>
                <w:rFonts w:eastAsia="Calibri"/>
                <w:szCs w:val="20"/>
                <w:vertAlign w:val="superscript"/>
              </w:rPr>
              <w:t>f</w:t>
            </w:r>
          </w:p>
        </w:tc>
        <w:tc>
          <w:tcPr>
            <w:tcW w:w="656" w:type="pct"/>
          </w:tcPr>
          <w:p w14:paraId="22EE7252" w14:textId="77777777" w:rsidR="009E212B" w:rsidRPr="00C64B33" w:rsidRDefault="009E212B" w:rsidP="00AB704A">
            <w:pPr>
              <w:pStyle w:val="TableText"/>
              <w:keepNext/>
              <w:spacing w:before="0" w:after="0"/>
              <w:jc w:val="center"/>
              <w:rPr>
                <w:rFonts w:eastAsia="Calibri"/>
                <w:szCs w:val="20"/>
              </w:rPr>
            </w:pPr>
            <w:r w:rsidRPr="00C64B33">
              <w:rPr>
                <w:rFonts w:eastAsia="Calibri"/>
                <w:szCs w:val="20"/>
              </w:rPr>
              <w:t>3.925</w:t>
            </w:r>
          </w:p>
        </w:tc>
        <w:tc>
          <w:tcPr>
            <w:tcW w:w="629" w:type="pct"/>
          </w:tcPr>
          <w:p w14:paraId="30A474E7" w14:textId="72BA8B06" w:rsidR="009E212B" w:rsidRPr="0079297C" w:rsidRDefault="009E212B" w:rsidP="00AB704A">
            <w:pPr>
              <w:pStyle w:val="TableText"/>
              <w:keepNext/>
              <w:spacing w:before="0" w:after="0"/>
              <w:jc w:val="center"/>
              <w:rPr>
                <w:rFonts w:eastAsia="Calibri"/>
                <w:szCs w:val="20"/>
                <w:vertAlign w:val="superscript"/>
              </w:rPr>
            </w:pPr>
            <w:r w:rsidRPr="00C64B33">
              <w:rPr>
                <w:rFonts w:eastAsia="Calibri"/>
                <w:szCs w:val="20"/>
              </w:rPr>
              <w:t>$</w:t>
            </w:r>
            <w:proofErr w:type="spellStart"/>
            <w:r w:rsidR="004113A4">
              <w:rPr>
                <w:rFonts w:eastAsia="Calibri"/>
                <w:b/>
                <w:szCs w:val="20"/>
              </w:rPr>
              <w:t>redacted</w:t>
            </w:r>
            <w:r w:rsidR="00C64B33" w:rsidRPr="00C64B33">
              <w:rPr>
                <w:rFonts w:eastAsia="Calibri"/>
                <w:szCs w:val="20"/>
                <w:vertAlign w:val="superscript"/>
              </w:rPr>
              <w:t>f</w:t>
            </w:r>
            <w:proofErr w:type="spellEnd"/>
          </w:p>
        </w:tc>
        <w:tc>
          <w:tcPr>
            <w:tcW w:w="758" w:type="pct"/>
          </w:tcPr>
          <w:p w14:paraId="302595D7" w14:textId="77777777" w:rsidR="009E212B" w:rsidRDefault="009E212B" w:rsidP="00AB704A">
            <w:pPr>
              <w:pStyle w:val="TableText"/>
              <w:keepNext/>
              <w:spacing w:before="0" w:after="0"/>
              <w:jc w:val="center"/>
              <w:rPr>
                <w:rFonts w:eastAsia="Calibri"/>
                <w:szCs w:val="20"/>
              </w:rPr>
            </w:pPr>
            <w:r w:rsidRPr="00915F0C">
              <w:rPr>
                <w:rFonts w:eastAsia="Calibri"/>
                <w:szCs w:val="20"/>
              </w:rPr>
              <w:t>–29%</w:t>
            </w:r>
          </w:p>
        </w:tc>
      </w:tr>
      <w:tr w:rsidR="009E212B" w:rsidRPr="00CE28E3" w14:paraId="28FB58B8" w14:textId="77777777" w:rsidTr="00A57FE3">
        <w:trPr>
          <w:trHeight w:val="283"/>
        </w:trPr>
        <w:tc>
          <w:tcPr>
            <w:tcW w:w="1334" w:type="pct"/>
            <w:vMerge/>
          </w:tcPr>
          <w:p w14:paraId="5F5D64D5" w14:textId="77777777" w:rsidR="009E212B" w:rsidRPr="00C64B33" w:rsidRDefault="009E212B" w:rsidP="00AB704A">
            <w:pPr>
              <w:pStyle w:val="TableText"/>
              <w:keepNext/>
              <w:spacing w:before="0" w:after="0"/>
            </w:pPr>
          </w:p>
        </w:tc>
        <w:tc>
          <w:tcPr>
            <w:tcW w:w="944" w:type="pct"/>
          </w:tcPr>
          <w:p w14:paraId="1CF21660" w14:textId="797451BF" w:rsidR="009E212B" w:rsidRPr="00C64B33" w:rsidRDefault="009E212B" w:rsidP="00AB704A">
            <w:pPr>
              <w:pStyle w:val="TableText"/>
              <w:keepNext/>
              <w:spacing w:before="0" w:after="0"/>
              <w:jc w:val="center"/>
            </w:pPr>
            <w:r w:rsidRPr="00C64B33">
              <w:t>$</w:t>
            </w:r>
            <w:r w:rsidR="00932DD9" w:rsidRPr="00932DD9">
              <w:rPr>
                <w:b/>
                <w:bCs/>
              </w:rPr>
              <w:t>redacted</w:t>
            </w:r>
            <w:r w:rsidR="00932DD9" w:rsidRPr="00C64B33" w:rsidDel="00932DD9">
              <w:t xml:space="preserve"> </w:t>
            </w:r>
            <w:r w:rsidRPr="00C64B33">
              <w:t xml:space="preserve"> </w:t>
            </w:r>
          </w:p>
          <w:p w14:paraId="0E510FEF" w14:textId="77777777" w:rsidR="009E212B" w:rsidRPr="00C64B33" w:rsidRDefault="009E212B" w:rsidP="00AB704A">
            <w:pPr>
              <w:pStyle w:val="TableText"/>
              <w:keepNext/>
              <w:spacing w:before="0" w:after="0"/>
              <w:jc w:val="center"/>
              <w:rPr>
                <w:rFonts w:eastAsia="Calibri"/>
                <w:szCs w:val="20"/>
              </w:rPr>
            </w:pPr>
            <w:r w:rsidRPr="00C64B33">
              <w:t>(50% more than revised base case)</w:t>
            </w:r>
          </w:p>
        </w:tc>
        <w:tc>
          <w:tcPr>
            <w:tcW w:w="680" w:type="pct"/>
          </w:tcPr>
          <w:p w14:paraId="56DCF9FF" w14:textId="7E71143A" w:rsidR="009E212B" w:rsidRPr="00C64B33" w:rsidRDefault="009E212B" w:rsidP="00AB704A">
            <w:pPr>
              <w:pStyle w:val="TableText"/>
              <w:keepNext/>
              <w:spacing w:before="0" w:after="0"/>
              <w:jc w:val="center"/>
              <w:rPr>
                <w:rFonts w:eastAsia="Calibri"/>
                <w:szCs w:val="20"/>
              </w:rPr>
            </w:pPr>
            <w:r w:rsidRPr="00C64B33">
              <w:rPr>
                <w:rFonts w:eastAsia="Calibri"/>
                <w:szCs w:val="20"/>
              </w:rPr>
              <w:t>$</w:t>
            </w:r>
            <w:proofErr w:type="spellStart"/>
            <w:r w:rsidR="004113A4">
              <w:rPr>
                <w:rFonts w:eastAsia="Calibri"/>
                <w:b/>
                <w:szCs w:val="20"/>
              </w:rPr>
              <w:t>redacted</w:t>
            </w:r>
            <w:r w:rsidR="00FB742C" w:rsidRPr="0079297C">
              <w:rPr>
                <w:rFonts w:eastAsia="Calibri"/>
                <w:szCs w:val="20"/>
                <w:vertAlign w:val="superscript"/>
              </w:rPr>
              <w:t>f</w:t>
            </w:r>
            <w:proofErr w:type="spellEnd"/>
          </w:p>
        </w:tc>
        <w:tc>
          <w:tcPr>
            <w:tcW w:w="656" w:type="pct"/>
          </w:tcPr>
          <w:p w14:paraId="766F91FC" w14:textId="77777777" w:rsidR="009E212B" w:rsidRPr="00C64B33" w:rsidRDefault="009E212B" w:rsidP="00AB704A">
            <w:pPr>
              <w:pStyle w:val="TableText"/>
              <w:keepNext/>
              <w:spacing w:before="0" w:after="0"/>
              <w:jc w:val="center"/>
              <w:rPr>
                <w:rFonts w:eastAsia="Calibri"/>
                <w:szCs w:val="20"/>
              </w:rPr>
            </w:pPr>
            <w:r w:rsidRPr="00C64B33">
              <w:rPr>
                <w:rFonts w:eastAsia="Calibri"/>
                <w:szCs w:val="20"/>
              </w:rPr>
              <w:t>3.925</w:t>
            </w:r>
          </w:p>
        </w:tc>
        <w:tc>
          <w:tcPr>
            <w:tcW w:w="629" w:type="pct"/>
          </w:tcPr>
          <w:p w14:paraId="31407565" w14:textId="53220169" w:rsidR="009E212B" w:rsidRPr="0079297C" w:rsidRDefault="009E212B" w:rsidP="00AB704A">
            <w:pPr>
              <w:pStyle w:val="TableText"/>
              <w:keepNext/>
              <w:spacing w:before="0" w:after="0"/>
              <w:jc w:val="center"/>
              <w:rPr>
                <w:rFonts w:eastAsia="Calibri"/>
                <w:szCs w:val="20"/>
                <w:vertAlign w:val="superscript"/>
              </w:rPr>
            </w:pPr>
            <w:r w:rsidRPr="00C64B33">
              <w:rPr>
                <w:rFonts w:eastAsia="Calibri"/>
                <w:szCs w:val="20"/>
              </w:rPr>
              <w:t>$</w:t>
            </w:r>
            <w:proofErr w:type="spellStart"/>
            <w:r w:rsidR="004113A4">
              <w:rPr>
                <w:rFonts w:eastAsia="Calibri"/>
                <w:b/>
                <w:szCs w:val="20"/>
              </w:rPr>
              <w:t>redacted</w:t>
            </w:r>
            <w:r w:rsidR="00FB742C" w:rsidRPr="00C64B33">
              <w:rPr>
                <w:rFonts w:eastAsia="Calibri"/>
                <w:szCs w:val="20"/>
                <w:vertAlign w:val="superscript"/>
              </w:rPr>
              <w:t>f</w:t>
            </w:r>
            <w:proofErr w:type="spellEnd"/>
          </w:p>
        </w:tc>
        <w:tc>
          <w:tcPr>
            <w:tcW w:w="758" w:type="pct"/>
          </w:tcPr>
          <w:p w14:paraId="10E47F7B" w14:textId="77777777" w:rsidR="009E212B" w:rsidRDefault="009E212B" w:rsidP="00AB704A">
            <w:pPr>
              <w:pStyle w:val="TableText"/>
              <w:keepNext/>
              <w:spacing w:before="0" w:after="0"/>
              <w:jc w:val="center"/>
              <w:rPr>
                <w:rFonts w:eastAsia="Calibri"/>
                <w:szCs w:val="20"/>
              </w:rPr>
            </w:pPr>
            <w:r w:rsidRPr="00915F0C">
              <w:rPr>
                <w:rFonts w:eastAsia="Calibri"/>
                <w:szCs w:val="20"/>
              </w:rPr>
              <w:t>27%</w:t>
            </w:r>
          </w:p>
        </w:tc>
      </w:tr>
      <w:tr w:rsidR="009E212B" w:rsidRPr="00CE28E3" w14:paraId="27EAE64A" w14:textId="77777777" w:rsidTr="00A57FE3">
        <w:trPr>
          <w:trHeight w:val="283"/>
        </w:trPr>
        <w:tc>
          <w:tcPr>
            <w:tcW w:w="1334" w:type="pct"/>
            <w:vMerge w:val="restart"/>
          </w:tcPr>
          <w:p w14:paraId="4D8745D0" w14:textId="77777777" w:rsidR="009E212B" w:rsidRPr="00C64B33" w:rsidRDefault="009E212B" w:rsidP="00AB704A">
            <w:pPr>
              <w:pStyle w:val="TableText"/>
              <w:keepNext/>
              <w:spacing w:before="0" w:after="0"/>
            </w:pPr>
            <w:r w:rsidRPr="00C64B33">
              <w:t>Procedural and recovery costs</w:t>
            </w:r>
          </w:p>
          <w:p w14:paraId="598E1487" w14:textId="77777777" w:rsidR="009E212B" w:rsidRPr="00C64B33" w:rsidRDefault="009E212B" w:rsidP="00AB704A">
            <w:pPr>
              <w:pStyle w:val="TableText"/>
              <w:keepNext/>
              <w:spacing w:before="0" w:after="0"/>
            </w:pPr>
            <w:r w:rsidRPr="00C64B33">
              <w:t>(revised base case $76,480.04)</w:t>
            </w:r>
          </w:p>
        </w:tc>
        <w:tc>
          <w:tcPr>
            <w:tcW w:w="944" w:type="pct"/>
          </w:tcPr>
          <w:p w14:paraId="3AB66253" w14:textId="77777777" w:rsidR="009E212B" w:rsidRPr="00C64B33" w:rsidRDefault="009E212B" w:rsidP="00AB704A">
            <w:pPr>
              <w:pStyle w:val="TableText"/>
              <w:keepNext/>
              <w:spacing w:before="0" w:after="0"/>
              <w:jc w:val="center"/>
              <w:rPr>
                <w:rFonts w:eastAsia="Calibri"/>
                <w:szCs w:val="20"/>
              </w:rPr>
            </w:pPr>
            <w:r w:rsidRPr="00C64B33">
              <w:rPr>
                <w:rFonts w:eastAsia="Calibri"/>
                <w:szCs w:val="20"/>
              </w:rPr>
              <w:t xml:space="preserve">$38,240.02 </w:t>
            </w:r>
          </w:p>
          <w:p w14:paraId="01E6D77C" w14:textId="77777777" w:rsidR="009E212B" w:rsidRPr="00C64B33" w:rsidRDefault="009E212B" w:rsidP="00AB704A">
            <w:pPr>
              <w:pStyle w:val="TableText"/>
              <w:keepNext/>
              <w:spacing w:before="0" w:after="0"/>
              <w:jc w:val="center"/>
              <w:rPr>
                <w:rFonts w:eastAsia="Calibri"/>
                <w:szCs w:val="20"/>
              </w:rPr>
            </w:pPr>
            <w:r w:rsidRPr="00C64B33">
              <w:t>(50% less than revised base case)</w:t>
            </w:r>
          </w:p>
        </w:tc>
        <w:tc>
          <w:tcPr>
            <w:tcW w:w="680" w:type="pct"/>
          </w:tcPr>
          <w:p w14:paraId="0FE54E8C" w14:textId="5A9CFB39" w:rsidR="009E212B" w:rsidRPr="0079297C" w:rsidRDefault="009E212B" w:rsidP="00AB704A">
            <w:pPr>
              <w:pStyle w:val="TableText"/>
              <w:keepNext/>
              <w:spacing w:before="0" w:after="0"/>
              <w:jc w:val="center"/>
              <w:rPr>
                <w:rFonts w:eastAsia="Calibri"/>
                <w:szCs w:val="20"/>
                <w:vertAlign w:val="superscript"/>
              </w:rPr>
            </w:pPr>
            <w:r w:rsidRPr="00C64B33">
              <w:rPr>
                <w:rFonts w:eastAsia="Calibri"/>
                <w:szCs w:val="20"/>
              </w:rPr>
              <w:t>$</w:t>
            </w:r>
            <w:r w:rsidR="004113A4">
              <w:rPr>
                <w:rFonts w:eastAsia="Calibri"/>
                <w:b/>
                <w:szCs w:val="20"/>
              </w:rPr>
              <w:t>redacted</w:t>
            </w:r>
            <w:r w:rsidR="004113A4" w:rsidRPr="00C64B33" w:rsidDel="004113A4">
              <w:rPr>
                <w:rFonts w:eastAsia="Calibri"/>
                <w:szCs w:val="20"/>
              </w:rPr>
              <w:t xml:space="preserve"> </w:t>
            </w:r>
            <w:r w:rsidR="00FB742C" w:rsidRPr="00C64B33">
              <w:rPr>
                <w:rFonts w:eastAsia="Calibri"/>
                <w:szCs w:val="20"/>
                <w:vertAlign w:val="superscript"/>
              </w:rPr>
              <w:t>f</w:t>
            </w:r>
          </w:p>
        </w:tc>
        <w:tc>
          <w:tcPr>
            <w:tcW w:w="656" w:type="pct"/>
          </w:tcPr>
          <w:p w14:paraId="6B030190" w14:textId="77777777" w:rsidR="009E212B" w:rsidRPr="00C64B33" w:rsidRDefault="009E212B" w:rsidP="00AB704A">
            <w:pPr>
              <w:pStyle w:val="TableText"/>
              <w:keepNext/>
              <w:spacing w:before="0" w:after="0"/>
              <w:jc w:val="center"/>
              <w:rPr>
                <w:rFonts w:eastAsia="Calibri"/>
                <w:szCs w:val="20"/>
              </w:rPr>
            </w:pPr>
            <w:r w:rsidRPr="00C64B33">
              <w:rPr>
                <w:rFonts w:eastAsia="Calibri"/>
                <w:szCs w:val="20"/>
              </w:rPr>
              <w:t>3.925</w:t>
            </w:r>
          </w:p>
        </w:tc>
        <w:tc>
          <w:tcPr>
            <w:tcW w:w="629" w:type="pct"/>
          </w:tcPr>
          <w:p w14:paraId="6D5FE4B3" w14:textId="535EB0FE" w:rsidR="009E212B" w:rsidRPr="0079297C" w:rsidRDefault="009E212B" w:rsidP="00AB704A">
            <w:pPr>
              <w:pStyle w:val="TableText"/>
              <w:keepNext/>
              <w:spacing w:before="0" w:after="0"/>
              <w:jc w:val="center"/>
              <w:rPr>
                <w:rFonts w:eastAsia="Calibri"/>
                <w:szCs w:val="20"/>
                <w:vertAlign w:val="superscript"/>
              </w:rPr>
            </w:pPr>
            <w:r w:rsidRPr="00C64B33">
              <w:rPr>
                <w:rFonts w:eastAsia="Calibri"/>
                <w:szCs w:val="20"/>
              </w:rPr>
              <w:t>$</w:t>
            </w:r>
            <w:proofErr w:type="spellStart"/>
            <w:r w:rsidR="004113A4">
              <w:rPr>
                <w:rFonts w:eastAsia="Calibri"/>
                <w:b/>
                <w:szCs w:val="20"/>
              </w:rPr>
              <w:t>redacted</w:t>
            </w:r>
            <w:r w:rsidR="00FB742C" w:rsidRPr="00C64B33">
              <w:rPr>
                <w:rFonts w:eastAsia="Calibri"/>
                <w:szCs w:val="20"/>
                <w:vertAlign w:val="superscript"/>
              </w:rPr>
              <w:t>f</w:t>
            </w:r>
            <w:proofErr w:type="spellEnd"/>
          </w:p>
        </w:tc>
        <w:tc>
          <w:tcPr>
            <w:tcW w:w="758" w:type="pct"/>
          </w:tcPr>
          <w:p w14:paraId="12D59CBE" w14:textId="77777777" w:rsidR="009E212B" w:rsidRDefault="009E212B" w:rsidP="00AB704A">
            <w:pPr>
              <w:pStyle w:val="TableText"/>
              <w:keepNext/>
              <w:spacing w:before="0" w:after="0"/>
              <w:jc w:val="center"/>
              <w:rPr>
                <w:rFonts w:eastAsia="Calibri"/>
                <w:szCs w:val="20"/>
              </w:rPr>
            </w:pPr>
            <w:r w:rsidRPr="00915F0C">
              <w:rPr>
                <w:rFonts w:eastAsia="Calibri"/>
                <w:szCs w:val="20"/>
              </w:rPr>
              <w:t>–17%</w:t>
            </w:r>
          </w:p>
        </w:tc>
      </w:tr>
      <w:tr w:rsidR="009E212B" w:rsidRPr="00CE28E3" w14:paraId="3F145AA2" w14:textId="77777777" w:rsidTr="00A57FE3">
        <w:trPr>
          <w:trHeight w:val="283"/>
        </w:trPr>
        <w:tc>
          <w:tcPr>
            <w:tcW w:w="1334" w:type="pct"/>
            <w:vMerge/>
          </w:tcPr>
          <w:p w14:paraId="7991605F" w14:textId="77777777" w:rsidR="009E212B" w:rsidRPr="00C64B33" w:rsidRDefault="009E212B" w:rsidP="00AB704A">
            <w:pPr>
              <w:pStyle w:val="TableText"/>
              <w:keepNext/>
              <w:spacing w:before="0" w:after="0"/>
            </w:pPr>
          </w:p>
        </w:tc>
        <w:tc>
          <w:tcPr>
            <w:tcW w:w="944" w:type="pct"/>
          </w:tcPr>
          <w:p w14:paraId="592B2541" w14:textId="77777777" w:rsidR="009E212B" w:rsidRPr="00C64B33" w:rsidRDefault="009E212B" w:rsidP="00AB704A">
            <w:pPr>
              <w:pStyle w:val="TableText"/>
              <w:keepNext/>
              <w:spacing w:before="0" w:after="0"/>
              <w:jc w:val="center"/>
              <w:rPr>
                <w:rFonts w:eastAsia="Calibri"/>
                <w:szCs w:val="20"/>
              </w:rPr>
            </w:pPr>
            <w:r w:rsidRPr="00C64B33">
              <w:rPr>
                <w:rFonts w:eastAsia="Calibri"/>
                <w:szCs w:val="20"/>
              </w:rPr>
              <w:t xml:space="preserve">$114,720.06 </w:t>
            </w:r>
          </w:p>
          <w:p w14:paraId="67411B7B" w14:textId="77777777" w:rsidR="009E212B" w:rsidRPr="00C64B33" w:rsidRDefault="009E212B" w:rsidP="00AB704A">
            <w:pPr>
              <w:pStyle w:val="TableText"/>
              <w:keepNext/>
              <w:spacing w:before="0" w:after="0"/>
              <w:jc w:val="center"/>
              <w:rPr>
                <w:rFonts w:eastAsia="Calibri"/>
                <w:szCs w:val="20"/>
              </w:rPr>
            </w:pPr>
            <w:r w:rsidRPr="00C64B33">
              <w:t>(50% more than revised base case)</w:t>
            </w:r>
          </w:p>
        </w:tc>
        <w:tc>
          <w:tcPr>
            <w:tcW w:w="680" w:type="pct"/>
          </w:tcPr>
          <w:p w14:paraId="47C83AF7" w14:textId="72B8E0B4" w:rsidR="009E212B" w:rsidRPr="0079297C" w:rsidRDefault="009E212B" w:rsidP="00AB704A">
            <w:pPr>
              <w:pStyle w:val="TableText"/>
              <w:keepNext/>
              <w:spacing w:before="0" w:after="0"/>
              <w:jc w:val="center"/>
              <w:rPr>
                <w:rFonts w:eastAsia="Calibri"/>
                <w:szCs w:val="20"/>
                <w:vertAlign w:val="superscript"/>
              </w:rPr>
            </w:pPr>
            <w:r w:rsidRPr="00C64B33">
              <w:rPr>
                <w:rFonts w:eastAsia="Calibri"/>
                <w:szCs w:val="20"/>
              </w:rPr>
              <w:t>$</w:t>
            </w:r>
            <w:r w:rsidR="004113A4">
              <w:rPr>
                <w:rFonts w:eastAsia="Calibri"/>
                <w:b/>
                <w:szCs w:val="20"/>
              </w:rPr>
              <w:t>redacted</w:t>
            </w:r>
            <w:r w:rsidR="004113A4" w:rsidRPr="00C64B33" w:rsidDel="004113A4">
              <w:rPr>
                <w:rFonts w:eastAsia="Calibri"/>
                <w:szCs w:val="20"/>
              </w:rPr>
              <w:t xml:space="preserve"> </w:t>
            </w:r>
            <w:r w:rsidR="00FB742C" w:rsidRPr="00C64B33">
              <w:rPr>
                <w:rFonts w:eastAsia="Calibri"/>
                <w:szCs w:val="20"/>
                <w:vertAlign w:val="superscript"/>
              </w:rPr>
              <w:t>f</w:t>
            </w:r>
          </w:p>
        </w:tc>
        <w:tc>
          <w:tcPr>
            <w:tcW w:w="656" w:type="pct"/>
          </w:tcPr>
          <w:p w14:paraId="678AE42E" w14:textId="77777777" w:rsidR="009E212B" w:rsidRPr="00C64B33" w:rsidRDefault="009E212B" w:rsidP="00AB704A">
            <w:pPr>
              <w:pStyle w:val="TableText"/>
              <w:keepNext/>
              <w:spacing w:before="0" w:after="0"/>
              <w:jc w:val="center"/>
              <w:rPr>
                <w:rFonts w:eastAsia="Calibri"/>
                <w:szCs w:val="20"/>
              </w:rPr>
            </w:pPr>
            <w:r w:rsidRPr="00C64B33">
              <w:rPr>
                <w:rFonts w:eastAsia="Calibri"/>
                <w:szCs w:val="20"/>
              </w:rPr>
              <w:t>3.925</w:t>
            </w:r>
          </w:p>
        </w:tc>
        <w:tc>
          <w:tcPr>
            <w:tcW w:w="629" w:type="pct"/>
          </w:tcPr>
          <w:p w14:paraId="5660995E" w14:textId="399150D4" w:rsidR="009E212B" w:rsidRPr="0079297C" w:rsidRDefault="009E212B" w:rsidP="00AB704A">
            <w:pPr>
              <w:pStyle w:val="TableText"/>
              <w:keepNext/>
              <w:spacing w:before="0" w:after="0"/>
              <w:jc w:val="center"/>
              <w:rPr>
                <w:rFonts w:eastAsia="Calibri"/>
                <w:szCs w:val="20"/>
                <w:vertAlign w:val="superscript"/>
              </w:rPr>
            </w:pPr>
            <w:r w:rsidRPr="00C64B33">
              <w:rPr>
                <w:rFonts w:eastAsia="Calibri"/>
                <w:szCs w:val="20"/>
              </w:rPr>
              <w:t>$</w:t>
            </w:r>
            <w:proofErr w:type="spellStart"/>
            <w:r w:rsidR="004113A4">
              <w:rPr>
                <w:rFonts w:eastAsia="Calibri"/>
                <w:b/>
                <w:szCs w:val="20"/>
              </w:rPr>
              <w:t>redacted</w:t>
            </w:r>
            <w:r w:rsidR="00FB742C" w:rsidRPr="00C64B33">
              <w:rPr>
                <w:rFonts w:eastAsia="Calibri"/>
                <w:szCs w:val="20"/>
                <w:vertAlign w:val="superscript"/>
              </w:rPr>
              <w:t>f</w:t>
            </w:r>
            <w:proofErr w:type="spellEnd"/>
          </w:p>
        </w:tc>
        <w:tc>
          <w:tcPr>
            <w:tcW w:w="758" w:type="pct"/>
          </w:tcPr>
          <w:p w14:paraId="52E89120" w14:textId="77777777" w:rsidR="009E212B" w:rsidRDefault="009E212B" w:rsidP="00AB704A">
            <w:pPr>
              <w:pStyle w:val="TableText"/>
              <w:keepNext/>
              <w:spacing w:before="0" w:after="0"/>
              <w:jc w:val="center"/>
              <w:rPr>
                <w:rFonts w:eastAsia="Calibri"/>
                <w:szCs w:val="20"/>
              </w:rPr>
            </w:pPr>
            <w:r w:rsidRPr="00915F0C">
              <w:rPr>
                <w:rFonts w:eastAsia="Calibri"/>
                <w:szCs w:val="20"/>
              </w:rPr>
              <w:t>18%</w:t>
            </w:r>
          </w:p>
        </w:tc>
      </w:tr>
      <w:tr w:rsidR="009E212B" w:rsidRPr="00CE28E3" w14:paraId="33F73079" w14:textId="77777777" w:rsidTr="00A57FE3">
        <w:trPr>
          <w:trHeight w:val="283"/>
        </w:trPr>
        <w:tc>
          <w:tcPr>
            <w:tcW w:w="1334" w:type="pct"/>
            <w:vMerge w:val="restart"/>
          </w:tcPr>
          <w:p w14:paraId="0AE5C2CF" w14:textId="649A8857" w:rsidR="009E212B" w:rsidRPr="003B68CB" w:rsidRDefault="009E212B" w:rsidP="00AB704A">
            <w:pPr>
              <w:pStyle w:val="TableText"/>
              <w:keepNext/>
              <w:spacing w:before="0" w:after="0"/>
              <w:rPr>
                <w:lang w:val="en-US"/>
              </w:rPr>
            </w:pPr>
            <w:r w:rsidRPr="003B68CB">
              <w:rPr>
                <w:lang w:val="en-US"/>
              </w:rPr>
              <w:t>Health state utility</w:t>
            </w:r>
          </w:p>
          <w:p w14:paraId="2B6F3D64" w14:textId="10FC266C" w:rsidR="009E212B" w:rsidRDefault="00596728" w:rsidP="00AB704A">
            <w:pPr>
              <w:pStyle w:val="TableText"/>
              <w:keepNext/>
              <w:spacing w:before="0" w:after="0"/>
              <w:rPr>
                <w:lang w:val="en-US"/>
              </w:rPr>
            </w:pPr>
            <w:r>
              <w:rPr>
                <w:lang w:val="en-US"/>
              </w:rPr>
              <w:t>L</w:t>
            </w:r>
            <w:r w:rsidR="00ED6CA5">
              <w:rPr>
                <w:lang w:val="en-US"/>
              </w:rPr>
              <w:t>VAD</w:t>
            </w:r>
            <w:r w:rsidR="009E212B" w:rsidRPr="003B68CB">
              <w:rPr>
                <w:lang w:val="en-US"/>
              </w:rPr>
              <w:t xml:space="preserve"> subsequent </w:t>
            </w:r>
            <w:r w:rsidR="009E212B">
              <w:rPr>
                <w:lang w:val="en-US"/>
              </w:rPr>
              <w:t>c</w:t>
            </w:r>
            <w:r w:rsidR="009E212B" w:rsidRPr="003B68CB">
              <w:rPr>
                <w:lang w:val="en-US"/>
              </w:rPr>
              <w:t>ycles</w:t>
            </w:r>
          </w:p>
          <w:p w14:paraId="6592F606" w14:textId="77777777" w:rsidR="009E212B" w:rsidRDefault="009E212B" w:rsidP="00AB704A">
            <w:pPr>
              <w:pStyle w:val="TableText"/>
              <w:keepNext/>
              <w:spacing w:before="0" w:after="0"/>
            </w:pPr>
            <w:r>
              <w:rPr>
                <w:lang w:val="en-US"/>
              </w:rPr>
              <w:t>(revised base case 0.79)</w:t>
            </w:r>
          </w:p>
        </w:tc>
        <w:tc>
          <w:tcPr>
            <w:tcW w:w="944" w:type="pct"/>
          </w:tcPr>
          <w:p w14:paraId="51F53612" w14:textId="77777777" w:rsidR="009E212B" w:rsidRPr="00B563B1" w:rsidRDefault="009E212B" w:rsidP="00AB704A">
            <w:pPr>
              <w:pStyle w:val="TableText"/>
              <w:keepNext/>
              <w:spacing w:before="0" w:after="0"/>
              <w:jc w:val="center"/>
              <w:rPr>
                <w:rFonts w:eastAsia="Calibri"/>
                <w:szCs w:val="20"/>
              </w:rPr>
            </w:pPr>
            <w:r>
              <w:rPr>
                <w:rFonts w:eastAsia="Calibri"/>
                <w:szCs w:val="20"/>
              </w:rPr>
              <w:t>0.59</w:t>
            </w:r>
          </w:p>
        </w:tc>
        <w:tc>
          <w:tcPr>
            <w:tcW w:w="680" w:type="pct"/>
          </w:tcPr>
          <w:p w14:paraId="47282DF9" w14:textId="16D69D2D" w:rsidR="009E212B" w:rsidRPr="00B563B1" w:rsidRDefault="009E212B" w:rsidP="00AB704A">
            <w:pPr>
              <w:pStyle w:val="TableText"/>
              <w:keepNext/>
              <w:spacing w:before="0" w:after="0"/>
              <w:jc w:val="center"/>
              <w:rPr>
                <w:rFonts w:eastAsia="Calibri"/>
                <w:szCs w:val="20"/>
              </w:rPr>
            </w:pPr>
            <w:r w:rsidRPr="003B68CB">
              <w:rPr>
                <w:rFonts w:eastAsia="Calibri"/>
                <w:szCs w:val="20"/>
              </w:rPr>
              <w:t>$</w:t>
            </w:r>
            <w:r w:rsidR="004113A4">
              <w:rPr>
                <w:rFonts w:eastAsia="Calibri"/>
                <w:b/>
                <w:szCs w:val="20"/>
              </w:rPr>
              <w:t>redacted</w:t>
            </w:r>
          </w:p>
        </w:tc>
        <w:tc>
          <w:tcPr>
            <w:tcW w:w="656" w:type="pct"/>
          </w:tcPr>
          <w:p w14:paraId="6B7896B3" w14:textId="19ADF996" w:rsidR="009E212B" w:rsidRPr="0079297C" w:rsidRDefault="009E212B" w:rsidP="00AB704A">
            <w:pPr>
              <w:pStyle w:val="TableText"/>
              <w:keepNext/>
              <w:spacing w:before="0" w:after="0"/>
              <w:jc w:val="center"/>
              <w:rPr>
                <w:rFonts w:eastAsia="Calibri"/>
                <w:szCs w:val="20"/>
                <w:vertAlign w:val="superscript"/>
              </w:rPr>
            </w:pPr>
            <w:r w:rsidRPr="003B68CB">
              <w:rPr>
                <w:rFonts w:eastAsia="Calibri"/>
                <w:szCs w:val="20"/>
              </w:rPr>
              <w:t>2.857</w:t>
            </w:r>
            <w:r w:rsidR="00820F4F">
              <w:rPr>
                <w:rFonts w:eastAsia="Calibri"/>
                <w:szCs w:val="20"/>
                <w:vertAlign w:val="superscript"/>
              </w:rPr>
              <w:t>f</w:t>
            </w:r>
          </w:p>
        </w:tc>
        <w:tc>
          <w:tcPr>
            <w:tcW w:w="629" w:type="pct"/>
          </w:tcPr>
          <w:p w14:paraId="0C3A4ACA" w14:textId="425877C0" w:rsidR="009E212B" w:rsidRPr="0079297C" w:rsidRDefault="009E212B" w:rsidP="00AB704A">
            <w:pPr>
              <w:pStyle w:val="TableText"/>
              <w:keepNext/>
              <w:spacing w:before="0" w:after="0"/>
              <w:jc w:val="center"/>
              <w:rPr>
                <w:rFonts w:eastAsia="Calibri"/>
                <w:szCs w:val="20"/>
                <w:vertAlign w:val="superscript"/>
              </w:rPr>
            </w:pPr>
            <w:r w:rsidRPr="003B68CB">
              <w:rPr>
                <w:rFonts w:eastAsia="Calibri"/>
                <w:szCs w:val="20"/>
              </w:rPr>
              <w:t>$</w:t>
            </w:r>
            <w:proofErr w:type="spellStart"/>
            <w:r w:rsidR="004113A4">
              <w:rPr>
                <w:rFonts w:eastAsia="Calibri"/>
                <w:b/>
                <w:szCs w:val="20"/>
              </w:rPr>
              <w:t>redacted</w:t>
            </w:r>
            <w:r w:rsidR="00820F4F">
              <w:rPr>
                <w:rFonts w:eastAsia="Calibri"/>
                <w:szCs w:val="20"/>
                <w:vertAlign w:val="superscript"/>
              </w:rPr>
              <w:t>f</w:t>
            </w:r>
            <w:proofErr w:type="spellEnd"/>
          </w:p>
        </w:tc>
        <w:tc>
          <w:tcPr>
            <w:tcW w:w="758" w:type="pct"/>
          </w:tcPr>
          <w:p w14:paraId="3353E14E" w14:textId="77777777" w:rsidR="009E212B" w:rsidRDefault="009E212B" w:rsidP="00AB704A">
            <w:pPr>
              <w:pStyle w:val="TableText"/>
              <w:keepNext/>
              <w:spacing w:before="0" w:after="0"/>
              <w:jc w:val="center"/>
              <w:rPr>
                <w:rFonts w:eastAsia="Calibri"/>
                <w:szCs w:val="20"/>
              </w:rPr>
            </w:pPr>
            <w:r w:rsidRPr="003B68CB">
              <w:rPr>
                <w:rFonts w:eastAsia="Calibri"/>
                <w:szCs w:val="20"/>
              </w:rPr>
              <w:t>37%</w:t>
            </w:r>
          </w:p>
        </w:tc>
      </w:tr>
      <w:tr w:rsidR="009E212B" w:rsidRPr="00CE28E3" w14:paraId="60223B65" w14:textId="77777777" w:rsidTr="00A57FE3">
        <w:trPr>
          <w:trHeight w:val="283"/>
        </w:trPr>
        <w:tc>
          <w:tcPr>
            <w:tcW w:w="1334" w:type="pct"/>
            <w:vMerge/>
          </w:tcPr>
          <w:p w14:paraId="2D0B6235" w14:textId="77777777" w:rsidR="009E212B" w:rsidRDefault="009E212B" w:rsidP="00AB704A">
            <w:pPr>
              <w:pStyle w:val="TableText"/>
              <w:keepNext/>
              <w:spacing w:before="0" w:after="0"/>
            </w:pPr>
          </w:p>
        </w:tc>
        <w:tc>
          <w:tcPr>
            <w:tcW w:w="944" w:type="pct"/>
          </w:tcPr>
          <w:p w14:paraId="28C35356" w14:textId="77777777" w:rsidR="009E212B" w:rsidRPr="00B563B1" w:rsidRDefault="009E212B" w:rsidP="00AB704A">
            <w:pPr>
              <w:pStyle w:val="TableText"/>
              <w:keepNext/>
              <w:spacing w:before="0" w:after="0"/>
              <w:jc w:val="center"/>
              <w:rPr>
                <w:rFonts w:eastAsia="Calibri"/>
                <w:szCs w:val="20"/>
              </w:rPr>
            </w:pPr>
            <w:r>
              <w:rPr>
                <w:rFonts w:eastAsia="Calibri"/>
                <w:szCs w:val="20"/>
              </w:rPr>
              <w:t>0.99</w:t>
            </w:r>
          </w:p>
        </w:tc>
        <w:tc>
          <w:tcPr>
            <w:tcW w:w="680" w:type="pct"/>
          </w:tcPr>
          <w:p w14:paraId="6860DA0A" w14:textId="56F6E7A0" w:rsidR="009E212B" w:rsidRPr="00B563B1" w:rsidRDefault="009E212B" w:rsidP="00AB704A">
            <w:pPr>
              <w:pStyle w:val="TableText"/>
              <w:keepNext/>
              <w:spacing w:before="0" w:after="0"/>
              <w:jc w:val="center"/>
              <w:rPr>
                <w:rFonts w:eastAsia="Calibri"/>
                <w:szCs w:val="20"/>
              </w:rPr>
            </w:pPr>
            <w:r w:rsidRPr="003B68CB">
              <w:rPr>
                <w:rFonts w:eastAsia="Calibri"/>
                <w:szCs w:val="20"/>
              </w:rPr>
              <w:t>$</w:t>
            </w:r>
            <w:r w:rsidR="004113A4">
              <w:rPr>
                <w:rFonts w:eastAsia="Calibri"/>
                <w:b/>
                <w:szCs w:val="20"/>
              </w:rPr>
              <w:t>redacted</w:t>
            </w:r>
          </w:p>
        </w:tc>
        <w:tc>
          <w:tcPr>
            <w:tcW w:w="656" w:type="pct"/>
          </w:tcPr>
          <w:p w14:paraId="66999CA1" w14:textId="67FB8D14" w:rsidR="009E212B" w:rsidRPr="0079297C" w:rsidRDefault="009E212B" w:rsidP="00AB704A">
            <w:pPr>
              <w:pStyle w:val="TableText"/>
              <w:keepNext/>
              <w:spacing w:before="0" w:after="0"/>
              <w:jc w:val="center"/>
              <w:rPr>
                <w:rFonts w:eastAsia="Calibri"/>
                <w:szCs w:val="20"/>
                <w:vertAlign w:val="superscript"/>
              </w:rPr>
            </w:pPr>
            <w:r w:rsidRPr="003B68CB">
              <w:rPr>
                <w:rFonts w:eastAsia="Calibri"/>
                <w:szCs w:val="20"/>
              </w:rPr>
              <w:t>4.993</w:t>
            </w:r>
            <w:r w:rsidR="00820F4F">
              <w:rPr>
                <w:rFonts w:eastAsia="Calibri"/>
                <w:szCs w:val="20"/>
                <w:vertAlign w:val="superscript"/>
              </w:rPr>
              <w:t>f</w:t>
            </w:r>
          </w:p>
        </w:tc>
        <w:tc>
          <w:tcPr>
            <w:tcW w:w="629" w:type="pct"/>
          </w:tcPr>
          <w:p w14:paraId="2E1AB504" w14:textId="5920CE06" w:rsidR="009E212B" w:rsidRPr="0079297C" w:rsidRDefault="009E212B" w:rsidP="00AB704A">
            <w:pPr>
              <w:pStyle w:val="TableText"/>
              <w:keepNext/>
              <w:spacing w:before="0" w:after="0"/>
              <w:jc w:val="center"/>
              <w:rPr>
                <w:rFonts w:eastAsia="Calibri"/>
                <w:szCs w:val="20"/>
                <w:vertAlign w:val="superscript"/>
              </w:rPr>
            </w:pPr>
            <w:r w:rsidRPr="003B68CB">
              <w:rPr>
                <w:rFonts w:eastAsia="Calibri"/>
                <w:szCs w:val="20"/>
              </w:rPr>
              <w:t>$</w:t>
            </w:r>
            <w:proofErr w:type="spellStart"/>
            <w:r w:rsidR="004113A4">
              <w:rPr>
                <w:rFonts w:eastAsia="Calibri"/>
                <w:b/>
                <w:szCs w:val="20"/>
              </w:rPr>
              <w:t>redacted</w:t>
            </w:r>
            <w:r w:rsidR="00820F4F">
              <w:rPr>
                <w:rFonts w:eastAsia="Calibri"/>
                <w:szCs w:val="20"/>
                <w:vertAlign w:val="superscript"/>
              </w:rPr>
              <w:t>f</w:t>
            </w:r>
            <w:proofErr w:type="spellEnd"/>
          </w:p>
        </w:tc>
        <w:tc>
          <w:tcPr>
            <w:tcW w:w="758" w:type="pct"/>
          </w:tcPr>
          <w:p w14:paraId="519F1CD7" w14:textId="77777777" w:rsidR="009E212B" w:rsidRDefault="009E212B" w:rsidP="00AB704A">
            <w:pPr>
              <w:pStyle w:val="TableText"/>
              <w:keepNext/>
              <w:spacing w:before="0" w:after="0"/>
              <w:jc w:val="center"/>
              <w:rPr>
                <w:rFonts w:eastAsia="Calibri"/>
                <w:szCs w:val="20"/>
              </w:rPr>
            </w:pPr>
            <w:r w:rsidRPr="003B68CB">
              <w:rPr>
                <w:rFonts w:eastAsia="Calibri"/>
                <w:szCs w:val="20"/>
              </w:rPr>
              <w:t>–21%</w:t>
            </w:r>
          </w:p>
        </w:tc>
      </w:tr>
      <w:tr w:rsidR="009E212B" w:rsidRPr="00CE28E3" w14:paraId="64A6C999" w14:textId="77777777">
        <w:trPr>
          <w:trHeight w:val="283"/>
        </w:trPr>
        <w:tc>
          <w:tcPr>
            <w:tcW w:w="5000" w:type="pct"/>
            <w:gridSpan w:val="6"/>
          </w:tcPr>
          <w:p w14:paraId="1C4D82FC" w14:textId="77777777" w:rsidR="009E212B" w:rsidRPr="00C72928" w:rsidRDefault="009E212B" w:rsidP="00AB704A">
            <w:pPr>
              <w:pStyle w:val="TableText"/>
              <w:keepNext/>
              <w:spacing w:before="0" w:after="0"/>
              <w:rPr>
                <w:rFonts w:eastAsia="Calibri"/>
                <w:b/>
                <w:bCs/>
                <w:i/>
                <w:iCs/>
                <w:szCs w:val="20"/>
              </w:rPr>
            </w:pPr>
            <w:r w:rsidRPr="00C72928">
              <w:rPr>
                <w:b/>
                <w:bCs/>
                <w:i/>
                <w:iCs/>
              </w:rPr>
              <w:t>Sensitivity analysis performed by the commentary</w:t>
            </w:r>
          </w:p>
        </w:tc>
      </w:tr>
      <w:tr w:rsidR="009E212B" w:rsidRPr="00CE28E3" w14:paraId="6918A4B8" w14:textId="77777777">
        <w:trPr>
          <w:trHeight w:val="283"/>
        </w:trPr>
        <w:tc>
          <w:tcPr>
            <w:tcW w:w="5000" w:type="pct"/>
            <w:gridSpan w:val="6"/>
          </w:tcPr>
          <w:p w14:paraId="6D90DA6E" w14:textId="77777777" w:rsidR="009E212B" w:rsidRPr="00C72928" w:rsidRDefault="009E212B" w:rsidP="00AB704A">
            <w:pPr>
              <w:pStyle w:val="TableText"/>
              <w:keepNext/>
              <w:spacing w:before="0" w:after="0"/>
              <w:rPr>
                <w:rFonts w:eastAsia="Calibri"/>
                <w:b/>
                <w:bCs/>
                <w:i/>
                <w:iCs/>
                <w:szCs w:val="20"/>
              </w:rPr>
            </w:pPr>
            <w:r w:rsidRPr="00C72928">
              <w:rPr>
                <w:b/>
                <w:bCs/>
                <w:i/>
                <w:iCs/>
              </w:rPr>
              <w:t>Univariate analysis</w:t>
            </w:r>
          </w:p>
        </w:tc>
      </w:tr>
      <w:tr w:rsidR="009E212B" w:rsidRPr="00CE28E3" w14:paraId="500CEFA4" w14:textId="77777777" w:rsidTr="00A57FE3">
        <w:trPr>
          <w:trHeight w:val="283"/>
        </w:trPr>
        <w:tc>
          <w:tcPr>
            <w:tcW w:w="1334" w:type="pct"/>
            <w:vMerge w:val="restart"/>
          </w:tcPr>
          <w:p w14:paraId="7174234C" w14:textId="77777777" w:rsidR="009E212B" w:rsidRPr="00AC0AE6" w:rsidRDefault="009E212B" w:rsidP="00AB704A">
            <w:pPr>
              <w:pStyle w:val="TableText"/>
              <w:keepNext/>
              <w:spacing w:before="0" w:after="0"/>
              <w:rPr>
                <w:i/>
                <w:iCs/>
                <w:vertAlign w:val="superscript"/>
              </w:rPr>
            </w:pPr>
            <w:r w:rsidRPr="00AC0AE6">
              <w:rPr>
                <w:i/>
                <w:iCs/>
              </w:rPr>
              <w:t xml:space="preserve">Patient Support Kit </w:t>
            </w:r>
            <w:proofErr w:type="spellStart"/>
            <w:r w:rsidRPr="00AC0AE6">
              <w:rPr>
                <w:i/>
                <w:iCs/>
              </w:rPr>
              <w:t>Bundle</w:t>
            </w:r>
            <w:r w:rsidRPr="00AC0AE6">
              <w:rPr>
                <w:i/>
                <w:iCs/>
                <w:vertAlign w:val="superscript"/>
              </w:rPr>
              <w:t>a</w:t>
            </w:r>
            <w:proofErr w:type="spellEnd"/>
          </w:p>
          <w:p w14:paraId="0F7B0F80" w14:textId="5A8CA168" w:rsidR="009E212B" w:rsidRPr="00AC0AE6" w:rsidRDefault="009E212B" w:rsidP="00AB704A">
            <w:pPr>
              <w:pStyle w:val="TableText"/>
              <w:keepNext/>
              <w:spacing w:before="0" w:after="0"/>
              <w:rPr>
                <w:i/>
                <w:iCs/>
              </w:rPr>
            </w:pPr>
            <w:r w:rsidRPr="00AC0AE6">
              <w:rPr>
                <w:i/>
                <w:iCs/>
              </w:rPr>
              <w:t>(revised base case $</w:t>
            </w:r>
            <w:proofErr w:type="gramStart"/>
            <w:r w:rsidR="00932DD9" w:rsidRPr="00932DD9">
              <w:rPr>
                <w:b/>
                <w:bCs/>
                <w:i/>
                <w:iCs/>
              </w:rPr>
              <w:t>redacted</w:t>
            </w:r>
            <w:r w:rsidR="00932DD9" w:rsidRPr="00AC0AE6" w:rsidDel="00932DD9">
              <w:rPr>
                <w:i/>
                <w:iCs/>
              </w:rPr>
              <w:t xml:space="preserve"> </w:t>
            </w:r>
            <w:r w:rsidRPr="00AC0AE6">
              <w:rPr>
                <w:i/>
                <w:iCs/>
              </w:rPr>
              <w:t>)</w:t>
            </w:r>
            <w:proofErr w:type="gramEnd"/>
          </w:p>
        </w:tc>
        <w:tc>
          <w:tcPr>
            <w:tcW w:w="944" w:type="pct"/>
          </w:tcPr>
          <w:p w14:paraId="7F0E62C2" w14:textId="6018FBD4" w:rsidR="009E212B" w:rsidRPr="00AC0AE6" w:rsidRDefault="009E212B" w:rsidP="00AB704A">
            <w:pPr>
              <w:pStyle w:val="TableText"/>
              <w:keepNext/>
              <w:spacing w:before="0" w:after="0"/>
              <w:jc w:val="center"/>
              <w:rPr>
                <w:rFonts w:eastAsia="Calibri"/>
                <w:i/>
                <w:iCs/>
                <w:szCs w:val="20"/>
              </w:rPr>
            </w:pPr>
            <w:r>
              <w:rPr>
                <w:rFonts w:eastAsia="Calibri"/>
                <w:i/>
                <w:iCs/>
                <w:szCs w:val="20"/>
              </w:rPr>
              <w:t>$</w:t>
            </w:r>
            <w:r w:rsidR="00932DD9" w:rsidRPr="00932DD9">
              <w:rPr>
                <w:b/>
                <w:bCs/>
                <w:i/>
                <w:iCs/>
              </w:rPr>
              <w:t>redacted</w:t>
            </w:r>
            <w:r w:rsidR="00932DD9" w:rsidDel="00932DD9">
              <w:rPr>
                <w:rFonts w:eastAsia="Calibri"/>
                <w:i/>
                <w:iCs/>
                <w:szCs w:val="20"/>
              </w:rPr>
              <w:t xml:space="preserve"> </w:t>
            </w:r>
          </w:p>
        </w:tc>
        <w:tc>
          <w:tcPr>
            <w:tcW w:w="680" w:type="pct"/>
          </w:tcPr>
          <w:p w14:paraId="65EFB4B2" w14:textId="3981E72E" w:rsidR="009E212B" w:rsidRPr="00AC0AE6" w:rsidRDefault="009E212B" w:rsidP="00AB704A">
            <w:pPr>
              <w:pStyle w:val="TableText"/>
              <w:keepNext/>
              <w:spacing w:before="0" w:after="0"/>
              <w:jc w:val="center"/>
              <w:rPr>
                <w:rFonts w:eastAsia="Calibri"/>
                <w:i/>
                <w:iCs/>
                <w:szCs w:val="20"/>
              </w:rPr>
            </w:pPr>
            <w:r>
              <w:rPr>
                <w:rFonts w:eastAsia="Calibri"/>
                <w:i/>
                <w:iCs/>
                <w:szCs w:val="20"/>
              </w:rPr>
              <w:t>$</w:t>
            </w:r>
            <w:r w:rsidR="004113A4" w:rsidRPr="004113A4">
              <w:rPr>
                <w:rFonts w:eastAsia="Calibri"/>
                <w:b/>
                <w:i/>
                <w:iCs/>
                <w:szCs w:val="20"/>
              </w:rPr>
              <w:t>redacted</w:t>
            </w:r>
            <w:r w:rsidR="004113A4" w:rsidDel="004113A4">
              <w:rPr>
                <w:rFonts w:eastAsia="Calibri"/>
                <w:i/>
                <w:iCs/>
                <w:szCs w:val="20"/>
              </w:rPr>
              <w:t xml:space="preserve"> </w:t>
            </w:r>
          </w:p>
        </w:tc>
        <w:tc>
          <w:tcPr>
            <w:tcW w:w="656" w:type="pct"/>
          </w:tcPr>
          <w:p w14:paraId="37F3F332" w14:textId="77777777" w:rsidR="009E212B" w:rsidRPr="00AC0AE6" w:rsidRDefault="009E212B" w:rsidP="00AB704A">
            <w:pPr>
              <w:pStyle w:val="TableText"/>
              <w:keepNext/>
              <w:spacing w:before="0" w:after="0"/>
              <w:jc w:val="center"/>
              <w:rPr>
                <w:rFonts w:eastAsia="Calibri"/>
                <w:i/>
                <w:iCs/>
                <w:szCs w:val="20"/>
              </w:rPr>
            </w:pPr>
            <w:r>
              <w:rPr>
                <w:rFonts w:eastAsia="Calibri"/>
                <w:i/>
                <w:iCs/>
                <w:szCs w:val="20"/>
              </w:rPr>
              <w:t>3.925</w:t>
            </w:r>
          </w:p>
        </w:tc>
        <w:tc>
          <w:tcPr>
            <w:tcW w:w="629" w:type="pct"/>
          </w:tcPr>
          <w:p w14:paraId="24C59989" w14:textId="478EB085" w:rsidR="009E212B" w:rsidRPr="00AC0AE6" w:rsidRDefault="009E212B" w:rsidP="00AB704A">
            <w:pPr>
              <w:pStyle w:val="TableText"/>
              <w:keepNext/>
              <w:spacing w:before="0" w:after="0"/>
              <w:jc w:val="center"/>
              <w:rPr>
                <w:rFonts w:eastAsia="Calibri"/>
                <w:i/>
                <w:iCs/>
                <w:szCs w:val="20"/>
              </w:rPr>
            </w:pPr>
            <w:r>
              <w:rPr>
                <w:rFonts w:eastAsia="Calibri"/>
                <w:i/>
                <w:iCs/>
                <w:szCs w:val="20"/>
              </w:rPr>
              <w:t>$</w:t>
            </w:r>
            <w:r w:rsidR="004113A4">
              <w:rPr>
                <w:rFonts w:eastAsia="Calibri"/>
                <w:b/>
                <w:szCs w:val="20"/>
              </w:rPr>
              <w:t>r</w:t>
            </w:r>
            <w:r w:rsidR="004113A4" w:rsidRPr="00D57292">
              <w:rPr>
                <w:rFonts w:eastAsia="Calibri"/>
                <w:b/>
                <w:i/>
                <w:iCs/>
                <w:szCs w:val="20"/>
              </w:rPr>
              <w:t>edacted</w:t>
            </w:r>
          </w:p>
        </w:tc>
        <w:tc>
          <w:tcPr>
            <w:tcW w:w="758" w:type="pct"/>
          </w:tcPr>
          <w:p w14:paraId="4B9FE47A" w14:textId="77777777" w:rsidR="009E212B" w:rsidRPr="00AC0AE6" w:rsidRDefault="009E212B" w:rsidP="00AB704A">
            <w:pPr>
              <w:pStyle w:val="TableText"/>
              <w:keepNext/>
              <w:spacing w:before="0" w:after="0"/>
              <w:jc w:val="center"/>
              <w:rPr>
                <w:rFonts w:eastAsia="Calibri"/>
                <w:i/>
                <w:iCs/>
                <w:szCs w:val="20"/>
              </w:rPr>
            </w:pPr>
            <w:r>
              <w:rPr>
                <w:rFonts w:eastAsia="Calibri"/>
                <w:i/>
                <w:iCs/>
                <w:szCs w:val="20"/>
              </w:rPr>
              <w:t>-5%</w:t>
            </w:r>
          </w:p>
        </w:tc>
      </w:tr>
      <w:tr w:rsidR="009E212B" w:rsidRPr="00CE28E3" w14:paraId="0E234176" w14:textId="77777777" w:rsidTr="00A57FE3">
        <w:trPr>
          <w:trHeight w:val="283"/>
        </w:trPr>
        <w:tc>
          <w:tcPr>
            <w:tcW w:w="1334" w:type="pct"/>
            <w:vMerge/>
          </w:tcPr>
          <w:p w14:paraId="1B523FD2" w14:textId="77777777" w:rsidR="009E212B" w:rsidRPr="00AC0AE6" w:rsidRDefault="009E212B" w:rsidP="00AB704A">
            <w:pPr>
              <w:pStyle w:val="TableText"/>
              <w:keepNext/>
              <w:spacing w:before="0" w:after="0"/>
              <w:rPr>
                <w:i/>
                <w:iCs/>
              </w:rPr>
            </w:pPr>
          </w:p>
        </w:tc>
        <w:tc>
          <w:tcPr>
            <w:tcW w:w="944" w:type="pct"/>
          </w:tcPr>
          <w:p w14:paraId="3D671B94" w14:textId="4816ABDE" w:rsidR="009E212B" w:rsidRPr="00AC0AE6" w:rsidRDefault="009E212B" w:rsidP="00AB704A">
            <w:pPr>
              <w:pStyle w:val="TableText"/>
              <w:keepNext/>
              <w:spacing w:before="0" w:after="0"/>
              <w:jc w:val="center"/>
              <w:rPr>
                <w:rFonts w:eastAsia="Calibri"/>
                <w:i/>
                <w:iCs/>
                <w:szCs w:val="20"/>
              </w:rPr>
            </w:pPr>
            <w:r>
              <w:rPr>
                <w:rFonts w:eastAsia="Calibri"/>
                <w:i/>
                <w:iCs/>
                <w:szCs w:val="20"/>
              </w:rPr>
              <w:t>$</w:t>
            </w:r>
            <w:r w:rsidR="00932DD9" w:rsidRPr="00932DD9">
              <w:rPr>
                <w:b/>
                <w:bCs/>
                <w:i/>
                <w:iCs/>
              </w:rPr>
              <w:t>redacted</w:t>
            </w:r>
            <w:r w:rsidR="00932DD9" w:rsidDel="00932DD9">
              <w:rPr>
                <w:rFonts w:eastAsia="Calibri"/>
                <w:i/>
                <w:iCs/>
                <w:szCs w:val="20"/>
              </w:rPr>
              <w:t xml:space="preserve"> </w:t>
            </w:r>
          </w:p>
        </w:tc>
        <w:tc>
          <w:tcPr>
            <w:tcW w:w="680" w:type="pct"/>
          </w:tcPr>
          <w:p w14:paraId="3799D0C3" w14:textId="28CC3D6A" w:rsidR="009E212B" w:rsidRPr="00AC0AE6" w:rsidRDefault="009E212B" w:rsidP="00AB704A">
            <w:pPr>
              <w:pStyle w:val="TableText"/>
              <w:keepNext/>
              <w:spacing w:before="0" w:after="0"/>
              <w:jc w:val="center"/>
              <w:rPr>
                <w:rFonts w:eastAsia="Calibri"/>
                <w:i/>
                <w:iCs/>
                <w:szCs w:val="20"/>
              </w:rPr>
            </w:pPr>
            <w:r>
              <w:rPr>
                <w:rFonts w:eastAsia="Calibri"/>
                <w:i/>
                <w:iCs/>
                <w:szCs w:val="20"/>
              </w:rPr>
              <w:t>$</w:t>
            </w:r>
            <w:r w:rsidR="004113A4" w:rsidRPr="004113A4">
              <w:rPr>
                <w:rFonts w:eastAsia="Calibri"/>
                <w:b/>
                <w:i/>
                <w:iCs/>
                <w:szCs w:val="20"/>
              </w:rPr>
              <w:t>redacted</w:t>
            </w:r>
          </w:p>
        </w:tc>
        <w:tc>
          <w:tcPr>
            <w:tcW w:w="656" w:type="pct"/>
          </w:tcPr>
          <w:p w14:paraId="22EA9412" w14:textId="77777777" w:rsidR="009E212B" w:rsidRPr="00AC0AE6" w:rsidRDefault="009E212B" w:rsidP="00AB704A">
            <w:pPr>
              <w:pStyle w:val="TableText"/>
              <w:keepNext/>
              <w:spacing w:before="0" w:after="0"/>
              <w:jc w:val="center"/>
              <w:rPr>
                <w:rFonts w:eastAsia="Calibri"/>
                <w:i/>
                <w:iCs/>
                <w:szCs w:val="20"/>
              </w:rPr>
            </w:pPr>
            <w:r>
              <w:rPr>
                <w:rFonts w:eastAsia="Calibri"/>
                <w:i/>
                <w:iCs/>
                <w:szCs w:val="20"/>
              </w:rPr>
              <w:t>3.925</w:t>
            </w:r>
          </w:p>
        </w:tc>
        <w:tc>
          <w:tcPr>
            <w:tcW w:w="629" w:type="pct"/>
          </w:tcPr>
          <w:p w14:paraId="1C3F381B" w14:textId="38EEC6D7" w:rsidR="009E212B" w:rsidRPr="00AC0AE6" w:rsidRDefault="009E212B" w:rsidP="00AB704A">
            <w:pPr>
              <w:pStyle w:val="TableText"/>
              <w:keepNext/>
              <w:spacing w:before="0" w:after="0"/>
              <w:jc w:val="center"/>
              <w:rPr>
                <w:rFonts w:eastAsia="Calibri"/>
                <w:i/>
                <w:iCs/>
                <w:szCs w:val="20"/>
              </w:rPr>
            </w:pPr>
            <w:r>
              <w:rPr>
                <w:rFonts w:eastAsia="Calibri"/>
                <w:i/>
                <w:iCs/>
                <w:szCs w:val="20"/>
              </w:rPr>
              <w:t>$</w:t>
            </w:r>
            <w:r w:rsidR="004113A4" w:rsidRPr="00D57292">
              <w:rPr>
                <w:rFonts w:eastAsia="Calibri"/>
                <w:b/>
                <w:i/>
                <w:iCs/>
                <w:szCs w:val="20"/>
              </w:rPr>
              <w:t>redacted</w:t>
            </w:r>
          </w:p>
        </w:tc>
        <w:tc>
          <w:tcPr>
            <w:tcW w:w="758" w:type="pct"/>
          </w:tcPr>
          <w:p w14:paraId="405814D0" w14:textId="1BD3BD19" w:rsidR="009E212B" w:rsidRPr="00AC0AE6" w:rsidRDefault="009E212B" w:rsidP="00AB704A">
            <w:pPr>
              <w:pStyle w:val="TableText"/>
              <w:keepNext/>
              <w:spacing w:before="0" w:after="0"/>
              <w:jc w:val="center"/>
              <w:rPr>
                <w:rFonts w:eastAsia="Calibri"/>
                <w:i/>
                <w:iCs/>
                <w:szCs w:val="20"/>
              </w:rPr>
            </w:pPr>
            <w:r>
              <w:rPr>
                <w:rFonts w:eastAsia="Calibri"/>
                <w:i/>
                <w:iCs/>
                <w:szCs w:val="20"/>
              </w:rPr>
              <w:t>-1</w:t>
            </w:r>
            <w:r w:rsidR="00FE2AF6">
              <w:rPr>
                <w:rFonts w:eastAsia="Calibri"/>
                <w:i/>
                <w:iCs/>
                <w:szCs w:val="20"/>
              </w:rPr>
              <w:t>0</w:t>
            </w:r>
            <w:r>
              <w:rPr>
                <w:rFonts w:eastAsia="Calibri"/>
                <w:i/>
                <w:iCs/>
                <w:szCs w:val="20"/>
              </w:rPr>
              <w:t>%</w:t>
            </w:r>
          </w:p>
        </w:tc>
      </w:tr>
      <w:tr w:rsidR="009E212B" w:rsidRPr="00CE28E3" w14:paraId="0B1F3961" w14:textId="77777777" w:rsidTr="00A57FE3">
        <w:trPr>
          <w:trHeight w:val="283"/>
        </w:trPr>
        <w:tc>
          <w:tcPr>
            <w:tcW w:w="1334" w:type="pct"/>
            <w:vMerge w:val="restart"/>
          </w:tcPr>
          <w:p w14:paraId="799313CC" w14:textId="77777777" w:rsidR="009E212B" w:rsidRPr="00AC0AE6" w:rsidRDefault="009E212B" w:rsidP="00AB704A">
            <w:pPr>
              <w:pStyle w:val="TableText"/>
              <w:keepNext/>
              <w:spacing w:before="0" w:after="0"/>
              <w:rPr>
                <w:i/>
                <w:iCs/>
              </w:rPr>
            </w:pPr>
            <w:r w:rsidRPr="001B2EC7">
              <w:rPr>
                <w:i/>
                <w:iCs/>
              </w:rPr>
              <w:t>Annual risk of device replacement</w:t>
            </w:r>
            <w:r>
              <w:rPr>
                <w:i/>
                <w:iCs/>
              </w:rPr>
              <w:t xml:space="preserve"> in </w:t>
            </w:r>
            <w:r w:rsidRPr="001B2EC7">
              <w:rPr>
                <w:i/>
                <w:iCs/>
              </w:rPr>
              <w:t xml:space="preserve">Years 2+ </w:t>
            </w:r>
            <w:r>
              <w:rPr>
                <w:i/>
                <w:iCs/>
              </w:rPr>
              <w:t xml:space="preserve">(revised base case </w:t>
            </w:r>
            <w:r w:rsidRPr="001B2EC7">
              <w:rPr>
                <w:i/>
                <w:iCs/>
              </w:rPr>
              <w:t>0.0</w:t>
            </w:r>
            <w:r>
              <w:rPr>
                <w:i/>
                <w:iCs/>
              </w:rPr>
              <w:t>11)</w:t>
            </w:r>
          </w:p>
        </w:tc>
        <w:tc>
          <w:tcPr>
            <w:tcW w:w="944" w:type="pct"/>
          </w:tcPr>
          <w:p w14:paraId="1A6B6156" w14:textId="77777777" w:rsidR="009E212B" w:rsidRDefault="009E212B" w:rsidP="00AB704A">
            <w:pPr>
              <w:pStyle w:val="TableText"/>
              <w:keepNext/>
              <w:spacing w:before="0" w:after="0"/>
              <w:jc w:val="center"/>
              <w:rPr>
                <w:rFonts w:eastAsia="Calibri"/>
                <w:i/>
                <w:iCs/>
                <w:szCs w:val="20"/>
              </w:rPr>
            </w:pPr>
            <w:r>
              <w:rPr>
                <w:rFonts w:eastAsia="Calibri"/>
                <w:i/>
                <w:iCs/>
                <w:szCs w:val="20"/>
              </w:rPr>
              <w:t>0.022</w:t>
            </w:r>
          </w:p>
        </w:tc>
        <w:tc>
          <w:tcPr>
            <w:tcW w:w="680" w:type="pct"/>
          </w:tcPr>
          <w:p w14:paraId="2481ED32" w14:textId="5577023D" w:rsidR="009E212B" w:rsidRDefault="009E212B" w:rsidP="00AB704A">
            <w:pPr>
              <w:pStyle w:val="TableText"/>
              <w:keepNext/>
              <w:spacing w:before="0" w:after="0"/>
              <w:jc w:val="center"/>
              <w:rPr>
                <w:rFonts w:eastAsia="Calibri"/>
                <w:i/>
                <w:iCs/>
                <w:szCs w:val="20"/>
              </w:rPr>
            </w:pPr>
            <w:r>
              <w:rPr>
                <w:rFonts w:eastAsia="Calibri"/>
                <w:i/>
                <w:iCs/>
                <w:szCs w:val="20"/>
              </w:rPr>
              <w:t>$</w:t>
            </w:r>
            <w:r w:rsidR="004113A4" w:rsidRPr="004113A4">
              <w:rPr>
                <w:rFonts w:eastAsia="Calibri"/>
                <w:b/>
                <w:i/>
                <w:iCs/>
                <w:szCs w:val="20"/>
              </w:rPr>
              <w:t>redacted</w:t>
            </w:r>
          </w:p>
        </w:tc>
        <w:tc>
          <w:tcPr>
            <w:tcW w:w="656" w:type="pct"/>
          </w:tcPr>
          <w:p w14:paraId="27755F8C" w14:textId="77777777" w:rsidR="009E212B" w:rsidRDefault="009E212B" w:rsidP="00AB704A">
            <w:pPr>
              <w:pStyle w:val="TableText"/>
              <w:keepNext/>
              <w:spacing w:before="0" w:after="0"/>
              <w:jc w:val="center"/>
              <w:rPr>
                <w:rFonts w:eastAsia="Calibri"/>
                <w:i/>
                <w:iCs/>
                <w:szCs w:val="20"/>
              </w:rPr>
            </w:pPr>
            <w:r>
              <w:rPr>
                <w:rFonts w:eastAsia="Calibri"/>
                <w:i/>
                <w:iCs/>
                <w:szCs w:val="20"/>
              </w:rPr>
              <w:t>3.925</w:t>
            </w:r>
          </w:p>
        </w:tc>
        <w:tc>
          <w:tcPr>
            <w:tcW w:w="629" w:type="pct"/>
          </w:tcPr>
          <w:p w14:paraId="5CDF432B" w14:textId="2CCAD11A" w:rsidR="009E212B" w:rsidRDefault="009E212B" w:rsidP="00AB704A">
            <w:pPr>
              <w:pStyle w:val="TableText"/>
              <w:keepNext/>
              <w:spacing w:before="0" w:after="0"/>
              <w:jc w:val="center"/>
              <w:rPr>
                <w:rFonts w:eastAsia="Calibri"/>
                <w:i/>
                <w:iCs/>
                <w:szCs w:val="20"/>
              </w:rPr>
            </w:pPr>
            <w:r>
              <w:rPr>
                <w:rFonts w:eastAsia="Calibri"/>
                <w:i/>
                <w:iCs/>
                <w:szCs w:val="20"/>
              </w:rPr>
              <w:t>$</w:t>
            </w:r>
            <w:r w:rsidR="004113A4" w:rsidRPr="00D57292">
              <w:rPr>
                <w:rFonts w:eastAsia="Calibri"/>
                <w:b/>
                <w:i/>
                <w:iCs/>
                <w:szCs w:val="20"/>
              </w:rPr>
              <w:t>redacted</w:t>
            </w:r>
          </w:p>
        </w:tc>
        <w:tc>
          <w:tcPr>
            <w:tcW w:w="758" w:type="pct"/>
          </w:tcPr>
          <w:p w14:paraId="7C20A322" w14:textId="77777777" w:rsidR="009E212B" w:rsidRDefault="009E212B" w:rsidP="00AB704A">
            <w:pPr>
              <w:pStyle w:val="TableText"/>
              <w:keepNext/>
              <w:spacing w:before="0" w:after="0"/>
              <w:jc w:val="center"/>
              <w:rPr>
                <w:rFonts w:eastAsia="Calibri"/>
                <w:i/>
                <w:iCs/>
                <w:szCs w:val="20"/>
              </w:rPr>
            </w:pPr>
            <w:r>
              <w:rPr>
                <w:rFonts w:eastAsia="Calibri"/>
                <w:i/>
                <w:iCs/>
                <w:szCs w:val="20"/>
              </w:rPr>
              <w:t>+4%</w:t>
            </w:r>
          </w:p>
        </w:tc>
      </w:tr>
      <w:tr w:rsidR="009E212B" w:rsidRPr="00CE28E3" w14:paraId="230354F9" w14:textId="77777777" w:rsidTr="00A57FE3">
        <w:trPr>
          <w:trHeight w:val="283"/>
        </w:trPr>
        <w:tc>
          <w:tcPr>
            <w:tcW w:w="1334" w:type="pct"/>
            <w:vMerge/>
          </w:tcPr>
          <w:p w14:paraId="47E8F29D" w14:textId="77777777" w:rsidR="009E212B" w:rsidRPr="00AC0AE6" w:rsidRDefault="009E212B" w:rsidP="00AB704A">
            <w:pPr>
              <w:pStyle w:val="TableText"/>
              <w:keepNext/>
              <w:spacing w:before="0" w:after="0"/>
              <w:rPr>
                <w:i/>
                <w:iCs/>
              </w:rPr>
            </w:pPr>
          </w:p>
        </w:tc>
        <w:tc>
          <w:tcPr>
            <w:tcW w:w="944" w:type="pct"/>
          </w:tcPr>
          <w:p w14:paraId="4EB0499A" w14:textId="77777777" w:rsidR="009E212B" w:rsidRDefault="009E212B" w:rsidP="00AB704A">
            <w:pPr>
              <w:pStyle w:val="TableText"/>
              <w:keepNext/>
              <w:spacing w:before="0" w:after="0"/>
              <w:jc w:val="center"/>
              <w:rPr>
                <w:rFonts w:eastAsia="Calibri"/>
                <w:i/>
                <w:iCs/>
                <w:szCs w:val="20"/>
              </w:rPr>
            </w:pPr>
            <w:r>
              <w:rPr>
                <w:rFonts w:eastAsia="Calibri"/>
                <w:i/>
                <w:iCs/>
                <w:szCs w:val="20"/>
              </w:rPr>
              <w:t>0.04</w:t>
            </w:r>
          </w:p>
        </w:tc>
        <w:tc>
          <w:tcPr>
            <w:tcW w:w="680" w:type="pct"/>
          </w:tcPr>
          <w:p w14:paraId="5C04673E" w14:textId="227F5EF5" w:rsidR="009E212B" w:rsidRDefault="009E212B" w:rsidP="00AB704A">
            <w:pPr>
              <w:pStyle w:val="TableText"/>
              <w:keepNext/>
              <w:spacing w:before="0" w:after="0"/>
              <w:jc w:val="center"/>
              <w:rPr>
                <w:rFonts w:eastAsia="Calibri"/>
                <w:i/>
                <w:iCs/>
                <w:szCs w:val="20"/>
              </w:rPr>
            </w:pPr>
            <w:r>
              <w:rPr>
                <w:rFonts w:eastAsia="Calibri"/>
                <w:i/>
                <w:iCs/>
                <w:szCs w:val="20"/>
              </w:rPr>
              <w:t>$</w:t>
            </w:r>
            <w:r w:rsidR="004113A4" w:rsidRPr="004113A4">
              <w:rPr>
                <w:rFonts w:eastAsia="Calibri"/>
                <w:b/>
                <w:i/>
                <w:iCs/>
                <w:szCs w:val="20"/>
              </w:rPr>
              <w:t>redacted</w:t>
            </w:r>
          </w:p>
        </w:tc>
        <w:tc>
          <w:tcPr>
            <w:tcW w:w="656" w:type="pct"/>
          </w:tcPr>
          <w:p w14:paraId="2FF9AE9C" w14:textId="77777777" w:rsidR="009E212B" w:rsidRDefault="009E212B" w:rsidP="00AB704A">
            <w:pPr>
              <w:pStyle w:val="TableText"/>
              <w:keepNext/>
              <w:spacing w:before="0" w:after="0"/>
              <w:jc w:val="center"/>
              <w:rPr>
                <w:rFonts w:eastAsia="Calibri"/>
                <w:i/>
                <w:iCs/>
                <w:szCs w:val="20"/>
              </w:rPr>
            </w:pPr>
            <w:r>
              <w:rPr>
                <w:rFonts w:eastAsia="Calibri"/>
                <w:i/>
                <w:iCs/>
                <w:szCs w:val="20"/>
              </w:rPr>
              <w:t>3.925</w:t>
            </w:r>
          </w:p>
        </w:tc>
        <w:tc>
          <w:tcPr>
            <w:tcW w:w="629" w:type="pct"/>
          </w:tcPr>
          <w:p w14:paraId="18AC5E88" w14:textId="17AD7160" w:rsidR="009E212B" w:rsidRDefault="009E212B" w:rsidP="00AB704A">
            <w:pPr>
              <w:pStyle w:val="TableText"/>
              <w:keepNext/>
              <w:spacing w:before="0" w:after="0"/>
              <w:jc w:val="center"/>
              <w:rPr>
                <w:rFonts w:eastAsia="Calibri"/>
                <w:i/>
                <w:iCs/>
                <w:szCs w:val="20"/>
              </w:rPr>
            </w:pPr>
            <w:r>
              <w:rPr>
                <w:rFonts w:eastAsia="Calibri"/>
                <w:i/>
                <w:iCs/>
                <w:szCs w:val="20"/>
              </w:rPr>
              <w:t>$</w:t>
            </w:r>
            <w:r w:rsidR="004113A4" w:rsidRPr="00D57292">
              <w:rPr>
                <w:rFonts w:eastAsia="Calibri"/>
                <w:b/>
                <w:i/>
                <w:iCs/>
                <w:szCs w:val="20"/>
              </w:rPr>
              <w:t>redacted</w:t>
            </w:r>
          </w:p>
        </w:tc>
        <w:tc>
          <w:tcPr>
            <w:tcW w:w="758" w:type="pct"/>
          </w:tcPr>
          <w:p w14:paraId="27B3424D" w14:textId="1AE02108" w:rsidR="009E212B" w:rsidRDefault="009E212B" w:rsidP="00AB704A">
            <w:pPr>
              <w:pStyle w:val="TableText"/>
              <w:keepNext/>
              <w:spacing w:before="0" w:after="0"/>
              <w:jc w:val="center"/>
              <w:rPr>
                <w:rFonts w:eastAsia="Calibri"/>
                <w:i/>
                <w:iCs/>
                <w:szCs w:val="20"/>
              </w:rPr>
            </w:pPr>
            <w:r>
              <w:rPr>
                <w:rFonts w:eastAsia="Calibri"/>
                <w:i/>
                <w:iCs/>
                <w:szCs w:val="20"/>
              </w:rPr>
              <w:t>+</w:t>
            </w:r>
            <w:r w:rsidR="003B1C65">
              <w:rPr>
                <w:rFonts w:eastAsia="Calibri"/>
                <w:i/>
                <w:iCs/>
                <w:szCs w:val="20"/>
              </w:rPr>
              <w:t>11</w:t>
            </w:r>
            <w:r>
              <w:rPr>
                <w:rFonts w:eastAsia="Calibri"/>
                <w:i/>
                <w:iCs/>
                <w:szCs w:val="20"/>
              </w:rPr>
              <w:t>%</w:t>
            </w:r>
          </w:p>
        </w:tc>
      </w:tr>
      <w:tr w:rsidR="009E212B" w:rsidRPr="00CE28E3" w14:paraId="0976F617" w14:textId="77777777">
        <w:trPr>
          <w:trHeight w:val="283"/>
        </w:trPr>
        <w:tc>
          <w:tcPr>
            <w:tcW w:w="5000" w:type="pct"/>
            <w:gridSpan w:val="6"/>
          </w:tcPr>
          <w:p w14:paraId="51DF957E" w14:textId="77777777" w:rsidR="009E212B" w:rsidRPr="00C72928" w:rsidRDefault="009E212B" w:rsidP="00AB704A">
            <w:pPr>
              <w:pStyle w:val="TableText"/>
              <w:keepNext/>
              <w:spacing w:before="0" w:after="0"/>
              <w:rPr>
                <w:rFonts w:eastAsia="Calibri"/>
                <w:b/>
                <w:bCs/>
                <w:i/>
                <w:iCs/>
                <w:szCs w:val="20"/>
              </w:rPr>
            </w:pPr>
            <w:r w:rsidRPr="00C72928">
              <w:rPr>
                <w:b/>
                <w:bCs/>
                <w:i/>
                <w:iCs/>
              </w:rPr>
              <w:t>Multivariate analysis</w:t>
            </w:r>
          </w:p>
        </w:tc>
      </w:tr>
      <w:tr w:rsidR="009E212B" w:rsidRPr="00CE28E3" w14:paraId="67192C51" w14:textId="77777777" w:rsidTr="00A57FE3">
        <w:trPr>
          <w:trHeight w:val="283"/>
        </w:trPr>
        <w:tc>
          <w:tcPr>
            <w:tcW w:w="2278" w:type="pct"/>
            <w:gridSpan w:val="2"/>
          </w:tcPr>
          <w:p w14:paraId="615CCD07" w14:textId="6D85E227" w:rsidR="009E212B" w:rsidRPr="007D02AB" w:rsidRDefault="009E212B" w:rsidP="00AB704A">
            <w:pPr>
              <w:pStyle w:val="TableText"/>
              <w:keepNext/>
              <w:spacing w:before="0" w:after="0"/>
              <w:rPr>
                <w:i/>
                <w:iCs/>
              </w:rPr>
            </w:pPr>
            <w:r w:rsidRPr="007D02AB">
              <w:rPr>
                <w:i/>
                <w:iCs/>
              </w:rPr>
              <w:t xml:space="preserve">Assuming a time horizon of 10 </w:t>
            </w:r>
            <w:proofErr w:type="spellStart"/>
            <w:r w:rsidRPr="007D02AB">
              <w:rPr>
                <w:i/>
                <w:iCs/>
              </w:rPr>
              <w:t>years</w:t>
            </w:r>
            <w:r w:rsidR="00133C68" w:rsidRPr="007D02AB">
              <w:rPr>
                <w:i/>
                <w:iCs/>
                <w:vertAlign w:val="superscript"/>
              </w:rPr>
              <w:t>b</w:t>
            </w:r>
            <w:proofErr w:type="spellEnd"/>
            <w:r w:rsidRPr="007D02AB">
              <w:rPr>
                <w:i/>
                <w:iCs/>
              </w:rPr>
              <w:t>, OMM disease related costs in the 1st cycle of $0</w:t>
            </w:r>
            <w:r w:rsidR="00133C68" w:rsidRPr="007D02AB">
              <w:rPr>
                <w:i/>
                <w:iCs/>
                <w:vertAlign w:val="superscript"/>
              </w:rPr>
              <w:t>b</w:t>
            </w:r>
            <w:r w:rsidRPr="007D02AB">
              <w:rPr>
                <w:i/>
                <w:iCs/>
              </w:rPr>
              <w:t>, utility value of 0.</w:t>
            </w:r>
            <w:r w:rsidR="007E50E6" w:rsidRPr="007D02AB">
              <w:rPr>
                <w:i/>
                <w:iCs/>
              </w:rPr>
              <w:t>64</w:t>
            </w:r>
            <w:r w:rsidR="007E50E6" w:rsidRPr="007D02AB">
              <w:rPr>
                <w:i/>
                <w:iCs/>
                <w:vertAlign w:val="superscript"/>
              </w:rPr>
              <w:t>c</w:t>
            </w:r>
            <w:r w:rsidR="007E50E6" w:rsidRPr="007D02AB">
              <w:rPr>
                <w:i/>
                <w:iCs/>
              </w:rPr>
              <w:t xml:space="preserve"> </w:t>
            </w:r>
            <w:r w:rsidRPr="007D02AB">
              <w:rPr>
                <w:i/>
                <w:iCs/>
              </w:rPr>
              <w:t xml:space="preserve">for the 1st cycle in both the OMM and the </w:t>
            </w:r>
            <w:r w:rsidR="00596728" w:rsidRPr="007D02AB">
              <w:rPr>
                <w:i/>
                <w:iCs/>
              </w:rPr>
              <w:t>L</w:t>
            </w:r>
            <w:r w:rsidR="00ED6CA5" w:rsidRPr="007D02AB">
              <w:rPr>
                <w:i/>
                <w:iCs/>
              </w:rPr>
              <w:t>VAD</w:t>
            </w:r>
            <w:r w:rsidRPr="007D02AB">
              <w:rPr>
                <w:i/>
                <w:iCs/>
              </w:rPr>
              <w:t xml:space="preserve"> arms and in subsequent cycles of the OMM arm, utility value of 0.</w:t>
            </w:r>
            <w:r w:rsidR="007E50E6" w:rsidRPr="007D02AB">
              <w:rPr>
                <w:i/>
                <w:iCs/>
              </w:rPr>
              <w:t>79</w:t>
            </w:r>
            <w:r w:rsidR="007E50E6" w:rsidRPr="007D02AB">
              <w:rPr>
                <w:i/>
                <w:iCs/>
                <w:vertAlign w:val="superscript"/>
              </w:rPr>
              <w:t>c</w:t>
            </w:r>
            <w:r w:rsidR="007E50E6" w:rsidRPr="007D02AB">
              <w:rPr>
                <w:i/>
                <w:iCs/>
              </w:rPr>
              <w:t xml:space="preserve"> </w:t>
            </w:r>
            <w:r w:rsidRPr="007D02AB">
              <w:rPr>
                <w:i/>
                <w:iCs/>
              </w:rPr>
              <w:t xml:space="preserve">in the subsequent cycles of the </w:t>
            </w:r>
            <w:r w:rsidR="00596728" w:rsidRPr="007D02AB">
              <w:rPr>
                <w:i/>
                <w:iCs/>
              </w:rPr>
              <w:t>L</w:t>
            </w:r>
            <w:r w:rsidR="00ED6CA5" w:rsidRPr="007D02AB">
              <w:rPr>
                <w:i/>
                <w:iCs/>
              </w:rPr>
              <w:t>VAD</w:t>
            </w:r>
            <w:r w:rsidRPr="007D02AB">
              <w:rPr>
                <w:i/>
                <w:iCs/>
              </w:rPr>
              <w:t xml:space="preserve"> arm, annual risk of device replacement based on INTERMACS </w:t>
            </w:r>
            <w:r w:rsidR="0006214B" w:rsidRPr="007D02AB">
              <w:rPr>
                <w:i/>
                <w:iCs/>
              </w:rPr>
              <w:t xml:space="preserve">2023 </w:t>
            </w:r>
            <w:r w:rsidR="00AB5856" w:rsidRPr="007D02AB">
              <w:rPr>
                <w:i/>
                <w:iCs/>
              </w:rPr>
              <w:t>Annual R</w:t>
            </w:r>
            <w:r w:rsidR="0006214B" w:rsidRPr="007D02AB">
              <w:rPr>
                <w:i/>
                <w:iCs/>
              </w:rPr>
              <w:t>eport</w:t>
            </w:r>
            <w:r w:rsidR="007247D7" w:rsidRPr="007D02AB">
              <w:rPr>
                <w:i/>
                <w:iCs/>
              </w:rPr>
              <w:t xml:space="preserve"> </w:t>
            </w:r>
            <w:r w:rsidR="00FA5129" w:rsidRPr="007D02AB">
              <w:rPr>
                <w:i/>
                <w:iCs/>
              </w:rPr>
              <w:t>(</w:t>
            </w:r>
            <w:r w:rsidRPr="007D02AB">
              <w:rPr>
                <w:i/>
                <w:iCs/>
              </w:rPr>
              <w:t>Years 2+ = 0.04)</w:t>
            </w:r>
            <w:r w:rsidR="007247D7" w:rsidRPr="007D02AB">
              <w:rPr>
                <w:i/>
                <w:iCs/>
              </w:rPr>
              <w:t>,</w:t>
            </w:r>
            <w:r w:rsidR="00BC4210" w:rsidRPr="007D02AB">
              <w:rPr>
                <w:i/>
                <w:iCs/>
              </w:rPr>
              <w:t xml:space="preserve"> and</w:t>
            </w:r>
            <w:r w:rsidR="0006167A" w:rsidRPr="007D02AB">
              <w:t xml:space="preserve"> a</w:t>
            </w:r>
            <w:r w:rsidR="0006167A" w:rsidRPr="007D02AB">
              <w:rPr>
                <w:i/>
                <w:iCs/>
              </w:rPr>
              <w:t>ftercare costs $39,130.</w:t>
            </w:r>
            <w:r w:rsidR="00A04097" w:rsidRPr="007D02AB">
              <w:rPr>
                <w:i/>
                <w:iCs/>
              </w:rPr>
              <w:t>03</w:t>
            </w:r>
            <w:r w:rsidR="00A04097" w:rsidRPr="007D02AB">
              <w:rPr>
                <w:i/>
                <w:iCs/>
                <w:vertAlign w:val="superscript"/>
              </w:rPr>
              <w:t>d</w:t>
            </w:r>
            <w:r w:rsidR="00A04097" w:rsidRPr="007D02AB">
              <w:rPr>
                <w:i/>
                <w:iCs/>
              </w:rPr>
              <w:t xml:space="preserve"> </w:t>
            </w:r>
            <w:r w:rsidR="0006167A" w:rsidRPr="007D02AB">
              <w:rPr>
                <w:i/>
                <w:iCs/>
              </w:rPr>
              <w:t>per year in months 0-24</w:t>
            </w:r>
            <w:r w:rsidR="00680E4E" w:rsidRPr="0079297C">
              <w:rPr>
                <w:i/>
                <w:iCs/>
              </w:rPr>
              <w:t xml:space="preserve">, with updated cost </w:t>
            </w:r>
            <w:proofErr w:type="spellStart"/>
            <w:r w:rsidR="00680E4E" w:rsidRPr="0079297C">
              <w:rPr>
                <w:i/>
                <w:iCs/>
              </w:rPr>
              <w:t>inputs</w:t>
            </w:r>
            <w:r w:rsidR="00680E4E" w:rsidRPr="0079297C">
              <w:rPr>
                <w:i/>
                <w:iCs/>
                <w:vertAlign w:val="superscript"/>
              </w:rPr>
              <w:t>e</w:t>
            </w:r>
            <w:proofErr w:type="spellEnd"/>
            <w:r w:rsidR="0006167A" w:rsidRPr="007D02AB">
              <w:rPr>
                <w:i/>
                <w:iCs/>
              </w:rPr>
              <w:t>.</w:t>
            </w:r>
          </w:p>
        </w:tc>
        <w:tc>
          <w:tcPr>
            <w:tcW w:w="680" w:type="pct"/>
          </w:tcPr>
          <w:p w14:paraId="40327EA1" w14:textId="434F74E4" w:rsidR="009E212B" w:rsidRPr="007D02AB" w:rsidRDefault="006B123D" w:rsidP="00AB704A">
            <w:pPr>
              <w:pStyle w:val="TableText"/>
              <w:keepNext/>
              <w:spacing w:before="0" w:after="0"/>
              <w:jc w:val="center"/>
              <w:rPr>
                <w:rFonts w:eastAsia="Calibri"/>
                <w:i/>
                <w:iCs/>
                <w:szCs w:val="20"/>
              </w:rPr>
            </w:pPr>
            <w:r w:rsidRPr="007D02AB">
              <w:rPr>
                <w:rFonts w:eastAsia="Calibri"/>
                <w:i/>
                <w:iCs/>
                <w:szCs w:val="20"/>
              </w:rPr>
              <w:t>$</w:t>
            </w:r>
            <w:r w:rsidR="004113A4" w:rsidRPr="004113A4">
              <w:rPr>
                <w:rFonts w:eastAsia="Calibri"/>
                <w:b/>
                <w:i/>
                <w:iCs/>
                <w:szCs w:val="20"/>
              </w:rPr>
              <w:t>redacted</w:t>
            </w:r>
          </w:p>
        </w:tc>
        <w:tc>
          <w:tcPr>
            <w:tcW w:w="656" w:type="pct"/>
          </w:tcPr>
          <w:p w14:paraId="6C30AE58" w14:textId="6AD331CA" w:rsidR="009E212B" w:rsidRPr="007D02AB" w:rsidRDefault="006B123D" w:rsidP="00AB704A">
            <w:pPr>
              <w:pStyle w:val="TableText"/>
              <w:keepNext/>
              <w:spacing w:before="0" w:after="0"/>
              <w:jc w:val="center"/>
              <w:rPr>
                <w:rFonts w:eastAsia="Calibri"/>
                <w:i/>
                <w:iCs/>
                <w:szCs w:val="20"/>
              </w:rPr>
            </w:pPr>
            <w:r w:rsidRPr="007D02AB">
              <w:rPr>
                <w:rFonts w:eastAsia="Calibri"/>
                <w:i/>
                <w:iCs/>
                <w:szCs w:val="20"/>
              </w:rPr>
              <w:t>3.282</w:t>
            </w:r>
          </w:p>
        </w:tc>
        <w:tc>
          <w:tcPr>
            <w:tcW w:w="629" w:type="pct"/>
          </w:tcPr>
          <w:p w14:paraId="229D473A" w14:textId="0548E93E" w:rsidR="009E212B" w:rsidRPr="007D02AB" w:rsidRDefault="006B123D" w:rsidP="00AB704A">
            <w:pPr>
              <w:pStyle w:val="TableText"/>
              <w:keepNext/>
              <w:spacing w:before="0" w:after="0"/>
              <w:jc w:val="center"/>
              <w:rPr>
                <w:rFonts w:eastAsia="Calibri"/>
                <w:i/>
                <w:iCs/>
                <w:szCs w:val="20"/>
              </w:rPr>
            </w:pPr>
            <w:r w:rsidRPr="007D02AB">
              <w:rPr>
                <w:rFonts w:eastAsia="Calibri"/>
                <w:i/>
                <w:iCs/>
                <w:szCs w:val="20"/>
              </w:rPr>
              <w:t>$</w:t>
            </w:r>
            <w:r w:rsidR="004113A4" w:rsidRPr="00D57292">
              <w:rPr>
                <w:rFonts w:eastAsia="Calibri"/>
                <w:b/>
                <w:i/>
                <w:iCs/>
                <w:szCs w:val="20"/>
              </w:rPr>
              <w:t>redacted</w:t>
            </w:r>
          </w:p>
        </w:tc>
        <w:tc>
          <w:tcPr>
            <w:tcW w:w="758" w:type="pct"/>
          </w:tcPr>
          <w:p w14:paraId="06C24D39" w14:textId="3214CD59" w:rsidR="009E212B" w:rsidRPr="007D02AB" w:rsidRDefault="008A22DF" w:rsidP="00AB704A">
            <w:pPr>
              <w:pStyle w:val="TableText"/>
              <w:keepNext/>
              <w:spacing w:before="0" w:after="0"/>
              <w:jc w:val="center"/>
              <w:rPr>
                <w:rFonts w:eastAsia="Calibri"/>
                <w:i/>
                <w:iCs/>
                <w:szCs w:val="20"/>
              </w:rPr>
            </w:pPr>
            <w:r w:rsidRPr="007D02AB">
              <w:rPr>
                <w:rFonts w:eastAsia="Calibri"/>
                <w:i/>
                <w:iCs/>
                <w:szCs w:val="20"/>
              </w:rPr>
              <w:t>+4</w:t>
            </w:r>
            <w:r w:rsidR="00F245A1" w:rsidRPr="007D02AB">
              <w:rPr>
                <w:rFonts w:eastAsia="Calibri"/>
                <w:i/>
                <w:iCs/>
                <w:szCs w:val="20"/>
              </w:rPr>
              <w:t>9</w:t>
            </w:r>
            <w:r w:rsidRPr="007D02AB">
              <w:rPr>
                <w:rFonts w:eastAsia="Calibri"/>
                <w:i/>
                <w:iCs/>
                <w:szCs w:val="20"/>
              </w:rPr>
              <w:t>%</w:t>
            </w:r>
          </w:p>
        </w:tc>
      </w:tr>
    </w:tbl>
    <w:p w14:paraId="4BC60A7F" w14:textId="08589081" w:rsidR="009E212B" w:rsidRDefault="009E212B" w:rsidP="009E212B">
      <w:pPr>
        <w:pStyle w:val="TableFooter"/>
        <w:rPr>
          <w:rFonts w:eastAsia="Calibri"/>
        </w:rPr>
      </w:pPr>
      <w:bookmarkStart w:id="56" w:name="_Hlk68276759"/>
      <w:bookmarkEnd w:id="55"/>
      <w:r>
        <w:rPr>
          <w:rFonts w:eastAsia="Calibri"/>
        </w:rPr>
        <w:t xml:space="preserve">Source: Table 27, pp43-45 of MSAC </w:t>
      </w:r>
      <w:r w:rsidR="001756E1">
        <w:rPr>
          <w:rFonts w:eastAsia="Calibri"/>
        </w:rPr>
        <w:t xml:space="preserve">Application </w:t>
      </w:r>
      <w:r w:rsidR="009A5664">
        <w:rPr>
          <w:rFonts w:eastAsia="Calibri"/>
        </w:rPr>
        <w:t>1749 Resubmission</w:t>
      </w:r>
      <w:r w:rsidR="001756E1">
        <w:rPr>
          <w:rFonts w:eastAsia="Calibri"/>
        </w:rPr>
        <w:t xml:space="preserve"> ADAR.</w:t>
      </w:r>
    </w:p>
    <w:p w14:paraId="078D99A2" w14:textId="28DC3AB4" w:rsidR="009E212B" w:rsidRDefault="009E212B" w:rsidP="009E212B">
      <w:pPr>
        <w:pStyle w:val="TableFooter"/>
        <w:rPr>
          <w:rFonts w:eastAsia="Calibri"/>
        </w:rPr>
      </w:pPr>
      <w:r w:rsidRPr="00543C45">
        <w:rPr>
          <w:rFonts w:eastAsia="Calibri"/>
        </w:rPr>
        <w:t xml:space="preserve">ICER = incremental cost-effectiveness ratio; </w:t>
      </w:r>
      <w:r w:rsidRPr="00744015">
        <w:rPr>
          <w:rFonts w:eastAsia="Calibri"/>
        </w:rPr>
        <w:t xml:space="preserve">INTERMACS = Interagency Registry for Mechanically Assisted Circulatory Support; </w:t>
      </w:r>
      <w:r w:rsidR="00596728">
        <w:rPr>
          <w:rFonts w:eastAsia="Calibri"/>
        </w:rPr>
        <w:t>L</w:t>
      </w:r>
      <w:r w:rsidR="00ED6CA5">
        <w:rPr>
          <w:rFonts w:eastAsia="Calibri"/>
        </w:rPr>
        <w:t>VAD</w:t>
      </w:r>
      <w:r w:rsidRPr="00EA0886">
        <w:rPr>
          <w:rFonts w:eastAsia="Calibri"/>
        </w:rPr>
        <w:t xml:space="preserve"> = </w:t>
      </w:r>
      <w:r w:rsidR="00596728">
        <w:rPr>
          <w:rFonts w:eastAsia="Calibri"/>
        </w:rPr>
        <w:t xml:space="preserve">left </w:t>
      </w:r>
      <w:r w:rsidRPr="00EA0886">
        <w:rPr>
          <w:rFonts w:eastAsia="Calibri"/>
        </w:rPr>
        <w:t>ventricular assist device;</w:t>
      </w:r>
      <w:r>
        <w:rPr>
          <w:rFonts w:eastAsia="Calibri"/>
        </w:rPr>
        <w:t xml:space="preserve"> </w:t>
      </w:r>
      <w:r w:rsidRPr="000F1E77">
        <w:t>OMM = optimal medical management</w:t>
      </w:r>
      <w:r>
        <w:t>;</w:t>
      </w:r>
      <w:r w:rsidRPr="00CE28E3">
        <w:t xml:space="preserve"> </w:t>
      </w:r>
      <w:r w:rsidRPr="00543C45">
        <w:rPr>
          <w:rFonts w:eastAsia="Calibri"/>
        </w:rPr>
        <w:t xml:space="preserve">QALY = quality adjusted life year. </w:t>
      </w:r>
    </w:p>
    <w:p w14:paraId="7D5A4447" w14:textId="77777777" w:rsidR="003D02E6" w:rsidRDefault="001756E1" w:rsidP="009E212B">
      <w:pPr>
        <w:pStyle w:val="TableFooter"/>
      </w:pPr>
      <w:r>
        <w:t xml:space="preserve">Notes: </w:t>
      </w:r>
    </w:p>
    <w:p w14:paraId="5E4B9A1E" w14:textId="48AC6108" w:rsidR="009E212B" w:rsidRDefault="009E212B" w:rsidP="009E212B">
      <w:pPr>
        <w:pStyle w:val="TableFooter"/>
      </w:pPr>
      <w:proofErr w:type="spellStart"/>
      <w:r w:rsidRPr="00D74C1B">
        <w:rPr>
          <w:vertAlign w:val="superscript"/>
        </w:rPr>
        <w:t>a</w:t>
      </w:r>
      <w:proofErr w:type="spellEnd"/>
      <w:r w:rsidRPr="001756E1">
        <w:t xml:space="preserve"> </w:t>
      </w:r>
      <w:proofErr w:type="gramStart"/>
      <w:r w:rsidR="008550EA">
        <w:t>The</w:t>
      </w:r>
      <w:proofErr w:type="gramEnd"/>
      <w:r w:rsidR="008550EA">
        <w:t xml:space="preserve"> sponsor supplies the </w:t>
      </w:r>
      <w:r w:rsidRPr="001756E1">
        <w:t>Pa</w:t>
      </w:r>
      <w:r w:rsidRPr="00AC0AE6">
        <w:t>tient Support Kit bundle at a reduced rate to hospitals relative to the combined cost of individual items.</w:t>
      </w:r>
    </w:p>
    <w:p w14:paraId="6CB0D8E9" w14:textId="2DFDF0DE" w:rsidR="00133C68" w:rsidRDefault="00133C68" w:rsidP="009E212B">
      <w:pPr>
        <w:pStyle w:val="TableFooter"/>
      </w:pPr>
      <w:r w:rsidRPr="00D74C1B">
        <w:rPr>
          <w:vertAlign w:val="superscript"/>
        </w:rPr>
        <w:t>b</w:t>
      </w:r>
      <w:r>
        <w:t xml:space="preserve"> Assumptions based on MSAC advice at the </w:t>
      </w:r>
      <w:r w:rsidRPr="00133C68">
        <w:t>April 2024 Meeting</w:t>
      </w:r>
      <w:r>
        <w:t>.</w:t>
      </w:r>
    </w:p>
    <w:p w14:paraId="3ACA553C" w14:textId="2465A5AA" w:rsidR="007E50E6" w:rsidRDefault="00607F92" w:rsidP="009E212B">
      <w:pPr>
        <w:pStyle w:val="TableFooter"/>
      </w:pPr>
      <w:r w:rsidRPr="00D74C1B">
        <w:rPr>
          <w:vertAlign w:val="superscript"/>
        </w:rPr>
        <w:t>c</w:t>
      </w:r>
      <w:r>
        <w:t xml:space="preserve"> </w:t>
      </w:r>
      <w:r w:rsidR="007E50E6" w:rsidRPr="007E50E6">
        <w:t xml:space="preserve">Utility values were unchanged from applicant-proposed “revised base case” and were </w:t>
      </w:r>
      <w:r w:rsidR="00BB052C">
        <w:t>consistent with</w:t>
      </w:r>
      <w:r w:rsidR="007E50E6" w:rsidRPr="007E50E6">
        <w:t xml:space="preserve"> MSAC advice.</w:t>
      </w:r>
    </w:p>
    <w:p w14:paraId="1EF245AD" w14:textId="13387B5D" w:rsidR="00607F92" w:rsidRDefault="007E50E6" w:rsidP="009E212B">
      <w:pPr>
        <w:pStyle w:val="TableFooter"/>
      </w:pPr>
      <w:r w:rsidRPr="00D74C1B">
        <w:rPr>
          <w:vertAlign w:val="superscript"/>
        </w:rPr>
        <w:t>d</w:t>
      </w:r>
      <w:r>
        <w:t xml:space="preserve"> </w:t>
      </w:r>
      <w:r w:rsidR="00607F92">
        <w:t>Aftercare costs from Prichard et al., 2020, as proposed by the applicant in the “likely overestimated case”.</w:t>
      </w:r>
    </w:p>
    <w:p w14:paraId="6AAA6270" w14:textId="33BFCBAD" w:rsidR="00680E4E" w:rsidRPr="009D31F8" w:rsidRDefault="00680E4E" w:rsidP="009E212B">
      <w:pPr>
        <w:pStyle w:val="TableFooter"/>
      </w:pPr>
      <w:r w:rsidRPr="009D31F8">
        <w:rPr>
          <w:vertAlign w:val="superscript"/>
        </w:rPr>
        <w:t>e</w:t>
      </w:r>
      <w:r w:rsidRPr="009D31F8">
        <w:t xml:space="preserve"> </w:t>
      </w:r>
      <w:r w:rsidR="00152877" w:rsidRPr="009D31F8">
        <w:t>Included</w:t>
      </w:r>
      <w:r w:rsidRPr="009D31F8">
        <w:t xml:space="preserve"> cost of “other neurological event” under the “disease related cost” in the LVAD arm</w:t>
      </w:r>
      <w:r w:rsidR="00746A57">
        <w:t xml:space="preserve"> and </w:t>
      </w:r>
      <w:r w:rsidRPr="009D31F8">
        <w:t xml:space="preserve">updated </w:t>
      </w:r>
      <w:r w:rsidR="00746A57">
        <w:t>cost</w:t>
      </w:r>
      <w:r w:rsidR="00746A57" w:rsidRPr="009D31F8">
        <w:t xml:space="preserve"> </w:t>
      </w:r>
      <w:r w:rsidRPr="009D31F8">
        <w:t xml:space="preserve">of </w:t>
      </w:r>
      <w:r w:rsidR="00152877" w:rsidRPr="009D31F8">
        <w:t>antihypertensive management.</w:t>
      </w:r>
    </w:p>
    <w:p w14:paraId="5994E267" w14:textId="65D4E81D" w:rsidR="00820F4F" w:rsidRPr="00820F4F" w:rsidRDefault="00820F4F" w:rsidP="009E212B">
      <w:pPr>
        <w:pStyle w:val="TableFooter"/>
      </w:pPr>
      <w:r w:rsidRPr="009D31F8">
        <w:rPr>
          <w:vertAlign w:val="superscript"/>
        </w:rPr>
        <w:t>f</w:t>
      </w:r>
      <w:r w:rsidRPr="009D31F8">
        <w:t xml:space="preserve"> These numbers were not traceable from the Section 3 LVAD CEA Workbook of MSAC Application 1749 Resubmission ADAR. However, the differences </w:t>
      </w:r>
      <w:r w:rsidR="00A06777" w:rsidRPr="009D31F8">
        <w:t>between the presented ICER</w:t>
      </w:r>
      <w:r w:rsidR="00347E26">
        <w:t>s</w:t>
      </w:r>
      <w:r w:rsidR="00A06777" w:rsidRPr="009D31F8">
        <w:t xml:space="preserve"> and calculated ICER</w:t>
      </w:r>
      <w:r w:rsidR="00347E26">
        <w:t>s</w:t>
      </w:r>
      <w:r w:rsidR="00A06777" w:rsidRPr="009D31F8">
        <w:t xml:space="preserve"> by the commentary were minimal, with less than 3% differences</w:t>
      </w:r>
      <w:r w:rsidRPr="009D31F8">
        <w:t>.</w:t>
      </w:r>
    </w:p>
    <w:p w14:paraId="78736D6B" w14:textId="0A1FE0B9" w:rsidR="009E212B" w:rsidRPr="00E33F73" w:rsidRDefault="009E212B" w:rsidP="009E212B">
      <w:pPr>
        <w:pStyle w:val="TableFooter"/>
      </w:pPr>
      <w:r w:rsidRPr="005E7635">
        <w:rPr>
          <w:i/>
          <w:iCs/>
        </w:rPr>
        <w:t xml:space="preserve">Italics added during </w:t>
      </w:r>
      <w:bookmarkStart w:id="57" w:name="_Ref69726321"/>
      <w:r>
        <w:rPr>
          <w:i/>
          <w:iCs/>
        </w:rPr>
        <w:t>commentary.</w:t>
      </w:r>
      <w:bookmarkEnd w:id="57"/>
    </w:p>
    <w:p w14:paraId="7F399123" w14:textId="08956EAD" w:rsidR="009E212B" w:rsidRDefault="009E212B" w:rsidP="009E212B">
      <w:r>
        <w:lastRenderedPageBreak/>
        <w:t>Additional univariate sensitivity analyses conducted by the commentary showed that a 50% reduction in the cost of a Patient Support Kit Bundle from $</w:t>
      </w:r>
      <w:r w:rsidR="00932DD9" w:rsidRPr="00932DD9">
        <w:rPr>
          <w:b/>
          <w:bCs/>
        </w:rPr>
        <w:t>redacted</w:t>
      </w:r>
      <w:r>
        <w:t xml:space="preserve"> to $</w:t>
      </w:r>
      <w:r w:rsidR="00932DD9" w:rsidRPr="008C0B41">
        <w:rPr>
          <w:b/>
          <w:bCs/>
        </w:rPr>
        <w:t>redacted</w:t>
      </w:r>
      <w:r>
        <w:t>, would reduce the ICER by 5% from $</w:t>
      </w:r>
      <w:r w:rsidR="00A65A07" w:rsidRPr="00A65A07">
        <w:rPr>
          <w:b/>
          <w:bCs/>
        </w:rPr>
        <w:t>redacted</w:t>
      </w:r>
      <w:r>
        <w:t xml:space="preserve">/QALY (revised base case) to </w:t>
      </w:r>
      <w:r w:rsidRPr="00820F11">
        <w:t>$</w:t>
      </w:r>
      <w:r w:rsidR="00A65A07" w:rsidRPr="00DE5B29">
        <w:rPr>
          <w:b/>
          <w:bCs/>
        </w:rPr>
        <w:t>redacted</w:t>
      </w:r>
      <w:r>
        <w:t xml:space="preserve">/QALY. Based on the resubmission, the Patient Support Kit Bundle was supplied by the sponsor at a reduced rate to hospitals relative to the combined cost of individual items (Section 3 </w:t>
      </w:r>
      <w:r w:rsidR="009B2AF4">
        <w:t>L</w:t>
      </w:r>
      <w:r w:rsidR="00ED6CA5">
        <w:t>VAD</w:t>
      </w:r>
      <w:r>
        <w:t xml:space="preserve"> CEA Workbook of </w:t>
      </w:r>
      <w:r w:rsidR="00007913" w:rsidRPr="00007913">
        <w:t xml:space="preserve">MSAC Application </w:t>
      </w:r>
      <w:r w:rsidR="009A5664">
        <w:t>1749 Resubmission ADAR</w:t>
      </w:r>
      <w:r>
        <w:t>). In addition, univariate sensitivity analysis performed during commentary suggested that the ICER was sensitive to an increase in annual risk of device replacement from 0.011 to 0.04 EPPY in years 2+</w:t>
      </w:r>
      <w:r w:rsidR="0096520E">
        <w:t xml:space="preserve"> and the ICER increased by 1</w:t>
      </w:r>
      <w:r w:rsidR="003B1C65">
        <w:t>1</w:t>
      </w:r>
      <w:r w:rsidR="0096520E">
        <w:t>%, from $</w:t>
      </w:r>
      <w:r w:rsidR="00A65A07" w:rsidRPr="00A65A07">
        <w:rPr>
          <w:b/>
          <w:bCs/>
        </w:rPr>
        <w:t>redacted</w:t>
      </w:r>
      <w:r w:rsidR="0096520E">
        <w:t xml:space="preserve"> to $</w:t>
      </w:r>
      <w:r w:rsidR="00A65A07" w:rsidRPr="00A65A07">
        <w:rPr>
          <w:b/>
          <w:bCs/>
        </w:rPr>
        <w:t>redacted</w:t>
      </w:r>
      <w:r w:rsidR="00A65A07" w:rsidDel="00A65A07">
        <w:t xml:space="preserve"> </w:t>
      </w:r>
      <w:r w:rsidR="0096520E">
        <w:t>per QALY</w:t>
      </w:r>
      <w:r>
        <w:t>.</w:t>
      </w:r>
    </w:p>
    <w:p w14:paraId="37C33973" w14:textId="48DE05E8" w:rsidR="009E212B" w:rsidRDefault="009E212B" w:rsidP="009E212B">
      <w:r w:rsidRPr="00D74C1B">
        <w:t xml:space="preserve">A multivariate sensitivity analysis was performed by the commentary and the assumptions applied were time horizon of 10 years, OMM disease related costs in the 1st cycle of $0, utility value of 0.64 for the 1st cycle in both the OMM and the </w:t>
      </w:r>
      <w:r w:rsidR="00596728">
        <w:t>L</w:t>
      </w:r>
      <w:r w:rsidR="00ED6CA5">
        <w:t>VAD</w:t>
      </w:r>
      <w:r w:rsidRPr="00D74C1B">
        <w:t xml:space="preserve"> arms and in subsequent cycles of the OMM arm, utility value of 0.79 in the subsequent cycles of the </w:t>
      </w:r>
      <w:r w:rsidR="00596728">
        <w:t>L</w:t>
      </w:r>
      <w:r w:rsidR="00ED6CA5">
        <w:t>VAD</w:t>
      </w:r>
      <w:r w:rsidRPr="00D74C1B">
        <w:t xml:space="preserve"> arm,</w:t>
      </w:r>
      <w:r w:rsidR="00390E0A" w:rsidRPr="00D74C1B">
        <w:t xml:space="preserve"> and</w:t>
      </w:r>
      <w:r w:rsidRPr="00D74C1B">
        <w:t xml:space="preserve"> annual risk of device replacement</w:t>
      </w:r>
      <w:r w:rsidR="0081013B" w:rsidRPr="00D74C1B">
        <w:t xml:space="preserve"> (Year 2+ = 0.04 EPPY)</w:t>
      </w:r>
      <w:r w:rsidRPr="00D74C1B">
        <w:t xml:space="preserve"> based on</w:t>
      </w:r>
      <w:r w:rsidR="0081013B" w:rsidRPr="00D74C1B">
        <w:t xml:space="preserve"> the</w:t>
      </w:r>
      <w:r w:rsidRPr="00D74C1B">
        <w:t xml:space="preserve"> </w:t>
      </w:r>
      <w:r w:rsidR="009E4B7A" w:rsidRPr="00D74C1B">
        <w:t xml:space="preserve">INTERMACS </w:t>
      </w:r>
      <w:r w:rsidR="0006214B" w:rsidRPr="00D74C1B">
        <w:t xml:space="preserve">2023 </w:t>
      </w:r>
      <w:r w:rsidR="007C7AFD" w:rsidRPr="00D74C1B">
        <w:t>Annual R</w:t>
      </w:r>
      <w:r w:rsidR="009E4B7A" w:rsidRPr="00D74C1B">
        <w:t>eport</w:t>
      </w:r>
      <w:r w:rsidR="0081013B" w:rsidRPr="00D74C1B">
        <w:t>. The INTERMACS 2023 Annual Report reported</w:t>
      </w:r>
      <w:r w:rsidRPr="00D74C1B">
        <w:t xml:space="preserve"> </w:t>
      </w:r>
      <w:r w:rsidR="000E4F21" w:rsidRPr="00D74C1B">
        <w:t xml:space="preserve">the incidence of device malfunction/pump thrombus 90 days after implantation with HM3 </w:t>
      </w:r>
      <w:r w:rsidR="0081013B" w:rsidRPr="00D74C1B">
        <w:t>of</w:t>
      </w:r>
      <w:r w:rsidR="000E4F21" w:rsidRPr="00D74C1B">
        <w:t xml:space="preserve"> 0.04 </w:t>
      </w:r>
      <w:r w:rsidR="00390E0A" w:rsidRPr="00D74C1B">
        <w:t>EPPY</w:t>
      </w:r>
      <w:r w:rsidR="00CC6A75" w:rsidRPr="00D74C1B">
        <w:t xml:space="preserve">. With the assumption that all device malfunction/pump thrombosis </w:t>
      </w:r>
      <w:r w:rsidR="004D0B28" w:rsidRPr="00D74C1B">
        <w:t>led</w:t>
      </w:r>
      <w:r w:rsidR="00CC6A75" w:rsidRPr="00D74C1B">
        <w:t xml:space="preserve"> to device replacement, the </w:t>
      </w:r>
      <w:r w:rsidR="00CC6A75" w:rsidRPr="004314B6">
        <w:t xml:space="preserve">ICER increased by </w:t>
      </w:r>
      <w:r w:rsidR="000401BA" w:rsidRPr="004314B6">
        <w:t>4</w:t>
      </w:r>
      <w:r w:rsidR="006D1CF6" w:rsidRPr="004314B6">
        <w:t>9</w:t>
      </w:r>
      <w:r w:rsidR="00CC6A75" w:rsidRPr="004314B6">
        <w:t>% to $</w:t>
      </w:r>
      <w:r w:rsidR="00A65A07" w:rsidRPr="00A65A07">
        <w:rPr>
          <w:b/>
          <w:bCs/>
        </w:rPr>
        <w:t>redacted</w:t>
      </w:r>
      <w:r w:rsidR="00CC6A75" w:rsidRPr="004314B6">
        <w:t>/QALY</w:t>
      </w:r>
      <w:r w:rsidR="000E4F21" w:rsidRPr="004314B6">
        <w:t xml:space="preserve">. </w:t>
      </w:r>
      <w:r w:rsidR="005B71B1" w:rsidRPr="004314B6">
        <w:t>Ho</w:t>
      </w:r>
      <w:r w:rsidR="0048445E" w:rsidRPr="004314B6">
        <w:t xml:space="preserve">wever, the </w:t>
      </w:r>
      <w:r w:rsidR="006E0D38" w:rsidRPr="004314B6">
        <w:t xml:space="preserve">calculated </w:t>
      </w:r>
      <w:r w:rsidR="0048445E" w:rsidRPr="004314B6">
        <w:t>ICER is uncertain</w:t>
      </w:r>
      <w:r w:rsidR="0018526A" w:rsidRPr="004314B6">
        <w:t xml:space="preserve"> as the a</w:t>
      </w:r>
      <w:r w:rsidR="0018526A">
        <w:t>ssumption</w:t>
      </w:r>
      <w:r w:rsidR="005B341B">
        <w:t xml:space="preserve"> </w:t>
      </w:r>
      <w:r w:rsidR="00F077CF">
        <w:t>on</w:t>
      </w:r>
      <w:r w:rsidR="00253164">
        <w:t xml:space="preserve"> the rate of</w:t>
      </w:r>
      <w:r w:rsidR="00F077CF">
        <w:t xml:space="preserve"> device replacement </w:t>
      </w:r>
      <w:r w:rsidR="005B341B">
        <w:t>was conservative</w:t>
      </w:r>
      <w:r w:rsidR="00253164">
        <w:t>,</w:t>
      </w:r>
      <w:r w:rsidR="005B341B">
        <w:t xml:space="preserve"> </w:t>
      </w:r>
      <w:r w:rsidR="00347E26">
        <w:t xml:space="preserve">and </w:t>
      </w:r>
      <w:r w:rsidR="005B341B">
        <w:t xml:space="preserve">a </w:t>
      </w:r>
      <w:r w:rsidR="00E6501E">
        <w:t>comprehensive aftercare cost w</w:t>
      </w:r>
      <w:r w:rsidR="005C0723">
        <w:t>as</w:t>
      </w:r>
      <w:r w:rsidR="00E6501E">
        <w:t xml:space="preserve"> not available</w:t>
      </w:r>
      <w:r w:rsidR="005C0723">
        <w:t xml:space="preserve"> based on the </w:t>
      </w:r>
      <w:r w:rsidR="0080367A">
        <w:t>applicant-conducted</w:t>
      </w:r>
      <w:r w:rsidR="00E6501E">
        <w:t xml:space="preserve"> consultation with </w:t>
      </w:r>
      <w:r w:rsidR="0080367A">
        <w:t xml:space="preserve">the </w:t>
      </w:r>
      <w:r w:rsidR="00E6501E">
        <w:t>Australian hospitals.</w:t>
      </w:r>
      <w:r w:rsidR="007C7AFD" w:rsidRPr="007C7AFD">
        <w:t xml:space="preserve"> </w:t>
      </w:r>
    </w:p>
    <w:p w14:paraId="5121983A" w14:textId="77777777" w:rsidR="00396B29" w:rsidRPr="00AA66F3" w:rsidRDefault="00396B29" w:rsidP="00396B29">
      <w:r w:rsidRPr="00AA66F3">
        <w:t>Of note, the multivariate sensitivity analysis included the following cost inputs:</w:t>
      </w:r>
    </w:p>
    <w:p w14:paraId="10D9BDF8" w14:textId="362D1280" w:rsidR="00396B29" w:rsidRPr="00AA66F3" w:rsidRDefault="00396B29" w:rsidP="00396B29">
      <w:pPr>
        <w:pStyle w:val="Bullet"/>
        <w:rPr>
          <w:rFonts w:ascii="Franklin Gothic Book" w:hAnsi="Franklin Gothic Book"/>
        </w:rPr>
      </w:pPr>
      <w:r w:rsidRPr="00865A3E">
        <w:rPr>
          <w:rFonts w:ascii="Franklin Gothic Book" w:hAnsi="Franklin Gothic Book"/>
        </w:rPr>
        <w:t>C</w:t>
      </w:r>
      <w:r w:rsidRPr="00DE0A48">
        <w:rPr>
          <w:rFonts w:ascii="Franklin Gothic Book" w:hAnsi="Franklin Gothic Book"/>
        </w:rPr>
        <w:t>ost</w:t>
      </w:r>
      <w:r w:rsidRPr="00AA66F3">
        <w:rPr>
          <w:rFonts w:ascii="Franklin Gothic Book" w:hAnsi="Franklin Gothic Book"/>
        </w:rPr>
        <w:t>s</w:t>
      </w:r>
      <w:r w:rsidRPr="00DE0A48">
        <w:rPr>
          <w:rFonts w:ascii="Franklin Gothic Book" w:hAnsi="Franklin Gothic Book"/>
        </w:rPr>
        <w:t xml:space="preserve"> of “other neurological event”</w:t>
      </w:r>
      <w:r w:rsidRPr="00AA66F3">
        <w:rPr>
          <w:rFonts w:ascii="Franklin Gothic Book" w:hAnsi="Franklin Gothic Book"/>
        </w:rPr>
        <w:t xml:space="preserve"> – These costs were listed in the Section 3 LVAD CEA Workbook of MSAC Application 1749 Resubmission </w:t>
      </w:r>
      <w:proofErr w:type="gramStart"/>
      <w:r w:rsidRPr="00AA66F3">
        <w:rPr>
          <w:rFonts w:ascii="Franklin Gothic Book" w:hAnsi="Franklin Gothic Book"/>
        </w:rPr>
        <w:t>ADAR</w:t>
      </w:r>
      <w:proofErr w:type="gramEnd"/>
      <w:r w:rsidRPr="00AA66F3">
        <w:rPr>
          <w:rFonts w:ascii="Franklin Gothic Book" w:hAnsi="Franklin Gothic Book"/>
        </w:rPr>
        <w:t xml:space="preserve"> but they were not included in total disease related cost in the LVAD arm. Omission of these costs underestimated the disease related costs in the LVAD arm.</w:t>
      </w:r>
    </w:p>
    <w:p w14:paraId="211705C3" w14:textId="27E5B192" w:rsidR="00396B29" w:rsidRDefault="00396B29" w:rsidP="009E212B">
      <w:pPr>
        <w:pStyle w:val="Bullet"/>
      </w:pPr>
      <w:r w:rsidRPr="00AA66F3">
        <w:rPr>
          <w:rFonts w:ascii="Franklin Gothic Book" w:hAnsi="Franklin Gothic Book"/>
        </w:rPr>
        <w:t>Costs of antihypertensive medications – The total cost of antihypertensive medications was underestimated as the sum presented in the Section 3 LVAD CEA Workbook of MSAC Application 1749 Resubmission ADAR was based on 356.25 days.</w:t>
      </w:r>
    </w:p>
    <w:p w14:paraId="0C386D39" w14:textId="10B2BF59" w:rsidR="0075026E" w:rsidRPr="00CE28E3" w:rsidRDefault="0075026E" w:rsidP="0075026E">
      <w:pPr>
        <w:pStyle w:val="Heading2"/>
        <w:numPr>
          <w:ilvl w:val="0"/>
          <w:numId w:val="0"/>
        </w:numPr>
      </w:pPr>
      <w:bookmarkStart w:id="58" w:name="_Toc69491426"/>
      <w:bookmarkEnd w:id="56"/>
      <w:r>
        <w:t>1</w:t>
      </w:r>
      <w:r w:rsidR="00E33F73">
        <w:t>4</w:t>
      </w:r>
      <w:r>
        <w:t>.</w:t>
      </w:r>
      <w:r>
        <w:tab/>
      </w:r>
      <w:r w:rsidRPr="00CE28E3">
        <w:t>Financial/budgetary impacts</w:t>
      </w:r>
      <w:bookmarkEnd w:id="58"/>
    </w:p>
    <w:p w14:paraId="6BC2E172" w14:textId="3381118E" w:rsidR="0075026E" w:rsidRDefault="0075026E" w:rsidP="0075026E">
      <w:r>
        <w:t xml:space="preserve">The resubmission </w:t>
      </w:r>
      <w:r w:rsidR="00A9619C">
        <w:t xml:space="preserve">ADAR </w:t>
      </w:r>
      <w:r>
        <w:t xml:space="preserve">presented revisions to the financial analysis in response to MSAC advice at the April 2024 Meeting. </w:t>
      </w:r>
    </w:p>
    <w:p w14:paraId="229A2116" w14:textId="4BDBC7DD" w:rsidR="0074591A" w:rsidRDefault="0075026E" w:rsidP="0074591A">
      <w:r w:rsidRPr="00766BF6">
        <w:t>In the original submission</w:t>
      </w:r>
      <w:r w:rsidR="00CE3103" w:rsidRPr="00766BF6">
        <w:t xml:space="preserve"> ADAR</w:t>
      </w:r>
      <w:r w:rsidRPr="00766BF6">
        <w:t xml:space="preserve">, the combined costs of disease and device related complications were excluded </w:t>
      </w:r>
      <w:r w:rsidR="00B04A9C" w:rsidRPr="0079297C">
        <w:t>from</w:t>
      </w:r>
      <w:r w:rsidR="00B04A9C" w:rsidRPr="00766BF6">
        <w:t xml:space="preserve"> </w:t>
      </w:r>
      <w:r w:rsidRPr="00766BF6">
        <w:t>the financial analysis</w:t>
      </w:r>
      <w:r w:rsidR="00762CF8" w:rsidRPr="0079297C">
        <w:t>.</w:t>
      </w:r>
      <w:r w:rsidR="003D6950" w:rsidRPr="0079297C">
        <w:t xml:space="preserve"> </w:t>
      </w:r>
      <w:r w:rsidRPr="00766BF6">
        <w:t>In the resubmission</w:t>
      </w:r>
      <w:r w:rsidR="00E014E7" w:rsidRPr="00766BF6">
        <w:t xml:space="preserve"> ADAR</w:t>
      </w:r>
      <w:r w:rsidRPr="00766BF6">
        <w:t>, these costs were considered. A sensitivity analysis</w:t>
      </w:r>
      <w:r>
        <w:t xml:space="preserve"> was conducted in the resubmission </w:t>
      </w:r>
      <w:r w:rsidR="00E014E7">
        <w:t xml:space="preserve">ADAR </w:t>
      </w:r>
      <w:r>
        <w:t>which assigns device and disease related costs to either private insurers or public hospitals.</w:t>
      </w:r>
      <w:r w:rsidRPr="00A87186">
        <w:t xml:space="preserve"> </w:t>
      </w:r>
      <w:r>
        <w:t xml:space="preserve">Disease and device related complications are assumed to be incurred by either public or private hospitals (and hence private insurers) as these were classified as Common Terminology Criteria for Adverse Events (CTACAE) grade 3 (or greater) events in the MOMENTUM 3 trial which result in inpatient hospitalisation. It was unclear what proportion of complications would be assigned to either payer, hence a sensitivity analysis was conducted </w:t>
      </w:r>
      <w:r w:rsidR="00BE6BDA">
        <w:t>with the assumption of</w:t>
      </w:r>
      <w:r>
        <w:t xml:space="preserve"> 100% of these costs are incurred by private insurers or public hospitals in order to demonstrate </w:t>
      </w:r>
      <w:r w:rsidR="00A91C82">
        <w:t xml:space="preserve">the maximum cost that maybe incurred by </w:t>
      </w:r>
      <w:r>
        <w:t>either payer.</w:t>
      </w:r>
      <w:r>
        <w:fldChar w:fldCharType="begin"/>
      </w:r>
      <w:r>
        <w:instrText xml:space="preserve"> REF _Ref178322720 \h </w:instrText>
      </w:r>
      <w:r w:rsidR="00A9079E">
        <w:instrText xml:space="preserve"> \* MERGEFORMAT </w:instrText>
      </w:r>
      <w:r>
        <w:fldChar w:fldCharType="separate"/>
      </w:r>
    </w:p>
    <w:p w14:paraId="2FAC9E1C" w14:textId="4F109EC5" w:rsidR="001A66EE" w:rsidRDefault="0074591A" w:rsidP="0074591A">
      <w:r>
        <w:t>Table</w:t>
      </w:r>
      <w:r>
        <w:rPr>
          <w:noProof/>
        </w:rPr>
        <w:t xml:space="preserve"> 13</w:t>
      </w:r>
      <w:r w:rsidR="0075026E">
        <w:fldChar w:fldCharType="end"/>
      </w:r>
      <w:r w:rsidR="0075026E">
        <w:t xml:space="preserve"> outlines the cost assumptions applied in the financial impact of listing </w:t>
      </w:r>
      <w:r w:rsidR="00596728">
        <w:t>L</w:t>
      </w:r>
      <w:r w:rsidR="00ED6CA5">
        <w:t>VAD</w:t>
      </w:r>
      <w:r w:rsidR="0075026E">
        <w:t xml:space="preserve"> as DT to various healthcare payers.</w:t>
      </w:r>
      <w:bookmarkStart w:id="59" w:name="_Ref178322720"/>
    </w:p>
    <w:p w14:paraId="7CAEF32A" w14:textId="34A3925C" w:rsidR="0075026E" w:rsidRDefault="0075026E" w:rsidP="00AB704A">
      <w:pPr>
        <w:pStyle w:val="TableHeading0"/>
        <w:keepNext/>
        <w:keepLines/>
      </w:pPr>
      <w:bookmarkStart w:id="60" w:name="_Ref181096692"/>
      <w:r>
        <w:lastRenderedPageBreak/>
        <w:t xml:space="preserve">Table </w:t>
      </w:r>
      <w:r w:rsidR="006461F2">
        <w:fldChar w:fldCharType="begin"/>
      </w:r>
      <w:r w:rsidR="006461F2">
        <w:instrText xml:space="preserve"> SEQ Table \* ARABIC </w:instrText>
      </w:r>
      <w:r w:rsidR="006461F2">
        <w:fldChar w:fldCharType="separate"/>
      </w:r>
      <w:r w:rsidR="006461F2">
        <w:rPr>
          <w:noProof/>
        </w:rPr>
        <w:t>15</w:t>
      </w:r>
      <w:r w:rsidR="006461F2">
        <w:rPr>
          <w:noProof/>
        </w:rPr>
        <w:fldChar w:fldCharType="end"/>
      </w:r>
      <w:bookmarkEnd w:id="59"/>
      <w:bookmarkEnd w:id="60"/>
      <w:r w:rsidRPr="00C37FFB">
        <w:t xml:space="preserve"> </w:t>
      </w:r>
      <w:r>
        <w:t>Data sources and parameter values applied in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929"/>
        <w:gridCol w:w="1533"/>
        <w:gridCol w:w="1533"/>
        <w:gridCol w:w="2411"/>
      </w:tblGrid>
      <w:tr w:rsidR="0075026E" w14:paraId="179B400D" w14:textId="77777777" w:rsidTr="5327BA16">
        <w:trPr>
          <w:cantSplit/>
          <w:trHeight w:val="485"/>
        </w:trPr>
        <w:tc>
          <w:tcPr>
            <w:tcW w:w="893" w:type="pct"/>
            <w:tcBorders>
              <w:top w:val="single" w:sz="4" w:space="0" w:color="auto"/>
              <w:left w:val="single" w:sz="4" w:space="0" w:color="auto"/>
              <w:bottom w:val="single" w:sz="4" w:space="0" w:color="auto"/>
              <w:right w:val="single" w:sz="4" w:space="0" w:color="auto"/>
            </w:tcBorders>
            <w:hideMark/>
          </w:tcPr>
          <w:p w14:paraId="5EB39083" w14:textId="77777777" w:rsidR="0075026E" w:rsidRDefault="0075026E" w:rsidP="00AB704A">
            <w:pPr>
              <w:pStyle w:val="TableHeadingCA"/>
              <w:keepNext/>
              <w:keepLines/>
              <w:spacing w:before="0" w:after="0"/>
            </w:pPr>
            <w:r>
              <w:t>Relevant payer</w:t>
            </w:r>
          </w:p>
        </w:tc>
        <w:tc>
          <w:tcPr>
            <w:tcW w:w="1070" w:type="pct"/>
            <w:tcBorders>
              <w:top w:val="single" w:sz="4" w:space="0" w:color="auto"/>
              <w:left w:val="single" w:sz="4" w:space="0" w:color="auto"/>
              <w:bottom w:val="single" w:sz="4" w:space="0" w:color="auto"/>
              <w:right w:val="single" w:sz="4" w:space="0" w:color="auto"/>
            </w:tcBorders>
            <w:hideMark/>
          </w:tcPr>
          <w:p w14:paraId="29BBCDFA" w14:textId="77777777" w:rsidR="0075026E" w:rsidRDefault="0075026E" w:rsidP="00AB704A">
            <w:pPr>
              <w:pStyle w:val="TableHeadingCA"/>
              <w:keepNext/>
              <w:keepLines/>
              <w:spacing w:before="0" w:after="0"/>
            </w:pPr>
            <w:r>
              <w:t>Cost components</w:t>
            </w:r>
          </w:p>
        </w:tc>
        <w:tc>
          <w:tcPr>
            <w:tcW w:w="850" w:type="pct"/>
            <w:tcBorders>
              <w:top w:val="single" w:sz="4" w:space="0" w:color="auto"/>
              <w:left w:val="single" w:sz="4" w:space="0" w:color="auto"/>
              <w:bottom w:val="single" w:sz="4" w:space="0" w:color="auto"/>
              <w:right w:val="single" w:sz="4" w:space="0" w:color="auto"/>
            </w:tcBorders>
            <w:hideMark/>
          </w:tcPr>
          <w:p w14:paraId="24D9C83D" w14:textId="173E75C8" w:rsidR="0075026E" w:rsidRPr="0079297C" w:rsidRDefault="0075026E" w:rsidP="00AB704A">
            <w:pPr>
              <w:pStyle w:val="TableHeadingCA"/>
              <w:keepNext/>
              <w:keepLines/>
              <w:spacing w:before="0" w:after="0"/>
              <w:rPr>
                <w:vertAlign w:val="superscript"/>
              </w:rPr>
            </w:pPr>
            <w:r>
              <w:t>Value in original submission</w:t>
            </w:r>
            <w:r w:rsidR="002C086B">
              <w:t xml:space="preserve"> ADAR</w:t>
            </w:r>
          </w:p>
        </w:tc>
        <w:tc>
          <w:tcPr>
            <w:tcW w:w="850" w:type="pct"/>
            <w:tcBorders>
              <w:top w:val="single" w:sz="4" w:space="0" w:color="auto"/>
              <w:left w:val="single" w:sz="4" w:space="0" w:color="auto"/>
              <w:bottom w:val="single" w:sz="4" w:space="0" w:color="auto"/>
              <w:right w:val="single" w:sz="4" w:space="0" w:color="auto"/>
            </w:tcBorders>
          </w:tcPr>
          <w:p w14:paraId="51E38C86" w14:textId="03EBAA6F" w:rsidR="0075026E" w:rsidRPr="00C37FFB" w:rsidRDefault="0075026E" w:rsidP="00AB704A">
            <w:pPr>
              <w:pStyle w:val="TableHeadingCA"/>
              <w:keepNext/>
              <w:keepLines/>
              <w:spacing w:before="0" w:after="0"/>
            </w:pPr>
            <w:r w:rsidRPr="00C37FFB">
              <w:t>Value in resubmission</w:t>
            </w:r>
            <w:r w:rsidR="002C086B">
              <w:t xml:space="preserve"> ADAR</w:t>
            </w:r>
          </w:p>
        </w:tc>
        <w:tc>
          <w:tcPr>
            <w:tcW w:w="1337" w:type="pct"/>
            <w:tcBorders>
              <w:top w:val="single" w:sz="4" w:space="0" w:color="auto"/>
              <w:left w:val="single" w:sz="4" w:space="0" w:color="auto"/>
              <w:bottom w:val="single" w:sz="4" w:space="0" w:color="auto"/>
              <w:right w:val="single" w:sz="4" w:space="0" w:color="auto"/>
            </w:tcBorders>
          </w:tcPr>
          <w:p w14:paraId="2192CBA5" w14:textId="77777777" w:rsidR="0075026E" w:rsidRPr="004F22F9" w:rsidRDefault="0075026E" w:rsidP="00AB704A">
            <w:pPr>
              <w:pStyle w:val="TableHeadingCA"/>
              <w:keepNext/>
              <w:keepLines/>
              <w:spacing w:before="0" w:after="0"/>
              <w:rPr>
                <w:i/>
                <w:iCs/>
              </w:rPr>
            </w:pPr>
            <w:r w:rsidRPr="004F22F9">
              <w:rPr>
                <w:i/>
                <w:iCs/>
              </w:rPr>
              <w:t>Commentary</w:t>
            </w:r>
          </w:p>
        </w:tc>
      </w:tr>
      <w:tr w:rsidR="0075026E" w14:paraId="09622AC1" w14:textId="77777777" w:rsidTr="5327BA16">
        <w:trPr>
          <w:cantSplit/>
          <w:trHeight w:val="474"/>
        </w:trPr>
        <w:tc>
          <w:tcPr>
            <w:tcW w:w="893" w:type="pct"/>
            <w:vMerge w:val="restart"/>
            <w:tcBorders>
              <w:top w:val="single" w:sz="4" w:space="0" w:color="auto"/>
              <w:left w:val="single" w:sz="4" w:space="0" w:color="auto"/>
              <w:bottom w:val="single" w:sz="4" w:space="0" w:color="auto"/>
              <w:right w:val="single" w:sz="4" w:space="0" w:color="auto"/>
            </w:tcBorders>
            <w:hideMark/>
          </w:tcPr>
          <w:p w14:paraId="39F4F4A9" w14:textId="77777777" w:rsidR="0075026E" w:rsidRDefault="0075026E" w:rsidP="00AB704A">
            <w:pPr>
              <w:pStyle w:val="Tabletext0"/>
              <w:keepNext/>
              <w:keepLines/>
              <w:spacing w:before="0" w:after="0"/>
            </w:pPr>
            <w:r>
              <w:t>MBS</w:t>
            </w:r>
          </w:p>
        </w:tc>
        <w:tc>
          <w:tcPr>
            <w:tcW w:w="1070" w:type="pct"/>
            <w:tcBorders>
              <w:top w:val="single" w:sz="4" w:space="0" w:color="auto"/>
              <w:left w:val="single" w:sz="4" w:space="0" w:color="auto"/>
              <w:bottom w:val="single" w:sz="4" w:space="0" w:color="auto"/>
              <w:right w:val="single" w:sz="4" w:space="0" w:color="auto"/>
            </w:tcBorders>
            <w:hideMark/>
          </w:tcPr>
          <w:p w14:paraId="055ACB3E" w14:textId="58935D8E" w:rsidR="0075026E" w:rsidRPr="00AB1291" w:rsidRDefault="00596728" w:rsidP="00AB704A">
            <w:pPr>
              <w:pStyle w:val="Tabletext0"/>
              <w:keepNext/>
              <w:keepLines/>
              <w:spacing w:before="0" w:after="0"/>
              <w:rPr>
                <w:vertAlign w:val="superscript"/>
              </w:rPr>
            </w:pPr>
            <w:r>
              <w:t>L</w:t>
            </w:r>
            <w:r w:rsidR="00ED6CA5">
              <w:t>VAD</w:t>
            </w:r>
            <w:r w:rsidR="0075026E">
              <w:t xml:space="preserve"> </w:t>
            </w:r>
            <w:proofErr w:type="spellStart"/>
            <w:r w:rsidR="0075026E">
              <w:t>procedure</w:t>
            </w:r>
            <w:r w:rsidR="00AB1291">
              <w:rPr>
                <w:vertAlign w:val="superscript"/>
              </w:rPr>
              <w:t>a</w:t>
            </w:r>
            <w:proofErr w:type="spellEnd"/>
          </w:p>
        </w:tc>
        <w:tc>
          <w:tcPr>
            <w:tcW w:w="850" w:type="pct"/>
            <w:tcBorders>
              <w:top w:val="single" w:sz="4" w:space="0" w:color="auto"/>
              <w:left w:val="single" w:sz="4" w:space="0" w:color="auto"/>
              <w:bottom w:val="single" w:sz="4" w:space="0" w:color="auto"/>
              <w:right w:val="single" w:sz="4" w:space="0" w:color="auto"/>
            </w:tcBorders>
            <w:hideMark/>
          </w:tcPr>
          <w:p w14:paraId="2F8973ED" w14:textId="5D7902BC" w:rsidR="00612DCD" w:rsidRDefault="0075026E" w:rsidP="00AB704A">
            <w:pPr>
              <w:pStyle w:val="Tabletext0"/>
              <w:keepNext/>
              <w:keepLines/>
              <w:spacing w:before="0" w:after="0"/>
            </w:pPr>
            <w:r>
              <w:t>$2,846.06</w:t>
            </w:r>
          </w:p>
          <w:p w14:paraId="0733C6D2" w14:textId="11A98614" w:rsidR="0075026E" w:rsidRDefault="0075026E" w:rsidP="00AB704A">
            <w:pPr>
              <w:pStyle w:val="Tabletext0"/>
              <w:keepNext/>
              <w:keepLines/>
              <w:spacing w:before="0" w:after="0"/>
              <w:jc w:val="left"/>
            </w:pPr>
            <w:r>
              <w:t>(cost per procedure)</w:t>
            </w:r>
          </w:p>
        </w:tc>
        <w:tc>
          <w:tcPr>
            <w:tcW w:w="850" w:type="pct"/>
            <w:tcBorders>
              <w:top w:val="single" w:sz="4" w:space="0" w:color="auto"/>
              <w:left w:val="single" w:sz="4" w:space="0" w:color="auto"/>
              <w:bottom w:val="single" w:sz="4" w:space="0" w:color="auto"/>
              <w:right w:val="single" w:sz="4" w:space="0" w:color="auto"/>
            </w:tcBorders>
          </w:tcPr>
          <w:p w14:paraId="2E30D216" w14:textId="77777777" w:rsidR="00612DCD" w:rsidRDefault="0075026E" w:rsidP="00AB704A">
            <w:pPr>
              <w:pStyle w:val="Tabletext0"/>
              <w:keepNext/>
              <w:keepLines/>
              <w:spacing w:before="0" w:after="0"/>
            </w:pPr>
            <w:r w:rsidRPr="00C37FFB">
              <w:t xml:space="preserve">$2,846.06 </w:t>
            </w:r>
          </w:p>
          <w:p w14:paraId="685F09BA" w14:textId="0C47811C" w:rsidR="0075026E" w:rsidRPr="00C37FFB" w:rsidRDefault="0075026E" w:rsidP="00AB704A">
            <w:pPr>
              <w:pStyle w:val="Tabletext0"/>
              <w:keepNext/>
              <w:keepLines/>
              <w:spacing w:before="0" w:after="0"/>
              <w:jc w:val="left"/>
            </w:pPr>
            <w:r>
              <w:t>(cost per procedure)</w:t>
            </w:r>
          </w:p>
        </w:tc>
        <w:tc>
          <w:tcPr>
            <w:tcW w:w="1337" w:type="pct"/>
            <w:tcBorders>
              <w:top w:val="single" w:sz="4" w:space="0" w:color="auto"/>
              <w:left w:val="single" w:sz="4" w:space="0" w:color="auto"/>
              <w:bottom w:val="single" w:sz="4" w:space="0" w:color="auto"/>
              <w:right w:val="single" w:sz="4" w:space="0" w:color="auto"/>
            </w:tcBorders>
          </w:tcPr>
          <w:p w14:paraId="56EAD109" w14:textId="066AC323" w:rsidR="0075026E" w:rsidRPr="004F22F9" w:rsidRDefault="0075026E" w:rsidP="00AB704A">
            <w:pPr>
              <w:pStyle w:val="Tabletext0"/>
              <w:keepNext/>
              <w:keepLines/>
              <w:spacing w:before="0" w:after="0"/>
              <w:rPr>
                <w:i/>
                <w:iCs/>
              </w:rPr>
            </w:pPr>
            <w:r w:rsidRPr="004F22F9">
              <w:rPr>
                <w:i/>
                <w:iCs/>
              </w:rPr>
              <w:t>This</w:t>
            </w:r>
            <w:r w:rsidR="00227C89" w:rsidRPr="0079297C">
              <w:rPr>
                <w:i/>
                <w:iCs/>
              </w:rPr>
              <w:t xml:space="preserve"> resubmission ADAR did not update the LVAD procedure cost using the</w:t>
            </w:r>
            <w:r w:rsidRPr="004F22F9">
              <w:rPr>
                <w:i/>
                <w:iCs/>
              </w:rPr>
              <w:t xml:space="preserve"> current MBS </w:t>
            </w:r>
            <w:proofErr w:type="spellStart"/>
            <w:r w:rsidRPr="004F22F9">
              <w:rPr>
                <w:i/>
                <w:iCs/>
              </w:rPr>
              <w:t>fee</w:t>
            </w:r>
            <w:r w:rsidR="006E2A9B">
              <w:rPr>
                <w:i/>
                <w:iCs/>
                <w:vertAlign w:val="superscript"/>
              </w:rPr>
              <w:t>b</w:t>
            </w:r>
            <w:proofErr w:type="spellEnd"/>
            <w:r w:rsidRPr="004F22F9">
              <w:rPr>
                <w:i/>
                <w:iCs/>
              </w:rPr>
              <w:t xml:space="preserve">. </w:t>
            </w:r>
            <w:r w:rsidR="002F32BE" w:rsidRPr="0079297C">
              <w:rPr>
                <w:i/>
                <w:iCs/>
              </w:rPr>
              <w:t xml:space="preserve">Using the current MBS fee, the cost to MBS was calculated to be </w:t>
            </w:r>
            <w:r w:rsidR="005F7592" w:rsidRPr="0079297C">
              <w:rPr>
                <w:i/>
                <w:iCs/>
              </w:rPr>
              <w:t>$2,959.36</w:t>
            </w:r>
            <w:r w:rsidR="001C5F33" w:rsidRPr="0079297C">
              <w:rPr>
                <w:i/>
                <w:iCs/>
              </w:rPr>
              <w:t xml:space="preserve">, which was a slight increase from </w:t>
            </w:r>
            <w:r w:rsidR="00E760DF" w:rsidRPr="0079297C">
              <w:rPr>
                <w:i/>
                <w:iCs/>
              </w:rPr>
              <w:t xml:space="preserve">the </w:t>
            </w:r>
            <w:r w:rsidR="003972AD" w:rsidRPr="0079297C">
              <w:rPr>
                <w:i/>
                <w:iCs/>
              </w:rPr>
              <w:t xml:space="preserve">value in </w:t>
            </w:r>
            <w:r w:rsidR="001C5F33" w:rsidRPr="0079297C">
              <w:rPr>
                <w:i/>
                <w:iCs/>
              </w:rPr>
              <w:t>original submission ADAR.</w:t>
            </w:r>
          </w:p>
        </w:tc>
      </w:tr>
      <w:tr w:rsidR="0075026E" w14:paraId="311C0D54" w14:textId="77777777" w:rsidTr="5327BA16">
        <w:trPr>
          <w:cantSplit/>
          <w:trHeight w:val="474"/>
        </w:trPr>
        <w:tc>
          <w:tcPr>
            <w:tcW w:w="893" w:type="pct"/>
            <w:vMerge/>
            <w:vAlign w:val="center"/>
            <w:hideMark/>
          </w:tcPr>
          <w:p w14:paraId="160ED17B" w14:textId="77777777" w:rsidR="0075026E" w:rsidRDefault="0075026E" w:rsidP="00AB704A">
            <w:pPr>
              <w:pStyle w:val="Tabletext0"/>
              <w:spacing w:before="0" w:after="0"/>
            </w:pPr>
          </w:p>
        </w:tc>
        <w:tc>
          <w:tcPr>
            <w:tcW w:w="1070" w:type="pct"/>
            <w:tcBorders>
              <w:top w:val="single" w:sz="4" w:space="0" w:color="auto"/>
              <w:left w:val="single" w:sz="4" w:space="0" w:color="auto"/>
              <w:bottom w:val="single" w:sz="4" w:space="0" w:color="auto"/>
              <w:right w:val="single" w:sz="4" w:space="0" w:color="auto"/>
            </w:tcBorders>
            <w:hideMark/>
          </w:tcPr>
          <w:p w14:paraId="51872B55" w14:textId="7024434A" w:rsidR="0075026E" w:rsidRPr="00C22BC7" w:rsidRDefault="0075026E" w:rsidP="00AB704A">
            <w:pPr>
              <w:pStyle w:val="Tabletext0"/>
              <w:spacing w:before="0" w:after="0"/>
              <w:rPr>
                <w:vertAlign w:val="superscript"/>
              </w:rPr>
            </w:pPr>
            <w:r>
              <w:t xml:space="preserve">Incremental costs of ongoing management in </w:t>
            </w:r>
            <w:r w:rsidR="00596728">
              <w:t>L</w:t>
            </w:r>
            <w:r w:rsidR="00ED6CA5">
              <w:t>VAD</w:t>
            </w:r>
            <w:r>
              <w:t xml:space="preserve"> patients versus OMM </w:t>
            </w:r>
            <w:proofErr w:type="spellStart"/>
            <w:r>
              <w:t>patients</w:t>
            </w:r>
            <w:r w:rsidR="00AB1291">
              <w:rPr>
                <w:vertAlign w:val="superscript"/>
              </w:rPr>
              <w:t>c</w:t>
            </w:r>
            <w:proofErr w:type="spellEnd"/>
          </w:p>
        </w:tc>
        <w:tc>
          <w:tcPr>
            <w:tcW w:w="850" w:type="pct"/>
            <w:tcBorders>
              <w:top w:val="single" w:sz="4" w:space="0" w:color="auto"/>
              <w:left w:val="single" w:sz="4" w:space="0" w:color="auto"/>
              <w:bottom w:val="single" w:sz="4" w:space="0" w:color="auto"/>
              <w:right w:val="single" w:sz="4" w:space="0" w:color="auto"/>
            </w:tcBorders>
            <w:hideMark/>
          </w:tcPr>
          <w:p w14:paraId="499638F1" w14:textId="77777777" w:rsidR="0075026E" w:rsidRDefault="0075026E" w:rsidP="00AB704A">
            <w:pPr>
              <w:pStyle w:val="Tabletext0"/>
              <w:spacing w:before="0" w:after="0"/>
            </w:pPr>
            <w:r w:rsidRPr="00C37FFB">
              <w:t>$3,290.91</w:t>
            </w:r>
          </w:p>
        </w:tc>
        <w:tc>
          <w:tcPr>
            <w:tcW w:w="850" w:type="pct"/>
            <w:tcBorders>
              <w:top w:val="single" w:sz="4" w:space="0" w:color="auto"/>
              <w:left w:val="single" w:sz="4" w:space="0" w:color="auto"/>
              <w:bottom w:val="single" w:sz="4" w:space="0" w:color="auto"/>
              <w:right w:val="single" w:sz="4" w:space="0" w:color="auto"/>
            </w:tcBorders>
          </w:tcPr>
          <w:p w14:paraId="23133FF5" w14:textId="77777777" w:rsidR="0075026E" w:rsidRPr="00C37FFB" w:rsidRDefault="0075026E" w:rsidP="00AB704A">
            <w:pPr>
              <w:pStyle w:val="Tabletext0"/>
              <w:spacing w:before="0" w:after="0"/>
            </w:pPr>
            <w:r w:rsidRPr="00C37FFB">
              <w:t>$3,909.25</w:t>
            </w:r>
          </w:p>
        </w:tc>
        <w:tc>
          <w:tcPr>
            <w:tcW w:w="1337" w:type="pct"/>
            <w:tcBorders>
              <w:top w:val="single" w:sz="4" w:space="0" w:color="auto"/>
              <w:left w:val="single" w:sz="4" w:space="0" w:color="auto"/>
              <w:bottom w:val="single" w:sz="4" w:space="0" w:color="auto"/>
              <w:right w:val="single" w:sz="4" w:space="0" w:color="auto"/>
            </w:tcBorders>
          </w:tcPr>
          <w:p w14:paraId="34895BA4" w14:textId="77777777" w:rsidR="0075026E" w:rsidRDefault="0075026E" w:rsidP="00AB704A">
            <w:pPr>
              <w:pStyle w:val="Tabletext0"/>
              <w:spacing w:before="0" w:after="0"/>
              <w:rPr>
                <w:i/>
                <w:iCs/>
              </w:rPr>
            </w:pPr>
            <w:r w:rsidRPr="00C37FFB">
              <w:rPr>
                <w:i/>
                <w:iCs/>
              </w:rPr>
              <w:t>Increased</w:t>
            </w:r>
            <w:r>
              <w:rPr>
                <w:i/>
                <w:iCs/>
              </w:rPr>
              <w:t>.</w:t>
            </w:r>
          </w:p>
          <w:p w14:paraId="148D80EA" w14:textId="77777777" w:rsidR="0075026E" w:rsidRDefault="0075026E" w:rsidP="00AB704A">
            <w:pPr>
              <w:pStyle w:val="Tabletext0"/>
              <w:spacing w:before="0" w:after="0"/>
              <w:rPr>
                <w:i/>
                <w:iCs/>
              </w:rPr>
            </w:pPr>
          </w:p>
          <w:p w14:paraId="13975EC9" w14:textId="77777777" w:rsidR="0075026E" w:rsidRPr="00C37FFB" w:rsidRDefault="0075026E" w:rsidP="00AB704A">
            <w:pPr>
              <w:pStyle w:val="Tabletext0"/>
              <w:spacing w:before="0" w:after="0"/>
              <w:rPr>
                <w:i/>
                <w:iCs/>
              </w:rPr>
            </w:pPr>
            <w:r>
              <w:rPr>
                <w:i/>
                <w:iCs/>
              </w:rPr>
              <w:t>This is appropriate as the costs were updated as per current MBS fee (update 1</w:t>
            </w:r>
            <w:r w:rsidRPr="00FB5B51">
              <w:rPr>
                <w:i/>
                <w:iCs/>
                <w:vertAlign w:val="superscript"/>
              </w:rPr>
              <w:t>st</w:t>
            </w:r>
            <w:r>
              <w:rPr>
                <w:i/>
                <w:iCs/>
              </w:rPr>
              <w:t xml:space="preserve"> July 2024) </w:t>
            </w:r>
          </w:p>
        </w:tc>
      </w:tr>
      <w:tr w:rsidR="0075026E" w14:paraId="27FC0776" w14:textId="77777777" w:rsidTr="5327BA16">
        <w:trPr>
          <w:cantSplit/>
          <w:trHeight w:val="167"/>
        </w:trPr>
        <w:tc>
          <w:tcPr>
            <w:tcW w:w="893" w:type="pct"/>
            <w:vMerge/>
            <w:vAlign w:val="center"/>
            <w:hideMark/>
          </w:tcPr>
          <w:p w14:paraId="1C380DDC" w14:textId="77777777" w:rsidR="0075026E" w:rsidRDefault="0075026E" w:rsidP="00AB704A">
            <w:pPr>
              <w:pStyle w:val="Tabletext0"/>
              <w:spacing w:before="0" w:after="0"/>
            </w:pPr>
          </w:p>
        </w:tc>
        <w:tc>
          <w:tcPr>
            <w:tcW w:w="1070" w:type="pct"/>
            <w:tcBorders>
              <w:top w:val="single" w:sz="4" w:space="0" w:color="auto"/>
              <w:left w:val="single" w:sz="4" w:space="0" w:color="auto"/>
              <w:bottom w:val="single" w:sz="4" w:space="0" w:color="auto"/>
              <w:right w:val="single" w:sz="4" w:space="0" w:color="auto"/>
            </w:tcBorders>
            <w:hideMark/>
          </w:tcPr>
          <w:p w14:paraId="2D786932" w14:textId="77777777" w:rsidR="0075026E" w:rsidRDefault="0075026E" w:rsidP="00AB704A">
            <w:pPr>
              <w:pStyle w:val="Tabletext0"/>
              <w:spacing w:before="0" w:after="0"/>
            </w:pPr>
            <w:r>
              <w:t>Total</w:t>
            </w:r>
          </w:p>
        </w:tc>
        <w:tc>
          <w:tcPr>
            <w:tcW w:w="850" w:type="pct"/>
            <w:tcBorders>
              <w:top w:val="single" w:sz="4" w:space="0" w:color="auto"/>
              <w:left w:val="single" w:sz="4" w:space="0" w:color="auto"/>
              <w:bottom w:val="single" w:sz="4" w:space="0" w:color="auto"/>
              <w:right w:val="single" w:sz="4" w:space="0" w:color="auto"/>
            </w:tcBorders>
            <w:hideMark/>
          </w:tcPr>
          <w:p w14:paraId="7F686672" w14:textId="77777777" w:rsidR="0075026E" w:rsidRDefault="0075026E" w:rsidP="00AB704A">
            <w:pPr>
              <w:pStyle w:val="Tabletext0"/>
              <w:spacing w:before="0" w:after="0"/>
            </w:pPr>
            <w:r>
              <w:t>$6,136.96</w:t>
            </w:r>
          </w:p>
        </w:tc>
        <w:tc>
          <w:tcPr>
            <w:tcW w:w="850" w:type="pct"/>
            <w:tcBorders>
              <w:top w:val="single" w:sz="4" w:space="0" w:color="auto"/>
              <w:left w:val="single" w:sz="4" w:space="0" w:color="auto"/>
              <w:bottom w:val="single" w:sz="4" w:space="0" w:color="auto"/>
              <w:right w:val="single" w:sz="4" w:space="0" w:color="auto"/>
            </w:tcBorders>
          </w:tcPr>
          <w:p w14:paraId="632F27F6" w14:textId="77777777" w:rsidR="0075026E" w:rsidRPr="00C37FFB" w:rsidRDefault="0075026E" w:rsidP="00AB704A">
            <w:pPr>
              <w:pStyle w:val="Tabletext0"/>
              <w:spacing w:before="0" w:after="0"/>
            </w:pPr>
            <w:r w:rsidRPr="00C37FFB">
              <w:t>$6,755.31</w:t>
            </w:r>
          </w:p>
        </w:tc>
        <w:tc>
          <w:tcPr>
            <w:tcW w:w="1337" w:type="pct"/>
            <w:tcBorders>
              <w:top w:val="single" w:sz="4" w:space="0" w:color="auto"/>
              <w:left w:val="single" w:sz="4" w:space="0" w:color="auto"/>
              <w:bottom w:val="single" w:sz="4" w:space="0" w:color="auto"/>
              <w:right w:val="single" w:sz="4" w:space="0" w:color="auto"/>
            </w:tcBorders>
          </w:tcPr>
          <w:p w14:paraId="231CEEA5" w14:textId="77777777" w:rsidR="0075026E" w:rsidRPr="00C37FFB" w:rsidRDefault="0075026E" w:rsidP="00AB704A">
            <w:pPr>
              <w:pStyle w:val="Tabletext0"/>
              <w:spacing w:before="0" w:after="0"/>
              <w:rPr>
                <w:i/>
                <w:iCs/>
              </w:rPr>
            </w:pPr>
            <w:r>
              <w:rPr>
                <w:i/>
                <w:iCs/>
              </w:rPr>
              <w:t>Increased.</w:t>
            </w:r>
          </w:p>
        </w:tc>
      </w:tr>
      <w:tr w:rsidR="0075026E" w14:paraId="6715D779" w14:textId="77777777" w:rsidTr="5327BA16">
        <w:trPr>
          <w:cantSplit/>
          <w:trHeight w:val="474"/>
        </w:trPr>
        <w:tc>
          <w:tcPr>
            <w:tcW w:w="893" w:type="pct"/>
            <w:tcBorders>
              <w:top w:val="single" w:sz="4" w:space="0" w:color="auto"/>
              <w:left w:val="single" w:sz="4" w:space="0" w:color="auto"/>
              <w:bottom w:val="single" w:sz="4" w:space="0" w:color="auto"/>
              <w:right w:val="single" w:sz="4" w:space="0" w:color="auto"/>
            </w:tcBorders>
            <w:hideMark/>
          </w:tcPr>
          <w:p w14:paraId="0AB6F357" w14:textId="77777777" w:rsidR="0075026E" w:rsidRDefault="0075026E" w:rsidP="00AB704A">
            <w:pPr>
              <w:pStyle w:val="Tabletext0"/>
              <w:spacing w:before="0" w:after="0"/>
            </w:pPr>
            <w:r>
              <w:t>PBS</w:t>
            </w:r>
          </w:p>
        </w:tc>
        <w:tc>
          <w:tcPr>
            <w:tcW w:w="1070" w:type="pct"/>
            <w:tcBorders>
              <w:top w:val="single" w:sz="4" w:space="0" w:color="auto"/>
              <w:left w:val="single" w:sz="4" w:space="0" w:color="auto"/>
              <w:bottom w:val="single" w:sz="4" w:space="0" w:color="auto"/>
              <w:right w:val="single" w:sz="4" w:space="0" w:color="auto"/>
            </w:tcBorders>
            <w:hideMark/>
          </w:tcPr>
          <w:p w14:paraId="27A2104C" w14:textId="32E8104E" w:rsidR="0075026E" w:rsidRPr="00C22BC7" w:rsidRDefault="0075026E" w:rsidP="00AB704A">
            <w:pPr>
              <w:pStyle w:val="Tabletext0"/>
              <w:spacing w:before="0" w:after="0"/>
              <w:rPr>
                <w:vertAlign w:val="superscript"/>
              </w:rPr>
            </w:pPr>
            <w:r>
              <w:t xml:space="preserve">Incremental costs of ongoing management in </w:t>
            </w:r>
            <w:r w:rsidR="00596728">
              <w:t>L</w:t>
            </w:r>
            <w:r w:rsidR="00ED6CA5">
              <w:t>VAD</w:t>
            </w:r>
            <w:r>
              <w:t xml:space="preserve"> patients versus OMM </w:t>
            </w:r>
            <w:proofErr w:type="spellStart"/>
            <w:r>
              <w:t>patients</w:t>
            </w:r>
            <w:r w:rsidR="00AB1291">
              <w:rPr>
                <w:vertAlign w:val="superscript"/>
              </w:rPr>
              <w:t>d</w:t>
            </w:r>
            <w:proofErr w:type="spellEnd"/>
          </w:p>
        </w:tc>
        <w:tc>
          <w:tcPr>
            <w:tcW w:w="850" w:type="pct"/>
            <w:tcBorders>
              <w:top w:val="single" w:sz="4" w:space="0" w:color="auto"/>
              <w:left w:val="single" w:sz="4" w:space="0" w:color="auto"/>
              <w:bottom w:val="single" w:sz="4" w:space="0" w:color="auto"/>
              <w:right w:val="single" w:sz="4" w:space="0" w:color="auto"/>
            </w:tcBorders>
            <w:hideMark/>
          </w:tcPr>
          <w:p w14:paraId="0F57F639" w14:textId="77777777" w:rsidR="0075026E" w:rsidRDefault="0075026E" w:rsidP="00AB704A">
            <w:pPr>
              <w:pStyle w:val="Tabletext0"/>
              <w:spacing w:before="0" w:after="0"/>
            </w:pPr>
            <w:r>
              <w:t>$2,085.52</w:t>
            </w:r>
          </w:p>
        </w:tc>
        <w:tc>
          <w:tcPr>
            <w:tcW w:w="850" w:type="pct"/>
            <w:tcBorders>
              <w:top w:val="single" w:sz="4" w:space="0" w:color="auto"/>
              <w:left w:val="single" w:sz="4" w:space="0" w:color="auto"/>
              <w:bottom w:val="single" w:sz="4" w:space="0" w:color="auto"/>
              <w:right w:val="single" w:sz="4" w:space="0" w:color="auto"/>
            </w:tcBorders>
          </w:tcPr>
          <w:p w14:paraId="3C8DAE8A" w14:textId="77777777" w:rsidR="0075026E" w:rsidRPr="00C37FFB" w:rsidRDefault="0075026E" w:rsidP="00AB704A">
            <w:pPr>
              <w:pStyle w:val="Tabletext0"/>
              <w:spacing w:before="0" w:after="0"/>
            </w:pPr>
            <w:r w:rsidRPr="00C37FFB">
              <w:t>$2,141.72</w:t>
            </w:r>
          </w:p>
        </w:tc>
        <w:tc>
          <w:tcPr>
            <w:tcW w:w="1337" w:type="pct"/>
            <w:tcBorders>
              <w:top w:val="single" w:sz="4" w:space="0" w:color="auto"/>
              <w:left w:val="single" w:sz="4" w:space="0" w:color="auto"/>
              <w:bottom w:val="single" w:sz="4" w:space="0" w:color="auto"/>
              <w:right w:val="single" w:sz="4" w:space="0" w:color="auto"/>
            </w:tcBorders>
          </w:tcPr>
          <w:p w14:paraId="226DC910" w14:textId="77777777" w:rsidR="0075026E" w:rsidRDefault="0075026E" w:rsidP="00AB704A">
            <w:pPr>
              <w:pStyle w:val="Tabletext0"/>
              <w:spacing w:before="0" w:after="0"/>
              <w:rPr>
                <w:i/>
                <w:iCs/>
              </w:rPr>
            </w:pPr>
            <w:r w:rsidRPr="00AF0274">
              <w:rPr>
                <w:i/>
                <w:iCs/>
              </w:rPr>
              <w:t>Increased</w:t>
            </w:r>
            <w:r>
              <w:rPr>
                <w:i/>
                <w:iCs/>
              </w:rPr>
              <w:t>.</w:t>
            </w:r>
          </w:p>
          <w:p w14:paraId="68C737FD" w14:textId="77777777" w:rsidR="0075026E" w:rsidRDefault="0075026E" w:rsidP="00AB704A">
            <w:pPr>
              <w:pStyle w:val="Tabletext0"/>
              <w:spacing w:before="0" w:after="0"/>
              <w:rPr>
                <w:i/>
                <w:iCs/>
              </w:rPr>
            </w:pPr>
          </w:p>
          <w:p w14:paraId="3DBBC232" w14:textId="77777777" w:rsidR="0075026E" w:rsidRPr="00C37FFB" w:rsidRDefault="0075026E" w:rsidP="00AB704A">
            <w:pPr>
              <w:pStyle w:val="Tabletext0"/>
              <w:spacing w:before="0" w:after="0"/>
              <w:rPr>
                <w:i/>
                <w:iCs/>
              </w:rPr>
            </w:pPr>
            <w:r>
              <w:rPr>
                <w:i/>
                <w:iCs/>
              </w:rPr>
              <w:t>This is appropriate as the costs were updated as PBS DPMQ.</w:t>
            </w:r>
          </w:p>
        </w:tc>
      </w:tr>
      <w:tr w:rsidR="0075026E" w14:paraId="7705259E" w14:textId="77777777" w:rsidTr="5327BA16">
        <w:trPr>
          <w:cantSplit/>
          <w:trHeight w:val="68"/>
        </w:trPr>
        <w:tc>
          <w:tcPr>
            <w:tcW w:w="893" w:type="pct"/>
            <w:vMerge w:val="restart"/>
            <w:tcBorders>
              <w:top w:val="single" w:sz="4" w:space="0" w:color="auto"/>
              <w:left w:val="single" w:sz="4" w:space="0" w:color="auto"/>
              <w:bottom w:val="single" w:sz="4" w:space="0" w:color="auto"/>
              <w:right w:val="single" w:sz="4" w:space="0" w:color="auto"/>
            </w:tcBorders>
            <w:hideMark/>
          </w:tcPr>
          <w:p w14:paraId="4BF81898" w14:textId="77777777" w:rsidR="0075026E" w:rsidRDefault="0075026E" w:rsidP="00AB704A">
            <w:pPr>
              <w:pStyle w:val="Tabletext0"/>
              <w:spacing w:before="0" w:after="0"/>
            </w:pPr>
            <w:r>
              <w:t>Private health funds</w:t>
            </w:r>
          </w:p>
        </w:tc>
        <w:tc>
          <w:tcPr>
            <w:tcW w:w="1070" w:type="pct"/>
            <w:tcBorders>
              <w:top w:val="single" w:sz="4" w:space="0" w:color="auto"/>
              <w:left w:val="single" w:sz="4" w:space="0" w:color="auto"/>
              <w:bottom w:val="single" w:sz="4" w:space="0" w:color="auto"/>
              <w:right w:val="single" w:sz="4" w:space="0" w:color="auto"/>
            </w:tcBorders>
            <w:hideMark/>
          </w:tcPr>
          <w:p w14:paraId="07D45EAE" w14:textId="48CCCB37" w:rsidR="0075026E" w:rsidRDefault="0075026E" w:rsidP="00AB704A">
            <w:pPr>
              <w:pStyle w:val="Tabletext0"/>
              <w:spacing w:before="0" w:after="0"/>
              <w:rPr>
                <w:vertAlign w:val="superscript"/>
              </w:rPr>
            </w:pPr>
            <w:r>
              <w:t xml:space="preserve">Device and Total </w:t>
            </w:r>
            <w:r w:rsidR="00596728">
              <w:t>L</w:t>
            </w:r>
            <w:r w:rsidR="00ED6CA5">
              <w:t>VAD</w:t>
            </w:r>
            <w:r>
              <w:t xml:space="preserve"> system </w:t>
            </w:r>
            <w:proofErr w:type="spellStart"/>
            <w:r w:rsidR="00CD238E">
              <w:t>cost</w:t>
            </w:r>
            <w:r w:rsidR="00D46CF1">
              <w:rPr>
                <w:vertAlign w:val="superscript"/>
              </w:rPr>
              <w:t>e</w:t>
            </w:r>
            <w:proofErr w:type="spellEnd"/>
          </w:p>
        </w:tc>
        <w:tc>
          <w:tcPr>
            <w:tcW w:w="850" w:type="pct"/>
            <w:tcBorders>
              <w:top w:val="single" w:sz="4" w:space="0" w:color="auto"/>
              <w:left w:val="single" w:sz="4" w:space="0" w:color="auto"/>
              <w:bottom w:val="single" w:sz="4" w:space="0" w:color="auto"/>
              <w:right w:val="single" w:sz="4" w:space="0" w:color="auto"/>
            </w:tcBorders>
            <w:hideMark/>
          </w:tcPr>
          <w:p w14:paraId="7940FC6B" w14:textId="6764C565" w:rsidR="0075026E" w:rsidRDefault="0075026E" w:rsidP="00AB704A">
            <w:pPr>
              <w:pStyle w:val="Tabletext0"/>
              <w:spacing w:before="0" w:after="0"/>
            </w:pPr>
            <w:r>
              <w:t>$</w:t>
            </w:r>
            <w:r w:rsidR="004342F5" w:rsidRPr="004342F5">
              <w:rPr>
                <w:b/>
                <w:bCs/>
              </w:rPr>
              <w:t>redacted</w:t>
            </w:r>
          </w:p>
        </w:tc>
        <w:tc>
          <w:tcPr>
            <w:tcW w:w="850" w:type="pct"/>
            <w:tcBorders>
              <w:top w:val="single" w:sz="4" w:space="0" w:color="auto"/>
              <w:left w:val="single" w:sz="4" w:space="0" w:color="auto"/>
              <w:bottom w:val="single" w:sz="4" w:space="0" w:color="auto"/>
              <w:right w:val="single" w:sz="4" w:space="0" w:color="auto"/>
            </w:tcBorders>
          </w:tcPr>
          <w:p w14:paraId="4D209273" w14:textId="1FF594A7" w:rsidR="0075026E" w:rsidRPr="00C37FFB" w:rsidRDefault="0075026E" w:rsidP="00AB704A">
            <w:pPr>
              <w:pStyle w:val="Tabletext0"/>
              <w:spacing w:before="0" w:after="0"/>
            </w:pPr>
            <w:r w:rsidRPr="00C37FFB">
              <w:t>$</w:t>
            </w:r>
            <w:r w:rsidR="004342F5" w:rsidRPr="004342F5">
              <w:rPr>
                <w:b/>
                <w:bCs/>
              </w:rPr>
              <w:t>redacted</w:t>
            </w:r>
          </w:p>
        </w:tc>
        <w:tc>
          <w:tcPr>
            <w:tcW w:w="1337" w:type="pct"/>
            <w:tcBorders>
              <w:top w:val="single" w:sz="4" w:space="0" w:color="auto"/>
              <w:left w:val="single" w:sz="4" w:space="0" w:color="auto"/>
              <w:bottom w:val="single" w:sz="4" w:space="0" w:color="auto"/>
              <w:right w:val="single" w:sz="4" w:space="0" w:color="auto"/>
            </w:tcBorders>
          </w:tcPr>
          <w:p w14:paraId="759F3019" w14:textId="77777777" w:rsidR="0075026E" w:rsidRPr="00C37FFB" w:rsidRDefault="0075026E" w:rsidP="00AB704A">
            <w:pPr>
              <w:pStyle w:val="Tabletext0"/>
              <w:spacing w:before="0" w:after="0"/>
              <w:rPr>
                <w:i/>
                <w:iCs/>
              </w:rPr>
            </w:pPr>
            <w:r>
              <w:rPr>
                <w:i/>
                <w:iCs/>
              </w:rPr>
              <w:t>No changes.</w:t>
            </w:r>
          </w:p>
        </w:tc>
      </w:tr>
      <w:tr w:rsidR="0075026E" w14:paraId="781E3587" w14:textId="77777777" w:rsidTr="5327BA16">
        <w:trPr>
          <w:cantSplit/>
          <w:trHeight w:val="247"/>
        </w:trPr>
        <w:tc>
          <w:tcPr>
            <w:tcW w:w="893" w:type="pct"/>
            <w:vMerge/>
            <w:vAlign w:val="center"/>
            <w:hideMark/>
          </w:tcPr>
          <w:p w14:paraId="1B810607" w14:textId="77777777" w:rsidR="0075026E" w:rsidRDefault="0075026E" w:rsidP="00AB704A">
            <w:pPr>
              <w:pStyle w:val="Tabletext0"/>
              <w:spacing w:before="0" w:after="0"/>
            </w:pPr>
          </w:p>
        </w:tc>
        <w:tc>
          <w:tcPr>
            <w:tcW w:w="1070" w:type="pct"/>
            <w:tcBorders>
              <w:top w:val="single" w:sz="4" w:space="0" w:color="auto"/>
              <w:left w:val="single" w:sz="4" w:space="0" w:color="auto"/>
              <w:bottom w:val="single" w:sz="4" w:space="0" w:color="auto"/>
              <w:right w:val="single" w:sz="4" w:space="0" w:color="auto"/>
            </w:tcBorders>
            <w:hideMark/>
          </w:tcPr>
          <w:p w14:paraId="3FD0F61C" w14:textId="739CCAFA" w:rsidR="0075026E" w:rsidRDefault="0075026E" w:rsidP="00AB704A">
            <w:pPr>
              <w:pStyle w:val="Tabletext0"/>
              <w:spacing w:before="0" w:after="0"/>
              <w:jc w:val="left"/>
            </w:pPr>
            <w:r>
              <w:t xml:space="preserve">Implant procedure and post-recovery </w:t>
            </w:r>
            <w:proofErr w:type="spellStart"/>
            <w:r>
              <w:t>costs</w:t>
            </w:r>
            <w:r w:rsidR="00D46CF1">
              <w:rPr>
                <w:vertAlign w:val="superscript"/>
              </w:rPr>
              <w:t>f</w:t>
            </w:r>
            <w:proofErr w:type="spellEnd"/>
            <w:r>
              <w:t xml:space="preserve"> (less cost of </w:t>
            </w:r>
            <w:proofErr w:type="spellStart"/>
            <w:proofErr w:type="gramStart"/>
            <w:r w:rsidR="00E0055A">
              <w:t>device</w:t>
            </w:r>
            <w:r w:rsidR="00D46CF1">
              <w:rPr>
                <w:vertAlign w:val="superscript"/>
              </w:rPr>
              <w:t>e</w:t>
            </w:r>
            <w:proofErr w:type="spellEnd"/>
            <w:r w:rsidR="00F57A81">
              <w:rPr>
                <w:vertAlign w:val="superscript"/>
              </w:rPr>
              <w:t xml:space="preserve"> </w:t>
            </w:r>
            <w:r>
              <w:t>)</w:t>
            </w:r>
            <w:proofErr w:type="gramEnd"/>
          </w:p>
        </w:tc>
        <w:tc>
          <w:tcPr>
            <w:tcW w:w="850" w:type="pct"/>
            <w:tcBorders>
              <w:top w:val="single" w:sz="4" w:space="0" w:color="auto"/>
              <w:left w:val="single" w:sz="4" w:space="0" w:color="auto"/>
              <w:bottom w:val="single" w:sz="4" w:space="0" w:color="auto"/>
              <w:right w:val="single" w:sz="4" w:space="0" w:color="auto"/>
            </w:tcBorders>
            <w:hideMark/>
          </w:tcPr>
          <w:p w14:paraId="4E7E7985" w14:textId="77777777" w:rsidR="0075026E" w:rsidRDefault="0075026E" w:rsidP="00AB704A">
            <w:pPr>
              <w:pStyle w:val="Tabletext0"/>
              <w:spacing w:before="0" w:after="0"/>
            </w:pPr>
            <w:r>
              <w:t>$72,163.79</w:t>
            </w:r>
          </w:p>
        </w:tc>
        <w:tc>
          <w:tcPr>
            <w:tcW w:w="850" w:type="pct"/>
            <w:tcBorders>
              <w:top w:val="single" w:sz="4" w:space="0" w:color="auto"/>
              <w:left w:val="single" w:sz="4" w:space="0" w:color="auto"/>
              <w:bottom w:val="single" w:sz="4" w:space="0" w:color="auto"/>
              <w:right w:val="single" w:sz="4" w:space="0" w:color="auto"/>
            </w:tcBorders>
          </w:tcPr>
          <w:p w14:paraId="6508CBFD" w14:textId="16828C37" w:rsidR="0075026E" w:rsidRPr="00C22BC7" w:rsidRDefault="0075026E" w:rsidP="00AB704A">
            <w:pPr>
              <w:pStyle w:val="Tabletext0"/>
              <w:spacing w:before="0" w:after="0"/>
              <w:rPr>
                <w:vertAlign w:val="superscript"/>
              </w:rPr>
            </w:pPr>
            <w:r>
              <w:t>$</w:t>
            </w:r>
            <w:r w:rsidRPr="00C37FFB">
              <w:t>73,633.98</w:t>
            </w:r>
            <w:r w:rsidR="00FA1F41">
              <w:rPr>
                <w:vertAlign w:val="superscript"/>
              </w:rPr>
              <w:t>g</w:t>
            </w:r>
          </w:p>
        </w:tc>
        <w:tc>
          <w:tcPr>
            <w:tcW w:w="1337" w:type="pct"/>
            <w:tcBorders>
              <w:top w:val="single" w:sz="4" w:space="0" w:color="auto"/>
              <w:left w:val="single" w:sz="4" w:space="0" w:color="auto"/>
              <w:bottom w:val="single" w:sz="4" w:space="0" w:color="auto"/>
              <w:right w:val="single" w:sz="4" w:space="0" w:color="auto"/>
            </w:tcBorders>
          </w:tcPr>
          <w:p w14:paraId="1D869F99" w14:textId="77777777" w:rsidR="0075026E" w:rsidRDefault="0075026E" w:rsidP="00AB704A">
            <w:pPr>
              <w:pStyle w:val="Tabletext0"/>
              <w:spacing w:before="0" w:after="0"/>
              <w:rPr>
                <w:i/>
                <w:iCs/>
              </w:rPr>
            </w:pPr>
            <w:r>
              <w:rPr>
                <w:i/>
                <w:iCs/>
              </w:rPr>
              <w:t>Increased.</w:t>
            </w:r>
          </w:p>
          <w:p w14:paraId="50A57FA1" w14:textId="77777777" w:rsidR="0075026E" w:rsidRPr="00C37FFB" w:rsidRDefault="0075026E" w:rsidP="00AB704A">
            <w:pPr>
              <w:pStyle w:val="Tabletext0"/>
              <w:spacing w:before="0" w:after="0"/>
              <w:rPr>
                <w:i/>
                <w:iCs/>
              </w:rPr>
            </w:pPr>
          </w:p>
        </w:tc>
      </w:tr>
      <w:tr w:rsidR="0075026E" w14:paraId="5D0E4E94" w14:textId="77777777" w:rsidTr="5327BA16">
        <w:trPr>
          <w:cantSplit/>
          <w:trHeight w:val="195"/>
        </w:trPr>
        <w:tc>
          <w:tcPr>
            <w:tcW w:w="893" w:type="pct"/>
            <w:vMerge/>
            <w:vAlign w:val="center"/>
            <w:hideMark/>
          </w:tcPr>
          <w:p w14:paraId="39F8676A" w14:textId="77777777" w:rsidR="0075026E" w:rsidRDefault="0075026E" w:rsidP="00AB704A">
            <w:pPr>
              <w:pStyle w:val="Tabletext0"/>
              <w:spacing w:before="0" w:after="0"/>
            </w:pPr>
          </w:p>
        </w:tc>
        <w:tc>
          <w:tcPr>
            <w:tcW w:w="1070" w:type="pct"/>
            <w:tcBorders>
              <w:top w:val="single" w:sz="4" w:space="0" w:color="auto"/>
              <w:left w:val="single" w:sz="4" w:space="0" w:color="auto"/>
              <w:bottom w:val="single" w:sz="4" w:space="0" w:color="auto"/>
              <w:right w:val="single" w:sz="4" w:space="0" w:color="auto"/>
            </w:tcBorders>
            <w:hideMark/>
          </w:tcPr>
          <w:p w14:paraId="09A43297" w14:textId="4C6F6928" w:rsidR="0075026E" w:rsidRPr="00C22BC7" w:rsidRDefault="0075026E" w:rsidP="00AB704A">
            <w:pPr>
              <w:pStyle w:val="Tabletext0"/>
              <w:spacing w:before="0" w:after="0"/>
              <w:rPr>
                <w:vertAlign w:val="superscript"/>
              </w:rPr>
            </w:pPr>
            <w:r>
              <w:t xml:space="preserve">Battery </w:t>
            </w:r>
            <w:proofErr w:type="spellStart"/>
            <w:r>
              <w:t>replacement</w:t>
            </w:r>
            <w:r w:rsidR="00FA1F41">
              <w:rPr>
                <w:vertAlign w:val="superscript"/>
              </w:rPr>
              <w:t>h</w:t>
            </w:r>
            <w:proofErr w:type="spellEnd"/>
          </w:p>
        </w:tc>
        <w:tc>
          <w:tcPr>
            <w:tcW w:w="850" w:type="pct"/>
            <w:tcBorders>
              <w:top w:val="single" w:sz="4" w:space="0" w:color="auto"/>
              <w:left w:val="single" w:sz="4" w:space="0" w:color="auto"/>
              <w:bottom w:val="single" w:sz="4" w:space="0" w:color="auto"/>
              <w:right w:val="single" w:sz="4" w:space="0" w:color="auto"/>
            </w:tcBorders>
            <w:hideMark/>
          </w:tcPr>
          <w:p w14:paraId="7B357F9A" w14:textId="77777777" w:rsidR="0075026E" w:rsidRDefault="0075026E" w:rsidP="00AB704A">
            <w:pPr>
              <w:pStyle w:val="Tabletext0"/>
              <w:spacing w:before="0" w:after="0"/>
            </w:pPr>
            <w:r>
              <w:t>$4,592.00</w:t>
            </w:r>
          </w:p>
        </w:tc>
        <w:tc>
          <w:tcPr>
            <w:tcW w:w="850" w:type="pct"/>
            <w:tcBorders>
              <w:top w:val="single" w:sz="4" w:space="0" w:color="auto"/>
              <w:left w:val="single" w:sz="4" w:space="0" w:color="auto"/>
              <w:bottom w:val="single" w:sz="4" w:space="0" w:color="auto"/>
              <w:right w:val="single" w:sz="4" w:space="0" w:color="auto"/>
            </w:tcBorders>
          </w:tcPr>
          <w:p w14:paraId="4E6D325A" w14:textId="77777777" w:rsidR="0075026E" w:rsidRPr="00C37FFB" w:rsidRDefault="0075026E" w:rsidP="00AB704A">
            <w:pPr>
              <w:pStyle w:val="Tabletext0"/>
              <w:spacing w:before="0" w:after="0"/>
            </w:pPr>
            <w:r w:rsidRPr="00C37FFB">
              <w:t>$4,592.00</w:t>
            </w:r>
          </w:p>
        </w:tc>
        <w:tc>
          <w:tcPr>
            <w:tcW w:w="1337" w:type="pct"/>
            <w:tcBorders>
              <w:top w:val="single" w:sz="4" w:space="0" w:color="auto"/>
              <w:left w:val="single" w:sz="4" w:space="0" w:color="auto"/>
              <w:bottom w:val="single" w:sz="4" w:space="0" w:color="auto"/>
              <w:right w:val="single" w:sz="4" w:space="0" w:color="auto"/>
            </w:tcBorders>
          </w:tcPr>
          <w:p w14:paraId="4E3186D4" w14:textId="77777777" w:rsidR="0075026E" w:rsidRPr="00C37FFB" w:rsidRDefault="0075026E" w:rsidP="00AB704A">
            <w:pPr>
              <w:pStyle w:val="Tabletext0"/>
              <w:spacing w:before="0" w:after="0"/>
              <w:rPr>
                <w:i/>
                <w:iCs/>
              </w:rPr>
            </w:pPr>
            <w:r>
              <w:rPr>
                <w:i/>
                <w:iCs/>
              </w:rPr>
              <w:t>No changes.</w:t>
            </w:r>
          </w:p>
        </w:tc>
      </w:tr>
      <w:tr w:rsidR="0075026E" w14:paraId="4F952714" w14:textId="77777777" w:rsidTr="5327BA16">
        <w:trPr>
          <w:cantSplit/>
          <w:trHeight w:val="195"/>
        </w:trPr>
        <w:tc>
          <w:tcPr>
            <w:tcW w:w="893" w:type="pct"/>
            <w:vMerge/>
            <w:vAlign w:val="center"/>
            <w:hideMark/>
          </w:tcPr>
          <w:p w14:paraId="08E95C42" w14:textId="77777777" w:rsidR="0075026E" w:rsidRDefault="0075026E" w:rsidP="00AB704A">
            <w:pPr>
              <w:pStyle w:val="Tabletext0"/>
              <w:spacing w:before="0" w:after="0"/>
            </w:pPr>
          </w:p>
        </w:tc>
        <w:tc>
          <w:tcPr>
            <w:tcW w:w="1070" w:type="pct"/>
            <w:tcBorders>
              <w:top w:val="single" w:sz="4" w:space="0" w:color="auto"/>
              <w:left w:val="single" w:sz="4" w:space="0" w:color="auto"/>
              <w:bottom w:val="single" w:sz="4" w:space="0" w:color="auto"/>
              <w:right w:val="single" w:sz="4" w:space="0" w:color="auto"/>
            </w:tcBorders>
            <w:hideMark/>
          </w:tcPr>
          <w:p w14:paraId="7B85174E" w14:textId="77777777" w:rsidR="0075026E" w:rsidRDefault="0075026E" w:rsidP="00AB704A">
            <w:pPr>
              <w:pStyle w:val="Tabletext0"/>
              <w:spacing w:before="0" w:after="0"/>
            </w:pPr>
            <w:r>
              <w:t>Total</w:t>
            </w:r>
          </w:p>
        </w:tc>
        <w:tc>
          <w:tcPr>
            <w:tcW w:w="850" w:type="pct"/>
            <w:tcBorders>
              <w:top w:val="single" w:sz="4" w:space="0" w:color="auto"/>
              <w:left w:val="single" w:sz="4" w:space="0" w:color="auto"/>
              <w:bottom w:val="single" w:sz="4" w:space="0" w:color="auto"/>
              <w:right w:val="single" w:sz="4" w:space="0" w:color="auto"/>
            </w:tcBorders>
            <w:hideMark/>
          </w:tcPr>
          <w:p w14:paraId="3BDC088B" w14:textId="2B547FCB" w:rsidR="0075026E" w:rsidRDefault="0075026E" w:rsidP="00AB704A">
            <w:pPr>
              <w:pStyle w:val="Tabletext0"/>
              <w:spacing w:before="0" w:after="0"/>
            </w:pPr>
            <w:r>
              <w:t>$</w:t>
            </w:r>
            <w:r w:rsidR="00F60110" w:rsidRPr="00F60110">
              <w:rPr>
                <w:b/>
                <w:bCs/>
              </w:rPr>
              <w:t>redacted</w:t>
            </w:r>
          </w:p>
        </w:tc>
        <w:tc>
          <w:tcPr>
            <w:tcW w:w="850" w:type="pct"/>
            <w:tcBorders>
              <w:top w:val="single" w:sz="4" w:space="0" w:color="auto"/>
              <w:left w:val="single" w:sz="4" w:space="0" w:color="auto"/>
              <w:bottom w:val="single" w:sz="4" w:space="0" w:color="auto"/>
              <w:right w:val="single" w:sz="4" w:space="0" w:color="auto"/>
            </w:tcBorders>
          </w:tcPr>
          <w:p w14:paraId="0340840F" w14:textId="63B76044" w:rsidR="0075026E" w:rsidRPr="00C37FFB" w:rsidRDefault="0075026E" w:rsidP="00AB704A">
            <w:pPr>
              <w:pStyle w:val="Tabletext0"/>
              <w:spacing w:before="0" w:after="0"/>
            </w:pPr>
            <w:r>
              <w:t>$</w:t>
            </w:r>
            <w:r w:rsidR="00F60110" w:rsidRPr="00F60110">
              <w:rPr>
                <w:b/>
                <w:bCs/>
              </w:rPr>
              <w:t>redacted</w:t>
            </w:r>
            <w:r w:rsidR="00F60110" w:rsidRPr="00A363F8" w:rsidDel="00F60110">
              <w:t xml:space="preserve"> </w:t>
            </w:r>
          </w:p>
        </w:tc>
        <w:tc>
          <w:tcPr>
            <w:tcW w:w="1337" w:type="pct"/>
            <w:tcBorders>
              <w:top w:val="single" w:sz="4" w:space="0" w:color="auto"/>
              <w:left w:val="single" w:sz="4" w:space="0" w:color="auto"/>
              <w:bottom w:val="single" w:sz="4" w:space="0" w:color="auto"/>
              <w:right w:val="single" w:sz="4" w:space="0" w:color="auto"/>
            </w:tcBorders>
          </w:tcPr>
          <w:p w14:paraId="5D16D278" w14:textId="77777777" w:rsidR="0075026E" w:rsidRPr="00C37FFB" w:rsidRDefault="0075026E" w:rsidP="00AB704A">
            <w:pPr>
              <w:pStyle w:val="Tabletext0"/>
              <w:spacing w:before="0" w:after="0"/>
              <w:rPr>
                <w:i/>
                <w:iCs/>
              </w:rPr>
            </w:pPr>
            <w:r>
              <w:rPr>
                <w:i/>
                <w:iCs/>
              </w:rPr>
              <w:t>Increased.</w:t>
            </w:r>
          </w:p>
        </w:tc>
      </w:tr>
      <w:tr w:rsidR="00987DCE" w14:paraId="4069CC7F" w14:textId="77777777" w:rsidTr="5327BA16">
        <w:trPr>
          <w:cantSplit/>
          <w:trHeight w:val="195"/>
        </w:trPr>
        <w:tc>
          <w:tcPr>
            <w:tcW w:w="893" w:type="pct"/>
            <w:tcBorders>
              <w:top w:val="single" w:sz="4" w:space="0" w:color="auto"/>
              <w:left w:val="single" w:sz="4" w:space="0" w:color="auto"/>
              <w:bottom w:val="single" w:sz="4" w:space="0" w:color="auto"/>
              <w:right w:val="single" w:sz="4" w:space="0" w:color="auto"/>
            </w:tcBorders>
          </w:tcPr>
          <w:p w14:paraId="33B39E34" w14:textId="49DFB410" w:rsidR="00987DCE" w:rsidRDefault="00987DCE" w:rsidP="00AB704A">
            <w:pPr>
              <w:pStyle w:val="Tabletext0"/>
              <w:spacing w:before="0" w:after="0"/>
            </w:pPr>
            <w:r w:rsidRPr="00931F34">
              <w:t>Public hospitals/private insurers</w:t>
            </w:r>
          </w:p>
        </w:tc>
        <w:tc>
          <w:tcPr>
            <w:tcW w:w="1070" w:type="pct"/>
            <w:tcBorders>
              <w:top w:val="single" w:sz="4" w:space="0" w:color="auto"/>
              <w:left w:val="single" w:sz="4" w:space="0" w:color="auto"/>
              <w:bottom w:val="single" w:sz="4" w:space="0" w:color="auto"/>
              <w:right w:val="single" w:sz="4" w:space="0" w:color="auto"/>
            </w:tcBorders>
          </w:tcPr>
          <w:p w14:paraId="0CC90DCE" w14:textId="1769C900" w:rsidR="00987DCE" w:rsidRDefault="00987DCE" w:rsidP="00AB704A">
            <w:pPr>
              <w:pStyle w:val="Tabletext0"/>
              <w:spacing w:before="0" w:after="0"/>
              <w:jc w:val="left"/>
            </w:pPr>
            <w:r w:rsidRPr="00931F34">
              <w:t xml:space="preserve">Device and disease related </w:t>
            </w:r>
            <w:r>
              <w:t xml:space="preserve">complication </w:t>
            </w:r>
            <w:r w:rsidRPr="00931F34">
              <w:t>costs resulting in hospitalisation</w:t>
            </w:r>
          </w:p>
        </w:tc>
        <w:tc>
          <w:tcPr>
            <w:tcW w:w="850" w:type="pct"/>
            <w:tcBorders>
              <w:top w:val="single" w:sz="4" w:space="0" w:color="auto"/>
              <w:left w:val="single" w:sz="4" w:space="0" w:color="auto"/>
              <w:bottom w:val="single" w:sz="4" w:space="0" w:color="auto"/>
              <w:right w:val="single" w:sz="4" w:space="0" w:color="auto"/>
            </w:tcBorders>
          </w:tcPr>
          <w:p w14:paraId="1823544E" w14:textId="25D91862" w:rsidR="00987DCE" w:rsidRDefault="00987DCE" w:rsidP="00AB704A">
            <w:pPr>
              <w:pStyle w:val="Tabletext0"/>
              <w:spacing w:before="0" w:after="0"/>
            </w:pPr>
            <w:r>
              <w:t>NR</w:t>
            </w:r>
          </w:p>
        </w:tc>
        <w:tc>
          <w:tcPr>
            <w:tcW w:w="850" w:type="pct"/>
            <w:tcBorders>
              <w:top w:val="single" w:sz="4" w:space="0" w:color="auto"/>
              <w:left w:val="single" w:sz="4" w:space="0" w:color="auto"/>
              <w:bottom w:val="single" w:sz="4" w:space="0" w:color="auto"/>
              <w:right w:val="single" w:sz="4" w:space="0" w:color="auto"/>
            </w:tcBorders>
          </w:tcPr>
          <w:p w14:paraId="1E65FE38" w14:textId="0CF50286" w:rsidR="00987DCE" w:rsidRDefault="00987DCE" w:rsidP="00AB704A">
            <w:pPr>
              <w:pStyle w:val="Tabletext0"/>
              <w:spacing w:before="0" w:after="0"/>
            </w:pPr>
            <w:r>
              <w:t>$</w:t>
            </w:r>
            <w:r w:rsidR="00932DD9" w:rsidRPr="00932DD9">
              <w:rPr>
                <w:b/>
                <w:bCs/>
              </w:rPr>
              <w:t>redacted</w:t>
            </w:r>
          </w:p>
        </w:tc>
        <w:tc>
          <w:tcPr>
            <w:tcW w:w="1337" w:type="pct"/>
            <w:tcBorders>
              <w:top w:val="single" w:sz="4" w:space="0" w:color="auto"/>
              <w:left w:val="single" w:sz="4" w:space="0" w:color="auto"/>
              <w:bottom w:val="single" w:sz="4" w:space="0" w:color="auto"/>
              <w:right w:val="single" w:sz="4" w:space="0" w:color="auto"/>
            </w:tcBorders>
          </w:tcPr>
          <w:p w14:paraId="4FA8FB28" w14:textId="77777777" w:rsidR="00987DCE" w:rsidRDefault="00987DCE" w:rsidP="00AB704A">
            <w:pPr>
              <w:pStyle w:val="Tabletext0"/>
              <w:spacing w:before="0" w:after="0"/>
              <w:rPr>
                <w:i/>
                <w:iCs/>
              </w:rPr>
            </w:pPr>
            <w:r>
              <w:rPr>
                <w:i/>
                <w:iCs/>
              </w:rPr>
              <w:t>Updated.</w:t>
            </w:r>
          </w:p>
          <w:p w14:paraId="20B803A0" w14:textId="77777777" w:rsidR="00987DCE" w:rsidRDefault="00987DCE" w:rsidP="00AB704A">
            <w:pPr>
              <w:pStyle w:val="Tabletext0"/>
              <w:spacing w:before="0" w:after="0"/>
              <w:rPr>
                <w:i/>
                <w:iCs/>
              </w:rPr>
            </w:pPr>
          </w:p>
          <w:p w14:paraId="49D66191" w14:textId="4E6FDFA6" w:rsidR="00987DCE" w:rsidRDefault="00987DCE" w:rsidP="00AB704A">
            <w:pPr>
              <w:pStyle w:val="Tabletext0"/>
              <w:spacing w:before="0" w:after="0"/>
              <w:rPr>
                <w:i/>
                <w:iCs/>
              </w:rPr>
            </w:pPr>
            <w:r>
              <w:rPr>
                <w:i/>
                <w:iCs/>
              </w:rPr>
              <w:t>This is uncertain as the rate of pump replacement due to other reasons such as infection and device malfunction were not considered.</w:t>
            </w:r>
          </w:p>
        </w:tc>
      </w:tr>
    </w:tbl>
    <w:p w14:paraId="01FEE536" w14:textId="6CE43A1B" w:rsidR="0075026E" w:rsidRDefault="0075026E" w:rsidP="0075026E">
      <w:pPr>
        <w:pStyle w:val="Tablenotes0"/>
        <w:rPr>
          <w:snapToGrid w:val="0"/>
        </w:rPr>
      </w:pPr>
      <w:r>
        <w:t xml:space="preserve">Source: </w:t>
      </w:r>
      <w:r>
        <w:rPr>
          <w:snapToGrid w:val="0"/>
        </w:rPr>
        <w:t xml:space="preserve">Table 29, p48 and </w:t>
      </w:r>
      <w:bookmarkStart w:id="61" w:name="_Hlk181094387"/>
      <w:r>
        <w:rPr>
          <w:snapToGrid w:val="0"/>
        </w:rPr>
        <w:t xml:space="preserve">Section 4 </w:t>
      </w:r>
      <w:r w:rsidR="00596728">
        <w:rPr>
          <w:snapToGrid w:val="0"/>
        </w:rPr>
        <w:t>L</w:t>
      </w:r>
      <w:r w:rsidR="00ED6CA5">
        <w:rPr>
          <w:snapToGrid w:val="0"/>
        </w:rPr>
        <w:t>VAD</w:t>
      </w:r>
      <w:r>
        <w:rPr>
          <w:snapToGrid w:val="0"/>
        </w:rPr>
        <w:t xml:space="preserve"> budget impact model of MSAC</w:t>
      </w:r>
      <w:r w:rsidR="00AB4B83">
        <w:rPr>
          <w:snapToGrid w:val="0"/>
        </w:rPr>
        <w:t xml:space="preserve"> Application</w:t>
      </w:r>
      <w:r>
        <w:rPr>
          <w:snapToGrid w:val="0"/>
        </w:rPr>
        <w:t xml:space="preserve"> </w:t>
      </w:r>
      <w:r w:rsidR="009A5664">
        <w:rPr>
          <w:snapToGrid w:val="0"/>
        </w:rPr>
        <w:t>1749 Resubmission ADAR</w:t>
      </w:r>
      <w:bookmarkEnd w:id="61"/>
      <w:r>
        <w:rPr>
          <w:snapToGrid w:val="0"/>
        </w:rPr>
        <w:t>;</w:t>
      </w:r>
      <w:r w:rsidR="00F23661">
        <w:rPr>
          <w:snapToGrid w:val="0"/>
        </w:rPr>
        <w:t xml:space="preserve"> </w:t>
      </w:r>
      <w:r>
        <w:rPr>
          <w:snapToGrid w:val="0"/>
        </w:rPr>
        <w:t>Table 16, p39 of</w:t>
      </w:r>
      <w:r w:rsidR="00AB4B83">
        <w:rPr>
          <w:snapToGrid w:val="0"/>
        </w:rPr>
        <w:t xml:space="preserve"> MSAC</w:t>
      </w:r>
      <w:r>
        <w:rPr>
          <w:snapToGrid w:val="0"/>
        </w:rPr>
        <w:t xml:space="preserve"> </w:t>
      </w:r>
      <w:r w:rsidR="00AB4B83">
        <w:rPr>
          <w:snapToGrid w:val="0"/>
        </w:rPr>
        <w:t xml:space="preserve">1749 </w:t>
      </w:r>
      <w:r>
        <w:rPr>
          <w:snapToGrid w:val="0"/>
        </w:rPr>
        <w:t>PSD</w:t>
      </w:r>
      <w:r w:rsidR="006F6D90">
        <w:rPr>
          <w:snapToGrid w:val="0"/>
        </w:rPr>
        <w:t>.</w:t>
      </w:r>
    </w:p>
    <w:p w14:paraId="2AABF919" w14:textId="0C355F75" w:rsidR="0075026E" w:rsidRDefault="00BA5BBD" w:rsidP="0075026E">
      <w:pPr>
        <w:pStyle w:val="Tablenotes0"/>
      </w:pPr>
      <w:r>
        <w:t>DPMQ =</w:t>
      </w:r>
      <w:r w:rsidRPr="00BA5BBD">
        <w:t xml:space="preserve"> dispensed price for maximum quantity</w:t>
      </w:r>
      <w:r>
        <w:t xml:space="preserve">; </w:t>
      </w:r>
      <w:r w:rsidR="00596728">
        <w:t>L</w:t>
      </w:r>
      <w:r w:rsidR="00ED6CA5">
        <w:t>VAD</w:t>
      </w:r>
      <w:r w:rsidR="0075026E">
        <w:t xml:space="preserve"> = ventricular assist device; OMM</w:t>
      </w:r>
      <w:r w:rsidR="006F6D90">
        <w:t xml:space="preserve"> </w:t>
      </w:r>
      <w:r w:rsidR="0075026E">
        <w:t>=</w:t>
      </w:r>
      <w:r w:rsidR="006F6D90">
        <w:t xml:space="preserve"> o</w:t>
      </w:r>
      <w:r w:rsidR="0075026E">
        <w:t>ptim</w:t>
      </w:r>
      <w:r w:rsidR="006F6D90">
        <w:t>al</w:t>
      </w:r>
      <w:r w:rsidR="0075026E">
        <w:t xml:space="preserve"> medical management; MBS = Medicare </w:t>
      </w:r>
      <w:r w:rsidR="00BA6751">
        <w:t>B</w:t>
      </w:r>
      <w:r w:rsidR="0075026E">
        <w:t>enefit</w:t>
      </w:r>
      <w:r w:rsidR="00235267">
        <w:t>s</w:t>
      </w:r>
      <w:r w:rsidR="0075026E">
        <w:t xml:space="preserve"> </w:t>
      </w:r>
      <w:r w:rsidR="00BA6751">
        <w:t>S</w:t>
      </w:r>
      <w:r w:rsidR="0075026E">
        <w:t xml:space="preserve">chedule; PBS = Pharmaceutical </w:t>
      </w:r>
      <w:r w:rsidR="00BA6751">
        <w:t>B</w:t>
      </w:r>
      <w:r w:rsidR="0075026E">
        <w:t>enefit</w:t>
      </w:r>
      <w:r w:rsidR="00235267">
        <w:t>s</w:t>
      </w:r>
      <w:r w:rsidR="0075026E">
        <w:t xml:space="preserve"> </w:t>
      </w:r>
      <w:r w:rsidR="00BA6751">
        <w:t>S</w:t>
      </w:r>
      <w:r w:rsidR="0075026E">
        <w:t>chedule</w:t>
      </w:r>
      <w:r w:rsidR="00B90384">
        <w:t>; NR = not reported</w:t>
      </w:r>
      <w:r w:rsidR="00795E8F">
        <w:t>.</w:t>
      </w:r>
    </w:p>
    <w:p w14:paraId="39A04E91" w14:textId="77777777" w:rsidR="00E0055A" w:rsidRDefault="00D86489" w:rsidP="0075026E">
      <w:pPr>
        <w:pStyle w:val="Tablenotes0"/>
      </w:pPr>
      <w:r>
        <w:t xml:space="preserve">Notes: </w:t>
      </w:r>
    </w:p>
    <w:p w14:paraId="3147C592" w14:textId="16B60EA6" w:rsidR="00DE41ED" w:rsidRDefault="0075026E" w:rsidP="0075026E">
      <w:pPr>
        <w:pStyle w:val="Tablenotes0"/>
      </w:pPr>
      <w:proofErr w:type="spellStart"/>
      <w:r w:rsidRPr="00D74C1B">
        <w:rPr>
          <w:vertAlign w:val="superscript"/>
        </w:rPr>
        <w:t>a</w:t>
      </w:r>
      <w:proofErr w:type="spellEnd"/>
      <w:r w:rsidR="00AB1291">
        <w:t xml:space="preserve"> </w:t>
      </w:r>
      <w:r w:rsidR="00DE41ED" w:rsidRPr="00061498">
        <w:t>The LVAD procedure cost included MBS item 38615 (</w:t>
      </w:r>
      <w:r w:rsidR="00971085">
        <w:t>insertion of a left or right ventric</w:t>
      </w:r>
      <w:r w:rsidR="00E70857">
        <w:t>u</w:t>
      </w:r>
      <w:r w:rsidR="00971085">
        <w:t>l</w:t>
      </w:r>
      <w:r w:rsidR="00E70857">
        <w:t>ar</w:t>
      </w:r>
      <w:r w:rsidR="00971085">
        <w:t xml:space="preserve"> assist device</w:t>
      </w:r>
      <w:r w:rsidR="00DE41ED" w:rsidRPr="00061498">
        <w:t>); 20560 (</w:t>
      </w:r>
      <w:r w:rsidR="006E2A9B">
        <w:t>initiation of the management of anaesthesia</w:t>
      </w:r>
      <w:r w:rsidR="00DE41ED" w:rsidRPr="002C3628">
        <w:t>); 23230 (</w:t>
      </w:r>
      <w:r w:rsidR="00AB1291">
        <w:t xml:space="preserve">anaesthesia/perfusion </w:t>
      </w:r>
      <w:r w:rsidR="006E2A9B">
        <w:t>time unit</w:t>
      </w:r>
      <w:r w:rsidR="00AB1291">
        <w:t>s</w:t>
      </w:r>
      <w:r w:rsidR="00DE41ED" w:rsidRPr="002C3628">
        <w:t>) and 22060 (</w:t>
      </w:r>
      <w:r w:rsidR="006E2A9B">
        <w:t>whole body perfusion, cardiac bypass</w:t>
      </w:r>
      <w:r w:rsidR="00DE41ED" w:rsidRPr="002C3628">
        <w:t>).</w:t>
      </w:r>
    </w:p>
    <w:p w14:paraId="2D8C8349" w14:textId="3B5D2A28" w:rsidR="00B944FD" w:rsidRDefault="006E2A9B" w:rsidP="0075026E">
      <w:pPr>
        <w:pStyle w:val="Tablenotes0"/>
      </w:pPr>
      <w:r>
        <w:rPr>
          <w:vertAlign w:val="superscript"/>
        </w:rPr>
        <w:t>b</w:t>
      </w:r>
      <w:r w:rsidR="00B944FD" w:rsidRPr="00226606">
        <w:t xml:space="preserve"> </w:t>
      </w:r>
      <w:r w:rsidR="00AB1291">
        <w:t>B</w:t>
      </w:r>
      <w:r w:rsidR="00B944FD" w:rsidRPr="00061498">
        <w:t>ased on the current MBS item fee</w:t>
      </w:r>
      <w:r w:rsidR="00227C89">
        <w:t xml:space="preserve"> (update on 1</w:t>
      </w:r>
      <w:r w:rsidR="00227C89" w:rsidRPr="0079297C">
        <w:rPr>
          <w:vertAlign w:val="superscript"/>
        </w:rPr>
        <w:t>st</w:t>
      </w:r>
      <w:r w:rsidR="00227C89">
        <w:t xml:space="preserve"> July 2024)</w:t>
      </w:r>
      <w:r w:rsidR="00B944FD" w:rsidRPr="00061498">
        <w:t>: item 38615 ($1,745</w:t>
      </w:r>
      <w:r w:rsidR="00B944FD" w:rsidRPr="00226606">
        <w:t>.25); 20560 ($451); 23230 ($608.85) and 22060 ($676.50) at the assumption of 85% benefit.</w:t>
      </w:r>
    </w:p>
    <w:p w14:paraId="5036BE6A" w14:textId="526BAA8B" w:rsidR="00AB1291" w:rsidRDefault="00AB1291" w:rsidP="0075026E">
      <w:pPr>
        <w:pStyle w:val="Tablenotes0"/>
      </w:pPr>
      <w:r>
        <w:rPr>
          <w:vertAlign w:val="superscript"/>
        </w:rPr>
        <w:t>c</w:t>
      </w:r>
      <w:r w:rsidR="00E2431C">
        <w:rPr>
          <w:vertAlign w:val="superscript"/>
        </w:rPr>
        <w:t xml:space="preserve"> </w:t>
      </w:r>
      <w:r>
        <w:t xml:space="preserve">This included MBS items for ongoing monitoring (item 11713 – ECG, item 105 - clinic visit) and </w:t>
      </w:r>
      <w:r w:rsidRPr="001A66EE">
        <w:t>international normalised ratio</w:t>
      </w:r>
      <w:r>
        <w:t xml:space="preserve"> (INR) testing (items 65120, 74995, 3)</w:t>
      </w:r>
    </w:p>
    <w:p w14:paraId="19F65153" w14:textId="7B539729" w:rsidR="00AB1291" w:rsidRPr="00AB1291" w:rsidRDefault="00AB1291" w:rsidP="0075026E">
      <w:pPr>
        <w:pStyle w:val="Tablenotes0"/>
      </w:pPr>
      <w:r>
        <w:rPr>
          <w:vertAlign w:val="superscript"/>
        </w:rPr>
        <w:t>d</w:t>
      </w:r>
      <w:r w:rsidR="00D46CF1">
        <w:t xml:space="preserve"> This included costs associated with anticoagulation management (</w:t>
      </w:r>
      <w:r w:rsidR="00E70857">
        <w:t>w</w:t>
      </w:r>
      <w:r w:rsidR="00D46CF1">
        <w:t xml:space="preserve">arfarin, </w:t>
      </w:r>
      <w:r w:rsidR="00E70857">
        <w:t>a</w:t>
      </w:r>
      <w:r w:rsidR="00D46CF1">
        <w:t>spirin) and antihypertensive management (</w:t>
      </w:r>
      <w:r w:rsidR="00E70857">
        <w:t>a</w:t>
      </w:r>
      <w:r w:rsidR="00D46CF1" w:rsidRPr="00D46CF1">
        <w:t>ngiotensin-converting enzyme inhibitor</w:t>
      </w:r>
      <w:r w:rsidR="00E70857">
        <w:t>s</w:t>
      </w:r>
      <w:r w:rsidR="00D46CF1" w:rsidRPr="00D46CF1">
        <w:t xml:space="preserve"> </w:t>
      </w:r>
      <w:r w:rsidR="00D46CF1">
        <w:t>[ACEIs], beta-blockers)</w:t>
      </w:r>
    </w:p>
    <w:p w14:paraId="227FFB91" w14:textId="00270E89" w:rsidR="0075026E" w:rsidRDefault="00D46CF1" w:rsidP="0075026E">
      <w:pPr>
        <w:pStyle w:val="Tablenotes0"/>
      </w:pPr>
      <w:r>
        <w:rPr>
          <w:vertAlign w:val="superscript"/>
        </w:rPr>
        <w:t>e</w:t>
      </w:r>
      <w:r w:rsidR="00B944FD">
        <w:rPr>
          <w:vertAlign w:val="superscript"/>
        </w:rPr>
        <w:t xml:space="preserve"> </w:t>
      </w:r>
      <w:r w:rsidR="0075026E" w:rsidRPr="00D86489">
        <w:t>This co</w:t>
      </w:r>
      <w:r w:rsidR="0075026E">
        <w:t xml:space="preserve">st includes </w:t>
      </w:r>
      <w:r w:rsidR="00DD051D">
        <w:t xml:space="preserve">LVAD implant kit cost, Patient Support Kit Bundle, HM3 </w:t>
      </w:r>
      <w:proofErr w:type="spellStart"/>
      <w:r w:rsidR="00DD051D">
        <w:t>Mini</w:t>
      </w:r>
      <w:r w:rsidR="0075026E">
        <w:t>.</w:t>
      </w:r>
      <w:r w:rsidR="00DD051D">
        <w:t>Apical</w:t>
      </w:r>
      <w:proofErr w:type="spellEnd"/>
      <w:r w:rsidR="00DD051D">
        <w:t xml:space="preserve"> Cuff Kit</w:t>
      </w:r>
    </w:p>
    <w:p w14:paraId="65D272CA" w14:textId="6F64FC54" w:rsidR="00D46CF1" w:rsidRDefault="00D46CF1" w:rsidP="0075026E">
      <w:pPr>
        <w:pStyle w:val="Tablenotes0"/>
      </w:pPr>
      <w:r>
        <w:rPr>
          <w:vertAlign w:val="superscript"/>
        </w:rPr>
        <w:t>f</w:t>
      </w:r>
      <w:r>
        <w:t xml:space="preserve"> Costs based on Prichard et al 2020 and number of days in hospital based on Silbert et al 2023</w:t>
      </w:r>
    </w:p>
    <w:p w14:paraId="7B73A3A4" w14:textId="526ADFF4" w:rsidR="00FA1F41" w:rsidRPr="00FA1F41" w:rsidRDefault="00FA1F41" w:rsidP="0075026E">
      <w:pPr>
        <w:pStyle w:val="Tablenotes0"/>
      </w:pPr>
      <w:r>
        <w:rPr>
          <w:vertAlign w:val="superscript"/>
        </w:rPr>
        <w:t>g</w:t>
      </w:r>
      <w:r w:rsidRPr="00FA1F41">
        <w:t xml:space="preserve"> </w:t>
      </w:r>
      <w:r w:rsidRPr="00064A79">
        <w:t>This amount</w:t>
      </w:r>
      <w:r w:rsidRPr="00865A3E">
        <w:t xml:space="preserve"> is t</w:t>
      </w:r>
      <w:r w:rsidRPr="00064A79">
        <w:t xml:space="preserve">he </w:t>
      </w:r>
      <w:r w:rsidRPr="00865A3E">
        <w:t xml:space="preserve">total cost of </w:t>
      </w:r>
      <w:r w:rsidRPr="00064A79">
        <w:t>implant</w:t>
      </w:r>
      <w:r w:rsidR="004D415E">
        <w:t xml:space="preserve"> procedure</w:t>
      </w:r>
      <w:r w:rsidRPr="00064A79">
        <w:t xml:space="preserve"> and post-</w:t>
      </w:r>
      <w:r w:rsidR="004D415E">
        <w:t>recovery costs</w:t>
      </w:r>
      <w:r w:rsidRPr="00064A79">
        <w:t xml:space="preserve"> </w:t>
      </w:r>
      <w:r w:rsidRPr="00865A3E">
        <w:t>(</w:t>
      </w:r>
      <w:r w:rsidRPr="00064A79">
        <w:t>$76,480</w:t>
      </w:r>
      <w:r w:rsidRPr="00865A3E">
        <w:t>.04, as</w:t>
      </w:r>
      <w:r w:rsidRPr="00064A79">
        <w:t xml:space="preserve"> in </w:t>
      </w:r>
      <w:r w:rsidRPr="00064A79">
        <w:fldChar w:fldCharType="begin"/>
      </w:r>
      <w:r w:rsidRPr="00064A79">
        <w:instrText xml:space="preserve"> REF _Ref178153968 \h </w:instrText>
      </w:r>
      <w:r w:rsidRPr="00DE0A48">
        <w:instrText xml:space="preserve"> \* MERGEFORMAT </w:instrText>
      </w:r>
      <w:r w:rsidRPr="00064A79">
        <w:fldChar w:fldCharType="separate"/>
      </w:r>
      <w:r w:rsidRPr="00064A79">
        <w:t xml:space="preserve">Table </w:t>
      </w:r>
      <w:r w:rsidRPr="00064A79">
        <w:rPr>
          <w:noProof/>
        </w:rPr>
        <w:t>9</w:t>
      </w:r>
      <w:r w:rsidRPr="00064A79">
        <w:fldChar w:fldCharType="end"/>
      </w:r>
      <w:r w:rsidRPr="00064A79">
        <w:t>),</w:t>
      </w:r>
      <w:r w:rsidRPr="00865A3E">
        <w:t xml:space="preserve"> excluding the cost of LVAD procedure to MBS ($2,846.06</w:t>
      </w:r>
      <w:r w:rsidRPr="00064A79">
        <w:t>).</w:t>
      </w:r>
    </w:p>
    <w:p w14:paraId="68616772" w14:textId="507501C2" w:rsidR="00D46CF1" w:rsidRPr="00D46CF1" w:rsidRDefault="00FA1F41" w:rsidP="0075026E">
      <w:pPr>
        <w:pStyle w:val="Tablenotes0"/>
      </w:pPr>
      <w:r>
        <w:rPr>
          <w:vertAlign w:val="superscript"/>
        </w:rPr>
        <w:t>h</w:t>
      </w:r>
      <w:r w:rsidR="00E2431C">
        <w:rPr>
          <w:vertAlign w:val="superscript"/>
        </w:rPr>
        <w:t xml:space="preserve"> </w:t>
      </w:r>
      <w:r w:rsidR="00D46CF1" w:rsidRPr="00D46CF1">
        <w:t>$2,296.00 applied to alive LVAD patients every three years</w:t>
      </w:r>
    </w:p>
    <w:p w14:paraId="22E2BF19" w14:textId="77777777" w:rsidR="0075026E" w:rsidRDefault="0075026E" w:rsidP="0075026E">
      <w:pPr>
        <w:pStyle w:val="Tablenotes0"/>
        <w:rPr>
          <w:i/>
          <w:iCs/>
        </w:rPr>
      </w:pPr>
      <w:r w:rsidRPr="002158E3">
        <w:rPr>
          <w:i/>
          <w:iCs/>
        </w:rPr>
        <w:t>Italics added during commentary</w:t>
      </w:r>
    </w:p>
    <w:p w14:paraId="5647272A" w14:textId="523946D5" w:rsidR="00397E6E" w:rsidRDefault="0075026E" w:rsidP="0075026E">
      <w:r>
        <w:lastRenderedPageBreak/>
        <w:t>In the original submission</w:t>
      </w:r>
      <w:r w:rsidR="00EB38ED">
        <w:t xml:space="preserve"> ADAR</w:t>
      </w:r>
      <w:r>
        <w:t xml:space="preserve">, the total costs to MBS and PBS per </w:t>
      </w:r>
      <w:r w:rsidR="00596728">
        <w:t>L</w:t>
      </w:r>
      <w:r w:rsidR="00ED6CA5">
        <w:t>VAD</w:t>
      </w:r>
      <w:r>
        <w:t xml:space="preserve"> procedure </w:t>
      </w:r>
      <w:r w:rsidR="00E6078D">
        <w:t xml:space="preserve">per </w:t>
      </w:r>
      <w:r w:rsidR="008963EC">
        <w:t>year were</w:t>
      </w:r>
      <w:r>
        <w:t xml:space="preserve"> </w:t>
      </w:r>
      <w:r w:rsidRPr="00F136AD">
        <w:t>$6,136.96</w:t>
      </w:r>
      <w:r>
        <w:t xml:space="preserve"> and </w:t>
      </w:r>
      <w:r w:rsidRPr="00F136AD">
        <w:t>$2,085.52</w:t>
      </w:r>
      <w:r>
        <w:t>, respectively. The sum increased to $6,</w:t>
      </w:r>
      <w:r w:rsidR="00F070AE">
        <w:t>755.31</w:t>
      </w:r>
      <w:r>
        <w:t xml:space="preserve"> and </w:t>
      </w:r>
      <w:r w:rsidRPr="00F136AD">
        <w:t>$2,141.72</w:t>
      </w:r>
      <w:r>
        <w:t xml:space="preserve">, respectively, </w:t>
      </w:r>
      <w:r w:rsidR="00F070AE">
        <w:t>in the resubmission ADAR</w:t>
      </w:r>
      <w:r>
        <w:t>.</w:t>
      </w:r>
      <w:r w:rsidR="00BC6683">
        <w:t xml:space="preserve"> The commentary calculated the total cost to MBS, based on updated MBS item fees and the total cost was $6,868.61.</w:t>
      </w:r>
      <w:r>
        <w:t xml:space="preserve"> </w:t>
      </w:r>
    </w:p>
    <w:p w14:paraId="4229244E" w14:textId="2692ED42" w:rsidR="00397E6E" w:rsidRDefault="00F31997" w:rsidP="0075026E">
      <w:r>
        <w:fldChar w:fldCharType="begin"/>
      </w:r>
      <w:r>
        <w:instrText xml:space="preserve"> REF _Ref181096692 \h </w:instrText>
      </w:r>
      <w:r>
        <w:fldChar w:fldCharType="separate"/>
      </w:r>
      <w:r>
        <w:t xml:space="preserve">Table </w:t>
      </w:r>
      <w:r>
        <w:rPr>
          <w:noProof/>
        </w:rPr>
        <w:t>14</w:t>
      </w:r>
      <w:r>
        <w:fldChar w:fldCharType="end"/>
      </w:r>
      <w:r>
        <w:t xml:space="preserve"> summarises the incremental costs of device and disease related costs in LVAD patients versus OMM patients.</w:t>
      </w:r>
      <w:r w:rsidR="00D46CF1" w:rsidRPr="00D46CF1">
        <w:t xml:space="preserve"> </w:t>
      </w:r>
      <w:r w:rsidR="00D46CF1">
        <w:t>The resubmission ADAR presented the incremental cost of total disease and device related costs resulting in hospitalisation of $</w:t>
      </w:r>
      <w:r w:rsidR="00932DD9" w:rsidRPr="00932DD9">
        <w:rPr>
          <w:b/>
          <w:bCs/>
        </w:rPr>
        <w:t>redacted</w:t>
      </w:r>
      <w:r w:rsidR="00D46CF1">
        <w:t xml:space="preserve"> over 6 years. The commentary considered that the device related complication costs were underestimated as it did not account for risk of reoperation and pump replacement </w:t>
      </w:r>
      <w:proofErr w:type="gramStart"/>
      <w:r w:rsidR="00D46CF1">
        <w:t>as a result of</w:t>
      </w:r>
      <w:proofErr w:type="gramEnd"/>
      <w:r w:rsidR="00D46CF1">
        <w:t xml:space="preserve"> device malfunction or infection. It was noted that </w:t>
      </w:r>
      <w:r w:rsidR="00D46CF1" w:rsidRPr="00022EF7">
        <w:t>the price relied on</w:t>
      </w:r>
      <w:r w:rsidR="00D46CF1">
        <w:t>,</w:t>
      </w:r>
      <w:r w:rsidR="00D46CF1" w:rsidRPr="00022EF7">
        <w:t xml:space="preserve"> for the economic and financial analyses</w:t>
      </w:r>
      <w:r w:rsidR="00D46CF1">
        <w:t>,</w:t>
      </w:r>
      <w:r w:rsidR="00D46CF1" w:rsidRPr="00022EF7">
        <w:t xml:space="preserve"> includes the price for any accessories associated with use of the principal device</w:t>
      </w:r>
      <w:r w:rsidR="00D46CF1">
        <w:t xml:space="preserve"> (i.e. $</w:t>
      </w:r>
      <w:r w:rsidR="00EC4E81" w:rsidRPr="00EC4E81">
        <w:rPr>
          <w:b/>
          <w:bCs/>
        </w:rPr>
        <w:t>redacted</w:t>
      </w:r>
      <w:r w:rsidR="00D46CF1">
        <w:t>, which was appropriate</w:t>
      </w:r>
      <w:r w:rsidR="00D46CF1" w:rsidRPr="00022EF7">
        <w:t>.</w:t>
      </w:r>
    </w:p>
    <w:p w14:paraId="708AA2AF" w14:textId="7A5F36A9" w:rsidR="00397E6E" w:rsidRDefault="00397E6E" w:rsidP="0079297C">
      <w:pPr>
        <w:pStyle w:val="Caption"/>
      </w:pPr>
      <w:r>
        <w:t xml:space="preserve">Table </w:t>
      </w:r>
      <w:r w:rsidR="006461F2">
        <w:fldChar w:fldCharType="begin"/>
      </w:r>
      <w:r w:rsidR="006461F2">
        <w:instrText xml:space="preserve"> SEQ Table \* ARABIC </w:instrText>
      </w:r>
      <w:r w:rsidR="006461F2">
        <w:fldChar w:fldCharType="separate"/>
      </w:r>
      <w:r w:rsidR="006461F2">
        <w:rPr>
          <w:noProof/>
        </w:rPr>
        <w:t>16</w:t>
      </w:r>
      <w:r w:rsidR="006461F2">
        <w:rPr>
          <w:noProof/>
        </w:rPr>
        <w:fldChar w:fldCharType="end"/>
      </w:r>
      <w:r w:rsidRPr="00397E6E">
        <w:t xml:space="preserve"> </w:t>
      </w:r>
      <w:r>
        <w:t xml:space="preserve">Incremental costs of device and disease related costs in </w:t>
      </w:r>
      <w:r w:rsidR="00F31997">
        <w:t>L</w:t>
      </w:r>
      <w:r>
        <w:t>VAD patients versus OMM patients by payer</w:t>
      </w:r>
    </w:p>
    <w:tbl>
      <w:tblPr>
        <w:tblStyle w:val="TableGrid"/>
        <w:tblpPr w:leftFromText="180" w:rightFromText="180" w:vertAnchor="text" w:horzAnchor="margin" w:tblpY="63"/>
        <w:tblW w:w="9209" w:type="dxa"/>
        <w:tblLayout w:type="fixed"/>
        <w:tblLook w:val="04A0" w:firstRow="1" w:lastRow="0" w:firstColumn="1" w:lastColumn="0" w:noHBand="0" w:noVBand="1"/>
      </w:tblPr>
      <w:tblGrid>
        <w:gridCol w:w="1413"/>
        <w:gridCol w:w="850"/>
        <w:gridCol w:w="851"/>
        <w:gridCol w:w="870"/>
        <w:gridCol w:w="831"/>
        <w:gridCol w:w="748"/>
        <w:gridCol w:w="811"/>
        <w:gridCol w:w="851"/>
        <w:gridCol w:w="850"/>
        <w:gridCol w:w="1134"/>
      </w:tblGrid>
      <w:tr w:rsidR="00F15BDB" w14:paraId="2B256C25" w14:textId="77777777" w:rsidTr="0079297C">
        <w:tc>
          <w:tcPr>
            <w:tcW w:w="1413" w:type="dxa"/>
          </w:tcPr>
          <w:p w14:paraId="274C87F3" w14:textId="77777777" w:rsidR="00397E6E" w:rsidRDefault="00397E6E" w:rsidP="00397E6E">
            <w:pPr>
              <w:pStyle w:val="TableHeadingCA"/>
            </w:pPr>
            <w:r w:rsidRPr="0052182F">
              <w:t>Parameter</w:t>
            </w:r>
          </w:p>
        </w:tc>
        <w:tc>
          <w:tcPr>
            <w:tcW w:w="850" w:type="dxa"/>
          </w:tcPr>
          <w:p w14:paraId="3E084740" w14:textId="77777777" w:rsidR="00397E6E" w:rsidRDefault="00397E6E" w:rsidP="00397E6E">
            <w:pPr>
              <w:pStyle w:val="TableHeadingCA"/>
              <w:ind w:right="-113"/>
              <w:jc w:val="left"/>
            </w:pPr>
            <w:r w:rsidRPr="0052182F">
              <w:t>Treatment arm</w:t>
            </w:r>
          </w:p>
        </w:tc>
        <w:tc>
          <w:tcPr>
            <w:tcW w:w="851" w:type="dxa"/>
          </w:tcPr>
          <w:p w14:paraId="5EA23126" w14:textId="77777777" w:rsidR="00397E6E" w:rsidRDefault="00397E6E" w:rsidP="00397E6E">
            <w:pPr>
              <w:pStyle w:val="TableHeadingCA"/>
              <w:ind w:left="-31"/>
              <w:jc w:val="left"/>
            </w:pPr>
            <w:r w:rsidRPr="0052182F">
              <w:t>Year 1</w:t>
            </w:r>
          </w:p>
        </w:tc>
        <w:tc>
          <w:tcPr>
            <w:tcW w:w="870" w:type="dxa"/>
          </w:tcPr>
          <w:p w14:paraId="0F4462EA" w14:textId="77777777" w:rsidR="00397E6E" w:rsidRDefault="00397E6E" w:rsidP="00397E6E">
            <w:pPr>
              <w:pStyle w:val="TableHeadingCA"/>
              <w:jc w:val="left"/>
            </w:pPr>
            <w:r w:rsidRPr="0052182F">
              <w:t xml:space="preserve">Year </w:t>
            </w:r>
            <w:r>
              <w:t>2</w:t>
            </w:r>
          </w:p>
        </w:tc>
        <w:tc>
          <w:tcPr>
            <w:tcW w:w="831" w:type="dxa"/>
          </w:tcPr>
          <w:p w14:paraId="4D9351E5" w14:textId="77777777" w:rsidR="00397E6E" w:rsidRDefault="00397E6E" w:rsidP="00397E6E">
            <w:pPr>
              <w:pStyle w:val="TableHeadingCA"/>
              <w:jc w:val="left"/>
            </w:pPr>
            <w:r w:rsidRPr="0052182F">
              <w:t xml:space="preserve">Year </w:t>
            </w:r>
            <w:r>
              <w:t>3</w:t>
            </w:r>
          </w:p>
        </w:tc>
        <w:tc>
          <w:tcPr>
            <w:tcW w:w="748" w:type="dxa"/>
          </w:tcPr>
          <w:p w14:paraId="27B9A273" w14:textId="77777777" w:rsidR="00397E6E" w:rsidRDefault="00397E6E" w:rsidP="00397E6E">
            <w:pPr>
              <w:pStyle w:val="TableHeadingCA"/>
              <w:jc w:val="left"/>
            </w:pPr>
            <w:r w:rsidRPr="0052182F">
              <w:t xml:space="preserve">Year </w:t>
            </w:r>
            <w:r>
              <w:t>4</w:t>
            </w:r>
          </w:p>
        </w:tc>
        <w:tc>
          <w:tcPr>
            <w:tcW w:w="811" w:type="dxa"/>
          </w:tcPr>
          <w:p w14:paraId="1799CA9B" w14:textId="77777777" w:rsidR="00397E6E" w:rsidRDefault="00397E6E" w:rsidP="00397E6E">
            <w:pPr>
              <w:pStyle w:val="TableHeadingCA"/>
              <w:jc w:val="left"/>
            </w:pPr>
            <w:r w:rsidRPr="0052182F">
              <w:t xml:space="preserve">Year </w:t>
            </w:r>
            <w:r>
              <w:t>5</w:t>
            </w:r>
          </w:p>
        </w:tc>
        <w:tc>
          <w:tcPr>
            <w:tcW w:w="851" w:type="dxa"/>
          </w:tcPr>
          <w:p w14:paraId="01FE51F6" w14:textId="77777777" w:rsidR="00397E6E" w:rsidRDefault="00397E6E" w:rsidP="00397E6E">
            <w:pPr>
              <w:pStyle w:val="TableHeadingCA"/>
              <w:jc w:val="left"/>
            </w:pPr>
            <w:r w:rsidRPr="0052182F">
              <w:t xml:space="preserve">Year </w:t>
            </w:r>
            <w:r>
              <w:t>6</w:t>
            </w:r>
          </w:p>
        </w:tc>
        <w:tc>
          <w:tcPr>
            <w:tcW w:w="850" w:type="dxa"/>
          </w:tcPr>
          <w:p w14:paraId="149AFFF2" w14:textId="77777777" w:rsidR="00397E6E" w:rsidRDefault="00397E6E" w:rsidP="00397E6E">
            <w:pPr>
              <w:pStyle w:val="TableHeadingCA"/>
              <w:jc w:val="left"/>
            </w:pPr>
            <w:r>
              <w:t>Total</w:t>
            </w:r>
          </w:p>
        </w:tc>
        <w:tc>
          <w:tcPr>
            <w:tcW w:w="1134" w:type="dxa"/>
          </w:tcPr>
          <w:p w14:paraId="19599586" w14:textId="77777777" w:rsidR="00397E6E" w:rsidRDefault="00397E6E" w:rsidP="00397E6E">
            <w:pPr>
              <w:pStyle w:val="TableHeadingCA"/>
              <w:jc w:val="left"/>
            </w:pPr>
            <w:r>
              <w:t>Calculation /Source</w:t>
            </w:r>
          </w:p>
        </w:tc>
      </w:tr>
      <w:tr w:rsidR="00F15BDB" w14:paraId="197436C1" w14:textId="77777777" w:rsidTr="0079297C">
        <w:tc>
          <w:tcPr>
            <w:tcW w:w="1413" w:type="dxa"/>
          </w:tcPr>
          <w:p w14:paraId="0C582ECC" w14:textId="77777777" w:rsidR="00397E6E" w:rsidRDefault="00397E6E" w:rsidP="00397E6E">
            <w:pPr>
              <w:pStyle w:val="Tabletext0"/>
              <w:jc w:val="left"/>
            </w:pPr>
            <w:r w:rsidRPr="009165D7">
              <w:t>Device related costs resulting in hospitalisat</w:t>
            </w:r>
            <w:r>
              <w:t>i</w:t>
            </w:r>
            <w:r w:rsidRPr="009165D7">
              <w:t>ons</w:t>
            </w:r>
          </w:p>
        </w:tc>
        <w:tc>
          <w:tcPr>
            <w:tcW w:w="850" w:type="dxa"/>
          </w:tcPr>
          <w:p w14:paraId="2E07FECF" w14:textId="466277E1" w:rsidR="00397E6E" w:rsidRDefault="00F31997" w:rsidP="00397E6E">
            <w:pPr>
              <w:pStyle w:val="Tabletext0"/>
            </w:pPr>
            <w:r>
              <w:t>L</w:t>
            </w:r>
            <w:r w:rsidR="00397E6E">
              <w:t>VAD</w:t>
            </w:r>
          </w:p>
        </w:tc>
        <w:tc>
          <w:tcPr>
            <w:tcW w:w="851" w:type="dxa"/>
          </w:tcPr>
          <w:p w14:paraId="03C7159B" w14:textId="6DA4CDBF" w:rsidR="00397E6E" w:rsidRDefault="00397E6E" w:rsidP="00397E6E">
            <w:pPr>
              <w:pStyle w:val="Tabletext0"/>
              <w:jc w:val="left"/>
            </w:pPr>
            <w:r w:rsidRPr="00DD2B14">
              <w:t>$</w:t>
            </w:r>
            <w:r w:rsidR="000317CF" w:rsidRPr="000317CF">
              <w:rPr>
                <w:b/>
                <w:bCs/>
              </w:rPr>
              <w:t>redacted</w:t>
            </w:r>
          </w:p>
        </w:tc>
        <w:tc>
          <w:tcPr>
            <w:tcW w:w="870" w:type="dxa"/>
          </w:tcPr>
          <w:p w14:paraId="07949CF3" w14:textId="6676113E" w:rsidR="00397E6E" w:rsidRDefault="00397E6E" w:rsidP="00397E6E">
            <w:pPr>
              <w:pStyle w:val="Tabletext0"/>
              <w:jc w:val="left"/>
            </w:pPr>
            <w:r w:rsidRPr="00DD2B14">
              <w:t>$</w:t>
            </w:r>
            <w:r w:rsidR="000317CF" w:rsidRPr="000317CF">
              <w:rPr>
                <w:b/>
                <w:bCs/>
              </w:rPr>
              <w:t>redacted</w:t>
            </w:r>
          </w:p>
        </w:tc>
        <w:tc>
          <w:tcPr>
            <w:tcW w:w="831" w:type="dxa"/>
          </w:tcPr>
          <w:p w14:paraId="6B55CE3F" w14:textId="5A807746" w:rsidR="00397E6E" w:rsidRDefault="00397E6E" w:rsidP="00397E6E">
            <w:pPr>
              <w:pStyle w:val="Tabletext0"/>
              <w:jc w:val="left"/>
            </w:pPr>
            <w:r w:rsidRPr="00DD2B14">
              <w:t>$</w:t>
            </w:r>
            <w:r w:rsidR="000317CF" w:rsidRPr="000317CF">
              <w:rPr>
                <w:b/>
                <w:bCs/>
              </w:rPr>
              <w:t>redacted</w:t>
            </w:r>
          </w:p>
        </w:tc>
        <w:tc>
          <w:tcPr>
            <w:tcW w:w="748" w:type="dxa"/>
          </w:tcPr>
          <w:p w14:paraId="55D63B06" w14:textId="0D6CAD06" w:rsidR="00397E6E" w:rsidRDefault="00397E6E" w:rsidP="00397E6E">
            <w:pPr>
              <w:pStyle w:val="Tabletext0"/>
              <w:jc w:val="left"/>
            </w:pPr>
            <w:r w:rsidRPr="00DD2B14">
              <w:t>$</w:t>
            </w:r>
            <w:r w:rsidR="000317CF" w:rsidRPr="000317CF">
              <w:rPr>
                <w:b/>
                <w:bCs/>
              </w:rPr>
              <w:t>redacted</w:t>
            </w:r>
          </w:p>
        </w:tc>
        <w:tc>
          <w:tcPr>
            <w:tcW w:w="811" w:type="dxa"/>
          </w:tcPr>
          <w:p w14:paraId="16A34400" w14:textId="1D366492" w:rsidR="00397E6E" w:rsidRDefault="00397E6E" w:rsidP="00397E6E">
            <w:pPr>
              <w:pStyle w:val="Tabletext0"/>
              <w:jc w:val="left"/>
            </w:pPr>
            <w:r w:rsidRPr="00DD2B14">
              <w:t>$</w:t>
            </w:r>
            <w:r w:rsidR="000317CF" w:rsidRPr="000317CF">
              <w:rPr>
                <w:b/>
                <w:bCs/>
              </w:rPr>
              <w:t>redacted</w:t>
            </w:r>
          </w:p>
        </w:tc>
        <w:tc>
          <w:tcPr>
            <w:tcW w:w="851" w:type="dxa"/>
          </w:tcPr>
          <w:p w14:paraId="10748048" w14:textId="4ABD0104" w:rsidR="00397E6E" w:rsidRDefault="00397E6E" w:rsidP="00397E6E">
            <w:pPr>
              <w:pStyle w:val="Tabletext0"/>
              <w:jc w:val="left"/>
            </w:pPr>
            <w:r w:rsidRPr="00DD2B14">
              <w:t>$</w:t>
            </w:r>
            <w:r w:rsidR="000317CF" w:rsidRPr="000317CF">
              <w:rPr>
                <w:b/>
                <w:bCs/>
              </w:rPr>
              <w:t>redacted</w:t>
            </w:r>
          </w:p>
        </w:tc>
        <w:tc>
          <w:tcPr>
            <w:tcW w:w="850" w:type="dxa"/>
          </w:tcPr>
          <w:p w14:paraId="6069FA2F" w14:textId="663DD2C2" w:rsidR="00397E6E" w:rsidRDefault="00397E6E" w:rsidP="00397E6E">
            <w:pPr>
              <w:pStyle w:val="Tabletext0"/>
              <w:jc w:val="left"/>
            </w:pPr>
            <w:r w:rsidRPr="00726E53">
              <w:t>$</w:t>
            </w:r>
            <w:r w:rsidR="000317CF" w:rsidRPr="000317CF">
              <w:rPr>
                <w:b/>
                <w:bCs/>
              </w:rPr>
              <w:t>redacted</w:t>
            </w:r>
          </w:p>
        </w:tc>
        <w:tc>
          <w:tcPr>
            <w:tcW w:w="1134" w:type="dxa"/>
          </w:tcPr>
          <w:p w14:paraId="5CAFC779" w14:textId="4B6C09BD" w:rsidR="00397E6E" w:rsidRDefault="00397E6E" w:rsidP="00397E6E">
            <w:pPr>
              <w:pStyle w:val="Tabletext0"/>
              <w:jc w:val="left"/>
            </w:pPr>
            <w:r>
              <w:t>Calculated based on revised base case analysis –</w:t>
            </w:r>
          </w:p>
          <w:p w14:paraId="5E844419" w14:textId="77777777" w:rsidR="00397E6E" w:rsidRDefault="00397E6E" w:rsidP="00397E6E">
            <w:pPr>
              <w:pStyle w:val="Tabletext0"/>
              <w:jc w:val="left"/>
            </w:pPr>
            <w:r>
              <w:t>undiscounted, non-half cycle corrected</w:t>
            </w:r>
          </w:p>
        </w:tc>
      </w:tr>
      <w:tr w:rsidR="00F15BDB" w14:paraId="146F478A" w14:textId="77777777" w:rsidTr="0079297C">
        <w:trPr>
          <w:trHeight w:val="1222"/>
        </w:trPr>
        <w:tc>
          <w:tcPr>
            <w:tcW w:w="1413" w:type="dxa"/>
            <w:vMerge w:val="restart"/>
          </w:tcPr>
          <w:p w14:paraId="0041DAFC" w14:textId="77777777" w:rsidR="00397E6E" w:rsidRPr="009165D7" w:rsidRDefault="00397E6E" w:rsidP="00397E6E">
            <w:pPr>
              <w:pStyle w:val="Tabletext0"/>
              <w:jc w:val="left"/>
            </w:pPr>
            <w:r w:rsidRPr="009165D7">
              <w:t>Disease related costs resulting in hospitalisations</w:t>
            </w:r>
          </w:p>
        </w:tc>
        <w:tc>
          <w:tcPr>
            <w:tcW w:w="850" w:type="dxa"/>
          </w:tcPr>
          <w:p w14:paraId="797AB648" w14:textId="3D9A9346" w:rsidR="00397E6E" w:rsidRDefault="00F31997" w:rsidP="00397E6E">
            <w:pPr>
              <w:pStyle w:val="Tabletext0"/>
            </w:pPr>
            <w:r>
              <w:t>L</w:t>
            </w:r>
            <w:r w:rsidR="00397E6E">
              <w:t>VAD</w:t>
            </w:r>
          </w:p>
        </w:tc>
        <w:tc>
          <w:tcPr>
            <w:tcW w:w="851" w:type="dxa"/>
          </w:tcPr>
          <w:p w14:paraId="73AFE5F6" w14:textId="77777777" w:rsidR="00397E6E" w:rsidRDefault="00397E6E" w:rsidP="00397E6E">
            <w:pPr>
              <w:pStyle w:val="Tabletext0"/>
              <w:jc w:val="left"/>
            </w:pPr>
            <w:r w:rsidRPr="007F5CCC">
              <w:t>$12,857</w:t>
            </w:r>
          </w:p>
        </w:tc>
        <w:tc>
          <w:tcPr>
            <w:tcW w:w="870" w:type="dxa"/>
          </w:tcPr>
          <w:p w14:paraId="3E15F5B2" w14:textId="77777777" w:rsidR="00397E6E" w:rsidRDefault="00397E6E" w:rsidP="00397E6E">
            <w:pPr>
              <w:pStyle w:val="Tabletext0"/>
              <w:jc w:val="left"/>
            </w:pPr>
            <w:r w:rsidRPr="007F5CCC">
              <w:t>$11,013</w:t>
            </w:r>
          </w:p>
        </w:tc>
        <w:tc>
          <w:tcPr>
            <w:tcW w:w="831" w:type="dxa"/>
          </w:tcPr>
          <w:p w14:paraId="6B7F73B8" w14:textId="77777777" w:rsidR="00397E6E" w:rsidRDefault="00397E6E" w:rsidP="00397E6E">
            <w:pPr>
              <w:pStyle w:val="Tabletext0"/>
              <w:jc w:val="left"/>
            </w:pPr>
            <w:r w:rsidRPr="007F5CCC">
              <w:t>$2,849</w:t>
            </w:r>
          </w:p>
        </w:tc>
        <w:tc>
          <w:tcPr>
            <w:tcW w:w="748" w:type="dxa"/>
          </w:tcPr>
          <w:p w14:paraId="138753AE" w14:textId="77777777" w:rsidR="00397E6E" w:rsidRDefault="00397E6E" w:rsidP="00397E6E">
            <w:pPr>
              <w:pStyle w:val="Tabletext0"/>
              <w:jc w:val="left"/>
            </w:pPr>
            <w:r w:rsidRPr="007F5CCC">
              <w:t>$1,917</w:t>
            </w:r>
          </w:p>
        </w:tc>
        <w:tc>
          <w:tcPr>
            <w:tcW w:w="811" w:type="dxa"/>
          </w:tcPr>
          <w:p w14:paraId="49A1FB2C" w14:textId="77777777" w:rsidR="00397E6E" w:rsidRDefault="00397E6E" w:rsidP="00397E6E">
            <w:pPr>
              <w:pStyle w:val="Tabletext0"/>
              <w:jc w:val="left"/>
            </w:pPr>
            <w:r w:rsidRPr="007F5CCC">
              <w:t>$1,743</w:t>
            </w:r>
          </w:p>
        </w:tc>
        <w:tc>
          <w:tcPr>
            <w:tcW w:w="851" w:type="dxa"/>
          </w:tcPr>
          <w:p w14:paraId="662DB354" w14:textId="77777777" w:rsidR="00397E6E" w:rsidRDefault="00397E6E" w:rsidP="00397E6E">
            <w:pPr>
              <w:pStyle w:val="Tabletext0"/>
              <w:jc w:val="left"/>
            </w:pPr>
            <w:r w:rsidRPr="007F5CCC">
              <w:t>$1,569</w:t>
            </w:r>
          </w:p>
        </w:tc>
        <w:tc>
          <w:tcPr>
            <w:tcW w:w="850" w:type="dxa"/>
          </w:tcPr>
          <w:p w14:paraId="02459063" w14:textId="77777777" w:rsidR="00397E6E" w:rsidRDefault="00397E6E" w:rsidP="00397E6E">
            <w:pPr>
              <w:pStyle w:val="Tabletext0"/>
              <w:jc w:val="left"/>
            </w:pPr>
            <w:r w:rsidRPr="00726E53">
              <w:t>$31,948</w:t>
            </w:r>
          </w:p>
        </w:tc>
        <w:tc>
          <w:tcPr>
            <w:tcW w:w="1134" w:type="dxa"/>
            <w:vMerge w:val="restart"/>
          </w:tcPr>
          <w:p w14:paraId="1B4099CF" w14:textId="3CAC1F0F" w:rsidR="00397E6E" w:rsidRDefault="00397E6E" w:rsidP="009F1A6E">
            <w:pPr>
              <w:pStyle w:val="Tabletext0"/>
              <w:jc w:val="left"/>
            </w:pPr>
            <w:r>
              <w:t>Calculated based on base case analysis –</w:t>
            </w:r>
          </w:p>
          <w:p w14:paraId="1859631B" w14:textId="77777777" w:rsidR="00397E6E" w:rsidRDefault="00397E6E" w:rsidP="00397E6E">
            <w:pPr>
              <w:pStyle w:val="Tabletext0"/>
              <w:jc w:val="left"/>
            </w:pPr>
            <w:r>
              <w:t>undiscounted, non-half cycle corrected</w:t>
            </w:r>
          </w:p>
        </w:tc>
      </w:tr>
      <w:tr w:rsidR="00F15BDB" w14:paraId="0634271E" w14:textId="77777777" w:rsidTr="0079297C">
        <w:trPr>
          <w:trHeight w:val="1223"/>
        </w:trPr>
        <w:tc>
          <w:tcPr>
            <w:tcW w:w="1413" w:type="dxa"/>
            <w:vMerge/>
          </w:tcPr>
          <w:p w14:paraId="6A088F6F" w14:textId="77777777" w:rsidR="00397E6E" w:rsidRDefault="00397E6E" w:rsidP="00397E6E">
            <w:pPr>
              <w:pStyle w:val="Tabletext0"/>
              <w:jc w:val="left"/>
            </w:pPr>
          </w:p>
        </w:tc>
        <w:tc>
          <w:tcPr>
            <w:tcW w:w="850" w:type="dxa"/>
          </w:tcPr>
          <w:p w14:paraId="657381F8" w14:textId="77777777" w:rsidR="00397E6E" w:rsidRDefault="00397E6E" w:rsidP="00397E6E">
            <w:pPr>
              <w:pStyle w:val="Tabletext0"/>
            </w:pPr>
            <w:r>
              <w:t>OMM</w:t>
            </w:r>
          </w:p>
        </w:tc>
        <w:tc>
          <w:tcPr>
            <w:tcW w:w="851" w:type="dxa"/>
          </w:tcPr>
          <w:p w14:paraId="1B4DEF79" w14:textId="77777777" w:rsidR="00397E6E" w:rsidRDefault="00397E6E" w:rsidP="00397E6E">
            <w:pPr>
              <w:pStyle w:val="Tabletext0"/>
              <w:jc w:val="left"/>
            </w:pPr>
            <w:r w:rsidRPr="008556D4">
              <w:t>$31,408</w:t>
            </w:r>
          </w:p>
        </w:tc>
        <w:tc>
          <w:tcPr>
            <w:tcW w:w="870" w:type="dxa"/>
          </w:tcPr>
          <w:p w14:paraId="17E8A969" w14:textId="77777777" w:rsidR="00397E6E" w:rsidRDefault="00397E6E" w:rsidP="00397E6E">
            <w:pPr>
              <w:pStyle w:val="Tabletext0"/>
              <w:jc w:val="left"/>
            </w:pPr>
            <w:r w:rsidRPr="008556D4">
              <w:t>$6,767</w:t>
            </w:r>
          </w:p>
        </w:tc>
        <w:tc>
          <w:tcPr>
            <w:tcW w:w="831" w:type="dxa"/>
          </w:tcPr>
          <w:p w14:paraId="53B7DA50" w14:textId="77777777" w:rsidR="00397E6E" w:rsidRDefault="00397E6E" w:rsidP="00397E6E">
            <w:pPr>
              <w:pStyle w:val="Tabletext0"/>
              <w:jc w:val="left"/>
            </w:pPr>
            <w:r w:rsidRPr="008556D4">
              <w:t>$91</w:t>
            </w:r>
          </w:p>
        </w:tc>
        <w:tc>
          <w:tcPr>
            <w:tcW w:w="748" w:type="dxa"/>
          </w:tcPr>
          <w:p w14:paraId="4F3F1F9B" w14:textId="77777777" w:rsidR="00397E6E" w:rsidRDefault="00397E6E" w:rsidP="00397E6E">
            <w:pPr>
              <w:pStyle w:val="Tabletext0"/>
              <w:jc w:val="left"/>
            </w:pPr>
            <w:r w:rsidRPr="008556D4">
              <w:t>$0</w:t>
            </w:r>
          </w:p>
        </w:tc>
        <w:tc>
          <w:tcPr>
            <w:tcW w:w="811" w:type="dxa"/>
          </w:tcPr>
          <w:p w14:paraId="43AC5067" w14:textId="77777777" w:rsidR="00397E6E" w:rsidRDefault="00397E6E" w:rsidP="00397E6E">
            <w:pPr>
              <w:pStyle w:val="Tabletext0"/>
              <w:jc w:val="left"/>
            </w:pPr>
            <w:r w:rsidRPr="008556D4">
              <w:t>$0</w:t>
            </w:r>
          </w:p>
        </w:tc>
        <w:tc>
          <w:tcPr>
            <w:tcW w:w="851" w:type="dxa"/>
          </w:tcPr>
          <w:p w14:paraId="44956A1E" w14:textId="77777777" w:rsidR="00397E6E" w:rsidRDefault="00397E6E" w:rsidP="00397E6E">
            <w:pPr>
              <w:pStyle w:val="Tabletext0"/>
              <w:jc w:val="left"/>
            </w:pPr>
            <w:r w:rsidRPr="008556D4">
              <w:t>$0</w:t>
            </w:r>
          </w:p>
        </w:tc>
        <w:tc>
          <w:tcPr>
            <w:tcW w:w="850" w:type="dxa"/>
          </w:tcPr>
          <w:p w14:paraId="3314CD8D" w14:textId="77777777" w:rsidR="00397E6E" w:rsidRDefault="00397E6E" w:rsidP="00397E6E">
            <w:pPr>
              <w:pStyle w:val="Tabletext0"/>
              <w:jc w:val="left"/>
            </w:pPr>
            <w:r>
              <w:t>$38,266</w:t>
            </w:r>
          </w:p>
        </w:tc>
        <w:tc>
          <w:tcPr>
            <w:tcW w:w="1134" w:type="dxa"/>
            <w:vMerge/>
          </w:tcPr>
          <w:p w14:paraId="401E6D18" w14:textId="77777777" w:rsidR="00397E6E" w:rsidRDefault="00397E6E" w:rsidP="00397E6E">
            <w:pPr>
              <w:pStyle w:val="Tabletext0"/>
              <w:jc w:val="left"/>
            </w:pPr>
          </w:p>
        </w:tc>
      </w:tr>
      <w:tr w:rsidR="00F15BDB" w14:paraId="0D8787C5" w14:textId="77777777" w:rsidTr="0079297C">
        <w:tc>
          <w:tcPr>
            <w:tcW w:w="1413" w:type="dxa"/>
          </w:tcPr>
          <w:p w14:paraId="01C9059C" w14:textId="77777777" w:rsidR="00397E6E" w:rsidRDefault="00397E6E" w:rsidP="00397E6E">
            <w:pPr>
              <w:pStyle w:val="Tabletext0"/>
              <w:jc w:val="left"/>
            </w:pPr>
            <w:r w:rsidRPr="009165D7">
              <w:t>Total disease and device related costs resulting in hospitalisations</w:t>
            </w:r>
          </w:p>
        </w:tc>
        <w:tc>
          <w:tcPr>
            <w:tcW w:w="850" w:type="dxa"/>
          </w:tcPr>
          <w:p w14:paraId="17E8DD0F" w14:textId="77777777" w:rsidR="00397E6E" w:rsidRDefault="00397E6E" w:rsidP="00397E6E">
            <w:pPr>
              <w:pStyle w:val="Tabletext0"/>
            </w:pPr>
            <w:r>
              <w:t>Incremental</w:t>
            </w:r>
          </w:p>
        </w:tc>
        <w:tc>
          <w:tcPr>
            <w:tcW w:w="851" w:type="dxa"/>
          </w:tcPr>
          <w:p w14:paraId="5B754272" w14:textId="500E5820" w:rsidR="00397E6E" w:rsidRDefault="00397E6E" w:rsidP="00397E6E">
            <w:pPr>
              <w:pStyle w:val="Tabletext0"/>
              <w:ind w:right="-247"/>
              <w:jc w:val="left"/>
            </w:pPr>
            <w:r>
              <w:t> $</w:t>
            </w:r>
            <w:r w:rsidR="000317CF" w:rsidRPr="000317CF">
              <w:rPr>
                <w:b/>
                <w:bCs/>
              </w:rPr>
              <w:t>redacted</w:t>
            </w:r>
          </w:p>
        </w:tc>
        <w:tc>
          <w:tcPr>
            <w:tcW w:w="870" w:type="dxa"/>
          </w:tcPr>
          <w:p w14:paraId="3C82F086" w14:textId="294C2F63" w:rsidR="00397E6E" w:rsidRDefault="00397E6E" w:rsidP="00397E6E">
            <w:pPr>
              <w:pStyle w:val="Tabletext0"/>
              <w:jc w:val="left"/>
            </w:pPr>
            <w:r w:rsidRPr="00822FC2">
              <w:t>$</w:t>
            </w:r>
            <w:r w:rsidR="000317CF" w:rsidRPr="000317CF">
              <w:rPr>
                <w:b/>
                <w:bCs/>
              </w:rPr>
              <w:t>redacted</w:t>
            </w:r>
          </w:p>
        </w:tc>
        <w:tc>
          <w:tcPr>
            <w:tcW w:w="831" w:type="dxa"/>
          </w:tcPr>
          <w:p w14:paraId="065207BF" w14:textId="4A2E87BC" w:rsidR="00397E6E" w:rsidRDefault="00397E6E" w:rsidP="00397E6E">
            <w:pPr>
              <w:pStyle w:val="Tabletext0"/>
              <w:jc w:val="left"/>
            </w:pPr>
            <w:r w:rsidRPr="00822FC2">
              <w:t>$</w:t>
            </w:r>
            <w:r w:rsidR="000317CF" w:rsidRPr="000317CF">
              <w:rPr>
                <w:b/>
                <w:bCs/>
              </w:rPr>
              <w:t>redacted</w:t>
            </w:r>
          </w:p>
        </w:tc>
        <w:tc>
          <w:tcPr>
            <w:tcW w:w="748" w:type="dxa"/>
          </w:tcPr>
          <w:p w14:paraId="13FFCD4E" w14:textId="761A1B53" w:rsidR="00397E6E" w:rsidRDefault="00397E6E" w:rsidP="00397E6E">
            <w:pPr>
              <w:pStyle w:val="Tabletext0"/>
              <w:jc w:val="left"/>
            </w:pPr>
            <w:r w:rsidRPr="00822FC2">
              <w:t>$</w:t>
            </w:r>
            <w:r w:rsidR="000317CF" w:rsidRPr="000317CF">
              <w:rPr>
                <w:b/>
                <w:bCs/>
              </w:rPr>
              <w:t>redacted</w:t>
            </w:r>
          </w:p>
        </w:tc>
        <w:tc>
          <w:tcPr>
            <w:tcW w:w="811" w:type="dxa"/>
          </w:tcPr>
          <w:p w14:paraId="5773F589" w14:textId="5C7819A2" w:rsidR="00397E6E" w:rsidRDefault="00397E6E" w:rsidP="00397E6E">
            <w:pPr>
              <w:pStyle w:val="Tabletext0"/>
              <w:jc w:val="left"/>
            </w:pPr>
            <w:r w:rsidRPr="00822FC2">
              <w:t>$</w:t>
            </w:r>
            <w:r w:rsidR="000317CF" w:rsidRPr="000317CF">
              <w:rPr>
                <w:b/>
                <w:bCs/>
              </w:rPr>
              <w:t>redacted</w:t>
            </w:r>
          </w:p>
        </w:tc>
        <w:tc>
          <w:tcPr>
            <w:tcW w:w="851" w:type="dxa"/>
          </w:tcPr>
          <w:p w14:paraId="169F7E8F" w14:textId="68609F3C" w:rsidR="00397E6E" w:rsidRDefault="00397E6E" w:rsidP="00397E6E">
            <w:pPr>
              <w:pStyle w:val="Tabletext0"/>
              <w:jc w:val="left"/>
            </w:pPr>
            <w:r w:rsidRPr="00822FC2">
              <w:t>$</w:t>
            </w:r>
            <w:r w:rsidR="000317CF" w:rsidRPr="000317CF">
              <w:rPr>
                <w:b/>
                <w:bCs/>
              </w:rPr>
              <w:t>redacted</w:t>
            </w:r>
          </w:p>
        </w:tc>
        <w:tc>
          <w:tcPr>
            <w:tcW w:w="850" w:type="dxa"/>
          </w:tcPr>
          <w:p w14:paraId="7FC6FC1A" w14:textId="5DC9B216" w:rsidR="00397E6E" w:rsidRDefault="00397E6E" w:rsidP="00397E6E">
            <w:pPr>
              <w:pStyle w:val="Tabletext0"/>
              <w:jc w:val="left"/>
            </w:pPr>
            <w:r w:rsidRPr="00C86A91">
              <w:t>$</w:t>
            </w:r>
            <w:r w:rsidR="000317CF" w:rsidRPr="000317CF">
              <w:rPr>
                <w:b/>
                <w:bCs/>
              </w:rPr>
              <w:t>redacted</w:t>
            </w:r>
          </w:p>
        </w:tc>
        <w:tc>
          <w:tcPr>
            <w:tcW w:w="1134" w:type="dxa"/>
          </w:tcPr>
          <w:p w14:paraId="0FC26E94" w14:textId="04C846D7" w:rsidR="00397E6E" w:rsidRDefault="00E427DA" w:rsidP="00397E6E">
            <w:pPr>
              <w:pStyle w:val="Tabletext0"/>
              <w:jc w:val="left"/>
            </w:pPr>
            <w:r>
              <w:t>L</w:t>
            </w:r>
            <w:r w:rsidR="00397E6E">
              <w:t>VAD arm – OMM arm</w:t>
            </w:r>
          </w:p>
        </w:tc>
      </w:tr>
    </w:tbl>
    <w:p w14:paraId="643E7331" w14:textId="2A1E8645" w:rsidR="00397E6E" w:rsidRDefault="00397E6E" w:rsidP="00397E6E">
      <w:pPr>
        <w:pStyle w:val="TableFooter"/>
      </w:pPr>
      <w:r>
        <w:t>Source: Table 28 of MSAC Application 1749 Resubmission ADAR.</w:t>
      </w:r>
    </w:p>
    <w:p w14:paraId="4AD61650" w14:textId="17FBA17D" w:rsidR="00397E6E" w:rsidRPr="009165D7" w:rsidRDefault="00397E6E" w:rsidP="00397E6E">
      <w:pPr>
        <w:pStyle w:val="TableFooter"/>
      </w:pPr>
      <w:r>
        <w:t xml:space="preserve">EE = economic evaluation; </w:t>
      </w:r>
      <w:r w:rsidR="008F2139">
        <w:t>L</w:t>
      </w:r>
      <w:r>
        <w:t>VAD</w:t>
      </w:r>
      <w:r w:rsidRPr="00D71DD9">
        <w:t xml:space="preserve"> = </w:t>
      </w:r>
      <w:r w:rsidR="008F2139">
        <w:t xml:space="preserve">left </w:t>
      </w:r>
      <w:r w:rsidRPr="00D71DD9">
        <w:t>ventricular assist device; MBS = Medicare Benefits Schedule; OMM = optimal medical management</w:t>
      </w:r>
      <w:r>
        <w:t>;</w:t>
      </w:r>
      <w:r w:rsidRPr="00D71DD9">
        <w:t xml:space="preserve"> PBS = Pharmaceutical Benefits Scheme.</w:t>
      </w:r>
    </w:p>
    <w:p w14:paraId="2D7A1BF8" w14:textId="117297B2" w:rsidR="0075026E" w:rsidRPr="00D77B20" w:rsidRDefault="0075026E" w:rsidP="0075026E">
      <w:r>
        <w:fldChar w:fldCharType="begin"/>
      </w:r>
      <w:r>
        <w:instrText xml:space="preserve"> REF _Ref69726382 \h </w:instrText>
      </w:r>
      <w:r>
        <w:fldChar w:fldCharType="separate"/>
      </w:r>
      <w:r w:rsidR="00D05EE7" w:rsidRPr="00CE28E3">
        <w:t>Table</w:t>
      </w:r>
      <w:r w:rsidR="00D05EE7">
        <w:t> </w:t>
      </w:r>
      <w:r w:rsidR="00D05EE7">
        <w:rPr>
          <w:noProof/>
        </w:rPr>
        <w:t>15</w:t>
      </w:r>
      <w:r>
        <w:fldChar w:fldCharType="end"/>
      </w:r>
      <w:r>
        <w:t xml:space="preserve"> presents the net f</w:t>
      </w:r>
      <w:r w:rsidRPr="007740EC">
        <w:t xml:space="preserve">inancial implications </w:t>
      </w:r>
      <w:r>
        <w:t xml:space="preserve">of </w:t>
      </w:r>
      <w:r w:rsidR="00596728">
        <w:t>L</w:t>
      </w:r>
      <w:r w:rsidR="00ED6CA5">
        <w:t>VAD</w:t>
      </w:r>
      <w:r w:rsidRPr="007740EC">
        <w:t xml:space="preserve"> as DT</w:t>
      </w:r>
      <w:r>
        <w:t xml:space="preserve"> to</w:t>
      </w:r>
      <w:r w:rsidRPr="007740EC">
        <w:t xml:space="preserve"> the government health budget</w:t>
      </w:r>
      <w:r>
        <w:t xml:space="preserve">, and the numbers were updated by the commentary based on the </w:t>
      </w:r>
      <w:r w:rsidR="00EB38ED" w:rsidRPr="00EB38ED">
        <w:t xml:space="preserve">MSAC Application </w:t>
      </w:r>
      <w:r w:rsidR="009A5664">
        <w:t>1749 Resubmission ADAR</w:t>
      </w:r>
      <w:r w:rsidR="00EB38ED" w:rsidRPr="00EB38ED">
        <w:t xml:space="preserve"> Attachment </w:t>
      </w:r>
      <w:r w:rsidR="00797939">
        <w:t>Section 4.</w:t>
      </w:r>
    </w:p>
    <w:p w14:paraId="408FB15D" w14:textId="31C0F711" w:rsidR="0075026E" w:rsidRPr="00CE28E3" w:rsidRDefault="0075026E" w:rsidP="0075026E">
      <w:pPr>
        <w:pStyle w:val="Caption"/>
      </w:pPr>
      <w:bookmarkStart w:id="62" w:name="_Ref69726382"/>
      <w:r w:rsidRPr="00CE28E3">
        <w:lastRenderedPageBreak/>
        <w:t>Table</w:t>
      </w:r>
      <w:r>
        <w:t> </w:t>
      </w:r>
      <w:r w:rsidR="006461F2">
        <w:fldChar w:fldCharType="begin"/>
      </w:r>
      <w:r w:rsidR="006461F2">
        <w:instrText xml:space="preserve"> SEQ Table \* ARABIC </w:instrText>
      </w:r>
      <w:r w:rsidR="006461F2">
        <w:fldChar w:fldCharType="separate"/>
      </w:r>
      <w:r w:rsidR="006461F2">
        <w:rPr>
          <w:noProof/>
        </w:rPr>
        <w:t>17</w:t>
      </w:r>
      <w:r w:rsidR="006461F2">
        <w:rPr>
          <w:noProof/>
        </w:rPr>
        <w:fldChar w:fldCharType="end"/>
      </w:r>
      <w:bookmarkEnd w:id="62"/>
      <w:r w:rsidRPr="00CE28E3">
        <w:tab/>
        <w:t xml:space="preserve">Net financial implications of </w:t>
      </w:r>
      <w:r>
        <w:t>HM3, from the perspective of the government</w:t>
      </w:r>
    </w:p>
    <w:tbl>
      <w:tblPr>
        <w:tblW w:w="0" w:type="auto"/>
        <w:tblCellMar>
          <w:left w:w="0" w:type="dxa"/>
          <w:right w:w="0" w:type="dxa"/>
        </w:tblCellMar>
        <w:tblLook w:val="04A0" w:firstRow="1" w:lastRow="0" w:firstColumn="1" w:lastColumn="0" w:noHBand="0" w:noVBand="1"/>
      </w:tblPr>
      <w:tblGrid>
        <w:gridCol w:w="2784"/>
        <w:gridCol w:w="1037"/>
        <w:gridCol w:w="1037"/>
        <w:gridCol w:w="1037"/>
        <w:gridCol w:w="1037"/>
        <w:gridCol w:w="1037"/>
        <w:gridCol w:w="1037"/>
      </w:tblGrid>
      <w:tr w:rsidR="0075026E" w:rsidRPr="00CE28E3" w14:paraId="05FCEF4F" w14:textId="77777777">
        <w:trPr>
          <w:tblHeader/>
        </w:trPr>
        <w:tc>
          <w:tcPr>
            <w:tcW w:w="2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94266F" w14:textId="77777777" w:rsidR="0075026E" w:rsidRPr="00CE28E3" w:rsidRDefault="0075026E">
            <w:pPr>
              <w:pStyle w:val="TableText"/>
              <w:keepNext/>
              <w:rPr>
                <w:b/>
                <w:bCs/>
              </w:rPr>
            </w:pPr>
            <w:bookmarkStart w:id="63" w:name="Title_Table12" w:colFirst="0" w:colLast="0"/>
            <w:bookmarkStart w:id="64" w:name="_Hlk68276802"/>
            <w:r>
              <w:rPr>
                <w:b/>
                <w:bCs/>
              </w:rPr>
              <w:t xml:space="preserve">Parameter </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934E82" w14:textId="77777777" w:rsidR="0075026E" w:rsidRPr="00CE28E3" w:rsidRDefault="0075026E" w:rsidP="00D74C1B">
            <w:pPr>
              <w:pStyle w:val="TableText"/>
              <w:keepNext/>
              <w:jc w:val="center"/>
              <w:rPr>
                <w:b/>
                <w:bCs/>
              </w:rPr>
            </w:pPr>
            <w:r w:rsidRPr="00CE28E3">
              <w:rPr>
                <w:b/>
                <w:bCs/>
              </w:rPr>
              <w:t>Year</w:t>
            </w:r>
            <w:r>
              <w:rPr>
                <w:b/>
                <w:bCs/>
              </w:rPr>
              <w:t xml:space="preserve"> 1</w:t>
            </w:r>
            <w:r w:rsidRPr="00CE28E3">
              <w:rPr>
                <w:b/>
                <w:bCs/>
              </w:rPr>
              <w:t xml:space="preserve"> </w:t>
            </w:r>
            <w:r>
              <w:rPr>
                <w:b/>
                <w:bCs/>
              </w:rPr>
              <w:t>2025</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37B76E" w14:textId="77777777" w:rsidR="0075026E" w:rsidRPr="00CE28E3" w:rsidRDefault="0075026E" w:rsidP="00D74C1B">
            <w:pPr>
              <w:pStyle w:val="TableText"/>
              <w:keepNext/>
              <w:jc w:val="center"/>
              <w:rPr>
                <w:b/>
                <w:bCs/>
              </w:rPr>
            </w:pPr>
            <w:r w:rsidRPr="00CE28E3">
              <w:rPr>
                <w:b/>
                <w:bCs/>
              </w:rPr>
              <w:t>Year</w:t>
            </w:r>
            <w:r>
              <w:rPr>
                <w:b/>
                <w:bCs/>
              </w:rPr>
              <w:t xml:space="preserve"> 2</w:t>
            </w:r>
            <w:r w:rsidRPr="00CE28E3">
              <w:rPr>
                <w:b/>
                <w:bCs/>
              </w:rPr>
              <w:t xml:space="preserve"> </w:t>
            </w:r>
            <w:r>
              <w:rPr>
                <w:b/>
                <w:bCs/>
              </w:rPr>
              <w:t>2026</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84C782" w14:textId="77777777" w:rsidR="0075026E" w:rsidRPr="00CE28E3" w:rsidRDefault="0075026E" w:rsidP="00D74C1B">
            <w:pPr>
              <w:pStyle w:val="TableText"/>
              <w:keepNext/>
              <w:jc w:val="center"/>
              <w:rPr>
                <w:b/>
                <w:bCs/>
              </w:rPr>
            </w:pPr>
            <w:r w:rsidRPr="00CE28E3">
              <w:rPr>
                <w:b/>
                <w:bCs/>
              </w:rPr>
              <w:t>Year</w:t>
            </w:r>
            <w:r>
              <w:rPr>
                <w:b/>
                <w:bCs/>
              </w:rPr>
              <w:t xml:space="preserve"> 3</w:t>
            </w:r>
            <w:r w:rsidRPr="00CE28E3">
              <w:rPr>
                <w:b/>
                <w:bCs/>
              </w:rPr>
              <w:t xml:space="preserve"> </w:t>
            </w:r>
            <w:r>
              <w:rPr>
                <w:b/>
                <w:bCs/>
              </w:rPr>
              <w:t>2027</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6AA2F" w14:textId="77777777" w:rsidR="0075026E" w:rsidRPr="00CE28E3" w:rsidRDefault="0075026E" w:rsidP="00D74C1B">
            <w:pPr>
              <w:pStyle w:val="TableText"/>
              <w:keepNext/>
              <w:jc w:val="center"/>
              <w:rPr>
                <w:b/>
                <w:bCs/>
              </w:rPr>
            </w:pPr>
            <w:r w:rsidRPr="00CE28E3">
              <w:rPr>
                <w:b/>
                <w:bCs/>
              </w:rPr>
              <w:t>Year</w:t>
            </w:r>
            <w:r>
              <w:rPr>
                <w:b/>
                <w:bCs/>
              </w:rPr>
              <w:t xml:space="preserve"> 4</w:t>
            </w:r>
            <w:r w:rsidRPr="00CE28E3">
              <w:rPr>
                <w:b/>
                <w:bCs/>
              </w:rPr>
              <w:t xml:space="preserve"> </w:t>
            </w:r>
            <w:r>
              <w:rPr>
                <w:b/>
                <w:bCs/>
              </w:rPr>
              <w:t>2028</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1B8C63" w14:textId="77777777" w:rsidR="0075026E" w:rsidRPr="00CE28E3" w:rsidRDefault="0075026E" w:rsidP="00D74C1B">
            <w:pPr>
              <w:pStyle w:val="TableText"/>
              <w:keepNext/>
              <w:jc w:val="center"/>
              <w:rPr>
                <w:b/>
                <w:bCs/>
              </w:rPr>
            </w:pPr>
            <w:r w:rsidRPr="00CE28E3">
              <w:rPr>
                <w:b/>
                <w:bCs/>
              </w:rPr>
              <w:t>Year</w:t>
            </w:r>
            <w:r>
              <w:rPr>
                <w:b/>
                <w:bCs/>
              </w:rPr>
              <w:t xml:space="preserve"> 5</w:t>
            </w:r>
            <w:r w:rsidRPr="00CE28E3">
              <w:rPr>
                <w:b/>
                <w:bCs/>
              </w:rPr>
              <w:t xml:space="preserve"> </w:t>
            </w:r>
            <w:r>
              <w:rPr>
                <w:b/>
                <w:bCs/>
              </w:rPr>
              <w:t>2029</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E59E75" w14:textId="77777777" w:rsidR="0075026E" w:rsidRPr="00CE28E3" w:rsidRDefault="0075026E" w:rsidP="00D74C1B">
            <w:pPr>
              <w:pStyle w:val="TableText"/>
              <w:keepNext/>
              <w:jc w:val="center"/>
              <w:rPr>
                <w:b/>
                <w:bCs/>
              </w:rPr>
            </w:pPr>
            <w:r w:rsidRPr="00CE28E3">
              <w:rPr>
                <w:b/>
                <w:bCs/>
              </w:rPr>
              <w:t>Year</w:t>
            </w:r>
            <w:r>
              <w:rPr>
                <w:b/>
                <w:bCs/>
              </w:rPr>
              <w:t xml:space="preserve"> 6</w:t>
            </w:r>
            <w:r w:rsidRPr="00CE28E3">
              <w:rPr>
                <w:b/>
                <w:bCs/>
              </w:rPr>
              <w:t xml:space="preserve"> </w:t>
            </w:r>
            <w:r>
              <w:rPr>
                <w:b/>
                <w:bCs/>
              </w:rPr>
              <w:t>2030</w:t>
            </w:r>
          </w:p>
        </w:tc>
      </w:tr>
      <w:bookmarkEnd w:id="63"/>
      <w:tr w:rsidR="0075026E" w:rsidRPr="00CE28E3" w14:paraId="59E8C8FB" w14:textId="7777777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56677" w14:textId="075ECDF4" w:rsidR="0075026E" w:rsidRPr="00CE28E3" w:rsidRDefault="0075026E">
            <w:pPr>
              <w:pStyle w:val="TableText"/>
              <w:keepNext/>
              <w:rPr>
                <w:b/>
                <w:bCs/>
              </w:rPr>
            </w:pPr>
            <w:r w:rsidRPr="00CE28E3">
              <w:rPr>
                <w:b/>
                <w:bCs/>
              </w:rPr>
              <w:t xml:space="preserve">Estimated use and </w:t>
            </w:r>
            <w:r>
              <w:rPr>
                <w:b/>
                <w:bCs/>
              </w:rPr>
              <w:t xml:space="preserve">net </w:t>
            </w:r>
            <w:r w:rsidRPr="00CE28E3">
              <w:rPr>
                <w:b/>
                <w:bCs/>
              </w:rPr>
              <w:t>cost of the proposed health technology</w:t>
            </w:r>
            <w:r>
              <w:rPr>
                <w:b/>
                <w:bCs/>
              </w:rPr>
              <w:t xml:space="preserve"> (HM3)</w:t>
            </w:r>
          </w:p>
        </w:tc>
      </w:tr>
      <w:tr w:rsidR="0075026E" w:rsidRPr="00CE28E3" w14:paraId="63E59699" w14:textId="77777777">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7338A6" w14:textId="117CF7AE" w:rsidR="0075026E" w:rsidRPr="00CE28E3" w:rsidRDefault="0075026E">
            <w:pPr>
              <w:pStyle w:val="TableText"/>
              <w:keepNext/>
            </w:pPr>
            <w:r>
              <w:t xml:space="preserve">Number of </w:t>
            </w:r>
            <w:r w:rsidR="00596728">
              <w:t>L</w:t>
            </w:r>
            <w:r w:rsidR="00ED6CA5">
              <w:t>VAD</w:t>
            </w:r>
            <w:r>
              <w:t xml:space="preserve"> procedures reimbursed on the MBS for DT</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9510EA0" w14:textId="1DC1E869" w:rsidR="0075026E" w:rsidRPr="00CE28E3" w:rsidRDefault="00EC4E81" w:rsidP="00D74C1B">
            <w:pPr>
              <w:pStyle w:val="TableText"/>
              <w:keepNext/>
              <w:jc w:val="center"/>
            </w:pPr>
            <w:r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5AACD32" w14:textId="32FDC5A2" w:rsidR="0075026E" w:rsidRPr="00CE28E3" w:rsidRDefault="00EC4E81" w:rsidP="00D74C1B">
            <w:pPr>
              <w:pStyle w:val="TableText"/>
              <w:keepNext/>
              <w:jc w:val="center"/>
            </w:pPr>
            <w:r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48EAC11" w14:textId="4C93A840" w:rsidR="0075026E" w:rsidRPr="00CE28E3" w:rsidRDefault="00EC4E81" w:rsidP="00D74C1B">
            <w:pPr>
              <w:pStyle w:val="TableText"/>
              <w:keepNext/>
              <w:jc w:val="center"/>
            </w:pPr>
            <w:r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06BC4CC" w14:textId="57AA7544" w:rsidR="0075026E" w:rsidRPr="00CE28E3" w:rsidRDefault="00EC4E81" w:rsidP="00D74C1B">
            <w:pPr>
              <w:pStyle w:val="TableText"/>
              <w:keepNext/>
              <w:jc w:val="center"/>
            </w:pPr>
            <w:r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1697791" w14:textId="41619FA0" w:rsidR="0075026E" w:rsidRPr="00CE28E3" w:rsidRDefault="00EC4E81" w:rsidP="00D74C1B">
            <w:pPr>
              <w:pStyle w:val="TableText"/>
              <w:keepNext/>
              <w:jc w:val="center"/>
            </w:pPr>
            <w:r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61CA4A9" w14:textId="59358282" w:rsidR="0075026E" w:rsidRPr="00CE28E3" w:rsidRDefault="00EC4E81" w:rsidP="00D74C1B">
            <w:pPr>
              <w:pStyle w:val="TableText"/>
              <w:keepNext/>
              <w:jc w:val="center"/>
            </w:pPr>
            <w:r w:rsidRPr="00EC4E81">
              <w:rPr>
                <w:b/>
                <w:bCs/>
              </w:rPr>
              <w:t>redacted</w:t>
            </w:r>
          </w:p>
        </w:tc>
      </w:tr>
      <w:tr w:rsidR="00FA1F41" w:rsidRPr="00CE28E3" w14:paraId="67F52831" w14:textId="77777777" w:rsidTr="00C22BC7">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F560D" w14:textId="77777777" w:rsidR="00FA1F41" w:rsidRPr="00B13BB4" w:rsidRDefault="00FA1F41" w:rsidP="00FA1F41">
            <w:pPr>
              <w:pStyle w:val="Tabletext0"/>
            </w:pPr>
            <w:r w:rsidRPr="00B13BB4">
              <w:t>Total cost to the MBS</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2253533" w14:textId="74DC96B5" w:rsidR="00FA1F41" w:rsidRPr="00B13BB4" w:rsidRDefault="00FA1F41" w:rsidP="00FA1F41">
            <w:pPr>
              <w:pStyle w:val="Tabletext0"/>
              <w:jc w:val="center"/>
            </w:pPr>
            <w:r w:rsidRPr="00271020">
              <w:t>$</w:t>
            </w:r>
            <w:r w:rsidR="00EC4E81" w:rsidRPr="00EC4E81">
              <w:rPr>
                <w:b/>
                <w:bCs/>
              </w:rPr>
              <w:t>redacted</w:t>
            </w:r>
            <w:r w:rsidR="00EC4E81" w:rsidRPr="00271020" w:rsidDel="00EC4E81">
              <w:t xml:space="preserve"> </w:t>
            </w:r>
            <w:r w:rsidRPr="00271020">
              <w:rPr>
                <w:vertAlign w:val="superscript"/>
              </w:rPr>
              <w:t>a</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8769E67" w14:textId="4D8E83A8" w:rsidR="00FA1F41" w:rsidRPr="00B13BB4" w:rsidRDefault="00FA1F41" w:rsidP="00FA1F41">
            <w:pPr>
              <w:pStyle w:val="Tabletext0"/>
              <w:jc w:val="center"/>
            </w:pPr>
            <w:r w:rsidRPr="00271020">
              <w:t>$</w:t>
            </w:r>
            <w:r w:rsidR="00EC4E81" w:rsidRPr="00EC4E81">
              <w:rPr>
                <w:b/>
                <w:bCs/>
              </w:rPr>
              <w:t>redacted</w:t>
            </w:r>
            <w:r w:rsidR="00EC4E81" w:rsidRPr="00271020" w:rsidDel="00EC4E81">
              <w:t xml:space="preserve"> </w:t>
            </w:r>
            <w:r w:rsidRPr="00271020">
              <w:rPr>
                <w:vertAlign w:val="superscript"/>
              </w:rPr>
              <w:t>a</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49A783B9" w14:textId="6F5D9F11" w:rsidR="00FA1F41" w:rsidRPr="00B13BB4" w:rsidRDefault="00FA1F41" w:rsidP="00FA1F41">
            <w:pPr>
              <w:pStyle w:val="Tabletext0"/>
              <w:jc w:val="center"/>
            </w:pPr>
            <w:r w:rsidRPr="00271020">
              <w:t>$</w:t>
            </w:r>
            <w:r w:rsidR="00EC4E81" w:rsidRPr="00EC4E81">
              <w:rPr>
                <w:b/>
                <w:bCs/>
              </w:rPr>
              <w:t>redacted</w:t>
            </w:r>
            <w:r w:rsidR="00EC4E81" w:rsidRPr="00271020" w:rsidDel="00EC4E81">
              <w:t xml:space="preserve"> </w:t>
            </w:r>
            <w:r w:rsidRPr="00271020">
              <w:rPr>
                <w:vertAlign w:val="superscript"/>
              </w:rPr>
              <w:t>a</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A7533CA" w14:textId="75AC439D" w:rsidR="00FA1F41" w:rsidRPr="00B13BB4" w:rsidRDefault="00FA1F41" w:rsidP="00FA1F41">
            <w:pPr>
              <w:pStyle w:val="Tabletext0"/>
              <w:jc w:val="center"/>
            </w:pPr>
            <w:r w:rsidRPr="00271020">
              <w:t>$</w:t>
            </w:r>
            <w:r w:rsidR="00EC4E81" w:rsidRPr="00EC4E81">
              <w:rPr>
                <w:b/>
                <w:bCs/>
              </w:rPr>
              <w:t>redacted</w:t>
            </w:r>
            <w:r w:rsidR="00EC4E81" w:rsidRPr="00271020" w:rsidDel="00EC4E81">
              <w:t xml:space="preserve"> </w:t>
            </w:r>
            <w:r w:rsidRPr="00271020">
              <w:rPr>
                <w:vertAlign w:val="superscript"/>
              </w:rPr>
              <w:t>a</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D508F38" w14:textId="6CAAC25D" w:rsidR="00FA1F41" w:rsidRPr="00B13BB4" w:rsidRDefault="00FA1F41" w:rsidP="00FA1F41">
            <w:pPr>
              <w:pStyle w:val="Tabletext0"/>
              <w:jc w:val="center"/>
            </w:pPr>
            <w:r w:rsidRPr="00271020">
              <w:t>$</w:t>
            </w:r>
            <w:r w:rsidR="00EC4E81" w:rsidRPr="00EC4E81">
              <w:rPr>
                <w:b/>
                <w:bCs/>
              </w:rPr>
              <w:t>redacted</w:t>
            </w:r>
            <w:r w:rsidR="00EC4E81" w:rsidRPr="00271020" w:rsidDel="00EC4E81">
              <w:t xml:space="preserve"> </w:t>
            </w:r>
            <w:r w:rsidRPr="00271020">
              <w:rPr>
                <w:vertAlign w:val="superscript"/>
              </w:rPr>
              <w:t>a</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56933215" w14:textId="6DEF4C04" w:rsidR="00FA1F41" w:rsidRPr="00B13BB4" w:rsidRDefault="00FA1F41" w:rsidP="00FA1F41">
            <w:pPr>
              <w:pStyle w:val="Tabletext0"/>
              <w:jc w:val="center"/>
            </w:pPr>
            <w:r w:rsidRPr="0053402D">
              <w:t>$</w:t>
            </w:r>
            <w:r w:rsidR="00EC4E81" w:rsidRPr="00EC4E81">
              <w:rPr>
                <w:b/>
                <w:bCs/>
              </w:rPr>
              <w:t>redacted</w:t>
            </w:r>
            <w:r w:rsidR="00EC4E81" w:rsidRPr="0053402D" w:rsidDel="00EC4E81">
              <w:t xml:space="preserve"> </w:t>
            </w:r>
            <w:r w:rsidRPr="0053402D">
              <w:rPr>
                <w:vertAlign w:val="superscript"/>
              </w:rPr>
              <w:t>a</w:t>
            </w:r>
          </w:p>
        </w:tc>
      </w:tr>
      <w:tr w:rsidR="0075026E" w:rsidRPr="00CE28E3" w14:paraId="08B6BDB9" w14:textId="77777777">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13D477" w14:textId="77777777" w:rsidR="0075026E" w:rsidRDefault="0075026E">
            <w:pPr>
              <w:pStyle w:val="TableText"/>
              <w:keepNext/>
            </w:pPr>
            <w:r>
              <w:t>Total cost to the PBS</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6ACAABF3" w14:textId="10441464" w:rsidR="0075026E" w:rsidRDefault="0075026E" w:rsidP="00D74C1B">
            <w:pPr>
              <w:pStyle w:val="TableText"/>
              <w:keepNext/>
              <w:jc w:val="center"/>
            </w:pPr>
            <w:r w:rsidRPr="00A47CC5">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C33777E" w14:textId="1ECEF933" w:rsidR="0075026E" w:rsidRDefault="0075026E" w:rsidP="00D74C1B">
            <w:pPr>
              <w:pStyle w:val="TableText"/>
              <w:keepNext/>
              <w:jc w:val="center"/>
            </w:pPr>
            <w:r w:rsidRPr="00A47CC5">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5D7C2478" w14:textId="053AEE33" w:rsidR="0075026E" w:rsidRDefault="0075026E" w:rsidP="00D74C1B">
            <w:pPr>
              <w:pStyle w:val="TableText"/>
              <w:keepNext/>
              <w:jc w:val="center"/>
            </w:pPr>
            <w:r w:rsidRPr="00A47CC5">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E8FE7A2" w14:textId="40D0D7BE" w:rsidR="0075026E" w:rsidRDefault="0075026E" w:rsidP="00D74C1B">
            <w:pPr>
              <w:pStyle w:val="TableText"/>
              <w:keepNext/>
              <w:jc w:val="center"/>
            </w:pPr>
            <w:r w:rsidRPr="00A47CC5">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1B61C19" w14:textId="26F17D3A" w:rsidR="0075026E" w:rsidRDefault="0075026E" w:rsidP="00D74C1B">
            <w:pPr>
              <w:pStyle w:val="TableText"/>
              <w:keepNext/>
              <w:jc w:val="center"/>
            </w:pPr>
            <w:r w:rsidRPr="00A47CC5">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7260DACC" w14:textId="195DCE73" w:rsidR="0075026E" w:rsidRDefault="0075026E" w:rsidP="00D74C1B">
            <w:pPr>
              <w:pStyle w:val="TableText"/>
              <w:keepNext/>
              <w:jc w:val="center"/>
            </w:pPr>
            <w:r w:rsidRPr="00A47CC5">
              <w:t>$</w:t>
            </w:r>
            <w:r w:rsidR="00EC4E81" w:rsidRPr="00EC4E81">
              <w:rPr>
                <w:b/>
                <w:bCs/>
              </w:rPr>
              <w:t>redacted</w:t>
            </w:r>
          </w:p>
        </w:tc>
      </w:tr>
      <w:tr w:rsidR="0075026E" w:rsidRPr="00CE28E3" w14:paraId="79906973" w14:textId="77777777">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990E30" w14:textId="77777777" w:rsidR="0075026E" w:rsidRDefault="0075026E">
            <w:pPr>
              <w:pStyle w:val="TableText"/>
              <w:keepNext/>
            </w:pPr>
            <w:r>
              <w:t>Total cost to private health funds</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BC2392E" w14:textId="3EC5C3FB" w:rsidR="0075026E" w:rsidRDefault="0075026E" w:rsidP="00D74C1B">
            <w:pPr>
              <w:pStyle w:val="TableText"/>
              <w:keepNext/>
              <w:jc w:val="center"/>
            </w:pPr>
            <w:r w:rsidRPr="0053771A">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5186936" w14:textId="43FC427C" w:rsidR="0075026E" w:rsidRDefault="0075026E" w:rsidP="00D74C1B">
            <w:pPr>
              <w:pStyle w:val="TableText"/>
              <w:keepNext/>
              <w:jc w:val="center"/>
            </w:pPr>
            <w:r w:rsidRPr="0053771A">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4890BBE" w14:textId="3F8F61C5" w:rsidR="0075026E" w:rsidRDefault="0075026E" w:rsidP="00D74C1B">
            <w:pPr>
              <w:pStyle w:val="TableText"/>
              <w:keepNext/>
              <w:jc w:val="center"/>
            </w:pPr>
            <w:r w:rsidRPr="0053771A">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8944AAC" w14:textId="7AA68A6B" w:rsidR="0075026E" w:rsidRDefault="0075026E" w:rsidP="00D74C1B">
            <w:pPr>
              <w:pStyle w:val="TableText"/>
              <w:keepNext/>
              <w:jc w:val="center"/>
            </w:pPr>
            <w:r w:rsidRPr="0053771A">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3C01695F" w14:textId="6219327D" w:rsidR="0075026E" w:rsidRDefault="0075026E" w:rsidP="00D74C1B">
            <w:pPr>
              <w:pStyle w:val="TableText"/>
              <w:keepNext/>
              <w:jc w:val="center"/>
            </w:pPr>
            <w:r w:rsidRPr="0053771A">
              <w:t>$</w:t>
            </w:r>
            <w:r w:rsidR="00EC4E81"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D3446E4" w14:textId="7BB2DCEB" w:rsidR="0075026E" w:rsidRDefault="0075026E" w:rsidP="00D74C1B">
            <w:pPr>
              <w:pStyle w:val="TableText"/>
              <w:keepNext/>
              <w:jc w:val="center"/>
            </w:pPr>
            <w:r w:rsidRPr="0053771A">
              <w:t>$</w:t>
            </w:r>
            <w:r w:rsidR="00EC4E81" w:rsidRPr="00EC4E81">
              <w:rPr>
                <w:b/>
                <w:bCs/>
              </w:rPr>
              <w:t>redacted</w:t>
            </w:r>
          </w:p>
        </w:tc>
      </w:tr>
      <w:tr w:rsidR="0075026E" w:rsidRPr="00CE28E3" w14:paraId="71E43426" w14:textId="77777777">
        <w:tc>
          <w:tcPr>
            <w:tcW w:w="27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2A4BB3" w14:textId="77777777" w:rsidR="0075026E" w:rsidRDefault="0075026E">
            <w:pPr>
              <w:pStyle w:val="TableText"/>
              <w:keepNext/>
            </w:pPr>
            <w:r>
              <w:t>Device and disease related costs resulting in hospitalisation</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55A6F3A8" w14:textId="17D218B6" w:rsidR="0075026E" w:rsidRDefault="0075026E" w:rsidP="00D74C1B">
            <w:pPr>
              <w:pStyle w:val="TableText"/>
              <w:keepNext/>
              <w:jc w:val="center"/>
            </w:pPr>
            <w:r w:rsidRPr="00B30053">
              <w:t>$</w:t>
            </w:r>
            <w:r w:rsidR="00EA7116"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00DE67E0" w14:textId="720AC2F9" w:rsidR="0075026E" w:rsidRDefault="0075026E" w:rsidP="00D74C1B">
            <w:pPr>
              <w:pStyle w:val="TableText"/>
              <w:keepNext/>
              <w:jc w:val="center"/>
            </w:pPr>
            <w:r w:rsidRPr="00B30053">
              <w:t>$</w:t>
            </w:r>
            <w:r w:rsidR="00EA7116"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6F43A8CE" w14:textId="21E6C7E4" w:rsidR="0075026E" w:rsidRDefault="0075026E" w:rsidP="00D74C1B">
            <w:pPr>
              <w:pStyle w:val="TableText"/>
              <w:keepNext/>
              <w:jc w:val="center"/>
            </w:pPr>
            <w:r w:rsidRPr="00B30053">
              <w:t>$</w:t>
            </w:r>
            <w:r w:rsidR="00EA7116"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11AFDC07" w14:textId="2D8F2C01" w:rsidR="0075026E" w:rsidRDefault="0075026E" w:rsidP="00D74C1B">
            <w:pPr>
              <w:pStyle w:val="TableText"/>
              <w:keepNext/>
              <w:jc w:val="center"/>
            </w:pPr>
            <w:r w:rsidRPr="00B30053">
              <w:t>$</w:t>
            </w:r>
            <w:r w:rsidR="00EA7116"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2298BADB" w14:textId="6897E25A" w:rsidR="0075026E" w:rsidRDefault="0075026E" w:rsidP="00D74C1B">
            <w:pPr>
              <w:pStyle w:val="TableText"/>
              <w:keepNext/>
              <w:jc w:val="center"/>
            </w:pPr>
            <w:r w:rsidRPr="00B30053">
              <w:t>$</w:t>
            </w:r>
            <w:r w:rsidR="00EA7116" w:rsidRPr="00EC4E81">
              <w:rPr>
                <w:b/>
                <w:bCs/>
              </w:rPr>
              <w:t>redacted</w:t>
            </w:r>
          </w:p>
        </w:tc>
        <w:tc>
          <w:tcPr>
            <w:tcW w:w="1037" w:type="dxa"/>
            <w:tcBorders>
              <w:top w:val="nil"/>
              <w:left w:val="nil"/>
              <w:bottom w:val="single" w:sz="8" w:space="0" w:color="auto"/>
              <w:right w:val="single" w:sz="8" w:space="0" w:color="auto"/>
            </w:tcBorders>
            <w:tcMar>
              <w:top w:w="0" w:type="dxa"/>
              <w:left w:w="108" w:type="dxa"/>
              <w:bottom w:w="0" w:type="dxa"/>
              <w:right w:w="108" w:type="dxa"/>
            </w:tcMar>
          </w:tcPr>
          <w:p w14:paraId="584533E1" w14:textId="25D3752F" w:rsidR="0075026E" w:rsidRDefault="0075026E" w:rsidP="00D74C1B">
            <w:pPr>
              <w:pStyle w:val="TableText"/>
              <w:keepNext/>
              <w:jc w:val="center"/>
            </w:pPr>
            <w:r w:rsidRPr="00626D85">
              <w:t>$</w:t>
            </w:r>
            <w:r w:rsidR="00EA7116" w:rsidRPr="00EC4E81">
              <w:rPr>
                <w:b/>
                <w:bCs/>
              </w:rPr>
              <w:t>redacted</w:t>
            </w:r>
          </w:p>
        </w:tc>
      </w:tr>
    </w:tbl>
    <w:p w14:paraId="5AB187D8" w14:textId="78D930BC" w:rsidR="0075026E" w:rsidRDefault="0075026E" w:rsidP="0075026E">
      <w:pPr>
        <w:pStyle w:val="TableFooter"/>
      </w:pPr>
      <w:bookmarkStart w:id="65" w:name="_Hlk68276814"/>
      <w:bookmarkEnd w:id="64"/>
      <w:r>
        <w:t xml:space="preserve">Source: </w:t>
      </w:r>
      <w:r w:rsidR="00FA1F41">
        <w:t xml:space="preserve">Developed </w:t>
      </w:r>
      <w:r w:rsidR="00E63E1E">
        <w:t>d</w:t>
      </w:r>
      <w:r w:rsidR="00FA1F41">
        <w:t xml:space="preserve">uring the commentary from </w:t>
      </w:r>
      <w:r>
        <w:t xml:space="preserve">Section 4 </w:t>
      </w:r>
      <w:r w:rsidR="0025291F">
        <w:t>L</w:t>
      </w:r>
      <w:r w:rsidR="00ED6CA5">
        <w:t>VAD</w:t>
      </w:r>
      <w:r>
        <w:t xml:space="preserve"> Budget impact model of the MSAC </w:t>
      </w:r>
      <w:r w:rsidR="00E75351">
        <w:t xml:space="preserve">Application </w:t>
      </w:r>
      <w:r w:rsidR="009A5664">
        <w:t>1749 Resubmission ADAR</w:t>
      </w:r>
    </w:p>
    <w:p w14:paraId="67B554FD" w14:textId="492AFEC7" w:rsidR="0075026E" w:rsidRDefault="0075026E" w:rsidP="0075026E">
      <w:pPr>
        <w:pStyle w:val="TableFooter"/>
      </w:pPr>
      <w:r>
        <w:t xml:space="preserve">DT = destination therapy; HM3 = HeartMate 3; </w:t>
      </w:r>
      <w:r w:rsidR="00596728">
        <w:t>L</w:t>
      </w:r>
      <w:r w:rsidR="00ED6CA5">
        <w:t>VAD</w:t>
      </w:r>
      <w:r>
        <w:t xml:space="preserve"> = </w:t>
      </w:r>
      <w:r w:rsidR="00596728">
        <w:t xml:space="preserve">left </w:t>
      </w:r>
      <w:r>
        <w:t xml:space="preserve">ventricular assist device; MBS = </w:t>
      </w:r>
      <w:r w:rsidRPr="00992CC6">
        <w:t>Medicare Benefits Schedule</w:t>
      </w:r>
      <w:r>
        <w:t xml:space="preserve">; PBS = </w:t>
      </w:r>
      <w:r w:rsidRPr="00933705">
        <w:t>Pharmaceutical Benefits Scheme</w:t>
      </w:r>
      <w:r>
        <w:t>.</w:t>
      </w:r>
    </w:p>
    <w:p w14:paraId="34E7D102" w14:textId="691227AD" w:rsidR="00FA1F41" w:rsidRDefault="00FA1F41" w:rsidP="0075026E">
      <w:pPr>
        <w:pStyle w:val="TableFooter"/>
      </w:pPr>
      <w:r>
        <w:t xml:space="preserve">Notes: </w:t>
      </w:r>
      <w:proofErr w:type="spellStart"/>
      <w:r>
        <w:rPr>
          <w:vertAlign w:val="superscript"/>
        </w:rPr>
        <w:t>a</w:t>
      </w:r>
      <w:r w:rsidR="005B3BB0">
        <w:t>This</w:t>
      </w:r>
      <w:proofErr w:type="spellEnd"/>
      <w:r w:rsidR="005B3BB0">
        <w:t xml:space="preserve"> cost has been updated by the commentary with the t</w:t>
      </w:r>
      <w:r>
        <w:t>otal cost to the MBS based on the MBS cost per procedure of $6,868.61, as identified above.</w:t>
      </w:r>
    </w:p>
    <w:bookmarkEnd w:id="65"/>
    <w:p w14:paraId="328A60DA" w14:textId="5168E148" w:rsidR="0075026E" w:rsidRDefault="0075026E" w:rsidP="0075026E">
      <w:r>
        <w:t>The net costs to MBS over 6 years was $</w:t>
      </w:r>
      <w:r w:rsidR="00587B80" w:rsidRPr="00587B80">
        <w:rPr>
          <w:b/>
          <w:bCs/>
        </w:rPr>
        <w:t>redacted</w:t>
      </w:r>
      <w:r>
        <w:t xml:space="preserve"> (original submission</w:t>
      </w:r>
      <w:r w:rsidR="00372155">
        <w:t xml:space="preserve"> ADAR</w:t>
      </w:r>
      <w:r>
        <w:t xml:space="preserve">), and it increased by </w:t>
      </w:r>
      <w:r w:rsidR="00FA1F41">
        <w:t>12</w:t>
      </w:r>
      <w:r>
        <w:t xml:space="preserve">% to </w:t>
      </w:r>
      <w:r w:rsidRPr="003F470F">
        <w:t>$</w:t>
      </w:r>
      <w:r w:rsidR="00587B80" w:rsidRPr="00587B80">
        <w:rPr>
          <w:b/>
          <w:bCs/>
        </w:rPr>
        <w:t>redacted</w:t>
      </w:r>
      <w:r>
        <w:t xml:space="preserve"> (resubmission</w:t>
      </w:r>
      <w:r w:rsidR="00372155">
        <w:t xml:space="preserve"> ADAR</w:t>
      </w:r>
      <w:r>
        <w:t>). As for the net costs to PBS, the net cost in the original submission</w:t>
      </w:r>
      <w:r w:rsidR="009504AE">
        <w:t xml:space="preserve"> ADAR</w:t>
      </w:r>
      <w:r>
        <w:t xml:space="preserve"> was </w:t>
      </w:r>
      <w:r w:rsidRPr="003F470F">
        <w:t>$</w:t>
      </w:r>
      <w:r w:rsidR="00587B80" w:rsidRPr="00587B80">
        <w:rPr>
          <w:b/>
          <w:bCs/>
        </w:rPr>
        <w:t>redacted</w:t>
      </w:r>
      <w:r>
        <w:t xml:space="preserve">, and it increased by 2.7% to </w:t>
      </w:r>
      <w:r w:rsidRPr="003F470F">
        <w:t>$</w:t>
      </w:r>
      <w:r w:rsidR="00587B80" w:rsidRPr="00587B80">
        <w:rPr>
          <w:b/>
          <w:bCs/>
        </w:rPr>
        <w:t>redacted</w:t>
      </w:r>
      <w:r w:rsidR="00587B80" w:rsidRPr="003F470F" w:rsidDel="00587B80">
        <w:t xml:space="preserve"> </w:t>
      </w:r>
      <w:r>
        <w:t>in the resubmission</w:t>
      </w:r>
      <w:r w:rsidR="009504AE">
        <w:t xml:space="preserve"> ADAR</w:t>
      </w:r>
      <w:r>
        <w:t>,</w:t>
      </w:r>
      <w:r w:rsidRPr="003F470F">
        <w:t xml:space="preserve"> </w:t>
      </w:r>
      <w:r>
        <w:t>over year 1-6. The net cost</w:t>
      </w:r>
      <w:r w:rsidR="00453288">
        <w:t>s</w:t>
      </w:r>
      <w:r>
        <w:t xml:space="preserve"> to private health funds </w:t>
      </w:r>
      <w:r w:rsidR="00FA604F">
        <w:t>increased minimally</w:t>
      </w:r>
      <w:r>
        <w:t xml:space="preserve"> in the resubmission</w:t>
      </w:r>
      <w:r w:rsidR="009504AE">
        <w:t xml:space="preserve"> ADAR</w:t>
      </w:r>
      <w:r>
        <w:t xml:space="preserve">. </w:t>
      </w:r>
      <w:r w:rsidR="00D547B9" w:rsidRPr="00D547B9">
        <w:t xml:space="preserve">The financial impact to </w:t>
      </w:r>
      <w:r w:rsidR="00D547B9">
        <w:t>private health funds</w:t>
      </w:r>
      <w:r w:rsidR="00D547B9" w:rsidRPr="00D547B9">
        <w:t xml:space="preserve"> was estimated to be $</w:t>
      </w:r>
      <w:r w:rsidR="006C6EA6" w:rsidRPr="006C6EA6">
        <w:rPr>
          <w:b/>
          <w:bCs/>
        </w:rPr>
        <w:t>redacted</w:t>
      </w:r>
      <w:r w:rsidR="006C6EA6">
        <w:rPr>
          <w:b/>
          <w:bCs/>
        </w:rPr>
        <w:t xml:space="preserve"> </w:t>
      </w:r>
      <w:r w:rsidR="00D547B9" w:rsidRPr="00D547B9">
        <w:t>in year 1 increasing to $</w:t>
      </w:r>
      <w:r w:rsidR="006C6EA6" w:rsidRPr="006C6EA6">
        <w:rPr>
          <w:b/>
          <w:bCs/>
        </w:rPr>
        <w:t>redacted</w:t>
      </w:r>
      <w:r w:rsidR="00D547B9" w:rsidRPr="00D547B9">
        <w:t xml:space="preserve"> in year 6.</w:t>
      </w:r>
      <w:r w:rsidR="0081670F">
        <w:t xml:space="preserve"> The device and disease related costs resulting in hospitalisation increased from $</w:t>
      </w:r>
      <w:r w:rsidR="006C6EA6" w:rsidRPr="006C6EA6">
        <w:rPr>
          <w:b/>
          <w:bCs/>
        </w:rPr>
        <w:t>redacted</w:t>
      </w:r>
      <w:r w:rsidR="006C6EA6" w:rsidDel="006C6EA6">
        <w:t xml:space="preserve"> </w:t>
      </w:r>
      <w:r w:rsidR="0081670F">
        <w:t>in year 1 to $</w:t>
      </w:r>
      <w:r w:rsidR="006C6EA6" w:rsidRPr="006C6EA6">
        <w:rPr>
          <w:b/>
          <w:bCs/>
        </w:rPr>
        <w:t>redacted</w:t>
      </w:r>
      <w:r w:rsidR="006C6EA6" w:rsidDel="006C6EA6">
        <w:t xml:space="preserve"> </w:t>
      </w:r>
      <w:r w:rsidR="0081670F">
        <w:t>in year 6</w:t>
      </w:r>
      <w:r w:rsidR="00D62186">
        <w:t xml:space="preserve">, with the assumption that the payer was solely either the public hospitals or private </w:t>
      </w:r>
      <w:r w:rsidR="00DF4BEC">
        <w:t xml:space="preserve">health </w:t>
      </w:r>
      <w:r w:rsidR="00D62186">
        <w:t>insurers.</w:t>
      </w:r>
      <w:r w:rsidR="00D547B9">
        <w:t xml:space="preserve"> </w:t>
      </w:r>
      <w:r>
        <w:t xml:space="preserve">Of note, the net financial implications </w:t>
      </w:r>
      <w:r w:rsidR="0031038B">
        <w:t>were uncertain because the analysis</w:t>
      </w:r>
      <w:r w:rsidR="006E1745">
        <w:t xml:space="preserve"> </w:t>
      </w:r>
      <w:r>
        <w:t>did not include the aftercare costs of rehabilitation (as provided by nursing and allied health staff) and device related costs (risk of device replacement due to reasons other than pump thrombosis).</w:t>
      </w:r>
      <w:r w:rsidR="0081670F">
        <w:t xml:space="preserve"> </w:t>
      </w:r>
    </w:p>
    <w:p w14:paraId="01B2571A" w14:textId="394DB75E" w:rsidR="0075026E" w:rsidRPr="00CE28E3" w:rsidRDefault="0075026E" w:rsidP="0075026E">
      <w:pPr>
        <w:pStyle w:val="Heading2"/>
        <w:numPr>
          <w:ilvl w:val="0"/>
          <w:numId w:val="0"/>
        </w:numPr>
      </w:pPr>
      <w:bookmarkStart w:id="66" w:name="_Toc69491427"/>
      <w:r>
        <w:t>1</w:t>
      </w:r>
      <w:r w:rsidR="00E33F73">
        <w:t>5</w:t>
      </w:r>
      <w:r>
        <w:t>.</w:t>
      </w:r>
      <w:r>
        <w:tab/>
      </w:r>
      <w:r w:rsidRPr="00CE28E3">
        <w:t xml:space="preserve">Other relevant </w:t>
      </w:r>
      <w:bookmarkEnd w:id="66"/>
      <w:r>
        <w:t>information</w:t>
      </w:r>
    </w:p>
    <w:p w14:paraId="31C433FF" w14:textId="4B447072" w:rsidR="0075026E" w:rsidRPr="003251C2" w:rsidRDefault="0075026E" w:rsidP="0075026E">
      <w:r>
        <w:t xml:space="preserve">The resubmission </w:t>
      </w:r>
      <w:r w:rsidR="00372155">
        <w:t xml:space="preserve">ADAR </w:t>
      </w:r>
      <w:r>
        <w:t>did not present other relevant information.</w:t>
      </w:r>
    </w:p>
    <w:p w14:paraId="31A963FC" w14:textId="42754146" w:rsidR="00E33F73" w:rsidRPr="00E33F73" w:rsidRDefault="00E33F73" w:rsidP="00E33F73">
      <w:pPr>
        <w:pStyle w:val="Heading2"/>
        <w:numPr>
          <w:ilvl w:val="0"/>
          <w:numId w:val="0"/>
        </w:numPr>
      </w:pPr>
      <w:bookmarkStart w:id="67" w:name="_Ref178322682"/>
      <w:r>
        <w:t>16.</w:t>
      </w:r>
      <w:r>
        <w:tab/>
      </w:r>
      <w:r w:rsidRPr="00835672">
        <w:t>Applicant comments on MSAC’s Public Summary Document</w:t>
      </w:r>
    </w:p>
    <w:p w14:paraId="2F0E653D" w14:textId="2C490F22" w:rsidR="001938EE" w:rsidRDefault="001938EE" w:rsidP="001938EE">
      <w:pPr>
        <w:spacing w:after="240"/>
        <w:jc w:val="both"/>
      </w:pPr>
      <w:r w:rsidRPr="001938EE">
        <w:t xml:space="preserve">Abbott Australasia Pty Ltd. (Abbott) welcomes the MSAC's decision to provide public funding for LVADs for DT patients. Abbott is dedicated to collaborating with all relevant stakeholders to facilitate the earliest possible </w:t>
      </w:r>
      <w:r>
        <w:t>implementation</w:t>
      </w:r>
      <w:r w:rsidR="009516E8">
        <w:t xml:space="preserve"> of the MBS item</w:t>
      </w:r>
      <w:r w:rsidRPr="001938EE">
        <w:t>, ensuring timely access for patients in need.</w:t>
      </w:r>
    </w:p>
    <w:p w14:paraId="651F76F5" w14:textId="6A9B61E9" w:rsidR="00E33F73" w:rsidRPr="00E33F73" w:rsidRDefault="00E33F73" w:rsidP="00E33F73">
      <w:pPr>
        <w:pStyle w:val="Heading2"/>
        <w:numPr>
          <w:ilvl w:val="0"/>
          <w:numId w:val="0"/>
        </w:numPr>
      </w:pPr>
      <w:r>
        <w:t>17.</w:t>
      </w:r>
      <w:r>
        <w:tab/>
      </w:r>
      <w:r w:rsidRPr="00835672">
        <w:t>Further information on MSAC</w:t>
      </w:r>
    </w:p>
    <w:p w14:paraId="3728183F" w14:textId="66081E1B" w:rsidR="007A1291" w:rsidRPr="00E33F73" w:rsidRDefault="00E33F73" w:rsidP="00E33F73">
      <w:pPr>
        <w:pStyle w:val="BodyText"/>
        <w:rPr>
          <w:rFonts w:ascii="Franklin Gothic Book" w:hAnsi="Franklin Gothic Book"/>
          <w:b/>
          <w:bCs/>
          <w:i/>
          <w:iCs/>
          <w:sz w:val="22"/>
        </w:rPr>
      </w:pPr>
      <w:r w:rsidRPr="00835672">
        <w:rPr>
          <w:rFonts w:ascii="Franklin Gothic Book" w:hAnsi="Franklin Gothic Book"/>
          <w:bCs/>
          <w:iCs/>
          <w:sz w:val="22"/>
        </w:rPr>
        <w:t xml:space="preserve">MSAC Terms of Reference and other information are available on the MSAC Website: </w:t>
      </w:r>
      <w:hyperlink r:id="rId23" w:tooltip="Link to the MSAC website" w:history="1">
        <w:r w:rsidRPr="00835672">
          <w:rPr>
            <w:rStyle w:val="Hyperlink"/>
            <w:rFonts w:ascii="Franklin Gothic Book" w:hAnsi="Franklin Gothic Book"/>
            <w:iCs/>
            <w:sz w:val="22"/>
          </w:rPr>
          <w:t>visit the MSAC website</w:t>
        </w:r>
      </w:hyperlink>
      <w:bookmarkEnd w:id="67"/>
    </w:p>
    <w:sectPr w:rsidR="007A1291" w:rsidRPr="00E33F73" w:rsidSect="00D74C1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4D7D6" w14:textId="77777777" w:rsidR="001A3E9B" w:rsidRDefault="001A3E9B" w:rsidP="00B62DF2">
      <w:pPr>
        <w:spacing w:after="0" w:line="240" w:lineRule="auto"/>
      </w:pPr>
      <w:r>
        <w:separator/>
      </w:r>
    </w:p>
  </w:endnote>
  <w:endnote w:type="continuationSeparator" w:id="0">
    <w:p w14:paraId="02963CE0" w14:textId="77777777" w:rsidR="001A3E9B" w:rsidRDefault="001A3E9B" w:rsidP="00B62DF2">
      <w:pPr>
        <w:spacing w:after="0" w:line="240" w:lineRule="auto"/>
      </w:pPr>
      <w:r>
        <w:continuationSeparator/>
      </w:r>
    </w:p>
  </w:endnote>
  <w:endnote w:type="continuationNotice" w:id="1">
    <w:p w14:paraId="0D80C1F4" w14:textId="77777777" w:rsidR="001A3E9B" w:rsidRDefault="001A3E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UI Semilight">
    <w:charset w:val="80"/>
    <w:family w:val="swiss"/>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60831"/>
      <w:docPartObj>
        <w:docPartGallery w:val="Page Numbers (Bottom of Page)"/>
        <w:docPartUnique/>
      </w:docPartObj>
    </w:sdtPr>
    <w:sdtEndPr>
      <w:rPr>
        <w:noProof/>
      </w:rPr>
    </w:sdtEndPr>
    <w:sdtContent>
      <w:p w14:paraId="6E76D499" w14:textId="64DA60E4" w:rsidR="005947B5" w:rsidRDefault="005947B5">
        <w:pPr>
          <w:pStyle w:val="Footer"/>
        </w:pPr>
        <w:r>
          <w:t xml:space="preserve">MSAC </w:t>
        </w:r>
        <w:r w:rsidRPr="00807A3E">
          <w:t xml:space="preserve">assessment report </w:t>
        </w:r>
        <w:r w:rsidR="009A5664">
          <w:t>1749</w:t>
        </w:r>
        <w:r w:rsidR="00CA31D8" w:rsidRPr="00CA31D8">
          <w:t xml:space="preserve"> – </w:t>
        </w:r>
        <w:r w:rsidR="00A91E38">
          <w:t>L</w:t>
        </w:r>
        <w:r w:rsidR="00CA31D8">
          <w:t>VAD for DT</w:t>
        </w:r>
        <w:r w:rsidR="00A91E38">
          <w:tab/>
        </w:r>
        <w:r w:rsidR="00A91E38">
          <w:tab/>
        </w:r>
        <w:r w:rsidR="00A91E38">
          <w:fldChar w:fldCharType="begin"/>
        </w:r>
        <w:r w:rsidR="00A91E38">
          <w:instrText xml:space="preserve"> PAGE   \* MERGEFORMAT </w:instrText>
        </w:r>
        <w:r w:rsidR="00A91E38">
          <w:fldChar w:fldCharType="separate"/>
        </w:r>
        <w:r w:rsidR="00A91E38">
          <w:rPr>
            <w:noProof/>
          </w:rPr>
          <w:t>1</w:t>
        </w:r>
        <w:r w:rsidR="00A91E3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847"/>
      <w:docPartObj>
        <w:docPartGallery w:val="Page Numbers (Bottom of Page)"/>
        <w:docPartUnique/>
      </w:docPartObj>
    </w:sdtPr>
    <w:sdtEndPr>
      <w:rPr>
        <w:noProof/>
      </w:rPr>
    </w:sdtEndPr>
    <w:sdtContent>
      <w:p w14:paraId="6BE9385A" w14:textId="7640D459" w:rsidR="005947B5" w:rsidRDefault="005947B5" w:rsidP="00052DD3">
        <w:pPr>
          <w:pStyle w:val="Footer"/>
          <w:jc w:val="right"/>
        </w:pPr>
        <w:r w:rsidRPr="18258C5D">
          <w:rPr>
            <w:noProof/>
          </w:rPr>
          <w:fldChar w:fldCharType="begin"/>
        </w:r>
        <w:r>
          <w:instrText xml:space="preserve"> PAGE   \* MERGEFORMAT </w:instrText>
        </w:r>
        <w:r w:rsidRPr="18258C5D">
          <w:fldChar w:fldCharType="separate"/>
        </w:r>
        <w:r w:rsidR="18258C5D" w:rsidRPr="18258C5D">
          <w:rPr>
            <w:noProof/>
          </w:rPr>
          <w:t>21</w:t>
        </w:r>
        <w:r w:rsidRPr="18258C5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A90B" w14:textId="77777777" w:rsidR="00E33F73" w:rsidRDefault="00E3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889DC" w14:textId="77777777" w:rsidR="001A3E9B" w:rsidRDefault="001A3E9B" w:rsidP="00B62DF2">
      <w:pPr>
        <w:spacing w:after="0" w:line="240" w:lineRule="auto"/>
      </w:pPr>
      <w:r>
        <w:separator/>
      </w:r>
    </w:p>
  </w:footnote>
  <w:footnote w:type="continuationSeparator" w:id="0">
    <w:p w14:paraId="69DDE3DB" w14:textId="77777777" w:rsidR="001A3E9B" w:rsidRDefault="001A3E9B" w:rsidP="00B62DF2">
      <w:pPr>
        <w:spacing w:after="0" w:line="240" w:lineRule="auto"/>
      </w:pPr>
      <w:r>
        <w:continuationSeparator/>
      </w:r>
    </w:p>
  </w:footnote>
  <w:footnote w:type="continuationNotice" w:id="1">
    <w:p w14:paraId="12B1E8E3" w14:textId="77777777" w:rsidR="001A3E9B" w:rsidRDefault="001A3E9B">
      <w:pPr>
        <w:spacing w:before="0" w:after="0" w:line="240" w:lineRule="auto"/>
      </w:pPr>
    </w:p>
  </w:footnote>
  <w:footnote w:id="2">
    <w:p w14:paraId="755AA638" w14:textId="79AF7198" w:rsidR="00C22BC7" w:rsidRDefault="00C22BC7">
      <w:pPr>
        <w:pStyle w:val="FootnoteText"/>
      </w:pPr>
      <w:r>
        <w:rPr>
          <w:rStyle w:val="FootnoteReference"/>
        </w:rPr>
        <w:footnoteRef/>
      </w:r>
      <w:r>
        <w:t xml:space="preserve"> </w:t>
      </w:r>
      <w:r w:rsidRPr="0031666B">
        <w:rPr>
          <w:rStyle w:val="CommentReference"/>
        </w:rPr>
        <w:t>Silbert B, Shah A, Dembo L, Hayes H, Larbalesteir R, Baumwol J. Left ventricular assist devices for treatment of refractory advanced heart failure: the Western Australian experience. Internal Medicine Journal (2023) 1–8</w:t>
      </w:r>
    </w:p>
  </w:footnote>
  <w:footnote w:id="3">
    <w:p w14:paraId="7C9A1124" w14:textId="77777777" w:rsidR="00602087" w:rsidRPr="0031666B" w:rsidRDefault="00602087" w:rsidP="00602087">
      <w:pPr>
        <w:pStyle w:val="FootnoteText"/>
        <w:rPr>
          <w:rStyle w:val="CommentReference"/>
        </w:rPr>
      </w:pPr>
      <w:r w:rsidRPr="0031666B">
        <w:rPr>
          <w:rStyle w:val="CommentReference"/>
          <w:vertAlign w:val="superscript"/>
        </w:rPr>
        <w:footnoteRef/>
      </w:r>
      <w:r w:rsidRPr="00D74C1B">
        <w:rPr>
          <w:rStyle w:val="CommentReference"/>
        </w:rPr>
        <w:t xml:space="preserve"> </w:t>
      </w:r>
      <w:r w:rsidRPr="0031666B">
        <w:rPr>
          <w:rStyle w:val="CommentReference"/>
        </w:rPr>
        <w:t>U.S. Food and Drug Administration. Abbott/</w:t>
      </w:r>
      <w:r w:rsidRPr="0031666B">
        <w:rPr>
          <w:rStyle w:val="CommentReference"/>
        </w:rPr>
        <w:t xml:space="preserve">Thoratec Corp. Recalls HeartMate II and HeartMate 3 Left Ventricular Assist System (LVAS) due to Long-term Buildup Causing an Obstruction </w:t>
      </w:r>
      <w:hyperlink r:id="rId1" w:anchor=":~:text=Abbott%2FThoratec%20Corp.%20is%20recalling%20HeartMate%20II%20and%20HeartMate,Bend%20relief%20or%20additional%20components%20added%20during%20surgery." w:history="1">
        <w:r w:rsidRPr="0031666B">
          <w:rPr>
            <w:rStyle w:val="CommentReference"/>
          </w:rPr>
          <w:t>Abbott/Thoratec Corp. Recalls HeartMate II and HeartMate 3 Left Ventricular Assist System (LVAS) due to Long-term Buildup Causing an Obstruction | FDA</w:t>
        </w:r>
      </w:hyperlink>
      <w:r w:rsidRPr="0031666B">
        <w:rPr>
          <w:rStyle w:val="CommentReference"/>
        </w:rPr>
        <w:t xml:space="preserve"> (2024, accessed 18 Sep, 2024).</w:t>
      </w:r>
    </w:p>
  </w:footnote>
  <w:footnote w:id="4">
    <w:p w14:paraId="78464B49" w14:textId="03D7C78A" w:rsidR="00A72E11" w:rsidRPr="00D74C1B" w:rsidRDefault="00A72E11">
      <w:pPr>
        <w:pStyle w:val="FootnoteText"/>
        <w:rPr>
          <w:rStyle w:val="CommentReference"/>
        </w:rPr>
      </w:pPr>
      <w:r w:rsidRPr="00CC6A56">
        <w:rPr>
          <w:rStyle w:val="CommentReference"/>
          <w:vertAlign w:val="superscript"/>
        </w:rPr>
        <w:footnoteRef/>
      </w:r>
      <w:r w:rsidRPr="00D74C1B">
        <w:rPr>
          <w:rStyle w:val="CommentReference"/>
        </w:rPr>
        <w:t xml:space="preserve"> </w:t>
      </w:r>
      <w:r w:rsidRPr="0031666B">
        <w:rPr>
          <w:rStyle w:val="CommentReference"/>
        </w:rPr>
        <w:t>MOMENTUM 3 Pivotal Cohort Extended Follow-Up Post-Approval Study CSR</w:t>
      </w:r>
    </w:p>
  </w:footnote>
  <w:footnote w:id="5">
    <w:p w14:paraId="2CC04F58" w14:textId="524C8E2C" w:rsidR="006B4AE6" w:rsidRDefault="006B4AE6">
      <w:pPr>
        <w:pStyle w:val="FootnoteText"/>
      </w:pPr>
      <w:r w:rsidRPr="00CC6A56">
        <w:rPr>
          <w:rStyle w:val="CommentReference"/>
          <w:vertAlign w:val="superscript"/>
        </w:rPr>
        <w:footnoteRef/>
      </w:r>
      <w:r w:rsidRPr="00CC6A56">
        <w:rPr>
          <w:rStyle w:val="CommentReference"/>
          <w:vertAlign w:val="superscript"/>
        </w:rPr>
        <w:t xml:space="preserve"> </w:t>
      </w:r>
      <w:r w:rsidRPr="0031666B">
        <w:rPr>
          <w:rStyle w:val="CommentReference"/>
        </w:rPr>
        <w:t xml:space="preserve">Silbert B, Shah A, Dembo L, Hayes H, </w:t>
      </w:r>
      <w:r w:rsidRPr="0031666B">
        <w:rPr>
          <w:rStyle w:val="CommentReference"/>
        </w:rPr>
        <w:t>Larbalesteir R, Baumwol J. Left ventricular assist devices for treatment of refractory advanced heart failure: the Western Australian experience. Internal Medicine Journal (2023) 1–8</w:t>
      </w:r>
    </w:p>
  </w:footnote>
  <w:footnote w:id="6">
    <w:p w14:paraId="1F1778AC" w14:textId="77777777" w:rsidR="000A178D" w:rsidRPr="00D74C1B" w:rsidRDefault="000A178D" w:rsidP="000A178D">
      <w:pPr>
        <w:pStyle w:val="FootnoteText"/>
        <w:rPr>
          <w:rStyle w:val="CommentReference"/>
        </w:rPr>
      </w:pPr>
      <w:r>
        <w:rPr>
          <w:rStyle w:val="FootnoteReference"/>
        </w:rPr>
        <w:footnoteRef/>
      </w:r>
      <w:r w:rsidRPr="008B6E55">
        <w:t xml:space="preserve"> </w:t>
      </w:r>
      <w:r w:rsidRPr="00D74C1B">
        <w:rPr>
          <w:rStyle w:val="CommentReference"/>
        </w:rPr>
        <w:t>J</w:t>
      </w:r>
      <w:r w:rsidRPr="007E6CF6">
        <w:rPr>
          <w:rStyle w:val="CommentReference"/>
        </w:rPr>
        <w:t xml:space="preserve">imenez-Contreras F, Rames JD, Schroder J et al. Long-term predictors of morbidity and mortality in patients following LVAD replacement. </w:t>
      </w:r>
      <w:r w:rsidRPr="007E6CF6">
        <w:rPr>
          <w:rStyle w:val="CommentReference"/>
        </w:rPr>
        <w:t>Artif Organs. 2024 Feb;48(2):157-165. doi: 10.1111/aor.14651.</w:t>
      </w:r>
    </w:p>
  </w:footnote>
  <w:footnote w:id="7">
    <w:p w14:paraId="17687FB5" w14:textId="2504E308" w:rsidR="00C62798" w:rsidRPr="00D74C1B" w:rsidRDefault="00C62798">
      <w:pPr>
        <w:pStyle w:val="FootnoteText"/>
        <w:rPr>
          <w:rStyle w:val="CommentReference"/>
        </w:rPr>
      </w:pPr>
      <w:r w:rsidRPr="007E6AE9">
        <w:rPr>
          <w:rStyle w:val="CommentReference"/>
          <w:vertAlign w:val="superscript"/>
        </w:rPr>
        <w:footnoteRef/>
      </w:r>
      <w:r w:rsidRPr="007E6AE9">
        <w:rPr>
          <w:rStyle w:val="CommentReference"/>
          <w:vertAlign w:val="superscript"/>
        </w:rPr>
        <w:t xml:space="preserve"> </w:t>
      </w:r>
      <w:r w:rsidRPr="00D74C1B">
        <w:rPr>
          <w:rStyle w:val="CommentReference"/>
        </w:rPr>
        <w:t xml:space="preserve">Mehra MR, Uriel N, Naka Y, et al. A Fully Magnetically Levitated Left Ventricular Assist Device - Final Report. N Engl J Med 2019; 380: 1618-1627. 20190317. DOI: 10.1056/NEJMoa1900486.  </w:t>
      </w:r>
    </w:p>
  </w:footnote>
  <w:footnote w:id="8">
    <w:p w14:paraId="4DE50A71" w14:textId="42967465" w:rsidR="00C62798" w:rsidRPr="00D74C1B" w:rsidRDefault="00C62798">
      <w:pPr>
        <w:pStyle w:val="FootnoteText"/>
        <w:rPr>
          <w:rStyle w:val="CommentReference"/>
        </w:rPr>
      </w:pPr>
      <w:r w:rsidRPr="007E6AE9">
        <w:rPr>
          <w:rStyle w:val="CommentReference"/>
          <w:vertAlign w:val="superscript"/>
        </w:rPr>
        <w:footnoteRef/>
      </w:r>
      <w:r w:rsidRPr="007E6AE9">
        <w:rPr>
          <w:rStyle w:val="CommentReference"/>
          <w:vertAlign w:val="superscript"/>
        </w:rPr>
        <w:t xml:space="preserve"> </w:t>
      </w:r>
      <w:r w:rsidRPr="00D74C1B">
        <w:rPr>
          <w:rStyle w:val="CommentReference"/>
        </w:rPr>
        <w:t xml:space="preserve">Slaughter MS, Rogers JG, Milano CA, et al. Advanced heart failure treated with continuous-flow left ventricular assist device. N Engl J Med 2009; 361: 2241-2251. 20091117. DOI: 10.1056/NEJMoa0909938.  </w:t>
      </w:r>
    </w:p>
  </w:footnote>
  <w:footnote w:id="9">
    <w:p w14:paraId="18B9DB49" w14:textId="4339F11F" w:rsidR="00C62798" w:rsidRPr="00D74C1B" w:rsidRDefault="00C62798">
      <w:pPr>
        <w:pStyle w:val="FootnoteText"/>
        <w:rPr>
          <w:rStyle w:val="CommentReference"/>
        </w:rPr>
      </w:pPr>
      <w:r w:rsidRPr="007E6AE9">
        <w:rPr>
          <w:rStyle w:val="CommentReference"/>
          <w:vertAlign w:val="superscript"/>
        </w:rPr>
        <w:footnoteRef/>
      </w:r>
      <w:r w:rsidRPr="007E6AE9">
        <w:rPr>
          <w:rStyle w:val="CommentReference"/>
          <w:vertAlign w:val="superscript"/>
        </w:rPr>
        <w:t xml:space="preserve"> </w:t>
      </w:r>
      <w:r w:rsidRPr="00D74C1B">
        <w:rPr>
          <w:rStyle w:val="CommentReference"/>
        </w:rPr>
        <w:t xml:space="preserve">Rose EA, </w:t>
      </w:r>
      <w:r w:rsidRPr="00D74C1B">
        <w:rPr>
          <w:rStyle w:val="CommentReference"/>
        </w:rPr>
        <w:t xml:space="preserve">Gelijns AC, Moskowitz AJ, et al. Long-term use of a left ventricular assist device for end-stage heart failure. N Engl J Med 2001; 345: 1435-1443. DOI: 10.1056/NEJMoa012175.  </w:t>
      </w:r>
    </w:p>
  </w:footnote>
  <w:footnote w:id="10">
    <w:p w14:paraId="50DF858D" w14:textId="77E79E94" w:rsidR="00C62798" w:rsidRPr="00D74C1B" w:rsidRDefault="00C62798">
      <w:pPr>
        <w:pStyle w:val="FootnoteText"/>
        <w:rPr>
          <w:rStyle w:val="CommentReference"/>
        </w:rPr>
      </w:pPr>
      <w:r w:rsidRPr="007E6AE9">
        <w:rPr>
          <w:rStyle w:val="CommentReference"/>
          <w:vertAlign w:val="superscript"/>
        </w:rPr>
        <w:footnoteRef/>
      </w:r>
      <w:r w:rsidRPr="00D74C1B">
        <w:rPr>
          <w:rStyle w:val="CommentReference"/>
        </w:rPr>
        <w:t xml:space="preserve"> Estep JD, Starling RC, </w:t>
      </w:r>
      <w:r w:rsidRPr="00D74C1B">
        <w:rPr>
          <w:rStyle w:val="CommentReference"/>
        </w:rPr>
        <w:t xml:space="preserve">Horstmanshof DA, et al. Risk Assessment and Comparative Effectiveness of Left Ventricular Assist Device and Medical Management in Ambulatory Heart Failure Patients (ROADMAP). The Journal of Heart and Lung Transplantation 2015  </w:t>
      </w:r>
    </w:p>
  </w:footnote>
  <w:footnote w:id="11">
    <w:p w14:paraId="306A4CC5" w14:textId="77777777" w:rsidR="00CB7630" w:rsidRDefault="00CB7630" w:rsidP="00CB7630">
      <w:pPr>
        <w:pStyle w:val="FootnoteText"/>
      </w:pPr>
      <w:r w:rsidRPr="001A66EE">
        <w:rPr>
          <w:rStyle w:val="CommentReference"/>
          <w:vertAlign w:val="superscript"/>
        </w:rPr>
        <w:footnoteRef/>
      </w:r>
      <w:r>
        <w:t xml:space="preserve"> </w:t>
      </w:r>
      <w:r w:rsidRPr="00CB7630">
        <w:rPr>
          <w:rStyle w:val="CommentReference"/>
        </w:rPr>
        <w:t xml:space="preserve">McLean J, </w:t>
      </w:r>
      <w:r w:rsidRPr="00CB7630">
        <w:rPr>
          <w:rStyle w:val="CommentReference"/>
        </w:rPr>
        <w:t xml:space="preserve">Bauwol J, Shah A et al. Survival in End-Stage HF Patients Ineligible for Cardiac Transplant can Exceed 10 Years With LVAD ‘Destination Therapy’. [abstract] Heart, Lunch and Circulation 2024; 33(4):s287. </w:t>
      </w:r>
      <w:hyperlink r:id="rId2" w:history="1">
        <w:r w:rsidRPr="00CB7630">
          <w:rPr>
            <w:rStyle w:val="CommentReference"/>
          </w:rPr>
          <w:t>https://doi.org/10.1016/j.hlc.2024.06.350</w:t>
        </w:r>
      </w:hyperlink>
      <w:r>
        <w:t xml:space="preserve"> </w:t>
      </w:r>
    </w:p>
  </w:footnote>
  <w:footnote w:id="12">
    <w:p w14:paraId="2A8C56B6" w14:textId="27C21D4C" w:rsidR="008779D5" w:rsidRPr="00FD34F7" w:rsidRDefault="008779D5">
      <w:pPr>
        <w:pStyle w:val="FootnoteText"/>
        <w:rPr>
          <w:rStyle w:val="CommentReference"/>
        </w:rPr>
      </w:pPr>
      <w:r w:rsidRPr="00FD34F7">
        <w:rPr>
          <w:rStyle w:val="CommentReference"/>
          <w:vertAlign w:val="superscript"/>
        </w:rPr>
        <w:footnoteRef/>
      </w:r>
      <w:r w:rsidRPr="00FD34F7">
        <w:rPr>
          <w:rStyle w:val="CommentReference"/>
          <w:vertAlign w:val="superscript"/>
        </w:rPr>
        <w:t xml:space="preserve"> </w:t>
      </w:r>
      <w:r w:rsidRPr="00FD34F7">
        <w:rPr>
          <w:rStyle w:val="CommentReference"/>
        </w:rPr>
        <w:t xml:space="preserve">Prichard RA, Zhao FL, </w:t>
      </w:r>
      <w:r w:rsidRPr="00FD34F7">
        <w:rPr>
          <w:rStyle w:val="CommentReference"/>
        </w:rPr>
        <w:t>Mcdonagh J, Goodall S, Davidson PM, Newton PJ, Farr-Wharton B, Hayward CS. Discrepancies between proxy estimates and patient reported, health related, quality of life: minding the gap between patient and clinician perceptions in heart failure. Qual Life Res. 2021 Apr;30(4):1049-1059. doi: 10.1007/s11136-020-02722-z.</w:t>
      </w:r>
    </w:p>
  </w:footnote>
  <w:footnote w:id="13">
    <w:p w14:paraId="55AE010F" w14:textId="7414EE9D" w:rsidR="00A7736F" w:rsidRPr="00FD34F7" w:rsidRDefault="00A7736F">
      <w:pPr>
        <w:pStyle w:val="FootnoteText"/>
        <w:rPr>
          <w:rStyle w:val="CommentReference"/>
        </w:rPr>
      </w:pPr>
      <w:r w:rsidRPr="00FD34F7">
        <w:rPr>
          <w:rStyle w:val="CommentReference"/>
          <w:vertAlign w:val="superscript"/>
        </w:rPr>
        <w:footnoteRef/>
      </w:r>
      <w:r w:rsidRPr="00FD34F7">
        <w:rPr>
          <w:rStyle w:val="CommentReference"/>
        </w:rPr>
        <w:t xml:space="preserve"> Sato T, Kobayashi Y, Nagai T</w:t>
      </w:r>
      <w:r w:rsidR="001355B0" w:rsidRPr="00FD34F7">
        <w:rPr>
          <w:rStyle w:val="CommentReference"/>
        </w:rPr>
        <w:t xml:space="preserve"> et al.</w:t>
      </w:r>
      <w:r w:rsidRPr="00FD34F7">
        <w:rPr>
          <w:rStyle w:val="CommentReference"/>
        </w:rPr>
        <w:t xml:space="preserve"> Long-term preservation of functional capacity and quality of life in advanced heart failure patients with bridge to transplant therapy: A report from Japanese nationwide </w:t>
      </w:r>
      <w:r w:rsidRPr="00FD34F7">
        <w:rPr>
          <w:rStyle w:val="CommentReference"/>
        </w:rPr>
        <w:t xml:space="preserve">multicenter registry. Int J Cardiol. 2022 Jun 1;356:66-72. </w:t>
      </w:r>
      <w:hyperlink r:id="rId3" w:history="1">
        <w:r w:rsidR="007C719C" w:rsidRPr="00FD34F7">
          <w:rPr>
            <w:rStyle w:val="CommentReference"/>
          </w:rPr>
          <w:t>https://doi.org/10.1016/j.ijcard.2022.03.044</w:t>
        </w:r>
      </w:hyperlink>
      <w:r w:rsidR="007C719C" w:rsidRPr="00FD34F7">
        <w:rPr>
          <w:rStyle w:val="CommentReference"/>
        </w:rPr>
        <w:t xml:space="preserve"> </w:t>
      </w:r>
    </w:p>
  </w:footnote>
  <w:footnote w:id="14">
    <w:p w14:paraId="1E97DE59" w14:textId="77777777" w:rsidR="009E212B" w:rsidRPr="00FD34F7" w:rsidRDefault="009E212B" w:rsidP="009E212B">
      <w:pPr>
        <w:pStyle w:val="FootnoteText"/>
        <w:rPr>
          <w:rStyle w:val="CommentReference"/>
        </w:rPr>
      </w:pPr>
      <w:r w:rsidRPr="00FD34F7">
        <w:rPr>
          <w:rStyle w:val="CommentReference"/>
          <w:vertAlign w:val="superscript"/>
        </w:rPr>
        <w:footnoteRef/>
      </w:r>
      <w:r w:rsidRPr="00FD34F7">
        <w:rPr>
          <w:rStyle w:val="CommentReference"/>
        </w:rPr>
        <w:t xml:space="preserve"> </w:t>
      </w:r>
      <w:r w:rsidRPr="00FD34F7">
        <w:rPr>
          <w:rStyle w:val="CommentReference"/>
        </w:rPr>
        <w:t xml:space="preserve">Kularatna S, Byrnes J, Chan YK et al. Comparison of contemporaneous responses for EQ-5D-3L and Minnesota Living with Heart Failure; a case for disease specific multiattribute utility instrument in cardiovascular conditions. International Journal of Cardiology 2017; 227:172-6. </w:t>
      </w:r>
      <w:hyperlink r:id="rId4" w:history="1">
        <w:r w:rsidRPr="00FD34F7">
          <w:rPr>
            <w:rStyle w:val="CommentReference"/>
          </w:rPr>
          <w:t>https://doi.org/10.1016/j.ijcard.2016.11.030</w:t>
        </w:r>
      </w:hyperlink>
      <w:r w:rsidRPr="00FD34F7">
        <w:rPr>
          <w:rStyle w:val="CommentReference"/>
        </w:rPr>
        <w:t xml:space="preserve"> </w:t>
      </w:r>
    </w:p>
  </w:footnote>
  <w:footnote w:id="15">
    <w:p w14:paraId="4339B820" w14:textId="77777777" w:rsidR="009E212B" w:rsidRPr="00FD34F7" w:rsidRDefault="009E212B" w:rsidP="009E212B">
      <w:pPr>
        <w:pStyle w:val="FootnoteText"/>
        <w:rPr>
          <w:rStyle w:val="CommentReference"/>
        </w:rPr>
      </w:pPr>
      <w:r w:rsidRPr="00FD34F7">
        <w:rPr>
          <w:rStyle w:val="CommentReference"/>
          <w:vertAlign w:val="superscript"/>
        </w:rPr>
        <w:footnoteRef/>
      </w:r>
      <w:r w:rsidRPr="00FD34F7">
        <w:rPr>
          <w:rStyle w:val="CommentReference"/>
        </w:rPr>
        <w:t xml:space="preserve"> Maru S, Byrnes JM, Carrington MJ et al. Long-term cost-effectiveness of home versus clinic-based management of chronic heart failure: the WHICH? study. Journal of Medical Economics 2016; 20(4):318-27. </w:t>
      </w:r>
      <w:hyperlink r:id="rId5" w:history="1">
        <w:r w:rsidRPr="00FD34F7">
          <w:rPr>
            <w:rStyle w:val="CommentReference"/>
          </w:rPr>
          <w:t>https://doi.org/10.1080/13696998.2016.1261031</w:t>
        </w:r>
      </w:hyperlink>
      <w:r w:rsidRPr="00FD34F7">
        <w:rPr>
          <w:rStyle w:val="CommentReference"/>
        </w:rPr>
        <w:t xml:space="preserve"> </w:t>
      </w:r>
    </w:p>
  </w:footnote>
  <w:footnote w:id="16">
    <w:p w14:paraId="32325D05" w14:textId="1C3F9341" w:rsidR="00D1077D" w:rsidRPr="00FD34F7" w:rsidRDefault="00D1077D" w:rsidP="00176548">
      <w:pPr>
        <w:pStyle w:val="FootnoteText"/>
        <w:rPr>
          <w:sz w:val="16"/>
          <w:szCs w:val="16"/>
        </w:rPr>
      </w:pPr>
      <w:r w:rsidRPr="00FD34F7">
        <w:rPr>
          <w:rStyle w:val="FootnoteReference"/>
          <w:sz w:val="16"/>
          <w:szCs w:val="16"/>
        </w:rPr>
        <w:footnoteRef/>
      </w:r>
      <w:r w:rsidRPr="00FD34F7">
        <w:rPr>
          <w:sz w:val="16"/>
          <w:szCs w:val="16"/>
        </w:rPr>
        <w:t xml:space="preserve"> </w:t>
      </w:r>
      <w:r w:rsidR="00176548" w:rsidRPr="00FD34F7">
        <w:rPr>
          <w:sz w:val="16"/>
          <w:szCs w:val="16"/>
        </w:rPr>
        <w:t xml:space="preserve">Truby, L, Rogers, J. Advanced Heart Failure: Epidemiology, Diagnosis, and Therapeutic Approaches. J Am Coll </w:t>
      </w:r>
      <w:r w:rsidR="00176548" w:rsidRPr="00FD34F7">
        <w:rPr>
          <w:sz w:val="16"/>
          <w:szCs w:val="16"/>
        </w:rPr>
        <w:t>Cardiol HF 2020; 8 (7) 523–536. https://doi.org/10.1016/j.jchf.2020.01.014</w:t>
      </w:r>
    </w:p>
  </w:footnote>
  <w:footnote w:id="17">
    <w:p w14:paraId="2457E513" w14:textId="77777777" w:rsidR="00F401EA" w:rsidRPr="00D74C1B" w:rsidRDefault="00F401EA" w:rsidP="00F401EA">
      <w:pPr>
        <w:pStyle w:val="FootnoteText"/>
        <w:rPr>
          <w:rStyle w:val="CommentReference"/>
        </w:rPr>
      </w:pPr>
      <w:r w:rsidRPr="00FD34F7">
        <w:rPr>
          <w:rStyle w:val="CommentReference"/>
          <w:vertAlign w:val="superscript"/>
        </w:rPr>
        <w:footnoteRef/>
      </w:r>
      <w:r w:rsidRPr="00FD34F7">
        <w:rPr>
          <w:rStyle w:val="CommentReference"/>
        </w:rPr>
        <w:t xml:space="preserve"> Jorde UP et al. The Society of Thoracic Surgeons </w:t>
      </w:r>
      <w:r w:rsidRPr="00FD34F7">
        <w:rPr>
          <w:rStyle w:val="CommentReference"/>
        </w:rPr>
        <w:t xml:space="preserve">Intermacs 2023 Annual Report: Focus on Magnetically Levitated Devices. Ann Thorac Surg. 2024 Jan;117(1):33-44.  </w:t>
      </w:r>
      <w:hyperlink r:id="rId6" w:history="1">
        <w:r w:rsidRPr="00FD34F7">
          <w:rPr>
            <w:rStyle w:val="CommentReference"/>
          </w:rPr>
          <w:t>https://doi.org/10.1016/j.athoracsur.2023.11.004</w:t>
        </w:r>
      </w:hyperlink>
      <w:r w:rsidRPr="00D74C1B">
        <w:rPr>
          <w:rStyle w:val="CommentReference"/>
        </w:rPr>
        <w:t xml:space="preserve"> </w:t>
      </w:r>
    </w:p>
  </w:footnote>
  <w:footnote w:id="18">
    <w:p w14:paraId="4042304A" w14:textId="77777777" w:rsidR="00C8623C" w:rsidRPr="001A66EE" w:rsidRDefault="00C8623C" w:rsidP="00C8623C">
      <w:pPr>
        <w:pStyle w:val="FootnoteText"/>
        <w:rPr>
          <w:rStyle w:val="CommentReference"/>
        </w:rPr>
      </w:pPr>
      <w:r w:rsidRPr="001A66EE">
        <w:rPr>
          <w:rStyle w:val="CommentReference"/>
          <w:vertAlign w:val="superscript"/>
        </w:rPr>
        <w:footnoteRef/>
      </w:r>
      <w:r w:rsidRPr="001A66EE">
        <w:rPr>
          <w:rStyle w:val="CommentReference"/>
        </w:rPr>
        <w:t xml:space="preserve"> Saeed D, Feldman D, El </w:t>
      </w:r>
      <w:r w:rsidRPr="001A66EE">
        <w:rPr>
          <w:rStyle w:val="CommentReference"/>
        </w:rPr>
        <w:t xml:space="preserve">Banayosy A et al. The 2023 International Society for Heart and Lung Transplantation Guidelines for Mechanical Circulatory Support: A 10- Year Update. The Journal of Heart and Lung Transplantation 2023;42(7):e1-222 </w:t>
      </w:r>
      <w:hyperlink r:id="rId7" w:history="1">
        <w:r w:rsidRPr="001A66EE">
          <w:rPr>
            <w:rStyle w:val="CommentReference"/>
          </w:rPr>
          <w:t>https://www.jhltonline.org/article/S1053-2498(22)02248-3/fulltext</w:t>
        </w:r>
      </w:hyperlink>
      <w:r w:rsidRPr="001A66EE">
        <w:rPr>
          <w:rStyle w:val="CommentReference"/>
        </w:rPr>
        <w:t xml:space="preserve"> </w:t>
      </w:r>
    </w:p>
  </w:footnote>
  <w:footnote w:id="19">
    <w:p w14:paraId="73D9E2DB" w14:textId="53D992A9" w:rsidR="00283177" w:rsidRPr="0079297C" w:rsidRDefault="00283177">
      <w:pPr>
        <w:pStyle w:val="FootnoteText"/>
        <w:rPr>
          <w:sz w:val="16"/>
          <w:szCs w:val="16"/>
        </w:rPr>
      </w:pPr>
      <w:r w:rsidRPr="0079297C">
        <w:rPr>
          <w:rStyle w:val="FootnoteReference"/>
          <w:sz w:val="16"/>
          <w:szCs w:val="16"/>
        </w:rPr>
        <w:footnoteRef/>
      </w:r>
      <w:r w:rsidRPr="0079297C">
        <w:rPr>
          <w:sz w:val="16"/>
          <w:szCs w:val="16"/>
        </w:rPr>
        <w:t xml:space="preserve"> Mehra MR, Salerno C, Cleveland JC et al. Healthcare Resource Use and Cost Implications in the MOMENTUM 3 Long-Term Outcome Study. Circulation 2018 Oct 30;138(18):1923-1934. </w:t>
      </w:r>
      <w:r w:rsidRPr="0079297C">
        <w:rPr>
          <w:sz w:val="16"/>
          <w:szCs w:val="16"/>
        </w:rPr>
        <w:t>doi: 10.1161/CIRCULATIONAHA.118.035722.</w:t>
      </w:r>
    </w:p>
  </w:footnote>
  <w:footnote w:id="20">
    <w:p w14:paraId="14E020F5" w14:textId="77777777" w:rsidR="00B63079" w:rsidRPr="00400BB4" w:rsidRDefault="00B63079" w:rsidP="00B63079">
      <w:pPr>
        <w:pStyle w:val="FootnoteText"/>
        <w:rPr>
          <w:sz w:val="16"/>
          <w:szCs w:val="16"/>
        </w:rPr>
      </w:pPr>
      <w:r w:rsidRPr="00400BB4">
        <w:rPr>
          <w:rStyle w:val="FootnoteReference"/>
          <w:sz w:val="16"/>
          <w:szCs w:val="16"/>
        </w:rPr>
        <w:footnoteRef/>
      </w:r>
      <w:r w:rsidRPr="00400BB4">
        <w:rPr>
          <w:sz w:val="16"/>
          <w:szCs w:val="16"/>
        </w:rPr>
        <w:t xml:space="preserve"> </w:t>
      </w:r>
      <w:r w:rsidRPr="00400BB4">
        <w:rPr>
          <w:sz w:val="16"/>
          <w:szCs w:val="16"/>
        </w:rPr>
        <w:t>Moghei M, Pesah E, Turk-Adawi K</w:t>
      </w:r>
      <w:r>
        <w:rPr>
          <w:sz w:val="16"/>
          <w:szCs w:val="16"/>
        </w:rPr>
        <w:t xml:space="preserve"> et al</w:t>
      </w:r>
      <w:r w:rsidRPr="00400BB4">
        <w:rPr>
          <w:sz w:val="16"/>
          <w:szCs w:val="16"/>
        </w:rPr>
        <w:t>. Funding sources and costs to deliver cardiac rehabilitation around the globe: Drivers and barriers. Int J Cardiol 2019 Feb 1;276:278-286. doi: 10.1016/j.ijcard.2018.10.089</w:t>
      </w:r>
    </w:p>
  </w:footnote>
  <w:footnote w:id="21">
    <w:p w14:paraId="2506D4DD" w14:textId="0DF31120" w:rsidR="00415F95" w:rsidRPr="00C22BC7" w:rsidRDefault="00415F95">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8DE2" w14:textId="77777777" w:rsidR="00E33F73" w:rsidRDefault="00E33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68CB" w14:textId="77777777" w:rsidR="00E33F73" w:rsidRDefault="00E33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094E" w14:textId="77777777" w:rsidR="00E33F73" w:rsidRDefault="00E33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D65"/>
    <w:multiLevelType w:val="hybridMultilevel"/>
    <w:tmpl w:val="E50466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DC02DCD"/>
    <w:multiLevelType w:val="hybridMultilevel"/>
    <w:tmpl w:val="91968D26"/>
    <w:lvl w:ilvl="0" w:tplc="6EC4CCBA">
      <w:start w:val="1"/>
      <w:numFmt w:val="bullet"/>
      <w:lvlText w:val=""/>
      <w:lvlJc w:val="left"/>
      <w:pPr>
        <w:ind w:left="720" w:hanging="360"/>
      </w:pPr>
      <w:rPr>
        <w:rFonts w:ascii="Symbol" w:hAnsi="Symbol"/>
      </w:rPr>
    </w:lvl>
    <w:lvl w:ilvl="1" w:tplc="87BA728A">
      <w:start w:val="1"/>
      <w:numFmt w:val="bullet"/>
      <w:lvlText w:val=""/>
      <w:lvlJc w:val="left"/>
      <w:pPr>
        <w:ind w:left="720" w:hanging="360"/>
      </w:pPr>
      <w:rPr>
        <w:rFonts w:ascii="Symbol" w:hAnsi="Symbol"/>
      </w:rPr>
    </w:lvl>
    <w:lvl w:ilvl="2" w:tplc="95CAE34E">
      <w:start w:val="1"/>
      <w:numFmt w:val="bullet"/>
      <w:lvlText w:val=""/>
      <w:lvlJc w:val="left"/>
      <w:pPr>
        <w:ind w:left="720" w:hanging="360"/>
      </w:pPr>
      <w:rPr>
        <w:rFonts w:ascii="Symbol" w:hAnsi="Symbol"/>
      </w:rPr>
    </w:lvl>
    <w:lvl w:ilvl="3" w:tplc="C73022A6">
      <w:start w:val="1"/>
      <w:numFmt w:val="bullet"/>
      <w:lvlText w:val=""/>
      <w:lvlJc w:val="left"/>
      <w:pPr>
        <w:ind w:left="720" w:hanging="360"/>
      </w:pPr>
      <w:rPr>
        <w:rFonts w:ascii="Symbol" w:hAnsi="Symbol"/>
      </w:rPr>
    </w:lvl>
    <w:lvl w:ilvl="4" w:tplc="9830D418">
      <w:start w:val="1"/>
      <w:numFmt w:val="bullet"/>
      <w:lvlText w:val=""/>
      <w:lvlJc w:val="left"/>
      <w:pPr>
        <w:ind w:left="720" w:hanging="360"/>
      </w:pPr>
      <w:rPr>
        <w:rFonts w:ascii="Symbol" w:hAnsi="Symbol"/>
      </w:rPr>
    </w:lvl>
    <w:lvl w:ilvl="5" w:tplc="35960E06">
      <w:start w:val="1"/>
      <w:numFmt w:val="bullet"/>
      <w:lvlText w:val=""/>
      <w:lvlJc w:val="left"/>
      <w:pPr>
        <w:ind w:left="720" w:hanging="360"/>
      </w:pPr>
      <w:rPr>
        <w:rFonts w:ascii="Symbol" w:hAnsi="Symbol"/>
      </w:rPr>
    </w:lvl>
    <w:lvl w:ilvl="6" w:tplc="4A7CE0A6">
      <w:start w:val="1"/>
      <w:numFmt w:val="bullet"/>
      <w:lvlText w:val=""/>
      <w:lvlJc w:val="left"/>
      <w:pPr>
        <w:ind w:left="720" w:hanging="360"/>
      </w:pPr>
      <w:rPr>
        <w:rFonts w:ascii="Symbol" w:hAnsi="Symbol"/>
      </w:rPr>
    </w:lvl>
    <w:lvl w:ilvl="7" w:tplc="E550DF6C">
      <w:start w:val="1"/>
      <w:numFmt w:val="bullet"/>
      <w:lvlText w:val=""/>
      <w:lvlJc w:val="left"/>
      <w:pPr>
        <w:ind w:left="720" w:hanging="360"/>
      </w:pPr>
      <w:rPr>
        <w:rFonts w:ascii="Symbol" w:hAnsi="Symbol"/>
      </w:rPr>
    </w:lvl>
    <w:lvl w:ilvl="8" w:tplc="DA4C1A12">
      <w:start w:val="1"/>
      <w:numFmt w:val="bullet"/>
      <w:lvlText w:val=""/>
      <w:lvlJc w:val="left"/>
      <w:pPr>
        <w:ind w:left="720" w:hanging="360"/>
      </w:pPr>
      <w:rPr>
        <w:rFonts w:ascii="Symbol" w:hAnsi="Symbol"/>
      </w:rPr>
    </w:lvl>
  </w:abstractNum>
  <w:abstractNum w:abstractNumId="2" w15:restartNumberingAfterBreak="0">
    <w:nsid w:val="0E7842C9"/>
    <w:multiLevelType w:val="hybridMultilevel"/>
    <w:tmpl w:val="91226E76"/>
    <w:lvl w:ilvl="0" w:tplc="2F9A9CDC">
      <w:start w:val="1"/>
      <w:numFmt w:val="bullet"/>
      <w:lvlText w:val=""/>
      <w:lvlJc w:val="left"/>
      <w:pPr>
        <w:ind w:left="720" w:hanging="360"/>
      </w:pPr>
      <w:rPr>
        <w:rFonts w:ascii="Symbol" w:hAnsi="Symbol"/>
      </w:rPr>
    </w:lvl>
    <w:lvl w:ilvl="1" w:tplc="5462C444">
      <w:start w:val="1"/>
      <w:numFmt w:val="bullet"/>
      <w:lvlText w:val=""/>
      <w:lvlJc w:val="left"/>
      <w:pPr>
        <w:ind w:left="720" w:hanging="360"/>
      </w:pPr>
      <w:rPr>
        <w:rFonts w:ascii="Symbol" w:hAnsi="Symbol"/>
      </w:rPr>
    </w:lvl>
    <w:lvl w:ilvl="2" w:tplc="E0C20C6C">
      <w:start w:val="1"/>
      <w:numFmt w:val="bullet"/>
      <w:lvlText w:val=""/>
      <w:lvlJc w:val="left"/>
      <w:pPr>
        <w:ind w:left="720" w:hanging="360"/>
      </w:pPr>
      <w:rPr>
        <w:rFonts w:ascii="Symbol" w:hAnsi="Symbol"/>
      </w:rPr>
    </w:lvl>
    <w:lvl w:ilvl="3" w:tplc="E24C1F3A">
      <w:start w:val="1"/>
      <w:numFmt w:val="bullet"/>
      <w:lvlText w:val=""/>
      <w:lvlJc w:val="left"/>
      <w:pPr>
        <w:ind w:left="720" w:hanging="360"/>
      </w:pPr>
      <w:rPr>
        <w:rFonts w:ascii="Symbol" w:hAnsi="Symbol"/>
      </w:rPr>
    </w:lvl>
    <w:lvl w:ilvl="4" w:tplc="4E3A65C4">
      <w:start w:val="1"/>
      <w:numFmt w:val="bullet"/>
      <w:lvlText w:val=""/>
      <w:lvlJc w:val="left"/>
      <w:pPr>
        <w:ind w:left="720" w:hanging="360"/>
      </w:pPr>
      <w:rPr>
        <w:rFonts w:ascii="Symbol" w:hAnsi="Symbol"/>
      </w:rPr>
    </w:lvl>
    <w:lvl w:ilvl="5" w:tplc="A4C21D20">
      <w:start w:val="1"/>
      <w:numFmt w:val="bullet"/>
      <w:lvlText w:val=""/>
      <w:lvlJc w:val="left"/>
      <w:pPr>
        <w:ind w:left="720" w:hanging="360"/>
      </w:pPr>
      <w:rPr>
        <w:rFonts w:ascii="Symbol" w:hAnsi="Symbol"/>
      </w:rPr>
    </w:lvl>
    <w:lvl w:ilvl="6" w:tplc="BADCF828">
      <w:start w:val="1"/>
      <w:numFmt w:val="bullet"/>
      <w:lvlText w:val=""/>
      <w:lvlJc w:val="left"/>
      <w:pPr>
        <w:ind w:left="720" w:hanging="360"/>
      </w:pPr>
      <w:rPr>
        <w:rFonts w:ascii="Symbol" w:hAnsi="Symbol"/>
      </w:rPr>
    </w:lvl>
    <w:lvl w:ilvl="7" w:tplc="98CE8650">
      <w:start w:val="1"/>
      <w:numFmt w:val="bullet"/>
      <w:lvlText w:val=""/>
      <w:lvlJc w:val="left"/>
      <w:pPr>
        <w:ind w:left="720" w:hanging="360"/>
      </w:pPr>
      <w:rPr>
        <w:rFonts w:ascii="Symbol" w:hAnsi="Symbol"/>
      </w:rPr>
    </w:lvl>
    <w:lvl w:ilvl="8" w:tplc="36F002D0">
      <w:start w:val="1"/>
      <w:numFmt w:val="bullet"/>
      <w:lvlText w:val=""/>
      <w:lvlJc w:val="left"/>
      <w:pPr>
        <w:ind w:left="720" w:hanging="360"/>
      </w:pPr>
      <w:rPr>
        <w:rFonts w:ascii="Symbol" w:hAnsi="Symbol"/>
      </w:rPr>
    </w:lvl>
  </w:abstractNum>
  <w:abstractNum w:abstractNumId="3" w15:restartNumberingAfterBreak="0">
    <w:nsid w:val="0EB02AB2"/>
    <w:multiLevelType w:val="hybridMultilevel"/>
    <w:tmpl w:val="51AC8B24"/>
    <w:lvl w:ilvl="0" w:tplc="268C0AA2">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C741B"/>
    <w:multiLevelType w:val="hybridMultilevel"/>
    <w:tmpl w:val="DCAE8F98"/>
    <w:lvl w:ilvl="0" w:tplc="62C8EA3A">
      <w:start w:val="1"/>
      <w:numFmt w:val="bullet"/>
      <w:lvlText w:val=""/>
      <w:lvlJc w:val="left"/>
      <w:pPr>
        <w:ind w:left="720" w:hanging="360"/>
      </w:pPr>
      <w:rPr>
        <w:rFonts w:ascii="Symbol" w:hAnsi="Symbol"/>
      </w:rPr>
    </w:lvl>
    <w:lvl w:ilvl="1" w:tplc="737482C6">
      <w:start w:val="1"/>
      <w:numFmt w:val="bullet"/>
      <w:lvlText w:val=""/>
      <w:lvlJc w:val="left"/>
      <w:pPr>
        <w:ind w:left="720" w:hanging="360"/>
      </w:pPr>
      <w:rPr>
        <w:rFonts w:ascii="Symbol" w:hAnsi="Symbol"/>
      </w:rPr>
    </w:lvl>
    <w:lvl w:ilvl="2" w:tplc="64A8FC5A">
      <w:start w:val="1"/>
      <w:numFmt w:val="bullet"/>
      <w:lvlText w:val=""/>
      <w:lvlJc w:val="left"/>
      <w:pPr>
        <w:ind w:left="720" w:hanging="360"/>
      </w:pPr>
      <w:rPr>
        <w:rFonts w:ascii="Symbol" w:hAnsi="Symbol"/>
      </w:rPr>
    </w:lvl>
    <w:lvl w:ilvl="3" w:tplc="B7DE47E4">
      <w:start w:val="1"/>
      <w:numFmt w:val="bullet"/>
      <w:lvlText w:val=""/>
      <w:lvlJc w:val="left"/>
      <w:pPr>
        <w:ind w:left="720" w:hanging="360"/>
      </w:pPr>
      <w:rPr>
        <w:rFonts w:ascii="Symbol" w:hAnsi="Symbol"/>
      </w:rPr>
    </w:lvl>
    <w:lvl w:ilvl="4" w:tplc="837A3DFA">
      <w:start w:val="1"/>
      <w:numFmt w:val="bullet"/>
      <w:lvlText w:val=""/>
      <w:lvlJc w:val="left"/>
      <w:pPr>
        <w:ind w:left="720" w:hanging="360"/>
      </w:pPr>
      <w:rPr>
        <w:rFonts w:ascii="Symbol" w:hAnsi="Symbol"/>
      </w:rPr>
    </w:lvl>
    <w:lvl w:ilvl="5" w:tplc="14FC54DA">
      <w:start w:val="1"/>
      <w:numFmt w:val="bullet"/>
      <w:lvlText w:val=""/>
      <w:lvlJc w:val="left"/>
      <w:pPr>
        <w:ind w:left="720" w:hanging="360"/>
      </w:pPr>
      <w:rPr>
        <w:rFonts w:ascii="Symbol" w:hAnsi="Symbol"/>
      </w:rPr>
    </w:lvl>
    <w:lvl w:ilvl="6" w:tplc="C3C841B0">
      <w:start w:val="1"/>
      <w:numFmt w:val="bullet"/>
      <w:lvlText w:val=""/>
      <w:lvlJc w:val="left"/>
      <w:pPr>
        <w:ind w:left="720" w:hanging="360"/>
      </w:pPr>
      <w:rPr>
        <w:rFonts w:ascii="Symbol" w:hAnsi="Symbol"/>
      </w:rPr>
    </w:lvl>
    <w:lvl w:ilvl="7" w:tplc="8F46DA88">
      <w:start w:val="1"/>
      <w:numFmt w:val="bullet"/>
      <w:lvlText w:val=""/>
      <w:lvlJc w:val="left"/>
      <w:pPr>
        <w:ind w:left="720" w:hanging="360"/>
      </w:pPr>
      <w:rPr>
        <w:rFonts w:ascii="Symbol" w:hAnsi="Symbol"/>
      </w:rPr>
    </w:lvl>
    <w:lvl w:ilvl="8" w:tplc="26E691AE">
      <w:start w:val="1"/>
      <w:numFmt w:val="bullet"/>
      <w:lvlText w:val=""/>
      <w:lvlJc w:val="left"/>
      <w:pPr>
        <w:ind w:left="720" w:hanging="360"/>
      </w:pPr>
      <w:rPr>
        <w:rFonts w:ascii="Symbol" w:hAnsi="Symbol"/>
      </w:rPr>
    </w:lvl>
  </w:abstractNum>
  <w:abstractNum w:abstractNumId="6" w15:restartNumberingAfterBreak="0">
    <w:nsid w:val="13CF30B1"/>
    <w:multiLevelType w:val="hybridMultilevel"/>
    <w:tmpl w:val="4AE829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8C572E7"/>
    <w:multiLevelType w:val="hybridMultilevel"/>
    <w:tmpl w:val="C3CE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6B5BDD"/>
    <w:multiLevelType w:val="hybridMultilevel"/>
    <w:tmpl w:val="FA26365E"/>
    <w:lvl w:ilvl="0" w:tplc="128CD7BE">
      <w:start w:val="1"/>
      <w:numFmt w:val="bullet"/>
      <w:lvlText w:val=""/>
      <w:lvlJc w:val="left"/>
      <w:pPr>
        <w:ind w:left="720" w:hanging="360"/>
      </w:pPr>
      <w:rPr>
        <w:rFonts w:ascii="Symbol" w:hAnsi="Symbol"/>
      </w:rPr>
    </w:lvl>
    <w:lvl w:ilvl="1" w:tplc="2C701E0A">
      <w:start w:val="1"/>
      <w:numFmt w:val="bullet"/>
      <w:lvlText w:val=""/>
      <w:lvlJc w:val="left"/>
      <w:pPr>
        <w:ind w:left="720" w:hanging="360"/>
      </w:pPr>
      <w:rPr>
        <w:rFonts w:ascii="Symbol" w:hAnsi="Symbol"/>
      </w:rPr>
    </w:lvl>
    <w:lvl w:ilvl="2" w:tplc="CD3864AA">
      <w:start w:val="1"/>
      <w:numFmt w:val="bullet"/>
      <w:lvlText w:val=""/>
      <w:lvlJc w:val="left"/>
      <w:pPr>
        <w:ind w:left="720" w:hanging="360"/>
      </w:pPr>
      <w:rPr>
        <w:rFonts w:ascii="Symbol" w:hAnsi="Symbol"/>
      </w:rPr>
    </w:lvl>
    <w:lvl w:ilvl="3" w:tplc="6068FF02">
      <w:start w:val="1"/>
      <w:numFmt w:val="bullet"/>
      <w:lvlText w:val=""/>
      <w:lvlJc w:val="left"/>
      <w:pPr>
        <w:ind w:left="720" w:hanging="360"/>
      </w:pPr>
      <w:rPr>
        <w:rFonts w:ascii="Symbol" w:hAnsi="Symbol"/>
      </w:rPr>
    </w:lvl>
    <w:lvl w:ilvl="4" w:tplc="83FCC2DC">
      <w:start w:val="1"/>
      <w:numFmt w:val="bullet"/>
      <w:lvlText w:val=""/>
      <w:lvlJc w:val="left"/>
      <w:pPr>
        <w:ind w:left="720" w:hanging="360"/>
      </w:pPr>
      <w:rPr>
        <w:rFonts w:ascii="Symbol" w:hAnsi="Symbol"/>
      </w:rPr>
    </w:lvl>
    <w:lvl w:ilvl="5" w:tplc="013A4E78">
      <w:start w:val="1"/>
      <w:numFmt w:val="bullet"/>
      <w:lvlText w:val=""/>
      <w:lvlJc w:val="left"/>
      <w:pPr>
        <w:ind w:left="720" w:hanging="360"/>
      </w:pPr>
      <w:rPr>
        <w:rFonts w:ascii="Symbol" w:hAnsi="Symbol"/>
      </w:rPr>
    </w:lvl>
    <w:lvl w:ilvl="6" w:tplc="DB70E37C">
      <w:start w:val="1"/>
      <w:numFmt w:val="bullet"/>
      <w:lvlText w:val=""/>
      <w:lvlJc w:val="left"/>
      <w:pPr>
        <w:ind w:left="720" w:hanging="360"/>
      </w:pPr>
      <w:rPr>
        <w:rFonts w:ascii="Symbol" w:hAnsi="Symbol"/>
      </w:rPr>
    </w:lvl>
    <w:lvl w:ilvl="7" w:tplc="C194FCE0">
      <w:start w:val="1"/>
      <w:numFmt w:val="bullet"/>
      <w:lvlText w:val=""/>
      <w:lvlJc w:val="left"/>
      <w:pPr>
        <w:ind w:left="720" w:hanging="360"/>
      </w:pPr>
      <w:rPr>
        <w:rFonts w:ascii="Symbol" w:hAnsi="Symbol"/>
      </w:rPr>
    </w:lvl>
    <w:lvl w:ilvl="8" w:tplc="A8EC0C60">
      <w:start w:val="1"/>
      <w:numFmt w:val="bullet"/>
      <w:lvlText w:val=""/>
      <w:lvlJc w:val="left"/>
      <w:pPr>
        <w:ind w:left="720" w:hanging="360"/>
      </w:pPr>
      <w:rPr>
        <w:rFonts w:ascii="Symbol" w:hAnsi="Symbol"/>
      </w:r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6F01FE"/>
    <w:multiLevelType w:val="hybridMultilevel"/>
    <w:tmpl w:val="1AAA4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B61E9E"/>
    <w:multiLevelType w:val="hybridMultilevel"/>
    <w:tmpl w:val="7DEA1CA0"/>
    <w:lvl w:ilvl="0" w:tplc="18967E1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3963410"/>
    <w:multiLevelType w:val="hybridMultilevel"/>
    <w:tmpl w:val="6DE0C178"/>
    <w:lvl w:ilvl="0" w:tplc="3A24F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AD5C70"/>
    <w:multiLevelType w:val="hybridMultilevel"/>
    <w:tmpl w:val="046E6C1E"/>
    <w:lvl w:ilvl="0" w:tplc="58984486">
      <w:start w:val="1"/>
      <w:numFmt w:val="bullet"/>
      <w:lvlText w:val=""/>
      <w:lvlJc w:val="left"/>
      <w:pPr>
        <w:ind w:left="720" w:hanging="360"/>
      </w:pPr>
      <w:rPr>
        <w:rFonts w:ascii="Symbol" w:hAnsi="Symbol"/>
      </w:rPr>
    </w:lvl>
    <w:lvl w:ilvl="1" w:tplc="2CAAD736">
      <w:start w:val="1"/>
      <w:numFmt w:val="bullet"/>
      <w:lvlText w:val=""/>
      <w:lvlJc w:val="left"/>
      <w:pPr>
        <w:ind w:left="720" w:hanging="360"/>
      </w:pPr>
      <w:rPr>
        <w:rFonts w:ascii="Symbol" w:hAnsi="Symbol"/>
      </w:rPr>
    </w:lvl>
    <w:lvl w:ilvl="2" w:tplc="BE6A6C40">
      <w:start w:val="1"/>
      <w:numFmt w:val="bullet"/>
      <w:lvlText w:val=""/>
      <w:lvlJc w:val="left"/>
      <w:pPr>
        <w:ind w:left="720" w:hanging="360"/>
      </w:pPr>
      <w:rPr>
        <w:rFonts w:ascii="Symbol" w:hAnsi="Symbol"/>
      </w:rPr>
    </w:lvl>
    <w:lvl w:ilvl="3" w:tplc="29E0CE34">
      <w:start w:val="1"/>
      <w:numFmt w:val="bullet"/>
      <w:lvlText w:val=""/>
      <w:lvlJc w:val="left"/>
      <w:pPr>
        <w:ind w:left="720" w:hanging="360"/>
      </w:pPr>
      <w:rPr>
        <w:rFonts w:ascii="Symbol" w:hAnsi="Symbol"/>
      </w:rPr>
    </w:lvl>
    <w:lvl w:ilvl="4" w:tplc="566266DA">
      <w:start w:val="1"/>
      <w:numFmt w:val="bullet"/>
      <w:lvlText w:val=""/>
      <w:lvlJc w:val="left"/>
      <w:pPr>
        <w:ind w:left="720" w:hanging="360"/>
      </w:pPr>
      <w:rPr>
        <w:rFonts w:ascii="Symbol" w:hAnsi="Symbol"/>
      </w:rPr>
    </w:lvl>
    <w:lvl w:ilvl="5" w:tplc="34286FA0">
      <w:start w:val="1"/>
      <w:numFmt w:val="bullet"/>
      <w:lvlText w:val=""/>
      <w:lvlJc w:val="left"/>
      <w:pPr>
        <w:ind w:left="720" w:hanging="360"/>
      </w:pPr>
      <w:rPr>
        <w:rFonts w:ascii="Symbol" w:hAnsi="Symbol"/>
      </w:rPr>
    </w:lvl>
    <w:lvl w:ilvl="6" w:tplc="EB6AC904">
      <w:start w:val="1"/>
      <w:numFmt w:val="bullet"/>
      <w:lvlText w:val=""/>
      <w:lvlJc w:val="left"/>
      <w:pPr>
        <w:ind w:left="720" w:hanging="360"/>
      </w:pPr>
      <w:rPr>
        <w:rFonts w:ascii="Symbol" w:hAnsi="Symbol"/>
      </w:rPr>
    </w:lvl>
    <w:lvl w:ilvl="7" w:tplc="36FA99C6">
      <w:start w:val="1"/>
      <w:numFmt w:val="bullet"/>
      <w:lvlText w:val=""/>
      <w:lvlJc w:val="left"/>
      <w:pPr>
        <w:ind w:left="720" w:hanging="360"/>
      </w:pPr>
      <w:rPr>
        <w:rFonts w:ascii="Symbol" w:hAnsi="Symbol"/>
      </w:rPr>
    </w:lvl>
    <w:lvl w:ilvl="8" w:tplc="B0902B68">
      <w:start w:val="1"/>
      <w:numFmt w:val="bullet"/>
      <w:lvlText w:val=""/>
      <w:lvlJc w:val="left"/>
      <w:pPr>
        <w:ind w:left="720" w:hanging="360"/>
      </w:pPr>
      <w:rPr>
        <w:rFonts w:ascii="Symbol" w:hAnsi="Symbol"/>
      </w:rPr>
    </w:lvl>
  </w:abstractNum>
  <w:abstractNum w:abstractNumId="19" w15:restartNumberingAfterBreak="0">
    <w:nsid w:val="39B644C4"/>
    <w:multiLevelType w:val="hybridMultilevel"/>
    <w:tmpl w:val="C6D0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21496F"/>
    <w:multiLevelType w:val="hybridMultilevel"/>
    <w:tmpl w:val="E30853A0"/>
    <w:lvl w:ilvl="0" w:tplc="968C1CF8">
      <w:start w:val="1"/>
      <w:numFmt w:val="bullet"/>
      <w:lvlText w:val=""/>
      <w:lvlJc w:val="left"/>
      <w:pPr>
        <w:ind w:left="720" w:hanging="360"/>
      </w:pPr>
      <w:rPr>
        <w:rFonts w:ascii="Symbol" w:hAnsi="Symbol"/>
      </w:rPr>
    </w:lvl>
    <w:lvl w:ilvl="1" w:tplc="C1986A9A">
      <w:start w:val="1"/>
      <w:numFmt w:val="bullet"/>
      <w:lvlText w:val=""/>
      <w:lvlJc w:val="left"/>
      <w:pPr>
        <w:ind w:left="720" w:hanging="360"/>
      </w:pPr>
      <w:rPr>
        <w:rFonts w:ascii="Symbol" w:hAnsi="Symbol"/>
      </w:rPr>
    </w:lvl>
    <w:lvl w:ilvl="2" w:tplc="22A693D4">
      <w:start w:val="1"/>
      <w:numFmt w:val="bullet"/>
      <w:lvlText w:val=""/>
      <w:lvlJc w:val="left"/>
      <w:pPr>
        <w:ind w:left="720" w:hanging="360"/>
      </w:pPr>
      <w:rPr>
        <w:rFonts w:ascii="Symbol" w:hAnsi="Symbol"/>
      </w:rPr>
    </w:lvl>
    <w:lvl w:ilvl="3" w:tplc="CE1EF60E">
      <w:start w:val="1"/>
      <w:numFmt w:val="bullet"/>
      <w:lvlText w:val=""/>
      <w:lvlJc w:val="left"/>
      <w:pPr>
        <w:ind w:left="720" w:hanging="360"/>
      </w:pPr>
      <w:rPr>
        <w:rFonts w:ascii="Symbol" w:hAnsi="Symbol"/>
      </w:rPr>
    </w:lvl>
    <w:lvl w:ilvl="4" w:tplc="FD60D7E6">
      <w:start w:val="1"/>
      <w:numFmt w:val="bullet"/>
      <w:lvlText w:val=""/>
      <w:lvlJc w:val="left"/>
      <w:pPr>
        <w:ind w:left="720" w:hanging="360"/>
      </w:pPr>
      <w:rPr>
        <w:rFonts w:ascii="Symbol" w:hAnsi="Symbol"/>
      </w:rPr>
    </w:lvl>
    <w:lvl w:ilvl="5" w:tplc="53D6CDA2">
      <w:start w:val="1"/>
      <w:numFmt w:val="bullet"/>
      <w:lvlText w:val=""/>
      <w:lvlJc w:val="left"/>
      <w:pPr>
        <w:ind w:left="720" w:hanging="360"/>
      </w:pPr>
      <w:rPr>
        <w:rFonts w:ascii="Symbol" w:hAnsi="Symbol"/>
      </w:rPr>
    </w:lvl>
    <w:lvl w:ilvl="6" w:tplc="728E128C">
      <w:start w:val="1"/>
      <w:numFmt w:val="bullet"/>
      <w:lvlText w:val=""/>
      <w:lvlJc w:val="left"/>
      <w:pPr>
        <w:ind w:left="720" w:hanging="360"/>
      </w:pPr>
      <w:rPr>
        <w:rFonts w:ascii="Symbol" w:hAnsi="Symbol"/>
      </w:rPr>
    </w:lvl>
    <w:lvl w:ilvl="7" w:tplc="EADA67A4">
      <w:start w:val="1"/>
      <w:numFmt w:val="bullet"/>
      <w:lvlText w:val=""/>
      <w:lvlJc w:val="left"/>
      <w:pPr>
        <w:ind w:left="720" w:hanging="360"/>
      </w:pPr>
      <w:rPr>
        <w:rFonts w:ascii="Symbol" w:hAnsi="Symbol"/>
      </w:rPr>
    </w:lvl>
    <w:lvl w:ilvl="8" w:tplc="7A70BEBC">
      <w:start w:val="1"/>
      <w:numFmt w:val="bullet"/>
      <w:lvlText w:val=""/>
      <w:lvlJc w:val="left"/>
      <w:pPr>
        <w:ind w:left="720" w:hanging="360"/>
      </w:pPr>
      <w:rPr>
        <w:rFonts w:ascii="Symbol" w:hAnsi="Symbol"/>
      </w:rPr>
    </w:lvl>
  </w:abstractNum>
  <w:abstractNum w:abstractNumId="21" w15:restartNumberingAfterBreak="0">
    <w:nsid w:val="3FB11B06"/>
    <w:multiLevelType w:val="hybridMultilevel"/>
    <w:tmpl w:val="E32216DC"/>
    <w:lvl w:ilvl="0" w:tplc="701C4526">
      <w:start w:val="1"/>
      <w:numFmt w:val="bullet"/>
      <w:lvlText w:val=""/>
      <w:lvlJc w:val="left"/>
      <w:pPr>
        <w:ind w:left="720" w:hanging="360"/>
      </w:pPr>
      <w:rPr>
        <w:rFonts w:ascii="Symbol" w:hAnsi="Symbol"/>
      </w:rPr>
    </w:lvl>
    <w:lvl w:ilvl="1" w:tplc="49C6A486">
      <w:start w:val="1"/>
      <w:numFmt w:val="bullet"/>
      <w:lvlText w:val=""/>
      <w:lvlJc w:val="left"/>
      <w:pPr>
        <w:ind w:left="720" w:hanging="360"/>
      </w:pPr>
      <w:rPr>
        <w:rFonts w:ascii="Symbol" w:hAnsi="Symbol"/>
      </w:rPr>
    </w:lvl>
    <w:lvl w:ilvl="2" w:tplc="14A20B28">
      <w:start w:val="1"/>
      <w:numFmt w:val="bullet"/>
      <w:lvlText w:val=""/>
      <w:lvlJc w:val="left"/>
      <w:pPr>
        <w:ind w:left="720" w:hanging="360"/>
      </w:pPr>
      <w:rPr>
        <w:rFonts w:ascii="Symbol" w:hAnsi="Symbol"/>
      </w:rPr>
    </w:lvl>
    <w:lvl w:ilvl="3" w:tplc="661A5780">
      <w:start w:val="1"/>
      <w:numFmt w:val="bullet"/>
      <w:lvlText w:val=""/>
      <w:lvlJc w:val="left"/>
      <w:pPr>
        <w:ind w:left="720" w:hanging="360"/>
      </w:pPr>
      <w:rPr>
        <w:rFonts w:ascii="Symbol" w:hAnsi="Symbol"/>
      </w:rPr>
    </w:lvl>
    <w:lvl w:ilvl="4" w:tplc="1E3C662C">
      <w:start w:val="1"/>
      <w:numFmt w:val="bullet"/>
      <w:lvlText w:val=""/>
      <w:lvlJc w:val="left"/>
      <w:pPr>
        <w:ind w:left="720" w:hanging="360"/>
      </w:pPr>
      <w:rPr>
        <w:rFonts w:ascii="Symbol" w:hAnsi="Symbol"/>
      </w:rPr>
    </w:lvl>
    <w:lvl w:ilvl="5" w:tplc="171CEAFE">
      <w:start w:val="1"/>
      <w:numFmt w:val="bullet"/>
      <w:lvlText w:val=""/>
      <w:lvlJc w:val="left"/>
      <w:pPr>
        <w:ind w:left="720" w:hanging="360"/>
      </w:pPr>
      <w:rPr>
        <w:rFonts w:ascii="Symbol" w:hAnsi="Symbol"/>
      </w:rPr>
    </w:lvl>
    <w:lvl w:ilvl="6" w:tplc="9AD2D404">
      <w:start w:val="1"/>
      <w:numFmt w:val="bullet"/>
      <w:lvlText w:val=""/>
      <w:lvlJc w:val="left"/>
      <w:pPr>
        <w:ind w:left="720" w:hanging="360"/>
      </w:pPr>
      <w:rPr>
        <w:rFonts w:ascii="Symbol" w:hAnsi="Symbol"/>
      </w:rPr>
    </w:lvl>
    <w:lvl w:ilvl="7" w:tplc="220CA6E0">
      <w:start w:val="1"/>
      <w:numFmt w:val="bullet"/>
      <w:lvlText w:val=""/>
      <w:lvlJc w:val="left"/>
      <w:pPr>
        <w:ind w:left="720" w:hanging="360"/>
      </w:pPr>
      <w:rPr>
        <w:rFonts w:ascii="Symbol" w:hAnsi="Symbol"/>
      </w:rPr>
    </w:lvl>
    <w:lvl w:ilvl="8" w:tplc="6156A6F6">
      <w:start w:val="1"/>
      <w:numFmt w:val="bullet"/>
      <w:lvlText w:val=""/>
      <w:lvlJc w:val="left"/>
      <w:pPr>
        <w:ind w:left="720" w:hanging="360"/>
      </w:pPr>
      <w:rPr>
        <w:rFonts w:ascii="Symbol" w:hAnsi="Symbol"/>
      </w:rPr>
    </w:lvl>
  </w:abstractNum>
  <w:abstractNum w:abstractNumId="22" w15:restartNumberingAfterBreak="0">
    <w:nsid w:val="463F1750"/>
    <w:multiLevelType w:val="hybridMultilevel"/>
    <w:tmpl w:val="129ADE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F2C23A3"/>
    <w:multiLevelType w:val="hybridMultilevel"/>
    <w:tmpl w:val="C2304C88"/>
    <w:lvl w:ilvl="0" w:tplc="7D443EDE">
      <w:start w:val="1"/>
      <w:numFmt w:val="bullet"/>
      <w:lvlText w:val=""/>
      <w:lvlJc w:val="left"/>
      <w:pPr>
        <w:ind w:left="720" w:hanging="360"/>
      </w:pPr>
      <w:rPr>
        <w:rFonts w:ascii="Symbol" w:hAnsi="Symbol"/>
      </w:rPr>
    </w:lvl>
    <w:lvl w:ilvl="1" w:tplc="3022E872">
      <w:start w:val="1"/>
      <w:numFmt w:val="bullet"/>
      <w:lvlText w:val=""/>
      <w:lvlJc w:val="left"/>
      <w:pPr>
        <w:ind w:left="720" w:hanging="360"/>
      </w:pPr>
      <w:rPr>
        <w:rFonts w:ascii="Symbol" w:hAnsi="Symbol"/>
      </w:rPr>
    </w:lvl>
    <w:lvl w:ilvl="2" w:tplc="23DC1632">
      <w:start w:val="1"/>
      <w:numFmt w:val="bullet"/>
      <w:lvlText w:val=""/>
      <w:lvlJc w:val="left"/>
      <w:pPr>
        <w:ind w:left="720" w:hanging="360"/>
      </w:pPr>
      <w:rPr>
        <w:rFonts w:ascii="Symbol" w:hAnsi="Symbol"/>
      </w:rPr>
    </w:lvl>
    <w:lvl w:ilvl="3" w:tplc="BD388C78">
      <w:start w:val="1"/>
      <w:numFmt w:val="bullet"/>
      <w:lvlText w:val=""/>
      <w:lvlJc w:val="left"/>
      <w:pPr>
        <w:ind w:left="720" w:hanging="360"/>
      </w:pPr>
      <w:rPr>
        <w:rFonts w:ascii="Symbol" w:hAnsi="Symbol"/>
      </w:rPr>
    </w:lvl>
    <w:lvl w:ilvl="4" w:tplc="4734275A">
      <w:start w:val="1"/>
      <w:numFmt w:val="bullet"/>
      <w:lvlText w:val=""/>
      <w:lvlJc w:val="left"/>
      <w:pPr>
        <w:ind w:left="720" w:hanging="360"/>
      </w:pPr>
      <w:rPr>
        <w:rFonts w:ascii="Symbol" w:hAnsi="Symbol"/>
      </w:rPr>
    </w:lvl>
    <w:lvl w:ilvl="5" w:tplc="21646D08">
      <w:start w:val="1"/>
      <w:numFmt w:val="bullet"/>
      <w:lvlText w:val=""/>
      <w:lvlJc w:val="left"/>
      <w:pPr>
        <w:ind w:left="720" w:hanging="360"/>
      </w:pPr>
      <w:rPr>
        <w:rFonts w:ascii="Symbol" w:hAnsi="Symbol"/>
      </w:rPr>
    </w:lvl>
    <w:lvl w:ilvl="6" w:tplc="51D6E268">
      <w:start w:val="1"/>
      <w:numFmt w:val="bullet"/>
      <w:lvlText w:val=""/>
      <w:lvlJc w:val="left"/>
      <w:pPr>
        <w:ind w:left="720" w:hanging="360"/>
      </w:pPr>
      <w:rPr>
        <w:rFonts w:ascii="Symbol" w:hAnsi="Symbol"/>
      </w:rPr>
    </w:lvl>
    <w:lvl w:ilvl="7" w:tplc="4538CF00">
      <w:start w:val="1"/>
      <w:numFmt w:val="bullet"/>
      <w:lvlText w:val=""/>
      <w:lvlJc w:val="left"/>
      <w:pPr>
        <w:ind w:left="720" w:hanging="360"/>
      </w:pPr>
      <w:rPr>
        <w:rFonts w:ascii="Symbol" w:hAnsi="Symbol"/>
      </w:rPr>
    </w:lvl>
    <w:lvl w:ilvl="8" w:tplc="BED8F508">
      <w:start w:val="1"/>
      <w:numFmt w:val="bullet"/>
      <w:lvlText w:val=""/>
      <w:lvlJc w:val="left"/>
      <w:pPr>
        <w:ind w:left="720" w:hanging="360"/>
      </w:pPr>
      <w:rPr>
        <w:rFonts w:ascii="Symbol" w:hAnsi="Symbol"/>
      </w:rPr>
    </w:lvl>
  </w:abstractNum>
  <w:abstractNum w:abstractNumId="25" w15:restartNumberingAfterBreak="0">
    <w:nsid w:val="5205523E"/>
    <w:multiLevelType w:val="hybridMultilevel"/>
    <w:tmpl w:val="A022B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693D5F"/>
    <w:multiLevelType w:val="hybridMultilevel"/>
    <w:tmpl w:val="5D60B974"/>
    <w:lvl w:ilvl="0" w:tplc="34368DEC">
      <w:start w:val="1"/>
      <w:numFmt w:val="bullet"/>
      <w:lvlText w:val=""/>
      <w:lvlJc w:val="left"/>
      <w:pPr>
        <w:ind w:left="720" w:hanging="360"/>
      </w:pPr>
      <w:rPr>
        <w:rFonts w:ascii="Symbol" w:hAnsi="Symbol"/>
      </w:rPr>
    </w:lvl>
    <w:lvl w:ilvl="1" w:tplc="1372553E">
      <w:start w:val="1"/>
      <w:numFmt w:val="bullet"/>
      <w:lvlText w:val=""/>
      <w:lvlJc w:val="left"/>
      <w:pPr>
        <w:ind w:left="720" w:hanging="360"/>
      </w:pPr>
      <w:rPr>
        <w:rFonts w:ascii="Symbol" w:hAnsi="Symbol"/>
      </w:rPr>
    </w:lvl>
    <w:lvl w:ilvl="2" w:tplc="B118741C">
      <w:start w:val="1"/>
      <w:numFmt w:val="bullet"/>
      <w:lvlText w:val=""/>
      <w:lvlJc w:val="left"/>
      <w:pPr>
        <w:ind w:left="720" w:hanging="360"/>
      </w:pPr>
      <w:rPr>
        <w:rFonts w:ascii="Symbol" w:hAnsi="Symbol"/>
      </w:rPr>
    </w:lvl>
    <w:lvl w:ilvl="3" w:tplc="F02E98DA">
      <w:start w:val="1"/>
      <w:numFmt w:val="bullet"/>
      <w:lvlText w:val=""/>
      <w:lvlJc w:val="left"/>
      <w:pPr>
        <w:ind w:left="720" w:hanging="360"/>
      </w:pPr>
      <w:rPr>
        <w:rFonts w:ascii="Symbol" w:hAnsi="Symbol"/>
      </w:rPr>
    </w:lvl>
    <w:lvl w:ilvl="4" w:tplc="6C16F096">
      <w:start w:val="1"/>
      <w:numFmt w:val="bullet"/>
      <w:lvlText w:val=""/>
      <w:lvlJc w:val="left"/>
      <w:pPr>
        <w:ind w:left="720" w:hanging="360"/>
      </w:pPr>
      <w:rPr>
        <w:rFonts w:ascii="Symbol" w:hAnsi="Symbol"/>
      </w:rPr>
    </w:lvl>
    <w:lvl w:ilvl="5" w:tplc="35566B82">
      <w:start w:val="1"/>
      <w:numFmt w:val="bullet"/>
      <w:lvlText w:val=""/>
      <w:lvlJc w:val="left"/>
      <w:pPr>
        <w:ind w:left="720" w:hanging="360"/>
      </w:pPr>
      <w:rPr>
        <w:rFonts w:ascii="Symbol" w:hAnsi="Symbol"/>
      </w:rPr>
    </w:lvl>
    <w:lvl w:ilvl="6" w:tplc="E528ADF6">
      <w:start w:val="1"/>
      <w:numFmt w:val="bullet"/>
      <w:lvlText w:val=""/>
      <w:lvlJc w:val="left"/>
      <w:pPr>
        <w:ind w:left="720" w:hanging="360"/>
      </w:pPr>
      <w:rPr>
        <w:rFonts w:ascii="Symbol" w:hAnsi="Symbol"/>
      </w:rPr>
    </w:lvl>
    <w:lvl w:ilvl="7" w:tplc="3976C942">
      <w:start w:val="1"/>
      <w:numFmt w:val="bullet"/>
      <w:lvlText w:val=""/>
      <w:lvlJc w:val="left"/>
      <w:pPr>
        <w:ind w:left="720" w:hanging="360"/>
      </w:pPr>
      <w:rPr>
        <w:rFonts w:ascii="Symbol" w:hAnsi="Symbol"/>
      </w:rPr>
    </w:lvl>
    <w:lvl w:ilvl="8" w:tplc="87CE6774">
      <w:start w:val="1"/>
      <w:numFmt w:val="bullet"/>
      <w:lvlText w:val=""/>
      <w:lvlJc w:val="left"/>
      <w:pPr>
        <w:ind w:left="720" w:hanging="360"/>
      </w:pPr>
      <w:rPr>
        <w:rFonts w:ascii="Symbol" w:hAnsi="Symbol"/>
      </w:rPr>
    </w:lvl>
  </w:abstractNum>
  <w:abstractNum w:abstractNumId="27" w15:restartNumberingAfterBreak="0">
    <w:nsid w:val="53AA597D"/>
    <w:multiLevelType w:val="hybridMultilevel"/>
    <w:tmpl w:val="34924BBC"/>
    <w:lvl w:ilvl="0" w:tplc="268C0AA2">
      <w:start w:val="1"/>
      <w:numFmt w:val="lowerRoman"/>
      <w:lvlText w:val="(%1)"/>
      <w:lvlJc w:val="left"/>
      <w:pPr>
        <w:ind w:left="720" w:hanging="360"/>
      </w:pPr>
    </w:lvl>
    <w:lvl w:ilvl="1" w:tplc="CF022688">
      <w:start w:val="1"/>
      <w:numFmt w:val="decimal"/>
      <w:lvlText w:val="%2."/>
      <w:lvlJc w:val="left"/>
      <w:pPr>
        <w:ind w:left="1800" w:hanging="72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D0C512C"/>
    <w:multiLevelType w:val="hybridMultilevel"/>
    <w:tmpl w:val="96386EEA"/>
    <w:lvl w:ilvl="0" w:tplc="6C768906">
      <w:start w:val="1"/>
      <w:numFmt w:val="bullet"/>
      <w:lvlText w:val=""/>
      <w:lvlJc w:val="left"/>
      <w:pPr>
        <w:ind w:left="720" w:hanging="360"/>
      </w:pPr>
      <w:rPr>
        <w:rFonts w:ascii="Symbol" w:hAnsi="Symbol"/>
      </w:rPr>
    </w:lvl>
    <w:lvl w:ilvl="1" w:tplc="424835A6">
      <w:start w:val="1"/>
      <w:numFmt w:val="bullet"/>
      <w:lvlText w:val=""/>
      <w:lvlJc w:val="left"/>
      <w:pPr>
        <w:ind w:left="720" w:hanging="360"/>
      </w:pPr>
      <w:rPr>
        <w:rFonts w:ascii="Symbol" w:hAnsi="Symbol"/>
      </w:rPr>
    </w:lvl>
    <w:lvl w:ilvl="2" w:tplc="6FE04DF4">
      <w:start w:val="1"/>
      <w:numFmt w:val="bullet"/>
      <w:lvlText w:val=""/>
      <w:lvlJc w:val="left"/>
      <w:pPr>
        <w:ind w:left="720" w:hanging="360"/>
      </w:pPr>
      <w:rPr>
        <w:rFonts w:ascii="Symbol" w:hAnsi="Symbol"/>
      </w:rPr>
    </w:lvl>
    <w:lvl w:ilvl="3" w:tplc="DD76B326">
      <w:start w:val="1"/>
      <w:numFmt w:val="bullet"/>
      <w:lvlText w:val=""/>
      <w:lvlJc w:val="left"/>
      <w:pPr>
        <w:ind w:left="720" w:hanging="360"/>
      </w:pPr>
      <w:rPr>
        <w:rFonts w:ascii="Symbol" w:hAnsi="Symbol"/>
      </w:rPr>
    </w:lvl>
    <w:lvl w:ilvl="4" w:tplc="5CA82D4A">
      <w:start w:val="1"/>
      <w:numFmt w:val="bullet"/>
      <w:lvlText w:val=""/>
      <w:lvlJc w:val="left"/>
      <w:pPr>
        <w:ind w:left="720" w:hanging="360"/>
      </w:pPr>
      <w:rPr>
        <w:rFonts w:ascii="Symbol" w:hAnsi="Symbol"/>
      </w:rPr>
    </w:lvl>
    <w:lvl w:ilvl="5" w:tplc="DCA41A62">
      <w:start w:val="1"/>
      <w:numFmt w:val="bullet"/>
      <w:lvlText w:val=""/>
      <w:lvlJc w:val="left"/>
      <w:pPr>
        <w:ind w:left="720" w:hanging="360"/>
      </w:pPr>
      <w:rPr>
        <w:rFonts w:ascii="Symbol" w:hAnsi="Symbol"/>
      </w:rPr>
    </w:lvl>
    <w:lvl w:ilvl="6" w:tplc="A70AB6EA">
      <w:start w:val="1"/>
      <w:numFmt w:val="bullet"/>
      <w:lvlText w:val=""/>
      <w:lvlJc w:val="left"/>
      <w:pPr>
        <w:ind w:left="720" w:hanging="360"/>
      </w:pPr>
      <w:rPr>
        <w:rFonts w:ascii="Symbol" w:hAnsi="Symbol"/>
      </w:rPr>
    </w:lvl>
    <w:lvl w:ilvl="7" w:tplc="E6E20ADA">
      <w:start w:val="1"/>
      <w:numFmt w:val="bullet"/>
      <w:lvlText w:val=""/>
      <w:lvlJc w:val="left"/>
      <w:pPr>
        <w:ind w:left="720" w:hanging="360"/>
      </w:pPr>
      <w:rPr>
        <w:rFonts w:ascii="Symbol" w:hAnsi="Symbol"/>
      </w:rPr>
    </w:lvl>
    <w:lvl w:ilvl="8" w:tplc="D00CE350">
      <w:start w:val="1"/>
      <w:numFmt w:val="bullet"/>
      <w:lvlText w:val=""/>
      <w:lvlJc w:val="left"/>
      <w:pPr>
        <w:ind w:left="720" w:hanging="360"/>
      </w:pPr>
      <w:rPr>
        <w:rFonts w:ascii="Symbol" w:hAnsi="Symbol"/>
      </w:rPr>
    </w:lvl>
  </w:abstractNum>
  <w:abstractNum w:abstractNumId="29" w15:restartNumberingAfterBreak="0">
    <w:nsid w:val="60A55ACD"/>
    <w:multiLevelType w:val="hybridMultilevel"/>
    <w:tmpl w:val="5A2EED56"/>
    <w:lvl w:ilvl="0" w:tplc="9DB6DBD4">
      <w:start w:val="1"/>
      <w:numFmt w:val="bullet"/>
      <w:lvlText w:val=""/>
      <w:lvlJc w:val="left"/>
      <w:pPr>
        <w:ind w:left="720" w:hanging="360"/>
      </w:pPr>
      <w:rPr>
        <w:rFonts w:ascii="Symbol" w:hAnsi="Symbol"/>
      </w:rPr>
    </w:lvl>
    <w:lvl w:ilvl="1" w:tplc="E5160DCC">
      <w:start w:val="1"/>
      <w:numFmt w:val="bullet"/>
      <w:lvlText w:val=""/>
      <w:lvlJc w:val="left"/>
      <w:pPr>
        <w:ind w:left="720" w:hanging="360"/>
      </w:pPr>
      <w:rPr>
        <w:rFonts w:ascii="Symbol" w:hAnsi="Symbol"/>
      </w:rPr>
    </w:lvl>
    <w:lvl w:ilvl="2" w:tplc="B79098A2">
      <w:start w:val="1"/>
      <w:numFmt w:val="bullet"/>
      <w:lvlText w:val=""/>
      <w:lvlJc w:val="left"/>
      <w:pPr>
        <w:ind w:left="720" w:hanging="360"/>
      </w:pPr>
      <w:rPr>
        <w:rFonts w:ascii="Symbol" w:hAnsi="Symbol"/>
      </w:rPr>
    </w:lvl>
    <w:lvl w:ilvl="3" w:tplc="0102F112">
      <w:start w:val="1"/>
      <w:numFmt w:val="bullet"/>
      <w:lvlText w:val=""/>
      <w:lvlJc w:val="left"/>
      <w:pPr>
        <w:ind w:left="720" w:hanging="360"/>
      </w:pPr>
      <w:rPr>
        <w:rFonts w:ascii="Symbol" w:hAnsi="Symbol"/>
      </w:rPr>
    </w:lvl>
    <w:lvl w:ilvl="4" w:tplc="E1D8B3EC">
      <w:start w:val="1"/>
      <w:numFmt w:val="bullet"/>
      <w:lvlText w:val=""/>
      <w:lvlJc w:val="left"/>
      <w:pPr>
        <w:ind w:left="720" w:hanging="360"/>
      </w:pPr>
      <w:rPr>
        <w:rFonts w:ascii="Symbol" w:hAnsi="Symbol"/>
      </w:rPr>
    </w:lvl>
    <w:lvl w:ilvl="5" w:tplc="E0B054EA">
      <w:start w:val="1"/>
      <w:numFmt w:val="bullet"/>
      <w:lvlText w:val=""/>
      <w:lvlJc w:val="left"/>
      <w:pPr>
        <w:ind w:left="720" w:hanging="360"/>
      </w:pPr>
      <w:rPr>
        <w:rFonts w:ascii="Symbol" w:hAnsi="Symbol"/>
      </w:rPr>
    </w:lvl>
    <w:lvl w:ilvl="6" w:tplc="F9783CE2">
      <w:start w:val="1"/>
      <w:numFmt w:val="bullet"/>
      <w:lvlText w:val=""/>
      <w:lvlJc w:val="left"/>
      <w:pPr>
        <w:ind w:left="720" w:hanging="360"/>
      </w:pPr>
      <w:rPr>
        <w:rFonts w:ascii="Symbol" w:hAnsi="Symbol"/>
      </w:rPr>
    </w:lvl>
    <w:lvl w:ilvl="7" w:tplc="3A94A95E">
      <w:start w:val="1"/>
      <w:numFmt w:val="bullet"/>
      <w:lvlText w:val=""/>
      <w:lvlJc w:val="left"/>
      <w:pPr>
        <w:ind w:left="720" w:hanging="360"/>
      </w:pPr>
      <w:rPr>
        <w:rFonts w:ascii="Symbol" w:hAnsi="Symbol"/>
      </w:rPr>
    </w:lvl>
    <w:lvl w:ilvl="8" w:tplc="2F1839B8">
      <w:start w:val="1"/>
      <w:numFmt w:val="bullet"/>
      <w:lvlText w:val=""/>
      <w:lvlJc w:val="left"/>
      <w:pPr>
        <w:ind w:left="720" w:hanging="360"/>
      </w:pPr>
      <w:rPr>
        <w:rFonts w:ascii="Symbol" w:hAnsi="Symbol"/>
      </w:rPr>
    </w:lvl>
  </w:abstractNum>
  <w:abstractNum w:abstractNumId="30" w15:restartNumberingAfterBreak="0">
    <w:nsid w:val="674167D8"/>
    <w:multiLevelType w:val="hybridMultilevel"/>
    <w:tmpl w:val="3684DDC0"/>
    <w:lvl w:ilvl="0" w:tplc="CC101BC4">
      <w:start w:val="1"/>
      <w:numFmt w:val="bullet"/>
      <w:lvlText w:val=""/>
      <w:lvlJc w:val="left"/>
      <w:pPr>
        <w:ind w:left="720" w:hanging="360"/>
      </w:pPr>
      <w:rPr>
        <w:rFonts w:ascii="Symbol" w:hAnsi="Symbol"/>
      </w:rPr>
    </w:lvl>
    <w:lvl w:ilvl="1" w:tplc="7C8A5972">
      <w:start w:val="1"/>
      <w:numFmt w:val="bullet"/>
      <w:lvlText w:val=""/>
      <w:lvlJc w:val="left"/>
      <w:pPr>
        <w:ind w:left="720" w:hanging="360"/>
      </w:pPr>
      <w:rPr>
        <w:rFonts w:ascii="Symbol" w:hAnsi="Symbol"/>
      </w:rPr>
    </w:lvl>
    <w:lvl w:ilvl="2" w:tplc="F3A24B4A">
      <w:start w:val="1"/>
      <w:numFmt w:val="bullet"/>
      <w:lvlText w:val=""/>
      <w:lvlJc w:val="left"/>
      <w:pPr>
        <w:ind w:left="720" w:hanging="360"/>
      </w:pPr>
      <w:rPr>
        <w:rFonts w:ascii="Symbol" w:hAnsi="Symbol"/>
      </w:rPr>
    </w:lvl>
    <w:lvl w:ilvl="3" w:tplc="A53C8EA0">
      <w:start w:val="1"/>
      <w:numFmt w:val="bullet"/>
      <w:lvlText w:val=""/>
      <w:lvlJc w:val="left"/>
      <w:pPr>
        <w:ind w:left="720" w:hanging="360"/>
      </w:pPr>
      <w:rPr>
        <w:rFonts w:ascii="Symbol" w:hAnsi="Symbol"/>
      </w:rPr>
    </w:lvl>
    <w:lvl w:ilvl="4" w:tplc="1820F352">
      <w:start w:val="1"/>
      <w:numFmt w:val="bullet"/>
      <w:lvlText w:val=""/>
      <w:lvlJc w:val="left"/>
      <w:pPr>
        <w:ind w:left="720" w:hanging="360"/>
      </w:pPr>
      <w:rPr>
        <w:rFonts w:ascii="Symbol" w:hAnsi="Symbol"/>
      </w:rPr>
    </w:lvl>
    <w:lvl w:ilvl="5" w:tplc="49F0125E">
      <w:start w:val="1"/>
      <w:numFmt w:val="bullet"/>
      <w:lvlText w:val=""/>
      <w:lvlJc w:val="left"/>
      <w:pPr>
        <w:ind w:left="720" w:hanging="360"/>
      </w:pPr>
      <w:rPr>
        <w:rFonts w:ascii="Symbol" w:hAnsi="Symbol"/>
      </w:rPr>
    </w:lvl>
    <w:lvl w:ilvl="6" w:tplc="F196870C">
      <w:start w:val="1"/>
      <w:numFmt w:val="bullet"/>
      <w:lvlText w:val=""/>
      <w:lvlJc w:val="left"/>
      <w:pPr>
        <w:ind w:left="720" w:hanging="360"/>
      </w:pPr>
      <w:rPr>
        <w:rFonts w:ascii="Symbol" w:hAnsi="Symbol"/>
      </w:rPr>
    </w:lvl>
    <w:lvl w:ilvl="7" w:tplc="39CA6E76">
      <w:start w:val="1"/>
      <w:numFmt w:val="bullet"/>
      <w:lvlText w:val=""/>
      <w:lvlJc w:val="left"/>
      <w:pPr>
        <w:ind w:left="720" w:hanging="360"/>
      </w:pPr>
      <w:rPr>
        <w:rFonts w:ascii="Symbol" w:hAnsi="Symbol"/>
      </w:rPr>
    </w:lvl>
    <w:lvl w:ilvl="8" w:tplc="47FE5B5C">
      <w:start w:val="1"/>
      <w:numFmt w:val="bullet"/>
      <w:lvlText w:val=""/>
      <w:lvlJc w:val="left"/>
      <w:pPr>
        <w:ind w:left="720" w:hanging="360"/>
      </w:pPr>
      <w:rPr>
        <w:rFonts w:ascii="Symbol" w:hAnsi="Symbol"/>
      </w:rPr>
    </w:lvl>
  </w:abstractNum>
  <w:abstractNum w:abstractNumId="31" w15:restartNumberingAfterBreak="0">
    <w:nsid w:val="6C0C5332"/>
    <w:multiLevelType w:val="hybridMultilevel"/>
    <w:tmpl w:val="CED44DAA"/>
    <w:lvl w:ilvl="0" w:tplc="CB3A248C">
      <w:start w:val="1"/>
      <w:numFmt w:val="bullet"/>
      <w:lvlText w:val=""/>
      <w:lvlJc w:val="left"/>
      <w:pPr>
        <w:ind w:left="720" w:hanging="360"/>
      </w:pPr>
      <w:rPr>
        <w:rFonts w:ascii="Symbol" w:hAnsi="Symbol"/>
      </w:rPr>
    </w:lvl>
    <w:lvl w:ilvl="1" w:tplc="8770468E">
      <w:start w:val="1"/>
      <w:numFmt w:val="bullet"/>
      <w:lvlText w:val=""/>
      <w:lvlJc w:val="left"/>
      <w:pPr>
        <w:ind w:left="720" w:hanging="360"/>
      </w:pPr>
      <w:rPr>
        <w:rFonts w:ascii="Symbol" w:hAnsi="Symbol"/>
      </w:rPr>
    </w:lvl>
    <w:lvl w:ilvl="2" w:tplc="4BB6F786">
      <w:start w:val="1"/>
      <w:numFmt w:val="bullet"/>
      <w:lvlText w:val=""/>
      <w:lvlJc w:val="left"/>
      <w:pPr>
        <w:ind w:left="720" w:hanging="360"/>
      </w:pPr>
      <w:rPr>
        <w:rFonts w:ascii="Symbol" w:hAnsi="Symbol"/>
      </w:rPr>
    </w:lvl>
    <w:lvl w:ilvl="3" w:tplc="6956A156">
      <w:start w:val="1"/>
      <w:numFmt w:val="bullet"/>
      <w:lvlText w:val=""/>
      <w:lvlJc w:val="left"/>
      <w:pPr>
        <w:ind w:left="720" w:hanging="360"/>
      </w:pPr>
      <w:rPr>
        <w:rFonts w:ascii="Symbol" w:hAnsi="Symbol"/>
      </w:rPr>
    </w:lvl>
    <w:lvl w:ilvl="4" w:tplc="E5324556">
      <w:start w:val="1"/>
      <w:numFmt w:val="bullet"/>
      <w:lvlText w:val=""/>
      <w:lvlJc w:val="left"/>
      <w:pPr>
        <w:ind w:left="720" w:hanging="360"/>
      </w:pPr>
      <w:rPr>
        <w:rFonts w:ascii="Symbol" w:hAnsi="Symbol"/>
      </w:rPr>
    </w:lvl>
    <w:lvl w:ilvl="5" w:tplc="7F2EA876">
      <w:start w:val="1"/>
      <w:numFmt w:val="bullet"/>
      <w:lvlText w:val=""/>
      <w:lvlJc w:val="left"/>
      <w:pPr>
        <w:ind w:left="720" w:hanging="360"/>
      </w:pPr>
      <w:rPr>
        <w:rFonts w:ascii="Symbol" w:hAnsi="Symbol"/>
      </w:rPr>
    </w:lvl>
    <w:lvl w:ilvl="6" w:tplc="56E05584">
      <w:start w:val="1"/>
      <w:numFmt w:val="bullet"/>
      <w:lvlText w:val=""/>
      <w:lvlJc w:val="left"/>
      <w:pPr>
        <w:ind w:left="720" w:hanging="360"/>
      </w:pPr>
      <w:rPr>
        <w:rFonts w:ascii="Symbol" w:hAnsi="Symbol"/>
      </w:rPr>
    </w:lvl>
    <w:lvl w:ilvl="7" w:tplc="1646E534">
      <w:start w:val="1"/>
      <w:numFmt w:val="bullet"/>
      <w:lvlText w:val=""/>
      <w:lvlJc w:val="left"/>
      <w:pPr>
        <w:ind w:left="720" w:hanging="360"/>
      </w:pPr>
      <w:rPr>
        <w:rFonts w:ascii="Symbol" w:hAnsi="Symbol"/>
      </w:rPr>
    </w:lvl>
    <w:lvl w:ilvl="8" w:tplc="9ABE0C68">
      <w:start w:val="1"/>
      <w:numFmt w:val="bullet"/>
      <w:lvlText w:val=""/>
      <w:lvlJc w:val="left"/>
      <w:pPr>
        <w:ind w:left="720" w:hanging="360"/>
      </w:pPr>
      <w:rPr>
        <w:rFonts w:ascii="Symbol" w:hAnsi="Symbol"/>
      </w:rPr>
    </w:lvl>
  </w:abstractNum>
  <w:abstractNum w:abstractNumId="32" w15:restartNumberingAfterBreak="0">
    <w:nsid w:val="6CA55080"/>
    <w:multiLevelType w:val="hybridMultilevel"/>
    <w:tmpl w:val="05EC9FC4"/>
    <w:lvl w:ilvl="0" w:tplc="92AA2C58">
      <w:start w:val="1"/>
      <w:numFmt w:val="bullet"/>
      <w:lvlText w:val=""/>
      <w:lvlJc w:val="left"/>
      <w:pPr>
        <w:ind w:left="720" w:hanging="360"/>
      </w:pPr>
      <w:rPr>
        <w:rFonts w:ascii="Symbol" w:hAnsi="Symbol"/>
      </w:rPr>
    </w:lvl>
    <w:lvl w:ilvl="1" w:tplc="84006C66">
      <w:start w:val="1"/>
      <w:numFmt w:val="bullet"/>
      <w:lvlText w:val=""/>
      <w:lvlJc w:val="left"/>
      <w:pPr>
        <w:ind w:left="720" w:hanging="360"/>
      </w:pPr>
      <w:rPr>
        <w:rFonts w:ascii="Symbol" w:hAnsi="Symbol"/>
      </w:rPr>
    </w:lvl>
    <w:lvl w:ilvl="2" w:tplc="E16A454C">
      <w:start w:val="1"/>
      <w:numFmt w:val="bullet"/>
      <w:lvlText w:val=""/>
      <w:lvlJc w:val="left"/>
      <w:pPr>
        <w:ind w:left="720" w:hanging="360"/>
      </w:pPr>
      <w:rPr>
        <w:rFonts w:ascii="Symbol" w:hAnsi="Symbol"/>
      </w:rPr>
    </w:lvl>
    <w:lvl w:ilvl="3" w:tplc="F970D4AE">
      <w:start w:val="1"/>
      <w:numFmt w:val="bullet"/>
      <w:lvlText w:val=""/>
      <w:lvlJc w:val="left"/>
      <w:pPr>
        <w:ind w:left="720" w:hanging="360"/>
      </w:pPr>
      <w:rPr>
        <w:rFonts w:ascii="Symbol" w:hAnsi="Symbol"/>
      </w:rPr>
    </w:lvl>
    <w:lvl w:ilvl="4" w:tplc="B338E698">
      <w:start w:val="1"/>
      <w:numFmt w:val="bullet"/>
      <w:lvlText w:val=""/>
      <w:lvlJc w:val="left"/>
      <w:pPr>
        <w:ind w:left="720" w:hanging="360"/>
      </w:pPr>
      <w:rPr>
        <w:rFonts w:ascii="Symbol" w:hAnsi="Symbol"/>
      </w:rPr>
    </w:lvl>
    <w:lvl w:ilvl="5" w:tplc="0BC6E5EA">
      <w:start w:val="1"/>
      <w:numFmt w:val="bullet"/>
      <w:lvlText w:val=""/>
      <w:lvlJc w:val="left"/>
      <w:pPr>
        <w:ind w:left="720" w:hanging="360"/>
      </w:pPr>
      <w:rPr>
        <w:rFonts w:ascii="Symbol" w:hAnsi="Symbol"/>
      </w:rPr>
    </w:lvl>
    <w:lvl w:ilvl="6" w:tplc="C0168E8C">
      <w:start w:val="1"/>
      <w:numFmt w:val="bullet"/>
      <w:lvlText w:val=""/>
      <w:lvlJc w:val="left"/>
      <w:pPr>
        <w:ind w:left="720" w:hanging="360"/>
      </w:pPr>
      <w:rPr>
        <w:rFonts w:ascii="Symbol" w:hAnsi="Symbol"/>
      </w:rPr>
    </w:lvl>
    <w:lvl w:ilvl="7" w:tplc="FA9837BE">
      <w:start w:val="1"/>
      <w:numFmt w:val="bullet"/>
      <w:lvlText w:val=""/>
      <w:lvlJc w:val="left"/>
      <w:pPr>
        <w:ind w:left="720" w:hanging="360"/>
      </w:pPr>
      <w:rPr>
        <w:rFonts w:ascii="Symbol" w:hAnsi="Symbol"/>
      </w:rPr>
    </w:lvl>
    <w:lvl w:ilvl="8" w:tplc="C00AF96E">
      <w:start w:val="1"/>
      <w:numFmt w:val="bullet"/>
      <w:lvlText w:val=""/>
      <w:lvlJc w:val="left"/>
      <w:pPr>
        <w:ind w:left="720" w:hanging="360"/>
      </w:pPr>
      <w:rPr>
        <w:rFonts w:ascii="Symbol" w:hAnsi="Symbol"/>
      </w:rPr>
    </w:lvl>
  </w:abstractNum>
  <w:abstractNum w:abstractNumId="33" w15:restartNumberingAfterBreak="0">
    <w:nsid w:val="6CC34AF6"/>
    <w:multiLevelType w:val="hybridMultilevel"/>
    <w:tmpl w:val="EAC04F50"/>
    <w:lvl w:ilvl="0" w:tplc="18967E1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FAE2E0B"/>
    <w:multiLevelType w:val="hybridMultilevel"/>
    <w:tmpl w:val="0CBAA0C0"/>
    <w:lvl w:ilvl="0" w:tplc="62E68466">
      <w:start w:val="1"/>
      <w:numFmt w:val="bullet"/>
      <w:lvlText w:val=""/>
      <w:lvlJc w:val="left"/>
      <w:pPr>
        <w:ind w:left="720" w:hanging="360"/>
      </w:pPr>
      <w:rPr>
        <w:rFonts w:ascii="Symbol" w:hAnsi="Symbol"/>
      </w:rPr>
    </w:lvl>
    <w:lvl w:ilvl="1" w:tplc="B024D812">
      <w:start w:val="1"/>
      <w:numFmt w:val="bullet"/>
      <w:lvlText w:val=""/>
      <w:lvlJc w:val="left"/>
      <w:pPr>
        <w:ind w:left="720" w:hanging="360"/>
      </w:pPr>
      <w:rPr>
        <w:rFonts w:ascii="Symbol" w:hAnsi="Symbol"/>
      </w:rPr>
    </w:lvl>
    <w:lvl w:ilvl="2" w:tplc="C194E574">
      <w:start w:val="1"/>
      <w:numFmt w:val="bullet"/>
      <w:lvlText w:val=""/>
      <w:lvlJc w:val="left"/>
      <w:pPr>
        <w:ind w:left="720" w:hanging="360"/>
      </w:pPr>
      <w:rPr>
        <w:rFonts w:ascii="Symbol" w:hAnsi="Symbol"/>
      </w:rPr>
    </w:lvl>
    <w:lvl w:ilvl="3" w:tplc="38848972">
      <w:start w:val="1"/>
      <w:numFmt w:val="bullet"/>
      <w:lvlText w:val=""/>
      <w:lvlJc w:val="left"/>
      <w:pPr>
        <w:ind w:left="720" w:hanging="360"/>
      </w:pPr>
      <w:rPr>
        <w:rFonts w:ascii="Symbol" w:hAnsi="Symbol"/>
      </w:rPr>
    </w:lvl>
    <w:lvl w:ilvl="4" w:tplc="821605CE">
      <w:start w:val="1"/>
      <w:numFmt w:val="bullet"/>
      <w:lvlText w:val=""/>
      <w:lvlJc w:val="left"/>
      <w:pPr>
        <w:ind w:left="720" w:hanging="360"/>
      </w:pPr>
      <w:rPr>
        <w:rFonts w:ascii="Symbol" w:hAnsi="Symbol"/>
      </w:rPr>
    </w:lvl>
    <w:lvl w:ilvl="5" w:tplc="FBDA8B58">
      <w:start w:val="1"/>
      <w:numFmt w:val="bullet"/>
      <w:lvlText w:val=""/>
      <w:lvlJc w:val="left"/>
      <w:pPr>
        <w:ind w:left="720" w:hanging="360"/>
      </w:pPr>
      <w:rPr>
        <w:rFonts w:ascii="Symbol" w:hAnsi="Symbol"/>
      </w:rPr>
    </w:lvl>
    <w:lvl w:ilvl="6" w:tplc="4906F022">
      <w:start w:val="1"/>
      <w:numFmt w:val="bullet"/>
      <w:lvlText w:val=""/>
      <w:lvlJc w:val="left"/>
      <w:pPr>
        <w:ind w:left="720" w:hanging="360"/>
      </w:pPr>
      <w:rPr>
        <w:rFonts w:ascii="Symbol" w:hAnsi="Symbol"/>
      </w:rPr>
    </w:lvl>
    <w:lvl w:ilvl="7" w:tplc="01403016">
      <w:start w:val="1"/>
      <w:numFmt w:val="bullet"/>
      <w:lvlText w:val=""/>
      <w:lvlJc w:val="left"/>
      <w:pPr>
        <w:ind w:left="720" w:hanging="360"/>
      </w:pPr>
      <w:rPr>
        <w:rFonts w:ascii="Symbol" w:hAnsi="Symbol"/>
      </w:rPr>
    </w:lvl>
    <w:lvl w:ilvl="8" w:tplc="34E0E378">
      <w:start w:val="1"/>
      <w:numFmt w:val="bullet"/>
      <w:lvlText w:val=""/>
      <w:lvlJc w:val="left"/>
      <w:pPr>
        <w:ind w:left="720" w:hanging="360"/>
      </w:pPr>
      <w:rPr>
        <w:rFonts w:ascii="Symbol" w:hAnsi="Symbol"/>
      </w:rPr>
    </w:lvl>
  </w:abstractNum>
  <w:abstractNum w:abstractNumId="35" w15:restartNumberingAfterBreak="0">
    <w:nsid w:val="6FE208F6"/>
    <w:multiLevelType w:val="hybridMultilevel"/>
    <w:tmpl w:val="D1CE64B6"/>
    <w:lvl w:ilvl="0" w:tplc="1F2AD3F0">
      <w:start w:val="1"/>
      <w:numFmt w:val="bullet"/>
      <w:lvlText w:val=""/>
      <w:lvlJc w:val="left"/>
      <w:pPr>
        <w:ind w:left="720" w:hanging="360"/>
      </w:pPr>
      <w:rPr>
        <w:rFonts w:ascii="Symbol" w:hAnsi="Symbol"/>
      </w:rPr>
    </w:lvl>
    <w:lvl w:ilvl="1" w:tplc="3A4CD68C">
      <w:start w:val="1"/>
      <w:numFmt w:val="bullet"/>
      <w:lvlText w:val=""/>
      <w:lvlJc w:val="left"/>
      <w:pPr>
        <w:ind w:left="720" w:hanging="360"/>
      </w:pPr>
      <w:rPr>
        <w:rFonts w:ascii="Symbol" w:hAnsi="Symbol"/>
      </w:rPr>
    </w:lvl>
    <w:lvl w:ilvl="2" w:tplc="54DC16C4">
      <w:start w:val="1"/>
      <w:numFmt w:val="bullet"/>
      <w:lvlText w:val=""/>
      <w:lvlJc w:val="left"/>
      <w:pPr>
        <w:ind w:left="720" w:hanging="360"/>
      </w:pPr>
      <w:rPr>
        <w:rFonts w:ascii="Symbol" w:hAnsi="Symbol"/>
      </w:rPr>
    </w:lvl>
    <w:lvl w:ilvl="3" w:tplc="DB68D058">
      <w:start w:val="1"/>
      <w:numFmt w:val="bullet"/>
      <w:lvlText w:val=""/>
      <w:lvlJc w:val="left"/>
      <w:pPr>
        <w:ind w:left="720" w:hanging="360"/>
      </w:pPr>
      <w:rPr>
        <w:rFonts w:ascii="Symbol" w:hAnsi="Symbol"/>
      </w:rPr>
    </w:lvl>
    <w:lvl w:ilvl="4" w:tplc="737A6822">
      <w:start w:val="1"/>
      <w:numFmt w:val="bullet"/>
      <w:lvlText w:val=""/>
      <w:lvlJc w:val="left"/>
      <w:pPr>
        <w:ind w:left="720" w:hanging="360"/>
      </w:pPr>
      <w:rPr>
        <w:rFonts w:ascii="Symbol" w:hAnsi="Symbol"/>
      </w:rPr>
    </w:lvl>
    <w:lvl w:ilvl="5" w:tplc="48B6F1B2">
      <w:start w:val="1"/>
      <w:numFmt w:val="bullet"/>
      <w:lvlText w:val=""/>
      <w:lvlJc w:val="left"/>
      <w:pPr>
        <w:ind w:left="720" w:hanging="360"/>
      </w:pPr>
      <w:rPr>
        <w:rFonts w:ascii="Symbol" w:hAnsi="Symbol"/>
      </w:rPr>
    </w:lvl>
    <w:lvl w:ilvl="6" w:tplc="F93C2B4C">
      <w:start w:val="1"/>
      <w:numFmt w:val="bullet"/>
      <w:lvlText w:val=""/>
      <w:lvlJc w:val="left"/>
      <w:pPr>
        <w:ind w:left="720" w:hanging="360"/>
      </w:pPr>
      <w:rPr>
        <w:rFonts w:ascii="Symbol" w:hAnsi="Symbol"/>
      </w:rPr>
    </w:lvl>
    <w:lvl w:ilvl="7" w:tplc="8A80BB2E">
      <w:start w:val="1"/>
      <w:numFmt w:val="bullet"/>
      <w:lvlText w:val=""/>
      <w:lvlJc w:val="left"/>
      <w:pPr>
        <w:ind w:left="720" w:hanging="360"/>
      </w:pPr>
      <w:rPr>
        <w:rFonts w:ascii="Symbol" w:hAnsi="Symbol"/>
      </w:rPr>
    </w:lvl>
    <w:lvl w:ilvl="8" w:tplc="5562F3E8">
      <w:start w:val="1"/>
      <w:numFmt w:val="bullet"/>
      <w:lvlText w:val=""/>
      <w:lvlJc w:val="left"/>
      <w:pPr>
        <w:ind w:left="720" w:hanging="360"/>
      </w:pPr>
      <w:rPr>
        <w:rFonts w:ascii="Symbol" w:hAnsi="Symbol"/>
      </w:rPr>
    </w:lvl>
  </w:abstractNum>
  <w:abstractNum w:abstractNumId="36" w15:restartNumberingAfterBreak="0">
    <w:nsid w:val="74105EF1"/>
    <w:multiLevelType w:val="hybridMultilevel"/>
    <w:tmpl w:val="9864E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15"/>
  </w:num>
  <w:num w:numId="2" w16cid:durableId="1270162788">
    <w:abstractNumId w:val="38"/>
  </w:num>
  <w:num w:numId="3" w16cid:durableId="1754930659">
    <w:abstractNumId w:val="4"/>
  </w:num>
  <w:num w:numId="4" w16cid:durableId="410388863">
    <w:abstractNumId w:val="9"/>
  </w:num>
  <w:num w:numId="5" w16cid:durableId="1821774551">
    <w:abstractNumId w:val="37"/>
  </w:num>
  <w:num w:numId="6" w16cid:durableId="758334604">
    <w:abstractNumId w:val="10"/>
  </w:num>
  <w:num w:numId="7" w16cid:durableId="1414619933">
    <w:abstractNumId w:val="12"/>
  </w:num>
  <w:num w:numId="8" w16cid:durableId="747844684">
    <w:abstractNumId w:val="14"/>
  </w:num>
  <w:num w:numId="9" w16cid:durableId="1180662619">
    <w:abstractNumId w:val="23"/>
  </w:num>
  <w:num w:numId="10" w16cid:durableId="1229849718">
    <w:abstractNumId w:val="36"/>
  </w:num>
  <w:num w:numId="11" w16cid:durableId="712967545">
    <w:abstractNumId w:val="17"/>
  </w:num>
  <w:num w:numId="12" w16cid:durableId="1615477505">
    <w:abstractNumId w:val="22"/>
  </w:num>
  <w:num w:numId="13" w16cid:durableId="816145098">
    <w:abstractNumId w:val="13"/>
  </w:num>
  <w:num w:numId="14" w16cid:durableId="839470146">
    <w:abstractNumId w:val="19"/>
  </w:num>
  <w:num w:numId="15" w16cid:durableId="7415050">
    <w:abstractNumId w:val="7"/>
  </w:num>
  <w:num w:numId="16" w16cid:durableId="741947664">
    <w:abstractNumId w:val="25"/>
  </w:num>
  <w:num w:numId="17" w16cid:durableId="450637309">
    <w:abstractNumId w:val="11"/>
  </w:num>
  <w:num w:numId="18" w16cid:durableId="10603273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1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6195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49469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7459682">
    <w:abstractNumId w:val="3"/>
  </w:num>
  <w:num w:numId="23" w16cid:durableId="1279918596">
    <w:abstractNumId w:val="0"/>
  </w:num>
  <w:num w:numId="24" w16cid:durableId="484051921">
    <w:abstractNumId w:val="6"/>
  </w:num>
  <w:num w:numId="25" w16cid:durableId="319895890">
    <w:abstractNumId w:val="28"/>
  </w:num>
  <w:num w:numId="26" w16cid:durableId="1277250416">
    <w:abstractNumId w:val="18"/>
  </w:num>
  <w:num w:numId="27" w16cid:durableId="722827917">
    <w:abstractNumId w:val="30"/>
  </w:num>
  <w:num w:numId="28" w16cid:durableId="1412315121">
    <w:abstractNumId w:val="29"/>
  </w:num>
  <w:num w:numId="29" w16cid:durableId="960500956">
    <w:abstractNumId w:val="32"/>
  </w:num>
  <w:num w:numId="30" w16cid:durableId="255404073">
    <w:abstractNumId w:val="2"/>
  </w:num>
  <w:num w:numId="31" w16cid:durableId="1702436678">
    <w:abstractNumId w:val="35"/>
  </w:num>
  <w:num w:numId="32" w16cid:durableId="369691466">
    <w:abstractNumId w:val="31"/>
  </w:num>
  <w:num w:numId="33" w16cid:durableId="925571183">
    <w:abstractNumId w:val="1"/>
  </w:num>
  <w:num w:numId="34" w16cid:durableId="548496660">
    <w:abstractNumId w:val="8"/>
  </w:num>
  <w:num w:numId="35" w16cid:durableId="2114664455">
    <w:abstractNumId w:val="24"/>
  </w:num>
  <w:num w:numId="36" w16cid:durableId="855340452">
    <w:abstractNumId w:val="26"/>
  </w:num>
  <w:num w:numId="37" w16cid:durableId="1628312421">
    <w:abstractNumId w:val="21"/>
  </w:num>
  <w:num w:numId="38" w16cid:durableId="1504735570">
    <w:abstractNumId w:val="20"/>
  </w:num>
  <w:num w:numId="39" w16cid:durableId="687752536">
    <w:abstractNumId w:val="5"/>
  </w:num>
  <w:num w:numId="40" w16cid:durableId="371424867">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63F"/>
    <w:rsid w:val="00000B11"/>
    <w:rsid w:val="0000109A"/>
    <w:rsid w:val="00001182"/>
    <w:rsid w:val="0000124E"/>
    <w:rsid w:val="000018B9"/>
    <w:rsid w:val="00001AE6"/>
    <w:rsid w:val="00001D55"/>
    <w:rsid w:val="00002643"/>
    <w:rsid w:val="00002952"/>
    <w:rsid w:val="00002CD2"/>
    <w:rsid w:val="00003108"/>
    <w:rsid w:val="00003195"/>
    <w:rsid w:val="0000362F"/>
    <w:rsid w:val="00003857"/>
    <w:rsid w:val="00003CEC"/>
    <w:rsid w:val="00003DDA"/>
    <w:rsid w:val="00004D69"/>
    <w:rsid w:val="00004F7F"/>
    <w:rsid w:val="000053BE"/>
    <w:rsid w:val="000054C9"/>
    <w:rsid w:val="000054F7"/>
    <w:rsid w:val="000059FD"/>
    <w:rsid w:val="00006BA2"/>
    <w:rsid w:val="0000728E"/>
    <w:rsid w:val="00007913"/>
    <w:rsid w:val="0001017B"/>
    <w:rsid w:val="00010359"/>
    <w:rsid w:val="00010AD4"/>
    <w:rsid w:val="00011568"/>
    <w:rsid w:val="00011C0B"/>
    <w:rsid w:val="000124B3"/>
    <w:rsid w:val="00012858"/>
    <w:rsid w:val="00012917"/>
    <w:rsid w:val="00012B36"/>
    <w:rsid w:val="00013B0A"/>
    <w:rsid w:val="00014465"/>
    <w:rsid w:val="000145AF"/>
    <w:rsid w:val="00014974"/>
    <w:rsid w:val="00014CA7"/>
    <w:rsid w:val="00014D67"/>
    <w:rsid w:val="0001515A"/>
    <w:rsid w:val="00015586"/>
    <w:rsid w:val="00015B23"/>
    <w:rsid w:val="000172BB"/>
    <w:rsid w:val="00017F3A"/>
    <w:rsid w:val="00020764"/>
    <w:rsid w:val="00020B3C"/>
    <w:rsid w:val="00020CF2"/>
    <w:rsid w:val="0002180B"/>
    <w:rsid w:val="00022501"/>
    <w:rsid w:val="000228B8"/>
    <w:rsid w:val="00022EF7"/>
    <w:rsid w:val="00023315"/>
    <w:rsid w:val="0002346D"/>
    <w:rsid w:val="00023729"/>
    <w:rsid w:val="000237CF"/>
    <w:rsid w:val="0002381B"/>
    <w:rsid w:val="00023FC2"/>
    <w:rsid w:val="00024EA5"/>
    <w:rsid w:val="0002500B"/>
    <w:rsid w:val="000258AE"/>
    <w:rsid w:val="00025945"/>
    <w:rsid w:val="00025D95"/>
    <w:rsid w:val="000270E4"/>
    <w:rsid w:val="0002755F"/>
    <w:rsid w:val="00027D68"/>
    <w:rsid w:val="000300D7"/>
    <w:rsid w:val="00030923"/>
    <w:rsid w:val="00030C68"/>
    <w:rsid w:val="000317CF"/>
    <w:rsid w:val="000321AC"/>
    <w:rsid w:val="00032493"/>
    <w:rsid w:val="000326D6"/>
    <w:rsid w:val="00032991"/>
    <w:rsid w:val="000330E9"/>
    <w:rsid w:val="0003383F"/>
    <w:rsid w:val="00033E64"/>
    <w:rsid w:val="0003423A"/>
    <w:rsid w:val="0003477F"/>
    <w:rsid w:val="00034B94"/>
    <w:rsid w:val="00035B53"/>
    <w:rsid w:val="00035E27"/>
    <w:rsid w:val="00036AD8"/>
    <w:rsid w:val="00037037"/>
    <w:rsid w:val="000372DF"/>
    <w:rsid w:val="00037302"/>
    <w:rsid w:val="0003755B"/>
    <w:rsid w:val="0004005D"/>
    <w:rsid w:val="000401BA"/>
    <w:rsid w:val="00040205"/>
    <w:rsid w:val="00040838"/>
    <w:rsid w:val="000408AA"/>
    <w:rsid w:val="00040ADF"/>
    <w:rsid w:val="00040FB4"/>
    <w:rsid w:val="0004178C"/>
    <w:rsid w:val="00041F47"/>
    <w:rsid w:val="00041F5D"/>
    <w:rsid w:val="00043EEE"/>
    <w:rsid w:val="00043EF0"/>
    <w:rsid w:val="00044300"/>
    <w:rsid w:val="000443A6"/>
    <w:rsid w:val="000449D1"/>
    <w:rsid w:val="00045B8D"/>
    <w:rsid w:val="00045CC5"/>
    <w:rsid w:val="00046019"/>
    <w:rsid w:val="00046573"/>
    <w:rsid w:val="00046B6A"/>
    <w:rsid w:val="00046EBF"/>
    <w:rsid w:val="000472D4"/>
    <w:rsid w:val="00047935"/>
    <w:rsid w:val="00047AA4"/>
    <w:rsid w:val="00050324"/>
    <w:rsid w:val="000507CB"/>
    <w:rsid w:val="00050930"/>
    <w:rsid w:val="00052A9C"/>
    <w:rsid w:val="00052DB7"/>
    <w:rsid w:val="00052DD3"/>
    <w:rsid w:val="0005326D"/>
    <w:rsid w:val="00053F6C"/>
    <w:rsid w:val="000542A1"/>
    <w:rsid w:val="000556AD"/>
    <w:rsid w:val="000556BD"/>
    <w:rsid w:val="00056B99"/>
    <w:rsid w:val="000571C0"/>
    <w:rsid w:val="00057C55"/>
    <w:rsid w:val="000601F0"/>
    <w:rsid w:val="00060D4B"/>
    <w:rsid w:val="00060FAB"/>
    <w:rsid w:val="00061498"/>
    <w:rsid w:val="0006167A"/>
    <w:rsid w:val="00061A50"/>
    <w:rsid w:val="00061CDC"/>
    <w:rsid w:val="0006214B"/>
    <w:rsid w:val="00062DDC"/>
    <w:rsid w:val="00063343"/>
    <w:rsid w:val="0006339C"/>
    <w:rsid w:val="0006362E"/>
    <w:rsid w:val="00064488"/>
    <w:rsid w:val="00064783"/>
    <w:rsid w:val="000647C2"/>
    <w:rsid w:val="000648EA"/>
    <w:rsid w:val="00064E55"/>
    <w:rsid w:val="00066DC5"/>
    <w:rsid w:val="00067B4B"/>
    <w:rsid w:val="00070160"/>
    <w:rsid w:val="0007021F"/>
    <w:rsid w:val="0007098E"/>
    <w:rsid w:val="000709A0"/>
    <w:rsid w:val="00072315"/>
    <w:rsid w:val="00072602"/>
    <w:rsid w:val="00074199"/>
    <w:rsid w:val="0007557C"/>
    <w:rsid w:val="00077B4B"/>
    <w:rsid w:val="00077B75"/>
    <w:rsid w:val="00080241"/>
    <w:rsid w:val="0008032E"/>
    <w:rsid w:val="000809B7"/>
    <w:rsid w:val="00080B83"/>
    <w:rsid w:val="00080BA3"/>
    <w:rsid w:val="0008125D"/>
    <w:rsid w:val="00081778"/>
    <w:rsid w:val="0008273E"/>
    <w:rsid w:val="0008358E"/>
    <w:rsid w:val="00083F59"/>
    <w:rsid w:val="00084C26"/>
    <w:rsid w:val="00084E8E"/>
    <w:rsid w:val="00085B69"/>
    <w:rsid w:val="00086545"/>
    <w:rsid w:val="00086700"/>
    <w:rsid w:val="000870B6"/>
    <w:rsid w:val="0008795A"/>
    <w:rsid w:val="00090613"/>
    <w:rsid w:val="00090BBF"/>
    <w:rsid w:val="00090BD1"/>
    <w:rsid w:val="00091777"/>
    <w:rsid w:val="00091857"/>
    <w:rsid w:val="00091A2E"/>
    <w:rsid w:val="00091C59"/>
    <w:rsid w:val="00092787"/>
    <w:rsid w:val="0009284D"/>
    <w:rsid w:val="00092A21"/>
    <w:rsid w:val="00092E83"/>
    <w:rsid w:val="000935CC"/>
    <w:rsid w:val="00093D9A"/>
    <w:rsid w:val="00094656"/>
    <w:rsid w:val="00095F16"/>
    <w:rsid w:val="000969C0"/>
    <w:rsid w:val="00096B52"/>
    <w:rsid w:val="00096FC5"/>
    <w:rsid w:val="000A10BF"/>
    <w:rsid w:val="000A1695"/>
    <w:rsid w:val="000A178D"/>
    <w:rsid w:val="000A2ACD"/>
    <w:rsid w:val="000A2B65"/>
    <w:rsid w:val="000A2DA8"/>
    <w:rsid w:val="000A30A8"/>
    <w:rsid w:val="000A31B8"/>
    <w:rsid w:val="000A37EE"/>
    <w:rsid w:val="000A3D16"/>
    <w:rsid w:val="000A4178"/>
    <w:rsid w:val="000A446C"/>
    <w:rsid w:val="000A52AD"/>
    <w:rsid w:val="000A5C47"/>
    <w:rsid w:val="000A629E"/>
    <w:rsid w:val="000A6557"/>
    <w:rsid w:val="000A6B30"/>
    <w:rsid w:val="000A7369"/>
    <w:rsid w:val="000A7E31"/>
    <w:rsid w:val="000B1E2E"/>
    <w:rsid w:val="000B247A"/>
    <w:rsid w:val="000B2753"/>
    <w:rsid w:val="000B2C59"/>
    <w:rsid w:val="000B3330"/>
    <w:rsid w:val="000B37BB"/>
    <w:rsid w:val="000B3BBB"/>
    <w:rsid w:val="000B4089"/>
    <w:rsid w:val="000B42DD"/>
    <w:rsid w:val="000B4678"/>
    <w:rsid w:val="000B65A6"/>
    <w:rsid w:val="000B6CF0"/>
    <w:rsid w:val="000B720C"/>
    <w:rsid w:val="000B7665"/>
    <w:rsid w:val="000B79D6"/>
    <w:rsid w:val="000B7C5E"/>
    <w:rsid w:val="000C0611"/>
    <w:rsid w:val="000C08C3"/>
    <w:rsid w:val="000C1380"/>
    <w:rsid w:val="000C2007"/>
    <w:rsid w:val="000C3BA4"/>
    <w:rsid w:val="000C5EF6"/>
    <w:rsid w:val="000C63C2"/>
    <w:rsid w:val="000C6FA3"/>
    <w:rsid w:val="000C7C31"/>
    <w:rsid w:val="000C7C46"/>
    <w:rsid w:val="000D0037"/>
    <w:rsid w:val="000D029A"/>
    <w:rsid w:val="000D0357"/>
    <w:rsid w:val="000D0FD6"/>
    <w:rsid w:val="000D1B52"/>
    <w:rsid w:val="000D299A"/>
    <w:rsid w:val="000D4C1B"/>
    <w:rsid w:val="000D4C78"/>
    <w:rsid w:val="000D5523"/>
    <w:rsid w:val="000D680A"/>
    <w:rsid w:val="000D7180"/>
    <w:rsid w:val="000D779B"/>
    <w:rsid w:val="000E03DC"/>
    <w:rsid w:val="000E1124"/>
    <w:rsid w:val="000E129C"/>
    <w:rsid w:val="000E139A"/>
    <w:rsid w:val="000E21C4"/>
    <w:rsid w:val="000E2236"/>
    <w:rsid w:val="000E3164"/>
    <w:rsid w:val="000E43D4"/>
    <w:rsid w:val="000E44E8"/>
    <w:rsid w:val="000E4F21"/>
    <w:rsid w:val="000E5015"/>
    <w:rsid w:val="000E54A3"/>
    <w:rsid w:val="000E5531"/>
    <w:rsid w:val="000E6410"/>
    <w:rsid w:val="000E675D"/>
    <w:rsid w:val="000E678B"/>
    <w:rsid w:val="000E7EFE"/>
    <w:rsid w:val="000F076C"/>
    <w:rsid w:val="000F0E21"/>
    <w:rsid w:val="000F15E3"/>
    <w:rsid w:val="000F1CAD"/>
    <w:rsid w:val="000F1F80"/>
    <w:rsid w:val="000F26AC"/>
    <w:rsid w:val="000F29EC"/>
    <w:rsid w:val="000F2E01"/>
    <w:rsid w:val="000F2EA0"/>
    <w:rsid w:val="000F3489"/>
    <w:rsid w:val="000F36AD"/>
    <w:rsid w:val="000F49BA"/>
    <w:rsid w:val="000F53B9"/>
    <w:rsid w:val="000F5A54"/>
    <w:rsid w:val="000F684C"/>
    <w:rsid w:val="000F6A4B"/>
    <w:rsid w:val="000F7987"/>
    <w:rsid w:val="0010051C"/>
    <w:rsid w:val="001008A4"/>
    <w:rsid w:val="00101EB6"/>
    <w:rsid w:val="00103521"/>
    <w:rsid w:val="00103834"/>
    <w:rsid w:val="0010448B"/>
    <w:rsid w:val="00104B4D"/>
    <w:rsid w:val="00104D97"/>
    <w:rsid w:val="0010521F"/>
    <w:rsid w:val="0010625A"/>
    <w:rsid w:val="001064F0"/>
    <w:rsid w:val="0010689F"/>
    <w:rsid w:val="00107524"/>
    <w:rsid w:val="0010756E"/>
    <w:rsid w:val="00107985"/>
    <w:rsid w:val="00107DCD"/>
    <w:rsid w:val="00107EF0"/>
    <w:rsid w:val="00111417"/>
    <w:rsid w:val="00111EFE"/>
    <w:rsid w:val="00112169"/>
    <w:rsid w:val="0011229D"/>
    <w:rsid w:val="0011236D"/>
    <w:rsid w:val="00113C60"/>
    <w:rsid w:val="00114A79"/>
    <w:rsid w:val="00114C3B"/>
    <w:rsid w:val="00115691"/>
    <w:rsid w:val="00116041"/>
    <w:rsid w:val="00116991"/>
    <w:rsid w:val="00117039"/>
    <w:rsid w:val="001177C1"/>
    <w:rsid w:val="001179AE"/>
    <w:rsid w:val="00117F04"/>
    <w:rsid w:val="001201D8"/>
    <w:rsid w:val="00120994"/>
    <w:rsid w:val="00120BD3"/>
    <w:rsid w:val="001210E7"/>
    <w:rsid w:val="001211E0"/>
    <w:rsid w:val="00121B15"/>
    <w:rsid w:val="00122AE3"/>
    <w:rsid w:val="00122EE1"/>
    <w:rsid w:val="001231E6"/>
    <w:rsid w:val="00123658"/>
    <w:rsid w:val="001237AF"/>
    <w:rsid w:val="001240DB"/>
    <w:rsid w:val="001247EB"/>
    <w:rsid w:val="00124ED8"/>
    <w:rsid w:val="00124F3C"/>
    <w:rsid w:val="001259DC"/>
    <w:rsid w:val="00125B61"/>
    <w:rsid w:val="00125B7F"/>
    <w:rsid w:val="00126122"/>
    <w:rsid w:val="001266A6"/>
    <w:rsid w:val="00126769"/>
    <w:rsid w:val="001271BC"/>
    <w:rsid w:val="00127542"/>
    <w:rsid w:val="0013103A"/>
    <w:rsid w:val="001312D9"/>
    <w:rsid w:val="001319AE"/>
    <w:rsid w:val="00131D45"/>
    <w:rsid w:val="00131DA1"/>
    <w:rsid w:val="001320F0"/>
    <w:rsid w:val="00132113"/>
    <w:rsid w:val="00132CE1"/>
    <w:rsid w:val="00132E3B"/>
    <w:rsid w:val="00133535"/>
    <w:rsid w:val="001336E0"/>
    <w:rsid w:val="00133C68"/>
    <w:rsid w:val="00133F34"/>
    <w:rsid w:val="00134B58"/>
    <w:rsid w:val="00135273"/>
    <w:rsid w:val="001353DD"/>
    <w:rsid w:val="001355B0"/>
    <w:rsid w:val="001359BE"/>
    <w:rsid w:val="001359F2"/>
    <w:rsid w:val="00135D64"/>
    <w:rsid w:val="00135FC9"/>
    <w:rsid w:val="00136711"/>
    <w:rsid w:val="00140F8A"/>
    <w:rsid w:val="001414A8"/>
    <w:rsid w:val="00141C22"/>
    <w:rsid w:val="00141D8D"/>
    <w:rsid w:val="00143478"/>
    <w:rsid w:val="00143F2F"/>
    <w:rsid w:val="00143F42"/>
    <w:rsid w:val="00143F99"/>
    <w:rsid w:val="00144CCC"/>
    <w:rsid w:val="00145198"/>
    <w:rsid w:val="00145591"/>
    <w:rsid w:val="00145C75"/>
    <w:rsid w:val="00145E19"/>
    <w:rsid w:val="00146624"/>
    <w:rsid w:val="00146D44"/>
    <w:rsid w:val="0014786E"/>
    <w:rsid w:val="00150376"/>
    <w:rsid w:val="00150AB9"/>
    <w:rsid w:val="00150EE1"/>
    <w:rsid w:val="00151DBD"/>
    <w:rsid w:val="00152877"/>
    <w:rsid w:val="0015289C"/>
    <w:rsid w:val="0015292F"/>
    <w:rsid w:val="001531D6"/>
    <w:rsid w:val="001535C3"/>
    <w:rsid w:val="00154FB7"/>
    <w:rsid w:val="00155434"/>
    <w:rsid w:val="00155BDA"/>
    <w:rsid w:val="00156FA7"/>
    <w:rsid w:val="001571EB"/>
    <w:rsid w:val="001579A7"/>
    <w:rsid w:val="00157B8E"/>
    <w:rsid w:val="0016023A"/>
    <w:rsid w:val="001609D0"/>
    <w:rsid w:val="0016184E"/>
    <w:rsid w:val="00162946"/>
    <w:rsid w:val="00162AB2"/>
    <w:rsid w:val="00162BE8"/>
    <w:rsid w:val="00162DBF"/>
    <w:rsid w:val="001633EC"/>
    <w:rsid w:val="00163C04"/>
    <w:rsid w:val="00163C14"/>
    <w:rsid w:val="00163D69"/>
    <w:rsid w:val="00163DFC"/>
    <w:rsid w:val="0016413E"/>
    <w:rsid w:val="00164276"/>
    <w:rsid w:val="00164650"/>
    <w:rsid w:val="00164876"/>
    <w:rsid w:val="00164CF8"/>
    <w:rsid w:val="001653AE"/>
    <w:rsid w:val="001657A8"/>
    <w:rsid w:val="00165B4A"/>
    <w:rsid w:val="00166F11"/>
    <w:rsid w:val="00170315"/>
    <w:rsid w:val="00170D5B"/>
    <w:rsid w:val="00172B8F"/>
    <w:rsid w:val="0017308D"/>
    <w:rsid w:val="00173634"/>
    <w:rsid w:val="001736F8"/>
    <w:rsid w:val="00173D85"/>
    <w:rsid w:val="00174704"/>
    <w:rsid w:val="00174FD4"/>
    <w:rsid w:val="001750CB"/>
    <w:rsid w:val="001756E1"/>
    <w:rsid w:val="001758BD"/>
    <w:rsid w:val="00176291"/>
    <w:rsid w:val="00176548"/>
    <w:rsid w:val="00176A98"/>
    <w:rsid w:val="00176ADD"/>
    <w:rsid w:val="00176CA8"/>
    <w:rsid w:val="00176E96"/>
    <w:rsid w:val="001775AB"/>
    <w:rsid w:val="0017792C"/>
    <w:rsid w:val="00177950"/>
    <w:rsid w:val="00177FBB"/>
    <w:rsid w:val="001807A5"/>
    <w:rsid w:val="001807ED"/>
    <w:rsid w:val="00180ACF"/>
    <w:rsid w:val="001812BC"/>
    <w:rsid w:val="00183C00"/>
    <w:rsid w:val="00183E49"/>
    <w:rsid w:val="00184A73"/>
    <w:rsid w:val="00184BAE"/>
    <w:rsid w:val="0018507B"/>
    <w:rsid w:val="0018526A"/>
    <w:rsid w:val="00185D61"/>
    <w:rsid w:val="00186A62"/>
    <w:rsid w:val="001873DA"/>
    <w:rsid w:val="001875B2"/>
    <w:rsid w:val="00190343"/>
    <w:rsid w:val="00191099"/>
    <w:rsid w:val="0019362A"/>
    <w:rsid w:val="00193782"/>
    <w:rsid w:val="001938EE"/>
    <w:rsid w:val="0019474E"/>
    <w:rsid w:val="001950C6"/>
    <w:rsid w:val="00195132"/>
    <w:rsid w:val="00195728"/>
    <w:rsid w:val="0019575F"/>
    <w:rsid w:val="00195FF5"/>
    <w:rsid w:val="00196593"/>
    <w:rsid w:val="001970C0"/>
    <w:rsid w:val="00197A4B"/>
    <w:rsid w:val="001A03F0"/>
    <w:rsid w:val="001A07BE"/>
    <w:rsid w:val="001A0CBB"/>
    <w:rsid w:val="001A0FC3"/>
    <w:rsid w:val="001A11C1"/>
    <w:rsid w:val="001A123A"/>
    <w:rsid w:val="001A1CB7"/>
    <w:rsid w:val="001A32B4"/>
    <w:rsid w:val="001A3C51"/>
    <w:rsid w:val="001A3E9B"/>
    <w:rsid w:val="001A420B"/>
    <w:rsid w:val="001A4B97"/>
    <w:rsid w:val="001A4EA9"/>
    <w:rsid w:val="001A4F7D"/>
    <w:rsid w:val="001A5263"/>
    <w:rsid w:val="001A58AD"/>
    <w:rsid w:val="001A5C01"/>
    <w:rsid w:val="001A5EDC"/>
    <w:rsid w:val="001A6605"/>
    <w:rsid w:val="001A66EE"/>
    <w:rsid w:val="001A6D18"/>
    <w:rsid w:val="001A7B42"/>
    <w:rsid w:val="001A7D8F"/>
    <w:rsid w:val="001B1D51"/>
    <w:rsid w:val="001B2A97"/>
    <w:rsid w:val="001B2CD4"/>
    <w:rsid w:val="001B4359"/>
    <w:rsid w:val="001B44F6"/>
    <w:rsid w:val="001B530D"/>
    <w:rsid w:val="001B5376"/>
    <w:rsid w:val="001B7329"/>
    <w:rsid w:val="001B7E69"/>
    <w:rsid w:val="001C138E"/>
    <w:rsid w:val="001C174A"/>
    <w:rsid w:val="001C1CD4"/>
    <w:rsid w:val="001C1D05"/>
    <w:rsid w:val="001C1FED"/>
    <w:rsid w:val="001C2A48"/>
    <w:rsid w:val="001C40F6"/>
    <w:rsid w:val="001C5485"/>
    <w:rsid w:val="001C5F33"/>
    <w:rsid w:val="001C69E3"/>
    <w:rsid w:val="001C6DFD"/>
    <w:rsid w:val="001C7032"/>
    <w:rsid w:val="001D04AA"/>
    <w:rsid w:val="001D061B"/>
    <w:rsid w:val="001D0A00"/>
    <w:rsid w:val="001D0B71"/>
    <w:rsid w:val="001D0F2D"/>
    <w:rsid w:val="001D111D"/>
    <w:rsid w:val="001D274E"/>
    <w:rsid w:val="001D3059"/>
    <w:rsid w:val="001D32C0"/>
    <w:rsid w:val="001D3A64"/>
    <w:rsid w:val="001D47A7"/>
    <w:rsid w:val="001D5793"/>
    <w:rsid w:val="001D5B53"/>
    <w:rsid w:val="001D64BB"/>
    <w:rsid w:val="001D655D"/>
    <w:rsid w:val="001D67DD"/>
    <w:rsid w:val="001D6B09"/>
    <w:rsid w:val="001D6E35"/>
    <w:rsid w:val="001D74A7"/>
    <w:rsid w:val="001E094E"/>
    <w:rsid w:val="001E0BE6"/>
    <w:rsid w:val="001E0D83"/>
    <w:rsid w:val="001E15F2"/>
    <w:rsid w:val="001E1BB7"/>
    <w:rsid w:val="001E22F7"/>
    <w:rsid w:val="001E288F"/>
    <w:rsid w:val="001E2B10"/>
    <w:rsid w:val="001E3026"/>
    <w:rsid w:val="001E31DE"/>
    <w:rsid w:val="001E3C9F"/>
    <w:rsid w:val="001E465F"/>
    <w:rsid w:val="001E5C7B"/>
    <w:rsid w:val="001E5F61"/>
    <w:rsid w:val="001E71AF"/>
    <w:rsid w:val="001E7356"/>
    <w:rsid w:val="001E7A8F"/>
    <w:rsid w:val="001E7DDA"/>
    <w:rsid w:val="001F026D"/>
    <w:rsid w:val="001F02DB"/>
    <w:rsid w:val="001F0C07"/>
    <w:rsid w:val="001F1250"/>
    <w:rsid w:val="001F2902"/>
    <w:rsid w:val="001F2BD6"/>
    <w:rsid w:val="001F2F0E"/>
    <w:rsid w:val="001F32E3"/>
    <w:rsid w:val="001F3F36"/>
    <w:rsid w:val="001F4537"/>
    <w:rsid w:val="001F47FF"/>
    <w:rsid w:val="001F481A"/>
    <w:rsid w:val="001F4D3E"/>
    <w:rsid w:val="001F658C"/>
    <w:rsid w:val="001F675C"/>
    <w:rsid w:val="001F6F44"/>
    <w:rsid w:val="001F7563"/>
    <w:rsid w:val="002000D5"/>
    <w:rsid w:val="002015CA"/>
    <w:rsid w:val="00202E16"/>
    <w:rsid w:val="00202E71"/>
    <w:rsid w:val="00203E28"/>
    <w:rsid w:val="00203EF9"/>
    <w:rsid w:val="002053C7"/>
    <w:rsid w:val="0020688B"/>
    <w:rsid w:val="0020738E"/>
    <w:rsid w:val="00207C6D"/>
    <w:rsid w:val="00207DE7"/>
    <w:rsid w:val="00207F59"/>
    <w:rsid w:val="00210144"/>
    <w:rsid w:val="002104DA"/>
    <w:rsid w:val="00210C3F"/>
    <w:rsid w:val="0021106A"/>
    <w:rsid w:val="00211DC3"/>
    <w:rsid w:val="0021288E"/>
    <w:rsid w:val="00212D88"/>
    <w:rsid w:val="00213D0B"/>
    <w:rsid w:val="00214493"/>
    <w:rsid w:val="002155B6"/>
    <w:rsid w:val="002157E4"/>
    <w:rsid w:val="00215AFB"/>
    <w:rsid w:val="00215DEA"/>
    <w:rsid w:val="002171E5"/>
    <w:rsid w:val="00217FC5"/>
    <w:rsid w:val="002200D8"/>
    <w:rsid w:val="00220650"/>
    <w:rsid w:val="00221226"/>
    <w:rsid w:val="00222CE5"/>
    <w:rsid w:val="00223646"/>
    <w:rsid w:val="00223664"/>
    <w:rsid w:val="00223A56"/>
    <w:rsid w:val="0022546B"/>
    <w:rsid w:val="00225833"/>
    <w:rsid w:val="002259A4"/>
    <w:rsid w:val="00226095"/>
    <w:rsid w:val="00226606"/>
    <w:rsid w:val="00227A82"/>
    <w:rsid w:val="00227B89"/>
    <w:rsid w:val="00227C89"/>
    <w:rsid w:val="00227F43"/>
    <w:rsid w:val="00230020"/>
    <w:rsid w:val="00230171"/>
    <w:rsid w:val="002301F4"/>
    <w:rsid w:val="002303C5"/>
    <w:rsid w:val="00231126"/>
    <w:rsid w:val="002323DB"/>
    <w:rsid w:val="00232593"/>
    <w:rsid w:val="002335F0"/>
    <w:rsid w:val="00234640"/>
    <w:rsid w:val="00234782"/>
    <w:rsid w:val="00235267"/>
    <w:rsid w:val="0023590B"/>
    <w:rsid w:val="00235F50"/>
    <w:rsid w:val="0023680D"/>
    <w:rsid w:val="00237716"/>
    <w:rsid w:val="0024007C"/>
    <w:rsid w:val="00240106"/>
    <w:rsid w:val="00240373"/>
    <w:rsid w:val="00240622"/>
    <w:rsid w:val="002411C7"/>
    <w:rsid w:val="002423F8"/>
    <w:rsid w:val="002427F0"/>
    <w:rsid w:val="00242F4E"/>
    <w:rsid w:val="00244719"/>
    <w:rsid w:val="00244885"/>
    <w:rsid w:val="00244B1E"/>
    <w:rsid w:val="00245134"/>
    <w:rsid w:val="002452A0"/>
    <w:rsid w:val="002453EB"/>
    <w:rsid w:val="002463A6"/>
    <w:rsid w:val="00246ADB"/>
    <w:rsid w:val="00250851"/>
    <w:rsid w:val="00251266"/>
    <w:rsid w:val="0025136D"/>
    <w:rsid w:val="0025158E"/>
    <w:rsid w:val="002517A5"/>
    <w:rsid w:val="00251ECD"/>
    <w:rsid w:val="00251F6C"/>
    <w:rsid w:val="0025249C"/>
    <w:rsid w:val="0025291F"/>
    <w:rsid w:val="00253164"/>
    <w:rsid w:val="00253854"/>
    <w:rsid w:val="002538A2"/>
    <w:rsid w:val="002539DA"/>
    <w:rsid w:val="002539ED"/>
    <w:rsid w:val="00253B18"/>
    <w:rsid w:val="00253BD4"/>
    <w:rsid w:val="00254221"/>
    <w:rsid w:val="0025440D"/>
    <w:rsid w:val="0025450E"/>
    <w:rsid w:val="00255152"/>
    <w:rsid w:val="002553E5"/>
    <w:rsid w:val="0025554E"/>
    <w:rsid w:val="00255CF8"/>
    <w:rsid w:val="00255E70"/>
    <w:rsid w:val="00257BD6"/>
    <w:rsid w:val="00260694"/>
    <w:rsid w:val="00263085"/>
    <w:rsid w:val="00263818"/>
    <w:rsid w:val="002638F4"/>
    <w:rsid w:val="002649FB"/>
    <w:rsid w:val="00266179"/>
    <w:rsid w:val="00266906"/>
    <w:rsid w:val="00266AEE"/>
    <w:rsid w:val="00266FC9"/>
    <w:rsid w:val="0026755D"/>
    <w:rsid w:val="0027016B"/>
    <w:rsid w:val="00270C98"/>
    <w:rsid w:val="0027160C"/>
    <w:rsid w:val="00272C90"/>
    <w:rsid w:val="0027314D"/>
    <w:rsid w:val="0027380E"/>
    <w:rsid w:val="00273D06"/>
    <w:rsid w:val="002751D1"/>
    <w:rsid w:val="00275209"/>
    <w:rsid w:val="00275804"/>
    <w:rsid w:val="00276284"/>
    <w:rsid w:val="00276F6C"/>
    <w:rsid w:val="002771FE"/>
    <w:rsid w:val="00280272"/>
    <w:rsid w:val="002803DA"/>
    <w:rsid w:val="0028138D"/>
    <w:rsid w:val="00281EEC"/>
    <w:rsid w:val="0028285D"/>
    <w:rsid w:val="00283177"/>
    <w:rsid w:val="00284199"/>
    <w:rsid w:val="00284340"/>
    <w:rsid w:val="002846EA"/>
    <w:rsid w:val="00284DB1"/>
    <w:rsid w:val="00284EE6"/>
    <w:rsid w:val="00285117"/>
    <w:rsid w:val="00285727"/>
    <w:rsid w:val="00285CCC"/>
    <w:rsid w:val="00285D2E"/>
    <w:rsid w:val="00286965"/>
    <w:rsid w:val="00286D49"/>
    <w:rsid w:val="00287B32"/>
    <w:rsid w:val="00287E78"/>
    <w:rsid w:val="002901A5"/>
    <w:rsid w:val="00290676"/>
    <w:rsid w:val="00290E6C"/>
    <w:rsid w:val="00291462"/>
    <w:rsid w:val="00291572"/>
    <w:rsid w:val="0029189A"/>
    <w:rsid w:val="002922BB"/>
    <w:rsid w:val="0029345C"/>
    <w:rsid w:val="0029483D"/>
    <w:rsid w:val="00294986"/>
    <w:rsid w:val="00294FE3"/>
    <w:rsid w:val="0029534A"/>
    <w:rsid w:val="00295485"/>
    <w:rsid w:val="00296229"/>
    <w:rsid w:val="00296823"/>
    <w:rsid w:val="0029706F"/>
    <w:rsid w:val="002A04B4"/>
    <w:rsid w:val="002A052E"/>
    <w:rsid w:val="002A145B"/>
    <w:rsid w:val="002A18BE"/>
    <w:rsid w:val="002A1FE8"/>
    <w:rsid w:val="002A2D80"/>
    <w:rsid w:val="002A36F6"/>
    <w:rsid w:val="002A3B69"/>
    <w:rsid w:val="002A4084"/>
    <w:rsid w:val="002A42A2"/>
    <w:rsid w:val="002A4AD6"/>
    <w:rsid w:val="002A50D4"/>
    <w:rsid w:val="002A50F2"/>
    <w:rsid w:val="002A596C"/>
    <w:rsid w:val="002A5BFD"/>
    <w:rsid w:val="002A7196"/>
    <w:rsid w:val="002A76AE"/>
    <w:rsid w:val="002A7726"/>
    <w:rsid w:val="002B0905"/>
    <w:rsid w:val="002B1384"/>
    <w:rsid w:val="002B145E"/>
    <w:rsid w:val="002B16AD"/>
    <w:rsid w:val="002B1E8F"/>
    <w:rsid w:val="002B3681"/>
    <w:rsid w:val="002B440C"/>
    <w:rsid w:val="002B5BF7"/>
    <w:rsid w:val="002B5E56"/>
    <w:rsid w:val="002B6204"/>
    <w:rsid w:val="002B667C"/>
    <w:rsid w:val="002B6AF7"/>
    <w:rsid w:val="002B73EC"/>
    <w:rsid w:val="002B77E6"/>
    <w:rsid w:val="002C0139"/>
    <w:rsid w:val="002C0815"/>
    <w:rsid w:val="002C086B"/>
    <w:rsid w:val="002C0E36"/>
    <w:rsid w:val="002C11CA"/>
    <w:rsid w:val="002C2520"/>
    <w:rsid w:val="002C3628"/>
    <w:rsid w:val="002C459B"/>
    <w:rsid w:val="002C45E8"/>
    <w:rsid w:val="002C4B77"/>
    <w:rsid w:val="002C56BA"/>
    <w:rsid w:val="002C612C"/>
    <w:rsid w:val="002C70CE"/>
    <w:rsid w:val="002C7A58"/>
    <w:rsid w:val="002C7CEC"/>
    <w:rsid w:val="002D14AF"/>
    <w:rsid w:val="002D2450"/>
    <w:rsid w:val="002D26B2"/>
    <w:rsid w:val="002D2733"/>
    <w:rsid w:val="002D2B1A"/>
    <w:rsid w:val="002D3544"/>
    <w:rsid w:val="002D3D06"/>
    <w:rsid w:val="002D3DC1"/>
    <w:rsid w:val="002D44D2"/>
    <w:rsid w:val="002D5097"/>
    <w:rsid w:val="002D55E4"/>
    <w:rsid w:val="002D5705"/>
    <w:rsid w:val="002D6730"/>
    <w:rsid w:val="002D690D"/>
    <w:rsid w:val="002D6979"/>
    <w:rsid w:val="002D7E97"/>
    <w:rsid w:val="002E0F18"/>
    <w:rsid w:val="002E1A83"/>
    <w:rsid w:val="002E1C73"/>
    <w:rsid w:val="002E258E"/>
    <w:rsid w:val="002E356B"/>
    <w:rsid w:val="002E35AB"/>
    <w:rsid w:val="002E3691"/>
    <w:rsid w:val="002E4135"/>
    <w:rsid w:val="002E4958"/>
    <w:rsid w:val="002E52E0"/>
    <w:rsid w:val="002E63BE"/>
    <w:rsid w:val="002E6F76"/>
    <w:rsid w:val="002E7203"/>
    <w:rsid w:val="002E7775"/>
    <w:rsid w:val="002E7AD2"/>
    <w:rsid w:val="002E7D91"/>
    <w:rsid w:val="002F0392"/>
    <w:rsid w:val="002F0638"/>
    <w:rsid w:val="002F131D"/>
    <w:rsid w:val="002F1399"/>
    <w:rsid w:val="002F16FB"/>
    <w:rsid w:val="002F2434"/>
    <w:rsid w:val="002F32BE"/>
    <w:rsid w:val="002F32FB"/>
    <w:rsid w:val="002F4581"/>
    <w:rsid w:val="002F5611"/>
    <w:rsid w:val="002F5F5E"/>
    <w:rsid w:val="002F5F85"/>
    <w:rsid w:val="002F693F"/>
    <w:rsid w:val="003008CC"/>
    <w:rsid w:val="00300DB0"/>
    <w:rsid w:val="00301763"/>
    <w:rsid w:val="00301AD7"/>
    <w:rsid w:val="00302252"/>
    <w:rsid w:val="00302C76"/>
    <w:rsid w:val="00303C60"/>
    <w:rsid w:val="00304FB8"/>
    <w:rsid w:val="00305598"/>
    <w:rsid w:val="00305756"/>
    <w:rsid w:val="00305ACD"/>
    <w:rsid w:val="00305B5A"/>
    <w:rsid w:val="00305CB8"/>
    <w:rsid w:val="00306325"/>
    <w:rsid w:val="00307299"/>
    <w:rsid w:val="00310371"/>
    <w:rsid w:val="0031038B"/>
    <w:rsid w:val="00310B9B"/>
    <w:rsid w:val="00310C3F"/>
    <w:rsid w:val="00311DEC"/>
    <w:rsid w:val="003140D2"/>
    <w:rsid w:val="00314452"/>
    <w:rsid w:val="003147A2"/>
    <w:rsid w:val="003158F8"/>
    <w:rsid w:val="0031666B"/>
    <w:rsid w:val="003174B2"/>
    <w:rsid w:val="00317714"/>
    <w:rsid w:val="00320A17"/>
    <w:rsid w:val="00321027"/>
    <w:rsid w:val="003220D4"/>
    <w:rsid w:val="00322663"/>
    <w:rsid w:val="00322DA9"/>
    <w:rsid w:val="00323AF6"/>
    <w:rsid w:val="00323E73"/>
    <w:rsid w:val="0032482C"/>
    <w:rsid w:val="003251C2"/>
    <w:rsid w:val="00325B6F"/>
    <w:rsid w:val="00325FA0"/>
    <w:rsid w:val="00326F1C"/>
    <w:rsid w:val="00327162"/>
    <w:rsid w:val="00327D08"/>
    <w:rsid w:val="0033035F"/>
    <w:rsid w:val="003304C6"/>
    <w:rsid w:val="00330A0A"/>
    <w:rsid w:val="003315F8"/>
    <w:rsid w:val="003322AB"/>
    <w:rsid w:val="003328A9"/>
    <w:rsid w:val="00333319"/>
    <w:rsid w:val="00333881"/>
    <w:rsid w:val="003359E0"/>
    <w:rsid w:val="0033641C"/>
    <w:rsid w:val="003366AA"/>
    <w:rsid w:val="003371B5"/>
    <w:rsid w:val="00337BAF"/>
    <w:rsid w:val="00340341"/>
    <w:rsid w:val="003417CB"/>
    <w:rsid w:val="00342E93"/>
    <w:rsid w:val="003435A9"/>
    <w:rsid w:val="00343C1C"/>
    <w:rsid w:val="00343CC1"/>
    <w:rsid w:val="00343E98"/>
    <w:rsid w:val="00344285"/>
    <w:rsid w:val="00344649"/>
    <w:rsid w:val="00344AD9"/>
    <w:rsid w:val="00344DD6"/>
    <w:rsid w:val="00345196"/>
    <w:rsid w:val="00345496"/>
    <w:rsid w:val="00345782"/>
    <w:rsid w:val="00345876"/>
    <w:rsid w:val="00345BCF"/>
    <w:rsid w:val="0034600E"/>
    <w:rsid w:val="003466F9"/>
    <w:rsid w:val="00347CF4"/>
    <w:rsid w:val="00347D04"/>
    <w:rsid w:val="00347E26"/>
    <w:rsid w:val="00350092"/>
    <w:rsid w:val="0035056D"/>
    <w:rsid w:val="00350E3E"/>
    <w:rsid w:val="0035165E"/>
    <w:rsid w:val="003519AD"/>
    <w:rsid w:val="00351E0E"/>
    <w:rsid w:val="00352D03"/>
    <w:rsid w:val="00353D7D"/>
    <w:rsid w:val="00354DC0"/>
    <w:rsid w:val="00354EB4"/>
    <w:rsid w:val="003554CC"/>
    <w:rsid w:val="00356D29"/>
    <w:rsid w:val="003571C2"/>
    <w:rsid w:val="0035721F"/>
    <w:rsid w:val="003572E1"/>
    <w:rsid w:val="00357562"/>
    <w:rsid w:val="00361AD6"/>
    <w:rsid w:val="00362252"/>
    <w:rsid w:val="0036290D"/>
    <w:rsid w:val="003635EB"/>
    <w:rsid w:val="00363A62"/>
    <w:rsid w:val="003640A7"/>
    <w:rsid w:val="00365447"/>
    <w:rsid w:val="00365F3B"/>
    <w:rsid w:val="0036794E"/>
    <w:rsid w:val="003706B4"/>
    <w:rsid w:val="003710CE"/>
    <w:rsid w:val="00372155"/>
    <w:rsid w:val="00372772"/>
    <w:rsid w:val="00372F65"/>
    <w:rsid w:val="003735FD"/>
    <w:rsid w:val="0037437F"/>
    <w:rsid w:val="003746E2"/>
    <w:rsid w:val="00374FCB"/>
    <w:rsid w:val="00375112"/>
    <w:rsid w:val="003758F0"/>
    <w:rsid w:val="003764DB"/>
    <w:rsid w:val="00376A15"/>
    <w:rsid w:val="0038059E"/>
    <w:rsid w:val="0038081D"/>
    <w:rsid w:val="00380EFE"/>
    <w:rsid w:val="003812DA"/>
    <w:rsid w:val="0038146C"/>
    <w:rsid w:val="0038238C"/>
    <w:rsid w:val="00382609"/>
    <w:rsid w:val="0038301B"/>
    <w:rsid w:val="003830DE"/>
    <w:rsid w:val="00383744"/>
    <w:rsid w:val="00384444"/>
    <w:rsid w:val="003856C2"/>
    <w:rsid w:val="00386124"/>
    <w:rsid w:val="0038637B"/>
    <w:rsid w:val="003864D5"/>
    <w:rsid w:val="003866EA"/>
    <w:rsid w:val="003877B0"/>
    <w:rsid w:val="00387B0B"/>
    <w:rsid w:val="003904E4"/>
    <w:rsid w:val="00390567"/>
    <w:rsid w:val="00390E0A"/>
    <w:rsid w:val="003919CE"/>
    <w:rsid w:val="003923B1"/>
    <w:rsid w:val="003937BA"/>
    <w:rsid w:val="003945A1"/>
    <w:rsid w:val="00394AAA"/>
    <w:rsid w:val="00395097"/>
    <w:rsid w:val="00396270"/>
    <w:rsid w:val="00396555"/>
    <w:rsid w:val="003966F6"/>
    <w:rsid w:val="00396712"/>
    <w:rsid w:val="0039677D"/>
    <w:rsid w:val="00396A13"/>
    <w:rsid w:val="00396B29"/>
    <w:rsid w:val="003972AD"/>
    <w:rsid w:val="00397E6E"/>
    <w:rsid w:val="003A0660"/>
    <w:rsid w:val="003A0D52"/>
    <w:rsid w:val="003A1622"/>
    <w:rsid w:val="003A16C8"/>
    <w:rsid w:val="003A23DE"/>
    <w:rsid w:val="003A2ED1"/>
    <w:rsid w:val="003A3685"/>
    <w:rsid w:val="003A4C47"/>
    <w:rsid w:val="003A591F"/>
    <w:rsid w:val="003A6724"/>
    <w:rsid w:val="003A6E1A"/>
    <w:rsid w:val="003A78B3"/>
    <w:rsid w:val="003A7B19"/>
    <w:rsid w:val="003B01CF"/>
    <w:rsid w:val="003B0329"/>
    <w:rsid w:val="003B0BA1"/>
    <w:rsid w:val="003B1C65"/>
    <w:rsid w:val="003B24A9"/>
    <w:rsid w:val="003B2974"/>
    <w:rsid w:val="003B341A"/>
    <w:rsid w:val="003B3E5B"/>
    <w:rsid w:val="003B4217"/>
    <w:rsid w:val="003B425D"/>
    <w:rsid w:val="003B4599"/>
    <w:rsid w:val="003B4B0E"/>
    <w:rsid w:val="003B61B7"/>
    <w:rsid w:val="003B620A"/>
    <w:rsid w:val="003B68AA"/>
    <w:rsid w:val="003B6926"/>
    <w:rsid w:val="003B6D4F"/>
    <w:rsid w:val="003B6FB0"/>
    <w:rsid w:val="003B708D"/>
    <w:rsid w:val="003C00C6"/>
    <w:rsid w:val="003C0837"/>
    <w:rsid w:val="003C1AE2"/>
    <w:rsid w:val="003C31BB"/>
    <w:rsid w:val="003C3746"/>
    <w:rsid w:val="003C3FF0"/>
    <w:rsid w:val="003C426E"/>
    <w:rsid w:val="003C4F8F"/>
    <w:rsid w:val="003C5F05"/>
    <w:rsid w:val="003C6B59"/>
    <w:rsid w:val="003C770B"/>
    <w:rsid w:val="003D02E6"/>
    <w:rsid w:val="003D0747"/>
    <w:rsid w:val="003D1A0F"/>
    <w:rsid w:val="003D244F"/>
    <w:rsid w:val="003D299E"/>
    <w:rsid w:val="003D2C7C"/>
    <w:rsid w:val="003D4CEE"/>
    <w:rsid w:val="003D4F3C"/>
    <w:rsid w:val="003D543B"/>
    <w:rsid w:val="003D55E1"/>
    <w:rsid w:val="003D5E8F"/>
    <w:rsid w:val="003D641A"/>
    <w:rsid w:val="003D6950"/>
    <w:rsid w:val="003D6E52"/>
    <w:rsid w:val="003D71EB"/>
    <w:rsid w:val="003D7464"/>
    <w:rsid w:val="003D7C6B"/>
    <w:rsid w:val="003E03AA"/>
    <w:rsid w:val="003E0701"/>
    <w:rsid w:val="003E1044"/>
    <w:rsid w:val="003E1080"/>
    <w:rsid w:val="003E14D1"/>
    <w:rsid w:val="003E19BB"/>
    <w:rsid w:val="003E22CB"/>
    <w:rsid w:val="003E2343"/>
    <w:rsid w:val="003E320A"/>
    <w:rsid w:val="003E33E5"/>
    <w:rsid w:val="003E3A8A"/>
    <w:rsid w:val="003E406B"/>
    <w:rsid w:val="003E4154"/>
    <w:rsid w:val="003E4473"/>
    <w:rsid w:val="003E4DF4"/>
    <w:rsid w:val="003E4F68"/>
    <w:rsid w:val="003E4F96"/>
    <w:rsid w:val="003E4FF0"/>
    <w:rsid w:val="003E5299"/>
    <w:rsid w:val="003E5663"/>
    <w:rsid w:val="003E5CCA"/>
    <w:rsid w:val="003E5CEE"/>
    <w:rsid w:val="003E6BFC"/>
    <w:rsid w:val="003E75FE"/>
    <w:rsid w:val="003E7773"/>
    <w:rsid w:val="003F0391"/>
    <w:rsid w:val="003F0E45"/>
    <w:rsid w:val="003F0FF5"/>
    <w:rsid w:val="003F115E"/>
    <w:rsid w:val="003F14C2"/>
    <w:rsid w:val="003F2210"/>
    <w:rsid w:val="003F2B8A"/>
    <w:rsid w:val="003F2B9C"/>
    <w:rsid w:val="003F3304"/>
    <w:rsid w:val="003F35DA"/>
    <w:rsid w:val="003F36C6"/>
    <w:rsid w:val="003F37B9"/>
    <w:rsid w:val="003F4E76"/>
    <w:rsid w:val="003F515A"/>
    <w:rsid w:val="003F518D"/>
    <w:rsid w:val="003F535C"/>
    <w:rsid w:val="003F567D"/>
    <w:rsid w:val="003F570C"/>
    <w:rsid w:val="003F6679"/>
    <w:rsid w:val="003F671C"/>
    <w:rsid w:val="003F7196"/>
    <w:rsid w:val="00400236"/>
    <w:rsid w:val="0040047C"/>
    <w:rsid w:val="004007D7"/>
    <w:rsid w:val="0040088C"/>
    <w:rsid w:val="004008AF"/>
    <w:rsid w:val="00400B5F"/>
    <w:rsid w:val="00400DBD"/>
    <w:rsid w:val="004014C7"/>
    <w:rsid w:val="00401DBF"/>
    <w:rsid w:val="00402348"/>
    <w:rsid w:val="00402F38"/>
    <w:rsid w:val="00402F63"/>
    <w:rsid w:val="004030FB"/>
    <w:rsid w:val="004033D9"/>
    <w:rsid w:val="00403488"/>
    <w:rsid w:val="0040465C"/>
    <w:rsid w:val="00404A94"/>
    <w:rsid w:val="00404C3F"/>
    <w:rsid w:val="00404C8C"/>
    <w:rsid w:val="0040551F"/>
    <w:rsid w:val="00405896"/>
    <w:rsid w:val="00407638"/>
    <w:rsid w:val="0040771F"/>
    <w:rsid w:val="00407BC1"/>
    <w:rsid w:val="004107FB"/>
    <w:rsid w:val="004111F7"/>
    <w:rsid w:val="0041126D"/>
    <w:rsid w:val="004113A4"/>
    <w:rsid w:val="0041217D"/>
    <w:rsid w:val="004125C6"/>
    <w:rsid w:val="0041275F"/>
    <w:rsid w:val="0041367C"/>
    <w:rsid w:val="00415F95"/>
    <w:rsid w:val="00416055"/>
    <w:rsid w:val="004160FF"/>
    <w:rsid w:val="00421505"/>
    <w:rsid w:val="00421A89"/>
    <w:rsid w:val="00421EBC"/>
    <w:rsid w:val="00422A05"/>
    <w:rsid w:val="00422C74"/>
    <w:rsid w:val="0042304B"/>
    <w:rsid w:val="00423145"/>
    <w:rsid w:val="00423FCC"/>
    <w:rsid w:val="00424084"/>
    <w:rsid w:val="00424634"/>
    <w:rsid w:val="00424DFC"/>
    <w:rsid w:val="0042573D"/>
    <w:rsid w:val="00425804"/>
    <w:rsid w:val="00425847"/>
    <w:rsid w:val="00426531"/>
    <w:rsid w:val="0042714E"/>
    <w:rsid w:val="004273AD"/>
    <w:rsid w:val="004305AE"/>
    <w:rsid w:val="004314B6"/>
    <w:rsid w:val="00431800"/>
    <w:rsid w:val="00433541"/>
    <w:rsid w:val="004337DC"/>
    <w:rsid w:val="00433ACE"/>
    <w:rsid w:val="00433B5D"/>
    <w:rsid w:val="004342F5"/>
    <w:rsid w:val="004348D2"/>
    <w:rsid w:val="00434904"/>
    <w:rsid w:val="00434A33"/>
    <w:rsid w:val="00435CAD"/>
    <w:rsid w:val="00436514"/>
    <w:rsid w:val="00436B3D"/>
    <w:rsid w:val="00437120"/>
    <w:rsid w:val="00437FD1"/>
    <w:rsid w:val="004404EA"/>
    <w:rsid w:val="00440D01"/>
    <w:rsid w:val="0044131C"/>
    <w:rsid w:val="00441334"/>
    <w:rsid w:val="0044161E"/>
    <w:rsid w:val="00441CED"/>
    <w:rsid w:val="004423F7"/>
    <w:rsid w:val="004427C3"/>
    <w:rsid w:val="00442A49"/>
    <w:rsid w:val="00443950"/>
    <w:rsid w:val="00443E5F"/>
    <w:rsid w:val="00444268"/>
    <w:rsid w:val="00445804"/>
    <w:rsid w:val="0044599B"/>
    <w:rsid w:val="00445C6F"/>
    <w:rsid w:val="00446828"/>
    <w:rsid w:val="004468D6"/>
    <w:rsid w:val="0044690B"/>
    <w:rsid w:val="0044698B"/>
    <w:rsid w:val="00446BBE"/>
    <w:rsid w:val="00446D0A"/>
    <w:rsid w:val="0044732E"/>
    <w:rsid w:val="004473D2"/>
    <w:rsid w:val="0044782C"/>
    <w:rsid w:val="00450282"/>
    <w:rsid w:val="0045093D"/>
    <w:rsid w:val="00450E98"/>
    <w:rsid w:val="00451645"/>
    <w:rsid w:val="004521FB"/>
    <w:rsid w:val="00453047"/>
    <w:rsid w:val="00453288"/>
    <w:rsid w:val="004535CC"/>
    <w:rsid w:val="00454F8E"/>
    <w:rsid w:val="00455122"/>
    <w:rsid w:val="00455F83"/>
    <w:rsid w:val="004576F9"/>
    <w:rsid w:val="00457BDA"/>
    <w:rsid w:val="004602FC"/>
    <w:rsid w:val="004624A8"/>
    <w:rsid w:val="00462778"/>
    <w:rsid w:val="00462DEB"/>
    <w:rsid w:val="00463011"/>
    <w:rsid w:val="00463F12"/>
    <w:rsid w:val="00464F6C"/>
    <w:rsid w:val="00465F69"/>
    <w:rsid w:val="004672BA"/>
    <w:rsid w:val="00471350"/>
    <w:rsid w:val="00471D0D"/>
    <w:rsid w:val="00471F96"/>
    <w:rsid w:val="004727D0"/>
    <w:rsid w:val="004729D8"/>
    <w:rsid w:val="00472C52"/>
    <w:rsid w:val="00473807"/>
    <w:rsid w:val="004742FD"/>
    <w:rsid w:val="00474E01"/>
    <w:rsid w:val="004754F2"/>
    <w:rsid w:val="0047633B"/>
    <w:rsid w:val="00476704"/>
    <w:rsid w:val="00482804"/>
    <w:rsid w:val="0048288C"/>
    <w:rsid w:val="00482B47"/>
    <w:rsid w:val="0048323E"/>
    <w:rsid w:val="0048445E"/>
    <w:rsid w:val="00484557"/>
    <w:rsid w:val="00484AFA"/>
    <w:rsid w:val="00484DC5"/>
    <w:rsid w:val="00485306"/>
    <w:rsid w:val="00485675"/>
    <w:rsid w:val="004859E8"/>
    <w:rsid w:val="004871DB"/>
    <w:rsid w:val="00487936"/>
    <w:rsid w:val="00487C85"/>
    <w:rsid w:val="00490358"/>
    <w:rsid w:val="00490DC4"/>
    <w:rsid w:val="004911CA"/>
    <w:rsid w:val="0049155F"/>
    <w:rsid w:val="00491E0F"/>
    <w:rsid w:val="00492291"/>
    <w:rsid w:val="00494506"/>
    <w:rsid w:val="00494540"/>
    <w:rsid w:val="00494F64"/>
    <w:rsid w:val="00495262"/>
    <w:rsid w:val="00495CB6"/>
    <w:rsid w:val="00496BB6"/>
    <w:rsid w:val="00497B9F"/>
    <w:rsid w:val="004A0340"/>
    <w:rsid w:val="004A186F"/>
    <w:rsid w:val="004A2084"/>
    <w:rsid w:val="004A25DC"/>
    <w:rsid w:val="004A3940"/>
    <w:rsid w:val="004A3F03"/>
    <w:rsid w:val="004A3F76"/>
    <w:rsid w:val="004A4430"/>
    <w:rsid w:val="004A49C4"/>
    <w:rsid w:val="004A4FDF"/>
    <w:rsid w:val="004A5489"/>
    <w:rsid w:val="004A56D1"/>
    <w:rsid w:val="004A5A98"/>
    <w:rsid w:val="004A5E73"/>
    <w:rsid w:val="004A6C74"/>
    <w:rsid w:val="004A7385"/>
    <w:rsid w:val="004A7A52"/>
    <w:rsid w:val="004B0281"/>
    <w:rsid w:val="004B07CD"/>
    <w:rsid w:val="004B19FE"/>
    <w:rsid w:val="004B2204"/>
    <w:rsid w:val="004B2A4D"/>
    <w:rsid w:val="004B2A60"/>
    <w:rsid w:val="004B2F45"/>
    <w:rsid w:val="004B33C2"/>
    <w:rsid w:val="004B33C7"/>
    <w:rsid w:val="004B3AEB"/>
    <w:rsid w:val="004B4214"/>
    <w:rsid w:val="004B4984"/>
    <w:rsid w:val="004B49D6"/>
    <w:rsid w:val="004B5481"/>
    <w:rsid w:val="004B689D"/>
    <w:rsid w:val="004B7540"/>
    <w:rsid w:val="004B75AE"/>
    <w:rsid w:val="004B78A8"/>
    <w:rsid w:val="004C0E97"/>
    <w:rsid w:val="004C13DB"/>
    <w:rsid w:val="004C2EEA"/>
    <w:rsid w:val="004C39C3"/>
    <w:rsid w:val="004C48C8"/>
    <w:rsid w:val="004C49F1"/>
    <w:rsid w:val="004C598D"/>
    <w:rsid w:val="004C5A0C"/>
    <w:rsid w:val="004C5DC1"/>
    <w:rsid w:val="004C6364"/>
    <w:rsid w:val="004C68E7"/>
    <w:rsid w:val="004C6ADA"/>
    <w:rsid w:val="004C6DB7"/>
    <w:rsid w:val="004C748B"/>
    <w:rsid w:val="004D0B28"/>
    <w:rsid w:val="004D1510"/>
    <w:rsid w:val="004D30FE"/>
    <w:rsid w:val="004D31E1"/>
    <w:rsid w:val="004D352A"/>
    <w:rsid w:val="004D36E6"/>
    <w:rsid w:val="004D3897"/>
    <w:rsid w:val="004D3D4F"/>
    <w:rsid w:val="004D415E"/>
    <w:rsid w:val="004D4425"/>
    <w:rsid w:val="004D549A"/>
    <w:rsid w:val="004D72A4"/>
    <w:rsid w:val="004D7B89"/>
    <w:rsid w:val="004E0670"/>
    <w:rsid w:val="004E0D21"/>
    <w:rsid w:val="004E2971"/>
    <w:rsid w:val="004E2BD6"/>
    <w:rsid w:val="004E2EB8"/>
    <w:rsid w:val="004E3C0B"/>
    <w:rsid w:val="004E451F"/>
    <w:rsid w:val="004E5AEE"/>
    <w:rsid w:val="004E5E1A"/>
    <w:rsid w:val="004E727B"/>
    <w:rsid w:val="004F0109"/>
    <w:rsid w:val="004F068E"/>
    <w:rsid w:val="004F18AD"/>
    <w:rsid w:val="004F1D82"/>
    <w:rsid w:val="004F22F9"/>
    <w:rsid w:val="004F275C"/>
    <w:rsid w:val="004F2B52"/>
    <w:rsid w:val="004F321D"/>
    <w:rsid w:val="004F4062"/>
    <w:rsid w:val="004F46F4"/>
    <w:rsid w:val="004F4D27"/>
    <w:rsid w:val="004F4ECD"/>
    <w:rsid w:val="004F5E59"/>
    <w:rsid w:val="004F6001"/>
    <w:rsid w:val="004F6721"/>
    <w:rsid w:val="004F6AD3"/>
    <w:rsid w:val="004F7513"/>
    <w:rsid w:val="004F763D"/>
    <w:rsid w:val="00501386"/>
    <w:rsid w:val="00501762"/>
    <w:rsid w:val="0050179B"/>
    <w:rsid w:val="00501BAA"/>
    <w:rsid w:val="00501BD9"/>
    <w:rsid w:val="00501C25"/>
    <w:rsid w:val="005027A6"/>
    <w:rsid w:val="00502DAE"/>
    <w:rsid w:val="00502FFB"/>
    <w:rsid w:val="005038A0"/>
    <w:rsid w:val="00503B3B"/>
    <w:rsid w:val="00503E2D"/>
    <w:rsid w:val="00504A82"/>
    <w:rsid w:val="00504C2E"/>
    <w:rsid w:val="0050530D"/>
    <w:rsid w:val="00505E19"/>
    <w:rsid w:val="005061F1"/>
    <w:rsid w:val="00506229"/>
    <w:rsid w:val="00506589"/>
    <w:rsid w:val="005073F5"/>
    <w:rsid w:val="00507405"/>
    <w:rsid w:val="00507818"/>
    <w:rsid w:val="00507C74"/>
    <w:rsid w:val="005103C5"/>
    <w:rsid w:val="005106CD"/>
    <w:rsid w:val="00510914"/>
    <w:rsid w:val="00510B77"/>
    <w:rsid w:val="00511156"/>
    <w:rsid w:val="005113B1"/>
    <w:rsid w:val="00511F94"/>
    <w:rsid w:val="0051254D"/>
    <w:rsid w:val="00512CFE"/>
    <w:rsid w:val="005131D3"/>
    <w:rsid w:val="0051352C"/>
    <w:rsid w:val="005139A8"/>
    <w:rsid w:val="005145F6"/>
    <w:rsid w:val="00514FC2"/>
    <w:rsid w:val="00515BFA"/>
    <w:rsid w:val="00515EB3"/>
    <w:rsid w:val="0051684F"/>
    <w:rsid w:val="00517A86"/>
    <w:rsid w:val="00522790"/>
    <w:rsid w:val="005231BA"/>
    <w:rsid w:val="0052349D"/>
    <w:rsid w:val="00523558"/>
    <w:rsid w:val="00523778"/>
    <w:rsid w:val="00524647"/>
    <w:rsid w:val="00524BE8"/>
    <w:rsid w:val="00525507"/>
    <w:rsid w:val="0052575D"/>
    <w:rsid w:val="0052666E"/>
    <w:rsid w:val="00526C92"/>
    <w:rsid w:val="00526FA0"/>
    <w:rsid w:val="005275FC"/>
    <w:rsid w:val="0052768C"/>
    <w:rsid w:val="00530194"/>
    <w:rsid w:val="00530896"/>
    <w:rsid w:val="00530CCA"/>
    <w:rsid w:val="005310AF"/>
    <w:rsid w:val="00531CC2"/>
    <w:rsid w:val="0053204F"/>
    <w:rsid w:val="00532AAA"/>
    <w:rsid w:val="005342C3"/>
    <w:rsid w:val="005347B6"/>
    <w:rsid w:val="0053526D"/>
    <w:rsid w:val="00535954"/>
    <w:rsid w:val="00536136"/>
    <w:rsid w:val="005362F5"/>
    <w:rsid w:val="0053725B"/>
    <w:rsid w:val="00537469"/>
    <w:rsid w:val="005407B1"/>
    <w:rsid w:val="00540C57"/>
    <w:rsid w:val="0054270D"/>
    <w:rsid w:val="00544FBA"/>
    <w:rsid w:val="00544FDE"/>
    <w:rsid w:val="00545773"/>
    <w:rsid w:val="00545A6E"/>
    <w:rsid w:val="00545F77"/>
    <w:rsid w:val="0054675D"/>
    <w:rsid w:val="0054745B"/>
    <w:rsid w:val="00547C5B"/>
    <w:rsid w:val="005506F3"/>
    <w:rsid w:val="00550FCE"/>
    <w:rsid w:val="00551E8C"/>
    <w:rsid w:val="005531BD"/>
    <w:rsid w:val="005544FB"/>
    <w:rsid w:val="00556467"/>
    <w:rsid w:val="005567B2"/>
    <w:rsid w:val="00557320"/>
    <w:rsid w:val="00557870"/>
    <w:rsid w:val="00557A12"/>
    <w:rsid w:val="00557C37"/>
    <w:rsid w:val="00560277"/>
    <w:rsid w:val="00560938"/>
    <w:rsid w:val="00560AF1"/>
    <w:rsid w:val="00561550"/>
    <w:rsid w:val="00561562"/>
    <w:rsid w:val="00561A8A"/>
    <w:rsid w:val="005620A2"/>
    <w:rsid w:val="00562725"/>
    <w:rsid w:val="0056296E"/>
    <w:rsid w:val="00562FDB"/>
    <w:rsid w:val="005633EF"/>
    <w:rsid w:val="00563DE6"/>
    <w:rsid w:val="005648C1"/>
    <w:rsid w:val="005651CA"/>
    <w:rsid w:val="0056528D"/>
    <w:rsid w:val="00566010"/>
    <w:rsid w:val="0056628B"/>
    <w:rsid w:val="00566298"/>
    <w:rsid w:val="0056718F"/>
    <w:rsid w:val="005673C6"/>
    <w:rsid w:val="0057091E"/>
    <w:rsid w:val="005716B4"/>
    <w:rsid w:val="00571D03"/>
    <w:rsid w:val="00572003"/>
    <w:rsid w:val="005723D6"/>
    <w:rsid w:val="00572E26"/>
    <w:rsid w:val="005735B4"/>
    <w:rsid w:val="0057441C"/>
    <w:rsid w:val="00574661"/>
    <w:rsid w:val="00574A6E"/>
    <w:rsid w:val="00574BE9"/>
    <w:rsid w:val="00574FBB"/>
    <w:rsid w:val="0057507C"/>
    <w:rsid w:val="00575754"/>
    <w:rsid w:val="00576D2D"/>
    <w:rsid w:val="00576D5C"/>
    <w:rsid w:val="00577145"/>
    <w:rsid w:val="005773BE"/>
    <w:rsid w:val="00580408"/>
    <w:rsid w:val="005808AA"/>
    <w:rsid w:val="00580D83"/>
    <w:rsid w:val="00581080"/>
    <w:rsid w:val="005817F4"/>
    <w:rsid w:val="00582365"/>
    <w:rsid w:val="00583371"/>
    <w:rsid w:val="00585A44"/>
    <w:rsid w:val="00585BB7"/>
    <w:rsid w:val="00585C1B"/>
    <w:rsid w:val="00586171"/>
    <w:rsid w:val="00586705"/>
    <w:rsid w:val="00586ACD"/>
    <w:rsid w:val="00587639"/>
    <w:rsid w:val="00587B80"/>
    <w:rsid w:val="00587C7B"/>
    <w:rsid w:val="00587F0F"/>
    <w:rsid w:val="0059009F"/>
    <w:rsid w:val="00590272"/>
    <w:rsid w:val="0059100A"/>
    <w:rsid w:val="0059135A"/>
    <w:rsid w:val="00591366"/>
    <w:rsid w:val="00591EBB"/>
    <w:rsid w:val="00592464"/>
    <w:rsid w:val="00592638"/>
    <w:rsid w:val="00593138"/>
    <w:rsid w:val="00593A33"/>
    <w:rsid w:val="005947B5"/>
    <w:rsid w:val="005949BB"/>
    <w:rsid w:val="00594BB8"/>
    <w:rsid w:val="0059582E"/>
    <w:rsid w:val="00595BB6"/>
    <w:rsid w:val="005960BB"/>
    <w:rsid w:val="005961CB"/>
    <w:rsid w:val="00596728"/>
    <w:rsid w:val="00597407"/>
    <w:rsid w:val="00597800"/>
    <w:rsid w:val="005979AC"/>
    <w:rsid w:val="005A01B2"/>
    <w:rsid w:val="005A0237"/>
    <w:rsid w:val="005A0496"/>
    <w:rsid w:val="005A1445"/>
    <w:rsid w:val="005A1517"/>
    <w:rsid w:val="005A285D"/>
    <w:rsid w:val="005A33BF"/>
    <w:rsid w:val="005A4047"/>
    <w:rsid w:val="005A4384"/>
    <w:rsid w:val="005A4F4E"/>
    <w:rsid w:val="005A58F4"/>
    <w:rsid w:val="005A7012"/>
    <w:rsid w:val="005A73A2"/>
    <w:rsid w:val="005A75D3"/>
    <w:rsid w:val="005A7979"/>
    <w:rsid w:val="005A7A5E"/>
    <w:rsid w:val="005A7BFF"/>
    <w:rsid w:val="005B0577"/>
    <w:rsid w:val="005B1308"/>
    <w:rsid w:val="005B13D1"/>
    <w:rsid w:val="005B1C07"/>
    <w:rsid w:val="005B1C47"/>
    <w:rsid w:val="005B2D07"/>
    <w:rsid w:val="005B341B"/>
    <w:rsid w:val="005B3432"/>
    <w:rsid w:val="005B3BB0"/>
    <w:rsid w:val="005B3BD6"/>
    <w:rsid w:val="005B6355"/>
    <w:rsid w:val="005B71B1"/>
    <w:rsid w:val="005B7D6C"/>
    <w:rsid w:val="005C0723"/>
    <w:rsid w:val="005C0EE4"/>
    <w:rsid w:val="005C0FAF"/>
    <w:rsid w:val="005C1812"/>
    <w:rsid w:val="005C2C2C"/>
    <w:rsid w:val="005C466F"/>
    <w:rsid w:val="005C4900"/>
    <w:rsid w:val="005C4C9C"/>
    <w:rsid w:val="005C6455"/>
    <w:rsid w:val="005C6A98"/>
    <w:rsid w:val="005C6C02"/>
    <w:rsid w:val="005C6DB1"/>
    <w:rsid w:val="005C7215"/>
    <w:rsid w:val="005C73C4"/>
    <w:rsid w:val="005D00C2"/>
    <w:rsid w:val="005D00EA"/>
    <w:rsid w:val="005D0122"/>
    <w:rsid w:val="005D023B"/>
    <w:rsid w:val="005D02C4"/>
    <w:rsid w:val="005D0604"/>
    <w:rsid w:val="005D19E1"/>
    <w:rsid w:val="005D2304"/>
    <w:rsid w:val="005D3A04"/>
    <w:rsid w:val="005D48FE"/>
    <w:rsid w:val="005D4C83"/>
    <w:rsid w:val="005D55F9"/>
    <w:rsid w:val="005D7471"/>
    <w:rsid w:val="005D749D"/>
    <w:rsid w:val="005E0BF1"/>
    <w:rsid w:val="005E1A15"/>
    <w:rsid w:val="005E2702"/>
    <w:rsid w:val="005E4ED4"/>
    <w:rsid w:val="005E5874"/>
    <w:rsid w:val="005E59A3"/>
    <w:rsid w:val="005E5B61"/>
    <w:rsid w:val="005E6B73"/>
    <w:rsid w:val="005E75D5"/>
    <w:rsid w:val="005E7A6E"/>
    <w:rsid w:val="005E7A98"/>
    <w:rsid w:val="005F0D3A"/>
    <w:rsid w:val="005F1124"/>
    <w:rsid w:val="005F13D1"/>
    <w:rsid w:val="005F1555"/>
    <w:rsid w:val="005F248C"/>
    <w:rsid w:val="005F2890"/>
    <w:rsid w:val="005F2978"/>
    <w:rsid w:val="005F3267"/>
    <w:rsid w:val="005F4721"/>
    <w:rsid w:val="005F4AB2"/>
    <w:rsid w:val="005F5C3E"/>
    <w:rsid w:val="005F5CC0"/>
    <w:rsid w:val="005F70AC"/>
    <w:rsid w:val="005F7196"/>
    <w:rsid w:val="005F720A"/>
    <w:rsid w:val="005F734B"/>
    <w:rsid w:val="005F7592"/>
    <w:rsid w:val="00600643"/>
    <w:rsid w:val="006016CB"/>
    <w:rsid w:val="00601E08"/>
    <w:rsid w:val="00602087"/>
    <w:rsid w:val="00602C1B"/>
    <w:rsid w:val="00602D8F"/>
    <w:rsid w:val="00602F43"/>
    <w:rsid w:val="006032CB"/>
    <w:rsid w:val="006039B8"/>
    <w:rsid w:val="00603B08"/>
    <w:rsid w:val="00603D77"/>
    <w:rsid w:val="0060440E"/>
    <w:rsid w:val="00604B72"/>
    <w:rsid w:val="006054BA"/>
    <w:rsid w:val="0060566B"/>
    <w:rsid w:val="00605776"/>
    <w:rsid w:val="006069FE"/>
    <w:rsid w:val="00607941"/>
    <w:rsid w:val="00607C20"/>
    <w:rsid w:val="00607D34"/>
    <w:rsid w:val="00607F92"/>
    <w:rsid w:val="00610162"/>
    <w:rsid w:val="00610519"/>
    <w:rsid w:val="00610ABA"/>
    <w:rsid w:val="00611497"/>
    <w:rsid w:val="00612DCD"/>
    <w:rsid w:val="00613037"/>
    <w:rsid w:val="006132D9"/>
    <w:rsid w:val="006135AB"/>
    <w:rsid w:val="006138A7"/>
    <w:rsid w:val="006138E4"/>
    <w:rsid w:val="00613ADD"/>
    <w:rsid w:val="006144B5"/>
    <w:rsid w:val="006144F6"/>
    <w:rsid w:val="0061476C"/>
    <w:rsid w:val="00614B9A"/>
    <w:rsid w:val="00614BCA"/>
    <w:rsid w:val="006152A9"/>
    <w:rsid w:val="006155C6"/>
    <w:rsid w:val="00616407"/>
    <w:rsid w:val="00620E5A"/>
    <w:rsid w:val="00621043"/>
    <w:rsid w:val="006215D7"/>
    <w:rsid w:val="00622A06"/>
    <w:rsid w:val="00623CDA"/>
    <w:rsid w:val="006242CB"/>
    <w:rsid w:val="00624498"/>
    <w:rsid w:val="006244B8"/>
    <w:rsid w:val="00624979"/>
    <w:rsid w:val="00624A00"/>
    <w:rsid w:val="006250E9"/>
    <w:rsid w:val="00625137"/>
    <w:rsid w:val="0062599D"/>
    <w:rsid w:val="00625A41"/>
    <w:rsid w:val="00625B5B"/>
    <w:rsid w:val="00625D7B"/>
    <w:rsid w:val="006260A1"/>
    <w:rsid w:val="00626FA0"/>
    <w:rsid w:val="00627055"/>
    <w:rsid w:val="00627714"/>
    <w:rsid w:val="006314E6"/>
    <w:rsid w:val="0063249F"/>
    <w:rsid w:val="006330EE"/>
    <w:rsid w:val="00633B2F"/>
    <w:rsid w:val="0063512B"/>
    <w:rsid w:val="00635D52"/>
    <w:rsid w:val="00636573"/>
    <w:rsid w:val="006365A2"/>
    <w:rsid w:val="00636FBE"/>
    <w:rsid w:val="006375A4"/>
    <w:rsid w:val="00637B1A"/>
    <w:rsid w:val="0064012A"/>
    <w:rsid w:val="00640C31"/>
    <w:rsid w:val="00641505"/>
    <w:rsid w:val="00641C7F"/>
    <w:rsid w:val="006421C6"/>
    <w:rsid w:val="00642F6D"/>
    <w:rsid w:val="00643226"/>
    <w:rsid w:val="006435E4"/>
    <w:rsid w:val="00643AA2"/>
    <w:rsid w:val="006449A4"/>
    <w:rsid w:val="00644BF0"/>
    <w:rsid w:val="006459EF"/>
    <w:rsid w:val="006461F2"/>
    <w:rsid w:val="006465F3"/>
    <w:rsid w:val="00646BEC"/>
    <w:rsid w:val="00646DC8"/>
    <w:rsid w:val="00652004"/>
    <w:rsid w:val="006526C7"/>
    <w:rsid w:val="006534BF"/>
    <w:rsid w:val="006537D7"/>
    <w:rsid w:val="0065444A"/>
    <w:rsid w:val="00654758"/>
    <w:rsid w:val="006549FA"/>
    <w:rsid w:val="00654F68"/>
    <w:rsid w:val="00655CF9"/>
    <w:rsid w:val="00655D45"/>
    <w:rsid w:val="00656B78"/>
    <w:rsid w:val="0065714C"/>
    <w:rsid w:val="00657B23"/>
    <w:rsid w:val="00660488"/>
    <w:rsid w:val="00660776"/>
    <w:rsid w:val="00660A74"/>
    <w:rsid w:val="00660F6A"/>
    <w:rsid w:val="006619BC"/>
    <w:rsid w:val="0066276F"/>
    <w:rsid w:val="00662E5F"/>
    <w:rsid w:val="006634B2"/>
    <w:rsid w:val="00663730"/>
    <w:rsid w:val="00664055"/>
    <w:rsid w:val="00664434"/>
    <w:rsid w:val="0066521F"/>
    <w:rsid w:val="0066561F"/>
    <w:rsid w:val="00665BDD"/>
    <w:rsid w:val="006662B5"/>
    <w:rsid w:val="00666A58"/>
    <w:rsid w:val="00670650"/>
    <w:rsid w:val="006712C0"/>
    <w:rsid w:val="006728F5"/>
    <w:rsid w:val="00672C81"/>
    <w:rsid w:val="0067317B"/>
    <w:rsid w:val="00673372"/>
    <w:rsid w:val="00673443"/>
    <w:rsid w:val="006739B8"/>
    <w:rsid w:val="00674254"/>
    <w:rsid w:val="006744AC"/>
    <w:rsid w:val="00674C7D"/>
    <w:rsid w:val="006759A7"/>
    <w:rsid w:val="00676289"/>
    <w:rsid w:val="00676B56"/>
    <w:rsid w:val="00677FC9"/>
    <w:rsid w:val="0068052B"/>
    <w:rsid w:val="00680B40"/>
    <w:rsid w:val="00680E4E"/>
    <w:rsid w:val="00681B74"/>
    <w:rsid w:val="00681EC9"/>
    <w:rsid w:val="0068227E"/>
    <w:rsid w:val="006822FA"/>
    <w:rsid w:val="0068288C"/>
    <w:rsid w:val="00682B1D"/>
    <w:rsid w:val="00682C95"/>
    <w:rsid w:val="00683F36"/>
    <w:rsid w:val="006853D6"/>
    <w:rsid w:val="00685589"/>
    <w:rsid w:val="00686086"/>
    <w:rsid w:val="0068682C"/>
    <w:rsid w:val="00686982"/>
    <w:rsid w:val="00686C24"/>
    <w:rsid w:val="00686F6D"/>
    <w:rsid w:val="00687D63"/>
    <w:rsid w:val="00687DE0"/>
    <w:rsid w:val="00690227"/>
    <w:rsid w:val="006906E8"/>
    <w:rsid w:val="00690751"/>
    <w:rsid w:val="00691395"/>
    <w:rsid w:val="00692AD7"/>
    <w:rsid w:val="006935EE"/>
    <w:rsid w:val="006938AA"/>
    <w:rsid w:val="0069474B"/>
    <w:rsid w:val="0069475D"/>
    <w:rsid w:val="00694839"/>
    <w:rsid w:val="00694E38"/>
    <w:rsid w:val="00694E5E"/>
    <w:rsid w:val="00695349"/>
    <w:rsid w:val="00695DF6"/>
    <w:rsid w:val="00696510"/>
    <w:rsid w:val="00696A7A"/>
    <w:rsid w:val="00697966"/>
    <w:rsid w:val="00697983"/>
    <w:rsid w:val="00697A57"/>
    <w:rsid w:val="006A1272"/>
    <w:rsid w:val="006A172C"/>
    <w:rsid w:val="006A23D6"/>
    <w:rsid w:val="006A2725"/>
    <w:rsid w:val="006A29A2"/>
    <w:rsid w:val="006A3978"/>
    <w:rsid w:val="006A3A2B"/>
    <w:rsid w:val="006A4864"/>
    <w:rsid w:val="006A49F5"/>
    <w:rsid w:val="006A4B6D"/>
    <w:rsid w:val="006A4E80"/>
    <w:rsid w:val="006A5152"/>
    <w:rsid w:val="006A6BF1"/>
    <w:rsid w:val="006A7691"/>
    <w:rsid w:val="006A7C1F"/>
    <w:rsid w:val="006B022F"/>
    <w:rsid w:val="006B0252"/>
    <w:rsid w:val="006B0898"/>
    <w:rsid w:val="006B0AEC"/>
    <w:rsid w:val="006B0C76"/>
    <w:rsid w:val="006B123D"/>
    <w:rsid w:val="006B23C5"/>
    <w:rsid w:val="006B2C6C"/>
    <w:rsid w:val="006B2CEA"/>
    <w:rsid w:val="006B3032"/>
    <w:rsid w:val="006B3278"/>
    <w:rsid w:val="006B4AE6"/>
    <w:rsid w:val="006B4B4A"/>
    <w:rsid w:val="006B4D20"/>
    <w:rsid w:val="006B5872"/>
    <w:rsid w:val="006B64CE"/>
    <w:rsid w:val="006B698A"/>
    <w:rsid w:val="006B75C6"/>
    <w:rsid w:val="006B7B5F"/>
    <w:rsid w:val="006C0E5C"/>
    <w:rsid w:val="006C11A2"/>
    <w:rsid w:val="006C19DD"/>
    <w:rsid w:val="006C1C65"/>
    <w:rsid w:val="006C2196"/>
    <w:rsid w:val="006C354C"/>
    <w:rsid w:val="006C3B76"/>
    <w:rsid w:val="006C4572"/>
    <w:rsid w:val="006C5C9B"/>
    <w:rsid w:val="006C674A"/>
    <w:rsid w:val="006C6EA6"/>
    <w:rsid w:val="006C70E6"/>
    <w:rsid w:val="006C70E7"/>
    <w:rsid w:val="006C7307"/>
    <w:rsid w:val="006C7B03"/>
    <w:rsid w:val="006C7D47"/>
    <w:rsid w:val="006D05CC"/>
    <w:rsid w:val="006D069B"/>
    <w:rsid w:val="006D0EC2"/>
    <w:rsid w:val="006D1CF6"/>
    <w:rsid w:val="006D2ABB"/>
    <w:rsid w:val="006D44E4"/>
    <w:rsid w:val="006D4C72"/>
    <w:rsid w:val="006D4E4C"/>
    <w:rsid w:val="006D54DB"/>
    <w:rsid w:val="006D5585"/>
    <w:rsid w:val="006D5F76"/>
    <w:rsid w:val="006D6D96"/>
    <w:rsid w:val="006D7211"/>
    <w:rsid w:val="006D756B"/>
    <w:rsid w:val="006D75C8"/>
    <w:rsid w:val="006E004F"/>
    <w:rsid w:val="006E0763"/>
    <w:rsid w:val="006E0D38"/>
    <w:rsid w:val="006E10AB"/>
    <w:rsid w:val="006E163D"/>
    <w:rsid w:val="006E1745"/>
    <w:rsid w:val="006E1F2D"/>
    <w:rsid w:val="006E1FFC"/>
    <w:rsid w:val="006E2A9B"/>
    <w:rsid w:val="006E3FB4"/>
    <w:rsid w:val="006E46F5"/>
    <w:rsid w:val="006E4F03"/>
    <w:rsid w:val="006E6278"/>
    <w:rsid w:val="006E72D0"/>
    <w:rsid w:val="006E7C7B"/>
    <w:rsid w:val="006F0CA1"/>
    <w:rsid w:val="006F0D46"/>
    <w:rsid w:val="006F0F35"/>
    <w:rsid w:val="006F1B5B"/>
    <w:rsid w:val="006F2112"/>
    <w:rsid w:val="006F23DD"/>
    <w:rsid w:val="006F2534"/>
    <w:rsid w:val="006F2E13"/>
    <w:rsid w:val="006F38EC"/>
    <w:rsid w:val="006F4454"/>
    <w:rsid w:val="006F5158"/>
    <w:rsid w:val="006F6149"/>
    <w:rsid w:val="006F6903"/>
    <w:rsid w:val="006F6D90"/>
    <w:rsid w:val="006F6FBE"/>
    <w:rsid w:val="006F71F4"/>
    <w:rsid w:val="00700950"/>
    <w:rsid w:val="00700B6B"/>
    <w:rsid w:val="00701009"/>
    <w:rsid w:val="00701136"/>
    <w:rsid w:val="00702447"/>
    <w:rsid w:val="00702F3D"/>
    <w:rsid w:val="0070319A"/>
    <w:rsid w:val="00703CB4"/>
    <w:rsid w:val="007050BF"/>
    <w:rsid w:val="00705708"/>
    <w:rsid w:val="00705A6E"/>
    <w:rsid w:val="00706477"/>
    <w:rsid w:val="0070788B"/>
    <w:rsid w:val="00707C18"/>
    <w:rsid w:val="007103A9"/>
    <w:rsid w:val="00711FFC"/>
    <w:rsid w:val="007124EE"/>
    <w:rsid w:val="00712647"/>
    <w:rsid w:val="00712EC8"/>
    <w:rsid w:val="00713D2A"/>
    <w:rsid w:val="007141C3"/>
    <w:rsid w:val="007158BC"/>
    <w:rsid w:val="00716AD2"/>
    <w:rsid w:val="00717026"/>
    <w:rsid w:val="007203CA"/>
    <w:rsid w:val="00720B03"/>
    <w:rsid w:val="00720F8A"/>
    <w:rsid w:val="007226F5"/>
    <w:rsid w:val="007228A3"/>
    <w:rsid w:val="00722BAD"/>
    <w:rsid w:val="00722C0B"/>
    <w:rsid w:val="007234CE"/>
    <w:rsid w:val="00723B2C"/>
    <w:rsid w:val="0072402D"/>
    <w:rsid w:val="00724214"/>
    <w:rsid w:val="007247D7"/>
    <w:rsid w:val="00724ED0"/>
    <w:rsid w:val="00724F92"/>
    <w:rsid w:val="007253D6"/>
    <w:rsid w:val="0072578A"/>
    <w:rsid w:val="0072597A"/>
    <w:rsid w:val="00725A7D"/>
    <w:rsid w:val="00727990"/>
    <w:rsid w:val="00730300"/>
    <w:rsid w:val="00731673"/>
    <w:rsid w:val="00732567"/>
    <w:rsid w:val="00733063"/>
    <w:rsid w:val="00733A33"/>
    <w:rsid w:val="00734594"/>
    <w:rsid w:val="00734B40"/>
    <w:rsid w:val="0073582D"/>
    <w:rsid w:val="00736116"/>
    <w:rsid w:val="0073682E"/>
    <w:rsid w:val="0073688A"/>
    <w:rsid w:val="0073792C"/>
    <w:rsid w:val="007418F4"/>
    <w:rsid w:val="00741C94"/>
    <w:rsid w:val="0074257A"/>
    <w:rsid w:val="0074399E"/>
    <w:rsid w:val="007443FD"/>
    <w:rsid w:val="0074453F"/>
    <w:rsid w:val="0074591A"/>
    <w:rsid w:val="0074627F"/>
    <w:rsid w:val="0074672C"/>
    <w:rsid w:val="00746A57"/>
    <w:rsid w:val="00747434"/>
    <w:rsid w:val="0074788B"/>
    <w:rsid w:val="0075026E"/>
    <w:rsid w:val="00750878"/>
    <w:rsid w:val="007508EB"/>
    <w:rsid w:val="0075137C"/>
    <w:rsid w:val="007515CD"/>
    <w:rsid w:val="00752242"/>
    <w:rsid w:val="007535B1"/>
    <w:rsid w:val="00753EF0"/>
    <w:rsid w:val="0075418A"/>
    <w:rsid w:val="00755C5B"/>
    <w:rsid w:val="007563A2"/>
    <w:rsid w:val="007564AE"/>
    <w:rsid w:val="007568D6"/>
    <w:rsid w:val="00757861"/>
    <w:rsid w:val="00757DF7"/>
    <w:rsid w:val="007602C9"/>
    <w:rsid w:val="007604F0"/>
    <w:rsid w:val="00761702"/>
    <w:rsid w:val="0076260D"/>
    <w:rsid w:val="00762CF8"/>
    <w:rsid w:val="00763B77"/>
    <w:rsid w:val="00763CFE"/>
    <w:rsid w:val="00763E7E"/>
    <w:rsid w:val="00764A5A"/>
    <w:rsid w:val="007662B9"/>
    <w:rsid w:val="0076659F"/>
    <w:rsid w:val="00766BF6"/>
    <w:rsid w:val="0076702C"/>
    <w:rsid w:val="007675F7"/>
    <w:rsid w:val="00767F6C"/>
    <w:rsid w:val="007700F9"/>
    <w:rsid w:val="007703C8"/>
    <w:rsid w:val="00770B54"/>
    <w:rsid w:val="007712FC"/>
    <w:rsid w:val="00771E23"/>
    <w:rsid w:val="00772180"/>
    <w:rsid w:val="007721E7"/>
    <w:rsid w:val="0077230E"/>
    <w:rsid w:val="00772829"/>
    <w:rsid w:val="00772EA3"/>
    <w:rsid w:val="00773370"/>
    <w:rsid w:val="00773D73"/>
    <w:rsid w:val="00773EEB"/>
    <w:rsid w:val="00773FB5"/>
    <w:rsid w:val="007746AF"/>
    <w:rsid w:val="00774857"/>
    <w:rsid w:val="00774EC1"/>
    <w:rsid w:val="00775024"/>
    <w:rsid w:val="00775769"/>
    <w:rsid w:val="00777848"/>
    <w:rsid w:val="00777893"/>
    <w:rsid w:val="00777959"/>
    <w:rsid w:val="0078091E"/>
    <w:rsid w:val="00780A07"/>
    <w:rsid w:val="00781686"/>
    <w:rsid w:val="00781982"/>
    <w:rsid w:val="007819D0"/>
    <w:rsid w:val="0078219A"/>
    <w:rsid w:val="00783387"/>
    <w:rsid w:val="00784341"/>
    <w:rsid w:val="007845CF"/>
    <w:rsid w:val="007852E9"/>
    <w:rsid w:val="007861B2"/>
    <w:rsid w:val="0078657E"/>
    <w:rsid w:val="00790B15"/>
    <w:rsid w:val="00790F49"/>
    <w:rsid w:val="00791E6A"/>
    <w:rsid w:val="0079297C"/>
    <w:rsid w:val="007931CB"/>
    <w:rsid w:val="00793460"/>
    <w:rsid w:val="007940F1"/>
    <w:rsid w:val="00794145"/>
    <w:rsid w:val="007951D4"/>
    <w:rsid w:val="00795426"/>
    <w:rsid w:val="00795E8F"/>
    <w:rsid w:val="00796B39"/>
    <w:rsid w:val="00796DB9"/>
    <w:rsid w:val="007971E3"/>
    <w:rsid w:val="007977DB"/>
    <w:rsid w:val="00797939"/>
    <w:rsid w:val="0079795D"/>
    <w:rsid w:val="00797C46"/>
    <w:rsid w:val="007A03D1"/>
    <w:rsid w:val="007A1291"/>
    <w:rsid w:val="007A19F6"/>
    <w:rsid w:val="007A1E5C"/>
    <w:rsid w:val="007A22AF"/>
    <w:rsid w:val="007A2778"/>
    <w:rsid w:val="007A2B65"/>
    <w:rsid w:val="007A2C8E"/>
    <w:rsid w:val="007A36F4"/>
    <w:rsid w:val="007A5617"/>
    <w:rsid w:val="007A58A1"/>
    <w:rsid w:val="007A5C6B"/>
    <w:rsid w:val="007A60DF"/>
    <w:rsid w:val="007A777B"/>
    <w:rsid w:val="007A7B45"/>
    <w:rsid w:val="007A7D7B"/>
    <w:rsid w:val="007B00C2"/>
    <w:rsid w:val="007B0245"/>
    <w:rsid w:val="007B083F"/>
    <w:rsid w:val="007B0880"/>
    <w:rsid w:val="007B0D01"/>
    <w:rsid w:val="007B0FA8"/>
    <w:rsid w:val="007B17EB"/>
    <w:rsid w:val="007B2085"/>
    <w:rsid w:val="007B2FDC"/>
    <w:rsid w:val="007B38A0"/>
    <w:rsid w:val="007B38B7"/>
    <w:rsid w:val="007B3CAB"/>
    <w:rsid w:val="007B4F7B"/>
    <w:rsid w:val="007B55B6"/>
    <w:rsid w:val="007B583D"/>
    <w:rsid w:val="007B6684"/>
    <w:rsid w:val="007B6946"/>
    <w:rsid w:val="007B6B21"/>
    <w:rsid w:val="007B7024"/>
    <w:rsid w:val="007B71EC"/>
    <w:rsid w:val="007B79E4"/>
    <w:rsid w:val="007C0390"/>
    <w:rsid w:val="007C04B7"/>
    <w:rsid w:val="007C0859"/>
    <w:rsid w:val="007C14A2"/>
    <w:rsid w:val="007C296A"/>
    <w:rsid w:val="007C300E"/>
    <w:rsid w:val="007C328D"/>
    <w:rsid w:val="007C336F"/>
    <w:rsid w:val="007C3B1B"/>
    <w:rsid w:val="007C3D4F"/>
    <w:rsid w:val="007C3DDB"/>
    <w:rsid w:val="007C41B1"/>
    <w:rsid w:val="007C69A2"/>
    <w:rsid w:val="007C719C"/>
    <w:rsid w:val="007C7AFD"/>
    <w:rsid w:val="007D02AB"/>
    <w:rsid w:val="007D2072"/>
    <w:rsid w:val="007D30B7"/>
    <w:rsid w:val="007D3B9B"/>
    <w:rsid w:val="007D42AB"/>
    <w:rsid w:val="007D4DC1"/>
    <w:rsid w:val="007D5473"/>
    <w:rsid w:val="007D5B6E"/>
    <w:rsid w:val="007D5C7A"/>
    <w:rsid w:val="007D63F5"/>
    <w:rsid w:val="007D767B"/>
    <w:rsid w:val="007D7685"/>
    <w:rsid w:val="007E0246"/>
    <w:rsid w:val="007E0713"/>
    <w:rsid w:val="007E1283"/>
    <w:rsid w:val="007E15AD"/>
    <w:rsid w:val="007E25ED"/>
    <w:rsid w:val="007E2B1C"/>
    <w:rsid w:val="007E2BC0"/>
    <w:rsid w:val="007E4FCA"/>
    <w:rsid w:val="007E50E6"/>
    <w:rsid w:val="007E6AE9"/>
    <w:rsid w:val="007E6CF6"/>
    <w:rsid w:val="007F04DD"/>
    <w:rsid w:val="007F2894"/>
    <w:rsid w:val="007F2D33"/>
    <w:rsid w:val="007F4C9B"/>
    <w:rsid w:val="007F6160"/>
    <w:rsid w:val="007F67E9"/>
    <w:rsid w:val="007F6C04"/>
    <w:rsid w:val="007F6DB5"/>
    <w:rsid w:val="007F6E06"/>
    <w:rsid w:val="007F77DA"/>
    <w:rsid w:val="007F7C7B"/>
    <w:rsid w:val="00800499"/>
    <w:rsid w:val="0080087A"/>
    <w:rsid w:val="008009D9"/>
    <w:rsid w:val="0080148E"/>
    <w:rsid w:val="00801FB5"/>
    <w:rsid w:val="00803064"/>
    <w:rsid w:val="0080367A"/>
    <w:rsid w:val="00803AB8"/>
    <w:rsid w:val="00803E57"/>
    <w:rsid w:val="008040A2"/>
    <w:rsid w:val="0080462D"/>
    <w:rsid w:val="00804632"/>
    <w:rsid w:val="00804D2C"/>
    <w:rsid w:val="00804E1B"/>
    <w:rsid w:val="008054D9"/>
    <w:rsid w:val="008059DE"/>
    <w:rsid w:val="00805B0E"/>
    <w:rsid w:val="00806688"/>
    <w:rsid w:val="00806747"/>
    <w:rsid w:val="00807A3E"/>
    <w:rsid w:val="00807ED4"/>
    <w:rsid w:val="0081013B"/>
    <w:rsid w:val="00810338"/>
    <w:rsid w:val="0081040C"/>
    <w:rsid w:val="00810B03"/>
    <w:rsid w:val="00810C5F"/>
    <w:rsid w:val="008113E0"/>
    <w:rsid w:val="00812282"/>
    <w:rsid w:val="00812A4A"/>
    <w:rsid w:val="0081372E"/>
    <w:rsid w:val="008138CB"/>
    <w:rsid w:val="0081398C"/>
    <w:rsid w:val="0081399D"/>
    <w:rsid w:val="008141C9"/>
    <w:rsid w:val="00814765"/>
    <w:rsid w:val="008148E4"/>
    <w:rsid w:val="008157F1"/>
    <w:rsid w:val="008163E4"/>
    <w:rsid w:val="0081670F"/>
    <w:rsid w:val="00816EC2"/>
    <w:rsid w:val="008170EE"/>
    <w:rsid w:val="008174DC"/>
    <w:rsid w:val="00820539"/>
    <w:rsid w:val="0082085B"/>
    <w:rsid w:val="00820F4F"/>
    <w:rsid w:val="008212BE"/>
    <w:rsid w:val="00822588"/>
    <w:rsid w:val="008236E1"/>
    <w:rsid w:val="00824458"/>
    <w:rsid w:val="00824740"/>
    <w:rsid w:val="0082489C"/>
    <w:rsid w:val="008249F7"/>
    <w:rsid w:val="00824B74"/>
    <w:rsid w:val="00824E2B"/>
    <w:rsid w:val="008259FF"/>
    <w:rsid w:val="00826665"/>
    <w:rsid w:val="00827027"/>
    <w:rsid w:val="00830D20"/>
    <w:rsid w:val="00831679"/>
    <w:rsid w:val="008316AD"/>
    <w:rsid w:val="00831761"/>
    <w:rsid w:val="00831785"/>
    <w:rsid w:val="008322EB"/>
    <w:rsid w:val="008328FE"/>
    <w:rsid w:val="008332A7"/>
    <w:rsid w:val="00833728"/>
    <w:rsid w:val="00833C91"/>
    <w:rsid w:val="00833D93"/>
    <w:rsid w:val="008357D5"/>
    <w:rsid w:val="00835901"/>
    <w:rsid w:val="00835EC9"/>
    <w:rsid w:val="0083639F"/>
    <w:rsid w:val="00840CAD"/>
    <w:rsid w:val="00840FDF"/>
    <w:rsid w:val="00841388"/>
    <w:rsid w:val="00841EFB"/>
    <w:rsid w:val="00841F44"/>
    <w:rsid w:val="00841F83"/>
    <w:rsid w:val="00842C76"/>
    <w:rsid w:val="00842C82"/>
    <w:rsid w:val="008436D7"/>
    <w:rsid w:val="008440FE"/>
    <w:rsid w:val="00846119"/>
    <w:rsid w:val="0084632F"/>
    <w:rsid w:val="00846C61"/>
    <w:rsid w:val="008474E3"/>
    <w:rsid w:val="00850653"/>
    <w:rsid w:val="00850A8F"/>
    <w:rsid w:val="00851704"/>
    <w:rsid w:val="00851964"/>
    <w:rsid w:val="00851DCC"/>
    <w:rsid w:val="00852072"/>
    <w:rsid w:val="008527ED"/>
    <w:rsid w:val="00852D72"/>
    <w:rsid w:val="008537F7"/>
    <w:rsid w:val="008539A9"/>
    <w:rsid w:val="008546BE"/>
    <w:rsid w:val="008550EA"/>
    <w:rsid w:val="00855119"/>
    <w:rsid w:val="00855F83"/>
    <w:rsid w:val="00856074"/>
    <w:rsid w:val="0085679E"/>
    <w:rsid w:val="008577B0"/>
    <w:rsid w:val="00857949"/>
    <w:rsid w:val="00860F7B"/>
    <w:rsid w:val="0086258F"/>
    <w:rsid w:val="008626A5"/>
    <w:rsid w:val="00863072"/>
    <w:rsid w:val="008634D1"/>
    <w:rsid w:val="00864130"/>
    <w:rsid w:val="00866E06"/>
    <w:rsid w:val="008676B2"/>
    <w:rsid w:val="008677A3"/>
    <w:rsid w:val="00867B84"/>
    <w:rsid w:val="00867DAA"/>
    <w:rsid w:val="00867E2B"/>
    <w:rsid w:val="008719C2"/>
    <w:rsid w:val="00871A3C"/>
    <w:rsid w:val="00871E40"/>
    <w:rsid w:val="00872215"/>
    <w:rsid w:val="00872493"/>
    <w:rsid w:val="008725B8"/>
    <w:rsid w:val="0087277A"/>
    <w:rsid w:val="00872A47"/>
    <w:rsid w:val="008736E2"/>
    <w:rsid w:val="00873F09"/>
    <w:rsid w:val="00874565"/>
    <w:rsid w:val="00874FC2"/>
    <w:rsid w:val="00875264"/>
    <w:rsid w:val="00875D77"/>
    <w:rsid w:val="00875F51"/>
    <w:rsid w:val="0087714F"/>
    <w:rsid w:val="00877247"/>
    <w:rsid w:val="008779D5"/>
    <w:rsid w:val="00880055"/>
    <w:rsid w:val="008801AE"/>
    <w:rsid w:val="008804EC"/>
    <w:rsid w:val="008809F2"/>
    <w:rsid w:val="00880AA3"/>
    <w:rsid w:val="0088184F"/>
    <w:rsid w:val="00881F97"/>
    <w:rsid w:val="008829F9"/>
    <w:rsid w:val="00883A56"/>
    <w:rsid w:val="0088421C"/>
    <w:rsid w:val="0088445B"/>
    <w:rsid w:val="00884D00"/>
    <w:rsid w:val="0088569C"/>
    <w:rsid w:val="00885B98"/>
    <w:rsid w:val="0088640B"/>
    <w:rsid w:val="0088657C"/>
    <w:rsid w:val="00891AD9"/>
    <w:rsid w:val="00891AF6"/>
    <w:rsid w:val="00891BC3"/>
    <w:rsid w:val="008937C8"/>
    <w:rsid w:val="00893B42"/>
    <w:rsid w:val="00894B89"/>
    <w:rsid w:val="00895C29"/>
    <w:rsid w:val="00895F50"/>
    <w:rsid w:val="008963EC"/>
    <w:rsid w:val="0089675C"/>
    <w:rsid w:val="008967C4"/>
    <w:rsid w:val="00896A37"/>
    <w:rsid w:val="008A0673"/>
    <w:rsid w:val="008A0D2A"/>
    <w:rsid w:val="008A1379"/>
    <w:rsid w:val="008A1693"/>
    <w:rsid w:val="008A16B1"/>
    <w:rsid w:val="008A1EA7"/>
    <w:rsid w:val="008A2218"/>
    <w:rsid w:val="008A22DF"/>
    <w:rsid w:val="008A254F"/>
    <w:rsid w:val="008A2630"/>
    <w:rsid w:val="008A3823"/>
    <w:rsid w:val="008A47D1"/>
    <w:rsid w:val="008A57BA"/>
    <w:rsid w:val="008A5833"/>
    <w:rsid w:val="008A5BF2"/>
    <w:rsid w:val="008A5F43"/>
    <w:rsid w:val="008A5FF1"/>
    <w:rsid w:val="008A608F"/>
    <w:rsid w:val="008A7EEB"/>
    <w:rsid w:val="008B294F"/>
    <w:rsid w:val="008B2AA7"/>
    <w:rsid w:val="008B2F7D"/>
    <w:rsid w:val="008B38AE"/>
    <w:rsid w:val="008B3A88"/>
    <w:rsid w:val="008B3AFB"/>
    <w:rsid w:val="008B4BFC"/>
    <w:rsid w:val="008B51B4"/>
    <w:rsid w:val="008B554A"/>
    <w:rsid w:val="008B5B67"/>
    <w:rsid w:val="008B5D7A"/>
    <w:rsid w:val="008B66E3"/>
    <w:rsid w:val="008B6D80"/>
    <w:rsid w:val="008B6E55"/>
    <w:rsid w:val="008B7848"/>
    <w:rsid w:val="008B7EAB"/>
    <w:rsid w:val="008C0E8B"/>
    <w:rsid w:val="008C17BB"/>
    <w:rsid w:val="008C1E05"/>
    <w:rsid w:val="008C28E7"/>
    <w:rsid w:val="008C34BB"/>
    <w:rsid w:val="008C38BC"/>
    <w:rsid w:val="008C3CAA"/>
    <w:rsid w:val="008C45E2"/>
    <w:rsid w:val="008C4C01"/>
    <w:rsid w:val="008C5203"/>
    <w:rsid w:val="008C6F93"/>
    <w:rsid w:val="008C757F"/>
    <w:rsid w:val="008C7E55"/>
    <w:rsid w:val="008D07DA"/>
    <w:rsid w:val="008D2910"/>
    <w:rsid w:val="008D2A3A"/>
    <w:rsid w:val="008D3726"/>
    <w:rsid w:val="008D4C24"/>
    <w:rsid w:val="008D4CB0"/>
    <w:rsid w:val="008D6237"/>
    <w:rsid w:val="008D6397"/>
    <w:rsid w:val="008D73C9"/>
    <w:rsid w:val="008D7D3C"/>
    <w:rsid w:val="008D7EA5"/>
    <w:rsid w:val="008E0C09"/>
    <w:rsid w:val="008E1144"/>
    <w:rsid w:val="008E13B9"/>
    <w:rsid w:val="008E16BF"/>
    <w:rsid w:val="008E204D"/>
    <w:rsid w:val="008E2C58"/>
    <w:rsid w:val="008E3049"/>
    <w:rsid w:val="008E312D"/>
    <w:rsid w:val="008E35A3"/>
    <w:rsid w:val="008E43A2"/>
    <w:rsid w:val="008E4BE7"/>
    <w:rsid w:val="008E4FF4"/>
    <w:rsid w:val="008E594E"/>
    <w:rsid w:val="008E6C25"/>
    <w:rsid w:val="008E7274"/>
    <w:rsid w:val="008E732A"/>
    <w:rsid w:val="008E761B"/>
    <w:rsid w:val="008F0562"/>
    <w:rsid w:val="008F0759"/>
    <w:rsid w:val="008F08A6"/>
    <w:rsid w:val="008F2042"/>
    <w:rsid w:val="008F2139"/>
    <w:rsid w:val="008F260B"/>
    <w:rsid w:val="008F4991"/>
    <w:rsid w:val="008F59E0"/>
    <w:rsid w:val="008F5B02"/>
    <w:rsid w:val="008F6F73"/>
    <w:rsid w:val="008F7D8D"/>
    <w:rsid w:val="008F7F77"/>
    <w:rsid w:val="0090011D"/>
    <w:rsid w:val="00900667"/>
    <w:rsid w:val="00900884"/>
    <w:rsid w:val="00900C89"/>
    <w:rsid w:val="00900E42"/>
    <w:rsid w:val="00901121"/>
    <w:rsid w:val="00901734"/>
    <w:rsid w:val="0090218E"/>
    <w:rsid w:val="00903C7C"/>
    <w:rsid w:val="0090416B"/>
    <w:rsid w:val="009047EF"/>
    <w:rsid w:val="009049AE"/>
    <w:rsid w:val="009050BC"/>
    <w:rsid w:val="0090511D"/>
    <w:rsid w:val="00905F09"/>
    <w:rsid w:val="00905F8D"/>
    <w:rsid w:val="0090603F"/>
    <w:rsid w:val="0090652A"/>
    <w:rsid w:val="00906821"/>
    <w:rsid w:val="009068BE"/>
    <w:rsid w:val="00906E65"/>
    <w:rsid w:val="00907210"/>
    <w:rsid w:val="009107D8"/>
    <w:rsid w:val="0091313C"/>
    <w:rsid w:val="009144D5"/>
    <w:rsid w:val="00914B1C"/>
    <w:rsid w:val="0091583D"/>
    <w:rsid w:val="00915F98"/>
    <w:rsid w:val="00915FA3"/>
    <w:rsid w:val="00916417"/>
    <w:rsid w:val="00916F4A"/>
    <w:rsid w:val="00917ADD"/>
    <w:rsid w:val="00917FC0"/>
    <w:rsid w:val="0092081A"/>
    <w:rsid w:val="00921556"/>
    <w:rsid w:val="009217F8"/>
    <w:rsid w:val="00921D3C"/>
    <w:rsid w:val="0092470E"/>
    <w:rsid w:val="00924F46"/>
    <w:rsid w:val="00925187"/>
    <w:rsid w:val="0092611C"/>
    <w:rsid w:val="00926731"/>
    <w:rsid w:val="0092709C"/>
    <w:rsid w:val="0092717F"/>
    <w:rsid w:val="00927744"/>
    <w:rsid w:val="00927B05"/>
    <w:rsid w:val="00927F5C"/>
    <w:rsid w:val="00930C7A"/>
    <w:rsid w:val="00930DE3"/>
    <w:rsid w:val="00930F4E"/>
    <w:rsid w:val="00932AB8"/>
    <w:rsid w:val="00932DD9"/>
    <w:rsid w:val="00932DDE"/>
    <w:rsid w:val="00933D09"/>
    <w:rsid w:val="0093508B"/>
    <w:rsid w:val="00936062"/>
    <w:rsid w:val="0093678E"/>
    <w:rsid w:val="00936DC7"/>
    <w:rsid w:val="009370DD"/>
    <w:rsid w:val="00937204"/>
    <w:rsid w:val="009379FE"/>
    <w:rsid w:val="00937AC4"/>
    <w:rsid w:val="00937CBE"/>
    <w:rsid w:val="00940FFD"/>
    <w:rsid w:val="00941E61"/>
    <w:rsid w:val="00944087"/>
    <w:rsid w:val="00944109"/>
    <w:rsid w:val="00944B7C"/>
    <w:rsid w:val="00944DAC"/>
    <w:rsid w:val="00944E74"/>
    <w:rsid w:val="00944FE2"/>
    <w:rsid w:val="00945131"/>
    <w:rsid w:val="00945335"/>
    <w:rsid w:val="00945741"/>
    <w:rsid w:val="00946CC4"/>
    <w:rsid w:val="00947F41"/>
    <w:rsid w:val="0095012E"/>
    <w:rsid w:val="00950212"/>
    <w:rsid w:val="009504AE"/>
    <w:rsid w:val="009516E8"/>
    <w:rsid w:val="00951934"/>
    <w:rsid w:val="0095207B"/>
    <w:rsid w:val="0095456D"/>
    <w:rsid w:val="0095495D"/>
    <w:rsid w:val="00954C8C"/>
    <w:rsid w:val="00954DBC"/>
    <w:rsid w:val="009552CC"/>
    <w:rsid w:val="00955A24"/>
    <w:rsid w:val="00955F57"/>
    <w:rsid w:val="00956ACE"/>
    <w:rsid w:val="00956D6F"/>
    <w:rsid w:val="009572A0"/>
    <w:rsid w:val="00957963"/>
    <w:rsid w:val="00957D24"/>
    <w:rsid w:val="00960C85"/>
    <w:rsid w:val="00960DCF"/>
    <w:rsid w:val="00961208"/>
    <w:rsid w:val="009615A9"/>
    <w:rsid w:val="00961B53"/>
    <w:rsid w:val="00961CC9"/>
    <w:rsid w:val="009622B3"/>
    <w:rsid w:val="009622F9"/>
    <w:rsid w:val="00962656"/>
    <w:rsid w:val="0096272C"/>
    <w:rsid w:val="00963264"/>
    <w:rsid w:val="0096389D"/>
    <w:rsid w:val="00963E17"/>
    <w:rsid w:val="0096520E"/>
    <w:rsid w:val="00965665"/>
    <w:rsid w:val="0096577E"/>
    <w:rsid w:val="00966AEE"/>
    <w:rsid w:val="009676C0"/>
    <w:rsid w:val="00970C35"/>
    <w:rsid w:val="00971085"/>
    <w:rsid w:val="00971B2C"/>
    <w:rsid w:val="00971D9B"/>
    <w:rsid w:val="00972270"/>
    <w:rsid w:val="00972308"/>
    <w:rsid w:val="00972BE0"/>
    <w:rsid w:val="00972FF6"/>
    <w:rsid w:val="009741DF"/>
    <w:rsid w:val="00975B8A"/>
    <w:rsid w:val="009779C8"/>
    <w:rsid w:val="009803A9"/>
    <w:rsid w:val="009803CB"/>
    <w:rsid w:val="009803D4"/>
    <w:rsid w:val="009807A2"/>
    <w:rsid w:val="0098199C"/>
    <w:rsid w:val="00982A44"/>
    <w:rsid w:val="00983021"/>
    <w:rsid w:val="009842E8"/>
    <w:rsid w:val="00984345"/>
    <w:rsid w:val="00984CE2"/>
    <w:rsid w:val="00985BC7"/>
    <w:rsid w:val="009873F3"/>
    <w:rsid w:val="00987DCE"/>
    <w:rsid w:val="00987DE0"/>
    <w:rsid w:val="0099088A"/>
    <w:rsid w:val="00992FC1"/>
    <w:rsid w:val="00993618"/>
    <w:rsid w:val="009943B5"/>
    <w:rsid w:val="00994BE3"/>
    <w:rsid w:val="00995A52"/>
    <w:rsid w:val="00995E98"/>
    <w:rsid w:val="00996F0B"/>
    <w:rsid w:val="00996F15"/>
    <w:rsid w:val="00997BA8"/>
    <w:rsid w:val="009A02D5"/>
    <w:rsid w:val="009A06F4"/>
    <w:rsid w:val="009A10EB"/>
    <w:rsid w:val="009A12F7"/>
    <w:rsid w:val="009A152D"/>
    <w:rsid w:val="009A2A42"/>
    <w:rsid w:val="009A3199"/>
    <w:rsid w:val="009A3778"/>
    <w:rsid w:val="009A3E2E"/>
    <w:rsid w:val="009A3FCB"/>
    <w:rsid w:val="009A4DDD"/>
    <w:rsid w:val="009A5664"/>
    <w:rsid w:val="009A5B61"/>
    <w:rsid w:val="009A5D75"/>
    <w:rsid w:val="009A68A3"/>
    <w:rsid w:val="009A73F0"/>
    <w:rsid w:val="009A76AC"/>
    <w:rsid w:val="009A795E"/>
    <w:rsid w:val="009A7F34"/>
    <w:rsid w:val="009B090D"/>
    <w:rsid w:val="009B0941"/>
    <w:rsid w:val="009B2245"/>
    <w:rsid w:val="009B258E"/>
    <w:rsid w:val="009B2AF4"/>
    <w:rsid w:val="009B2CCC"/>
    <w:rsid w:val="009B373F"/>
    <w:rsid w:val="009B5123"/>
    <w:rsid w:val="009B58DA"/>
    <w:rsid w:val="009B5997"/>
    <w:rsid w:val="009B6B23"/>
    <w:rsid w:val="009B7A68"/>
    <w:rsid w:val="009B7ABD"/>
    <w:rsid w:val="009B7EF5"/>
    <w:rsid w:val="009C0152"/>
    <w:rsid w:val="009C1CB4"/>
    <w:rsid w:val="009C1D27"/>
    <w:rsid w:val="009C2735"/>
    <w:rsid w:val="009C3BD9"/>
    <w:rsid w:val="009C3DF3"/>
    <w:rsid w:val="009C4B22"/>
    <w:rsid w:val="009C5404"/>
    <w:rsid w:val="009C5B82"/>
    <w:rsid w:val="009C70AA"/>
    <w:rsid w:val="009C756E"/>
    <w:rsid w:val="009D0B7A"/>
    <w:rsid w:val="009D16B2"/>
    <w:rsid w:val="009D219A"/>
    <w:rsid w:val="009D21BE"/>
    <w:rsid w:val="009D28E6"/>
    <w:rsid w:val="009D31F8"/>
    <w:rsid w:val="009D342F"/>
    <w:rsid w:val="009D3741"/>
    <w:rsid w:val="009D3950"/>
    <w:rsid w:val="009D3C3D"/>
    <w:rsid w:val="009D486D"/>
    <w:rsid w:val="009D4C82"/>
    <w:rsid w:val="009D5288"/>
    <w:rsid w:val="009D5C62"/>
    <w:rsid w:val="009D5EA1"/>
    <w:rsid w:val="009D5F5D"/>
    <w:rsid w:val="009D72CC"/>
    <w:rsid w:val="009D7D55"/>
    <w:rsid w:val="009D7FE7"/>
    <w:rsid w:val="009E06BE"/>
    <w:rsid w:val="009E1328"/>
    <w:rsid w:val="009E1595"/>
    <w:rsid w:val="009E212B"/>
    <w:rsid w:val="009E2AD3"/>
    <w:rsid w:val="009E31AF"/>
    <w:rsid w:val="009E47E5"/>
    <w:rsid w:val="009E4B7A"/>
    <w:rsid w:val="009E5FCD"/>
    <w:rsid w:val="009E60B5"/>
    <w:rsid w:val="009E71B8"/>
    <w:rsid w:val="009E7FFA"/>
    <w:rsid w:val="009F146F"/>
    <w:rsid w:val="009F1A6E"/>
    <w:rsid w:val="009F3C75"/>
    <w:rsid w:val="009F411F"/>
    <w:rsid w:val="009F51BF"/>
    <w:rsid w:val="009F6CB8"/>
    <w:rsid w:val="009F6EFF"/>
    <w:rsid w:val="009F752C"/>
    <w:rsid w:val="009F79DB"/>
    <w:rsid w:val="00A0037E"/>
    <w:rsid w:val="00A0046A"/>
    <w:rsid w:val="00A01303"/>
    <w:rsid w:val="00A018FD"/>
    <w:rsid w:val="00A020D7"/>
    <w:rsid w:val="00A028A1"/>
    <w:rsid w:val="00A02C4F"/>
    <w:rsid w:val="00A02C80"/>
    <w:rsid w:val="00A02D2A"/>
    <w:rsid w:val="00A03DBC"/>
    <w:rsid w:val="00A04097"/>
    <w:rsid w:val="00A04A09"/>
    <w:rsid w:val="00A05821"/>
    <w:rsid w:val="00A05AA7"/>
    <w:rsid w:val="00A05D1D"/>
    <w:rsid w:val="00A05E81"/>
    <w:rsid w:val="00A05EA2"/>
    <w:rsid w:val="00A062BA"/>
    <w:rsid w:val="00A06777"/>
    <w:rsid w:val="00A0682F"/>
    <w:rsid w:val="00A076CC"/>
    <w:rsid w:val="00A07815"/>
    <w:rsid w:val="00A07EC5"/>
    <w:rsid w:val="00A1021F"/>
    <w:rsid w:val="00A10BE0"/>
    <w:rsid w:val="00A10D58"/>
    <w:rsid w:val="00A1165C"/>
    <w:rsid w:val="00A1167E"/>
    <w:rsid w:val="00A11C95"/>
    <w:rsid w:val="00A125D6"/>
    <w:rsid w:val="00A129E9"/>
    <w:rsid w:val="00A12A45"/>
    <w:rsid w:val="00A12DCE"/>
    <w:rsid w:val="00A13865"/>
    <w:rsid w:val="00A1463E"/>
    <w:rsid w:val="00A148AB"/>
    <w:rsid w:val="00A1490E"/>
    <w:rsid w:val="00A14ADD"/>
    <w:rsid w:val="00A14E53"/>
    <w:rsid w:val="00A15580"/>
    <w:rsid w:val="00A15FE7"/>
    <w:rsid w:val="00A16449"/>
    <w:rsid w:val="00A20244"/>
    <w:rsid w:val="00A20B83"/>
    <w:rsid w:val="00A21648"/>
    <w:rsid w:val="00A22031"/>
    <w:rsid w:val="00A22073"/>
    <w:rsid w:val="00A22225"/>
    <w:rsid w:val="00A22EFC"/>
    <w:rsid w:val="00A23F7C"/>
    <w:rsid w:val="00A260FC"/>
    <w:rsid w:val="00A26389"/>
    <w:rsid w:val="00A2696F"/>
    <w:rsid w:val="00A26A18"/>
    <w:rsid w:val="00A27442"/>
    <w:rsid w:val="00A274B0"/>
    <w:rsid w:val="00A303B8"/>
    <w:rsid w:val="00A3191C"/>
    <w:rsid w:val="00A32821"/>
    <w:rsid w:val="00A328F3"/>
    <w:rsid w:val="00A3351A"/>
    <w:rsid w:val="00A34195"/>
    <w:rsid w:val="00A34735"/>
    <w:rsid w:val="00A34A98"/>
    <w:rsid w:val="00A35A81"/>
    <w:rsid w:val="00A361C3"/>
    <w:rsid w:val="00A36AD3"/>
    <w:rsid w:val="00A36B0C"/>
    <w:rsid w:val="00A405C0"/>
    <w:rsid w:val="00A40756"/>
    <w:rsid w:val="00A41024"/>
    <w:rsid w:val="00A411FA"/>
    <w:rsid w:val="00A412DE"/>
    <w:rsid w:val="00A418D0"/>
    <w:rsid w:val="00A4194F"/>
    <w:rsid w:val="00A42328"/>
    <w:rsid w:val="00A42EC4"/>
    <w:rsid w:val="00A43755"/>
    <w:rsid w:val="00A44940"/>
    <w:rsid w:val="00A44AA3"/>
    <w:rsid w:val="00A44EC1"/>
    <w:rsid w:val="00A454B3"/>
    <w:rsid w:val="00A45E52"/>
    <w:rsid w:val="00A46652"/>
    <w:rsid w:val="00A46A10"/>
    <w:rsid w:val="00A46D15"/>
    <w:rsid w:val="00A4713D"/>
    <w:rsid w:val="00A507C4"/>
    <w:rsid w:val="00A5153D"/>
    <w:rsid w:val="00A5276A"/>
    <w:rsid w:val="00A5323B"/>
    <w:rsid w:val="00A533DF"/>
    <w:rsid w:val="00A53EDF"/>
    <w:rsid w:val="00A54A6C"/>
    <w:rsid w:val="00A54FB4"/>
    <w:rsid w:val="00A55D8E"/>
    <w:rsid w:val="00A565B5"/>
    <w:rsid w:val="00A56739"/>
    <w:rsid w:val="00A56BA9"/>
    <w:rsid w:val="00A56DE0"/>
    <w:rsid w:val="00A57A73"/>
    <w:rsid w:val="00A57AA2"/>
    <w:rsid w:val="00A57FE3"/>
    <w:rsid w:val="00A60ADD"/>
    <w:rsid w:val="00A60EB5"/>
    <w:rsid w:val="00A6146F"/>
    <w:rsid w:val="00A61C17"/>
    <w:rsid w:val="00A63C18"/>
    <w:rsid w:val="00A64660"/>
    <w:rsid w:val="00A64F40"/>
    <w:rsid w:val="00A65A07"/>
    <w:rsid w:val="00A662DC"/>
    <w:rsid w:val="00A6634E"/>
    <w:rsid w:val="00A6741B"/>
    <w:rsid w:val="00A67564"/>
    <w:rsid w:val="00A67EFC"/>
    <w:rsid w:val="00A706B6"/>
    <w:rsid w:val="00A71E02"/>
    <w:rsid w:val="00A720D2"/>
    <w:rsid w:val="00A7299C"/>
    <w:rsid w:val="00A72E11"/>
    <w:rsid w:val="00A735B9"/>
    <w:rsid w:val="00A74226"/>
    <w:rsid w:val="00A74717"/>
    <w:rsid w:val="00A747AC"/>
    <w:rsid w:val="00A748A7"/>
    <w:rsid w:val="00A752BF"/>
    <w:rsid w:val="00A757B0"/>
    <w:rsid w:val="00A75C5D"/>
    <w:rsid w:val="00A75DCB"/>
    <w:rsid w:val="00A75E80"/>
    <w:rsid w:val="00A76270"/>
    <w:rsid w:val="00A76D09"/>
    <w:rsid w:val="00A7736F"/>
    <w:rsid w:val="00A776A4"/>
    <w:rsid w:val="00A8049D"/>
    <w:rsid w:val="00A80B26"/>
    <w:rsid w:val="00A8119D"/>
    <w:rsid w:val="00A818BB"/>
    <w:rsid w:val="00A822C2"/>
    <w:rsid w:val="00A8282A"/>
    <w:rsid w:val="00A82990"/>
    <w:rsid w:val="00A82A24"/>
    <w:rsid w:val="00A82C1E"/>
    <w:rsid w:val="00A82DAE"/>
    <w:rsid w:val="00A83DF5"/>
    <w:rsid w:val="00A8461F"/>
    <w:rsid w:val="00A87697"/>
    <w:rsid w:val="00A87E8F"/>
    <w:rsid w:val="00A90401"/>
    <w:rsid w:val="00A9079E"/>
    <w:rsid w:val="00A90FA4"/>
    <w:rsid w:val="00A91C82"/>
    <w:rsid w:val="00A91E38"/>
    <w:rsid w:val="00A91F6C"/>
    <w:rsid w:val="00A921E3"/>
    <w:rsid w:val="00A92BC8"/>
    <w:rsid w:val="00A9368E"/>
    <w:rsid w:val="00A94502"/>
    <w:rsid w:val="00A946D1"/>
    <w:rsid w:val="00A949D5"/>
    <w:rsid w:val="00A94D20"/>
    <w:rsid w:val="00A94E94"/>
    <w:rsid w:val="00A95BD9"/>
    <w:rsid w:val="00A9619C"/>
    <w:rsid w:val="00A96316"/>
    <w:rsid w:val="00A96886"/>
    <w:rsid w:val="00A9740B"/>
    <w:rsid w:val="00A9752B"/>
    <w:rsid w:val="00A97B2E"/>
    <w:rsid w:val="00A97DB6"/>
    <w:rsid w:val="00AA0B33"/>
    <w:rsid w:val="00AA216C"/>
    <w:rsid w:val="00AA2461"/>
    <w:rsid w:val="00AA2574"/>
    <w:rsid w:val="00AA2837"/>
    <w:rsid w:val="00AA2865"/>
    <w:rsid w:val="00AA3A9B"/>
    <w:rsid w:val="00AA3BF1"/>
    <w:rsid w:val="00AA445C"/>
    <w:rsid w:val="00AA5410"/>
    <w:rsid w:val="00AA5F98"/>
    <w:rsid w:val="00AA697D"/>
    <w:rsid w:val="00AB03B1"/>
    <w:rsid w:val="00AB0A40"/>
    <w:rsid w:val="00AB0BE5"/>
    <w:rsid w:val="00AB110D"/>
    <w:rsid w:val="00AB1291"/>
    <w:rsid w:val="00AB21C6"/>
    <w:rsid w:val="00AB2841"/>
    <w:rsid w:val="00AB39FB"/>
    <w:rsid w:val="00AB401E"/>
    <w:rsid w:val="00AB4B83"/>
    <w:rsid w:val="00AB5856"/>
    <w:rsid w:val="00AB5B81"/>
    <w:rsid w:val="00AB704A"/>
    <w:rsid w:val="00AB71D1"/>
    <w:rsid w:val="00AC03A8"/>
    <w:rsid w:val="00AC0C00"/>
    <w:rsid w:val="00AC0C04"/>
    <w:rsid w:val="00AC174C"/>
    <w:rsid w:val="00AC2C91"/>
    <w:rsid w:val="00AC3731"/>
    <w:rsid w:val="00AC446E"/>
    <w:rsid w:val="00AC566E"/>
    <w:rsid w:val="00AC5706"/>
    <w:rsid w:val="00AC6171"/>
    <w:rsid w:val="00AC6314"/>
    <w:rsid w:val="00AC6323"/>
    <w:rsid w:val="00AC63DF"/>
    <w:rsid w:val="00AC6F7D"/>
    <w:rsid w:val="00AC720A"/>
    <w:rsid w:val="00AC76B7"/>
    <w:rsid w:val="00AC7EE7"/>
    <w:rsid w:val="00AD1A0C"/>
    <w:rsid w:val="00AD1CCC"/>
    <w:rsid w:val="00AD41F6"/>
    <w:rsid w:val="00AD42A3"/>
    <w:rsid w:val="00AD42A7"/>
    <w:rsid w:val="00AD5249"/>
    <w:rsid w:val="00AD5908"/>
    <w:rsid w:val="00AD5D58"/>
    <w:rsid w:val="00AD60EA"/>
    <w:rsid w:val="00AD67D4"/>
    <w:rsid w:val="00AD68D4"/>
    <w:rsid w:val="00AD71C2"/>
    <w:rsid w:val="00AE28E7"/>
    <w:rsid w:val="00AE3FB8"/>
    <w:rsid w:val="00AE4104"/>
    <w:rsid w:val="00AE4331"/>
    <w:rsid w:val="00AE4741"/>
    <w:rsid w:val="00AE4885"/>
    <w:rsid w:val="00AE4B3C"/>
    <w:rsid w:val="00AE4FE4"/>
    <w:rsid w:val="00AE6014"/>
    <w:rsid w:val="00AE614D"/>
    <w:rsid w:val="00AE70C2"/>
    <w:rsid w:val="00AE7352"/>
    <w:rsid w:val="00AE7849"/>
    <w:rsid w:val="00AE7855"/>
    <w:rsid w:val="00AE7977"/>
    <w:rsid w:val="00AF1AC5"/>
    <w:rsid w:val="00AF1F10"/>
    <w:rsid w:val="00AF22CD"/>
    <w:rsid w:val="00AF3D39"/>
    <w:rsid w:val="00AF497B"/>
    <w:rsid w:val="00AF4BB1"/>
    <w:rsid w:val="00AF5BDE"/>
    <w:rsid w:val="00AF640A"/>
    <w:rsid w:val="00AF6A4C"/>
    <w:rsid w:val="00B00F9C"/>
    <w:rsid w:val="00B02183"/>
    <w:rsid w:val="00B0290B"/>
    <w:rsid w:val="00B02EDD"/>
    <w:rsid w:val="00B0311C"/>
    <w:rsid w:val="00B047C2"/>
    <w:rsid w:val="00B04A9C"/>
    <w:rsid w:val="00B04CB1"/>
    <w:rsid w:val="00B050B5"/>
    <w:rsid w:val="00B05635"/>
    <w:rsid w:val="00B062C6"/>
    <w:rsid w:val="00B06D6F"/>
    <w:rsid w:val="00B07620"/>
    <w:rsid w:val="00B07E70"/>
    <w:rsid w:val="00B10988"/>
    <w:rsid w:val="00B11CAC"/>
    <w:rsid w:val="00B1314F"/>
    <w:rsid w:val="00B13171"/>
    <w:rsid w:val="00B14307"/>
    <w:rsid w:val="00B14316"/>
    <w:rsid w:val="00B147D9"/>
    <w:rsid w:val="00B14B6E"/>
    <w:rsid w:val="00B151CF"/>
    <w:rsid w:val="00B15379"/>
    <w:rsid w:val="00B168FD"/>
    <w:rsid w:val="00B1718F"/>
    <w:rsid w:val="00B17F6D"/>
    <w:rsid w:val="00B20445"/>
    <w:rsid w:val="00B20F21"/>
    <w:rsid w:val="00B21663"/>
    <w:rsid w:val="00B2172F"/>
    <w:rsid w:val="00B21760"/>
    <w:rsid w:val="00B226C5"/>
    <w:rsid w:val="00B23B49"/>
    <w:rsid w:val="00B23D8B"/>
    <w:rsid w:val="00B240AB"/>
    <w:rsid w:val="00B247AD"/>
    <w:rsid w:val="00B25D05"/>
    <w:rsid w:val="00B26622"/>
    <w:rsid w:val="00B26669"/>
    <w:rsid w:val="00B267D4"/>
    <w:rsid w:val="00B271A4"/>
    <w:rsid w:val="00B276B4"/>
    <w:rsid w:val="00B27795"/>
    <w:rsid w:val="00B2783A"/>
    <w:rsid w:val="00B27AA8"/>
    <w:rsid w:val="00B303F6"/>
    <w:rsid w:val="00B307B7"/>
    <w:rsid w:val="00B32163"/>
    <w:rsid w:val="00B346C0"/>
    <w:rsid w:val="00B36028"/>
    <w:rsid w:val="00B3631B"/>
    <w:rsid w:val="00B36FA2"/>
    <w:rsid w:val="00B3713E"/>
    <w:rsid w:val="00B37292"/>
    <w:rsid w:val="00B37D58"/>
    <w:rsid w:val="00B37EDE"/>
    <w:rsid w:val="00B40064"/>
    <w:rsid w:val="00B4060A"/>
    <w:rsid w:val="00B41107"/>
    <w:rsid w:val="00B41B09"/>
    <w:rsid w:val="00B42615"/>
    <w:rsid w:val="00B4294A"/>
    <w:rsid w:val="00B42CA5"/>
    <w:rsid w:val="00B42FB9"/>
    <w:rsid w:val="00B438C1"/>
    <w:rsid w:val="00B45198"/>
    <w:rsid w:val="00B46605"/>
    <w:rsid w:val="00B467D0"/>
    <w:rsid w:val="00B46C10"/>
    <w:rsid w:val="00B47E8B"/>
    <w:rsid w:val="00B50A44"/>
    <w:rsid w:val="00B52C3D"/>
    <w:rsid w:val="00B5372F"/>
    <w:rsid w:val="00B53865"/>
    <w:rsid w:val="00B5396D"/>
    <w:rsid w:val="00B54FAB"/>
    <w:rsid w:val="00B55524"/>
    <w:rsid w:val="00B56AB6"/>
    <w:rsid w:val="00B575BF"/>
    <w:rsid w:val="00B577CA"/>
    <w:rsid w:val="00B57822"/>
    <w:rsid w:val="00B57C24"/>
    <w:rsid w:val="00B61193"/>
    <w:rsid w:val="00B612EA"/>
    <w:rsid w:val="00B61C66"/>
    <w:rsid w:val="00B620C0"/>
    <w:rsid w:val="00B622FD"/>
    <w:rsid w:val="00B62604"/>
    <w:rsid w:val="00B62DF2"/>
    <w:rsid w:val="00B63079"/>
    <w:rsid w:val="00B6373D"/>
    <w:rsid w:val="00B65260"/>
    <w:rsid w:val="00B65914"/>
    <w:rsid w:val="00B65BF6"/>
    <w:rsid w:val="00B66A87"/>
    <w:rsid w:val="00B70239"/>
    <w:rsid w:val="00B712D0"/>
    <w:rsid w:val="00B71855"/>
    <w:rsid w:val="00B71884"/>
    <w:rsid w:val="00B720AC"/>
    <w:rsid w:val="00B722AC"/>
    <w:rsid w:val="00B73838"/>
    <w:rsid w:val="00B74472"/>
    <w:rsid w:val="00B757E5"/>
    <w:rsid w:val="00B759F0"/>
    <w:rsid w:val="00B76965"/>
    <w:rsid w:val="00B76C70"/>
    <w:rsid w:val="00B772FC"/>
    <w:rsid w:val="00B77E25"/>
    <w:rsid w:val="00B80424"/>
    <w:rsid w:val="00B806D4"/>
    <w:rsid w:val="00B817E2"/>
    <w:rsid w:val="00B81F38"/>
    <w:rsid w:val="00B82594"/>
    <w:rsid w:val="00B829C6"/>
    <w:rsid w:val="00B82B6E"/>
    <w:rsid w:val="00B82E12"/>
    <w:rsid w:val="00B8316A"/>
    <w:rsid w:val="00B83B62"/>
    <w:rsid w:val="00B843D2"/>
    <w:rsid w:val="00B843EC"/>
    <w:rsid w:val="00B847D4"/>
    <w:rsid w:val="00B8535F"/>
    <w:rsid w:val="00B8586D"/>
    <w:rsid w:val="00B85C08"/>
    <w:rsid w:val="00B86DE0"/>
    <w:rsid w:val="00B878CD"/>
    <w:rsid w:val="00B87A30"/>
    <w:rsid w:val="00B90384"/>
    <w:rsid w:val="00B906E8"/>
    <w:rsid w:val="00B90801"/>
    <w:rsid w:val="00B908D4"/>
    <w:rsid w:val="00B91CB1"/>
    <w:rsid w:val="00B9249B"/>
    <w:rsid w:val="00B92978"/>
    <w:rsid w:val="00B92A2F"/>
    <w:rsid w:val="00B92B9A"/>
    <w:rsid w:val="00B94490"/>
    <w:rsid w:val="00B944FD"/>
    <w:rsid w:val="00B946B2"/>
    <w:rsid w:val="00B946E6"/>
    <w:rsid w:val="00B94949"/>
    <w:rsid w:val="00B9536C"/>
    <w:rsid w:val="00B95CB8"/>
    <w:rsid w:val="00B96D2C"/>
    <w:rsid w:val="00B97A3A"/>
    <w:rsid w:val="00BA0A62"/>
    <w:rsid w:val="00BA1CA8"/>
    <w:rsid w:val="00BA1FFB"/>
    <w:rsid w:val="00BA2391"/>
    <w:rsid w:val="00BA2B3F"/>
    <w:rsid w:val="00BA3E76"/>
    <w:rsid w:val="00BA3EAC"/>
    <w:rsid w:val="00BA4760"/>
    <w:rsid w:val="00BA49F3"/>
    <w:rsid w:val="00BA4E45"/>
    <w:rsid w:val="00BA57B1"/>
    <w:rsid w:val="00BA581C"/>
    <w:rsid w:val="00BA59FB"/>
    <w:rsid w:val="00BA5BBD"/>
    <w:rsid w:val="00BA6751"/>
    <w:rsid w:val="00BA7C0F"/>
    <w:rsid w:val="00BB0100"/>
    <w:rsid w:val="00BB052C"/>
    <w:rsid w:val="00BB0F72"/>
    <w:rsid w:val="00BB1189"/>
    <w:rsid w:val="00BB11F4"/>
    <w:rsid w:val="00BB14A3"/>
    <w:rsid w:val="00BB17B0"/>
    <w:rsid w:val="00BB2E1F"/>
    <w:rsid w:val="00BB32A4"/>
    <w:rsid w:val="00BB4127"/>
    <w:rsid w:val="00BB5AAE"/>
    <w:rsid w:val="00BB6077"/>
    <w:rsid w:val="00BB6A82"/>
    <w:rsid w:val="00BB74F6"/>
    <w:rsid w:val="00BB78EE"/>
    <w:rsid w:val="00BB7EDD"/>
    <w:rsid w:val="00BC0709"/>
    <w:rsid w:val="00BC089A"/>
    <w:rsid w:val="00BC0A87"/>
    <w:rsid w:val="00BC1333"/>
    <w:rsid w:val="00BC15DE"/>
    <w:rsid w:val="00BC169B"/>
    <w:rsid w:val="00BC17C8"/>
    <w:rsid w:val="00BC2DE2"/>
    <w:rsid w:val="00BC2DE6"/>
    <w:rsid w:val="00BC317E"/>
    <w:rsid w:val="00BC369C"/>
    <w:rsid w:val="00BC3A4C"/>
    <w:rsid w:val="00BC4210"/>
    <w:rsid w:val="00BC4482"/>
    <w:rsid w:val="00BC4972"/>
    <w:rsid w:val="00BC5048"/>
    <w:rsid w:val="00BC5861"/>
    <w:rsid w:val="00BC5ABB"/>
    <w:rsid w:val="00BC5B2A"/>
    <w:rsid w:val="00BC5E43"/>
    <w:rsid w:val="00BC6683"/>
    <w:rsid w:val="00BC6897"/>
    <w:rsid w:val="00BC7087"/>
    <w:rsid w:val="00BC70AB"/>
    <w:rsid w:val="00BC769B"/>
    <w:rsid w:val="00BD024B"/>
    <w:rsid w:val="00BD02EF"/>
    <w:rsid w:val="00BD0CD9"/>
    <w:rsid w:val="00BD0EC3"/>
    <w:rsid w:val="00BD1B8D"/>
    <w:rsid w:val="00BD225D"/>
    <w:rsid w:val="00BD33D4"/>
    <w:rsid w:val="00BD3C00"/>
    <w:rsid w:val="00BD40B1"/>
    <w:rsid w:val="00BD4EBB"/>
    <w:rsid w:val="00BD5ED6"/>
    <w:rsid w:val="00BD7184"/>
    <w:rsid w:val="00BD73A9"/>
    <w:rsid w:val="00BD7AEF"/>
    <w:rsid w:val="00BE03C3"/>
    <w:rsid w:val="00BE11C2"/>
    <w:rsid w:val="00BE16A2"/>
    <w:rsid w:val="00BE1893"/>
    <w:rsid w:val="00BE1C56"/>
    <w:rsid w:val="00BE2700"/>
    <w:rsid w:val="00BE2D62"/>
    <w:rsid w:val="00BE315B"/>
    <w:rsid w:val="00BE3D95"/>
    <w:rsid w:val="00BE47BF"/>
    <w:rsid w:val="00BE4A80"/>
    <w:rsid w:val="00BE4C56"/>
    <w:rsid w:val="00BE5374"/>
    <w:rsid w:val="00BE53ED"/>
    <w:rsid w:val="00BE580E"/>
    <w:rsid w:val="00BE627A"/>
    <w:rsid w:val="00BE66B2"/>
    <w:rsid w:val="00BE6BDA"/>
    <w:rsid w:val="00BE6CE8"/>
    <w:rsid w:val="00BE7109"/>
    <w:rsid w:val="00BF039A"/>
    <w:rsid w:val="00BF1BE3"/>
    <w:rsid w:val="00BF1F0B"/>
    <w:rsid w:val="00BF258D"/>
    <w:rsid w:val="00BF2DB7"/>
    <w:rsid w:val="00BF2FEE"/>
    <w:rsid w:val="00BF3D0D"/>
    <w:rsid w:val="00BF437E"/>
    <w:rsid w:val="00BF44B6"/>
    <w:rsid w:val="00BF4702"/>
    <w:rsid w:val="00BF4DCA"/>
    <w:rsid w:val="00BF6783"/>
    <w:rsid w:val="00BF6E09"/>
    <w:rsid w:val="00BF78A5"/>
    <w:rsid w:val="00BF7C20"/>
    <w:rsid w:val="00BF7C54"/>
    <w:rsid w:val="00BF7F1C"/>
    <w:rsid w:val="00C0178A"/>
    <w:rsid w:val="00C01D5F"/>
    <w:rsid w:val="00C029A4"/>
    <w:rsid w:val="00C02A45"/>
    <w:rsid w:val="00C02EB2"/>
    <w:rsid w:val="00C0345A"/>
    <w:rsid w:val="00C03511"/>
    <w:rsid w:val="00C04C3A"/>
    <w:rsid w:val="00C04D2F"/>
    <w:rsid w:val="00C04D90"/>
    <w:rsid w:val="00C05700"/>
    <w:rsid w:val="00C074CD"/>
    <w:rsid w:val="00C07894"/>
    <w:rsid w:val="00C0799A"/>
    <w:rsid w:val="00C079FC"/>
    <w:rsid w:val="00C102B1"/>
    <w:rsid w:val="00C10746"/>
    <w:rsid w:val="00C107C3"/>
    <w:rsid w:val="00C1115A"/>
    <w:rsid w:val="00C11522"/>
    <w:rsid w:val="00C11895"/>
    <w:rsid w:val="00C1189D"/>
    <w:rsid w:val="00C11B4F"/>
    <w:rsid w:val="00C11FA2"/>
    <w:rsid w:val="00C12499"/>
    <w:rsid w:val="00C13520"/>
    <w:rsid w:val="00C14F9B"/>
    <w:rsid w:val="00C14FAB"/>
    <w:rsid w:val="00C152E2"/>
    <w:rsid w:val="00C158BE"/>
    <w:rsid w:val="00C15CF7"/>
    <w:rsid w:val="00C15E69"/>
    <w:rsid w:val="00C15F42"/>
    <w:rsid w:val="00C1610B"/>
    <w:rsid w:val="00C1611D"/>
    <w:rsid w:val="00C16B9C"/>
    <w:rsid w:val="00C16C9A"/>
    <w:rsid w:val="00C175E4"/>
    <w:rsid w:val="00C20635"/>
    <w:rsid w:val="00C21037"/>
    <w:rsid w:val="00C2141D"/>
    <w:rsid w:val="00C22058"/>
    <w:rsid w:val="00C22BC7"/>
    <w:rsid w:val="00C232E0"/>
    <w:rsid w:val="00C24B5E"/>
    <w:rsid w:val="00C251DF"/>
    <w:rsid w:val="00C2534F"/>
    <w:rsid w:val="00C25C66"/>
    <w:rsid w:val="00C260F7"/>
    <w:rsid w:val="00C30058"/>
    <w:rsid w:val="00C309C8"/>
    <w:rsid w:val="00C30F43"/>
    <w:rsid w:val="00C31745"/>
    <w:rsid w:val="00C317A2"/>
    <w:rsid w:val="00C317BC"/>
    <w:rsid w:val="00C32192"/>
    <w:rsid w:val="00C328CB"/>
    <w:rsid w:val="00C32E61"/>
    <w:rsid w:val="00C32F64"/>
    <w:rsid w:val="00C34339"/>
    <w:rsid w:val="00C343AD"/>
    <w:rsid w:val="00C343FC"/>
    <w:rsid w:val="00C35BF5"/>
    <w:rsid w:val="00C360C3"/>
    <w:rsid w:val="00C3651F"/>
    <w:rsid w:val="00C36633"/>
    <w:rsid w:val="00C3694F"/>
    <w:rsid w:val="00C36CEE"/>
    <w:rsid w:val="00C36E9D"/>
    <w:rsid w:val="00C37C86"/>
    <w:rsid w:val="00C40780"/>
    <w:rsid w:val="00C40F6F"/>
    <w:rsid w:val="00C412B1"/>
    <w:rsid w:val="00C416BB"/>
    <w:rsid w:val="00C41C05"/>
    <w:rsid w:val="00C41CE5"/>
    <w:rsid w:val="00C41D63"/>
    <w:rsid w:val="00C42B00"/>
    <w:rsid w:val="00C42F9F"/>
    <w:rsid w:val="00C4436C"/>
    <w:rsid w:val="00C44F1C"/>
    <w:rsid w:val="00C44F44"/>
    <w:rsid w:val="00C455D7"/>
    <w:rsid w:val="00C461B2"/>
    <w:rsid w:val="00C47C8E"/>
    <w:rsid w:val="00C507E8"/>
    <w:rsid w:val="00C510BF"/>
    <w:rsid w:val="00C51500"/>
    <w:rsid w:val="00C524D2"/>
    <w:rsid w:val="00C524EE"/>
    <w:rsid w:val="00C52F7C"/>
    <w:rsid w:val="00C52FD1"/>
    <w:rsid w:val="00C5359B"/>
    <w:rsid w:val="00C53AF7"/>
    <w:rsid w:val="00C545B1"/>
    <w:rsid w:val="00C54EF6"/>
    <w:rsid w:val="00C554B5"/>
    <w:rsid w:val="00C565EF"/>
    <w:rsid w:val="00C56EF2"/>
    <w:rsid w:val="00C56F9A"/>
    <w:rsid w:val="00C570A6"/>
    <w:rsid w:val="00C57723"/>
    <w:rsid w:val="00C5790A"/>
    <w:rsid w:val="00C579F3"/>
    <w:rsid w:val="00C57C2A"/>
    <w:rsid w:val="00C57CAA"/>
    <w:rsid w:val="00C600B3"/>
    <w:rsid w:val="00C60221"/>
    <w:rsid w:val="00C60DE1"/>
    <w:rsid w:val="00C61418"/>
    <w:rsid w:val="00C61464"/>
    <w:rsid w:val="00C6180A"/>
    <w:rsid w:val="00C62798"/>
    <w:rsid w:val="00C62B35"/>
    <w:rsid w:val="00C631D9"/>
    <w:rsid w:val="00C63C4D"/>
    <w:rsid w:val="00C64813"/>
    <w:rsid w:val="00C64A9B"/>
    <w:rsid w:val="00C64B33"/>
    <w:rsid w:val="00C65078"/>
    <w:rsid w:val="00C6514F"/>
    <w:rsid w:val="00C654B1"/>
    <w:rsid w:val="00C67113"/>
    <w:rsid w:val="00C6775A"/>
    <w:rsid w:val="00C67E8E"/>
    <w:rsid w:val="00C70389"/>
    <w:rsid w:val="00C71B12"/>
    <w:rsid w:val="00C71E1C"/>
    <w:rsid w:val="00C72177"/>
    <w:rsid w:val="00C731EF"/>
    <w:rsid w:val="00C73457"/>
    <w:rsid w:val="00C735DE"/>
    <w:rsid w:val="00C74B8C"/>
    <w:rsid w:val="00C74EF5"/>
    <w:rsid w:val="00C74F2C"/>
    <w:rsid w:val="00C7600C"/>
    <w:rsid w:val="00C76AEE"/>
    <w:rsid w:val="00C76BD3"/>
    <w:rsid w:val="00C7723D"/>
    <w:rsid w:val="00C800FE"/>
    <w:rsid w:val="00C8046C"/>
    <w:rsid w:val="00C8083B"/>
    <w:rsid w:val="00C808ED"/>
    <w:rsid w:val="00C81B07"/>
    <w:rsid w:val="00C8268F"/>
    <w:rsid w:val="00C83336"/>
    <w:rsid w:val="00C83535"/>
    <w:rsid w:val="00C83D84"/>
    <w:rsid w:val="00C83DD3"/>
    <w:rsid w:val="00C847CF"/>
    <w:rsid w:val="00C84C26"/>
    <w:rsid w:val="00C84DC2"/>
    <w:rsid w:val="00C861BE"/>
    <w:rsid w:val="00C8623C"/>
    <w:rsid w:val="00C8643E"/>
    <w:rsid w:val="00C86A58"/>
    <w:rsid w:val="00C870C1"/>
    <w:rsid w:val="00C873AB"/>
    <w:rsid w:val="00C87436"/>
    <w:rsid w:val="00C9019C"/>
    <w:rsid w:val="00C9024A"/>
    <w:rsid w:val="00C908C8"/>
    <w:rsid w:val="00C9090E"/>
    <w:rsid w:val="00C91651"/>
    <w:rsid w:val="00C91760"/>
    <w:rsid w:val="00C917A4"/>
    <w:rsid w:val="00C91D47"/>
    <w:rsid w:val="00C92066"/>
    <w:rsid w:val="00C922A2"/>
    <w:rsid w:val="00C9244E"/>
    <w:rsid w:val="00C93D26"/>
    <w:rsid w:val="00C94737"/>
    <w:rsid w:val="00C94E2C"/>
    <w:rsid w:val="00C94FD5"/>
    <w:rsid w:val="00C96782"/>
    <w:rsid w:val="00C96D0B"/>
    <w:rsid w:val="00C97CEE"/>
    <w:rsid w:val="00CA021C"/>
    <w:rsid w:val="00CA23D1"/>
    <w:rsid w:val="00CA26EA"/>
    <w:rsid w:val="00CA293F"/>
    <w:rsid w:val="00CA2FB2"/>
    <w:rsid w:val="00CA31D8"/>
    <w:rsid w:val="00CA32FC"/>
    <w:rsid w:val="00CA3D3A"/>
    <w:rsid w:val="00CA42D6"/>
    <w:rsid w:val="00CA4505"/>
    <w:rsid w:val="00CA528A"/>
    <w:rsid w:val="00CA559D"/>
    <w:rsid w:val="00CA6404"/>
    <w:rsid w:val="00CA777B"/>
    <w:rsid w:val="00CA7833"/>
    <w:rsid w:val="00CA7DA3"/>
    <w:rsid w:val="00CB0720"/>
    <w:rsid w:val="00CB0E13"/>
    <w:rsid w:val="00CB0E99"/>
    <w:rsid w:val="00CB1451"/>
    <w:rsid w:val="00CB15E9"/>
    <w:rsid w:val="00CB1F0E"/>
    <w:rsid w:val="00CB2A95"/>
    <w:rsid w:val="00CB2BD5"/>
    <w:rsid w:val="00CB2F38"/>
    <w:rsid w:val="00CB40F4"/>
    <w:rsid w:val="00CB4307"/>
    <w:rsid w:val="00CB54DD"/>
    <w:rsid w:val="00CB58D8"/>
    <w:rsid w:val="00CB5C55"/>
    <w:rsid w:val="00CB7630"/>
    <w:rsid w:val="00CB7739"/>
    <w:rsid w:val="00CC0ACA"/>
    <w:rsid w:val="00CC1D1A"/>
    <w:rsid w:val="00CC1EB1"/>
    <w:rsid w:val="00CC431D"/>
    <w:rsid w:val="00CC57F4"/>
    <w:rsid w:val="00CC5956"/>
    <w:rsid w:val="00CC60C6"/>
    <w:rsid w:val="00CC6260"/>
    <w:rsid w:val="00CC6A56"/>
    <w:rsid w:val="00CC6A75"/>
    <w:rsid w:val="00CC7305"/>
    <w:rsid w:val="00CC75D3"/>
    <w:rsid w:val="00CC7FE9"/>
    <w:rsid w:val="00CD0007"/>
    <w:rsid w:val="00CD0232"/>
    <w:rsid w:val="00CD040C"/>
    <w:rsid w:val="00CD06DD"/>
    <w:rsid w:val="00CD1404"/>
    <w:rsid w:val="00CD238E"/>
    <w:rsid w:val="00CD3238"/>
    <w:rsid w:val="00CD3291"/>
    <w:rsid w:val="00CD33C3"/>
    <w:rsid w:val="00CD3620"/>
    <w:rsid w:val="00CD57C3"/>
    <w:rsid w:val="00CD7124"/>
    <w:rsid w:val="00CD740B"/>
    <w:rsid w:val="00CE1F91"/>
    <w:rsid w:val="00CE28E3"/>
    <w:rsid w:val="00CE3103"/>
    <w:rsid w:val="00CE3CE1"/>
    <w:rsid w:val="00CE4C91"/>
    <w:rsid w:val="00CE500A"/>
    <w:rsid w:val="00CE5700"/>
    <w:rsid w:val="00CE69D3"/>
    <w:rsid w:val="00CE74CB"/>
    <w:rsid w:val="00CE7DB3"/>
    <w:rsid w:val="00CF0356"/>
    <w:rsid w:val="00CF0E3B"/>
    <w:rsid w:val="00CF1A2D"/>
    <w:rsid w:val="00CF22ED"/>
    <w:rsid w:val="00CF2913"/>
    <w:rsid w:val="00CF3357"/>
    <w:rsid w:val="00CF349C"/>
    <w:rsid w:val="00CF3ABB"/>
    <w:rsid w:val="00CF4016"/>
    <w:rsid w:val="00CF439F"/>
    <w:rsid w:val="00CF519A"/>
    <w:rsid w:val="00CF593F"/>
    <w:rsid w:val="00CF5C8C"/>
    <w:rsid w:val="00CF67A0"/>
    <w:rsid w:val="00CF6EC5"/>
    <w:rsid w:val="00CF7120"/>
    <w:rsid w:val="00CF724C"/>
    <w:rsid w:val="00D001B4"/>
    <w:rsid w:val="00D003B7"/>
    <w:rsid w:val="00D00E36"/>
    <w:rsid w:val="00D02F4F"/>
    <w:rsid w:val="00D03AE5"/>
    <w:rsid w:val="00D04416"/>
    <w:rsid w:val="00D046B6"/>
    <w:rsid w:val="00D04CB3"/>
    <w:rsid w:val="00D04EBF"/>
    <w:rsid w:val="00D04EFF"/>
    <w:rsid w:val="00D05EE7"/>
    <w:rsid w:val="00D063F7"/>
    <w:rsid w:val="00D06E1A"/>
    <w:rsid w:val="00D07338"/>
    <w:rsid w:val="00D104DE"/>
    <w:rsid w:val="00D1077D"/>
    <w:rsid w:val="00D10D0E"/>
    <w:rsid w:val="00D11293"/>
    <w:rsid w:val="00D11C92"/>
    <w:rsid w:val="00D1388C"/>
    <w:rsid w:val="00D14324"/>
    <w:rsid w:val="00D14E59"/>
    <w:rsid w:val="00D15765"/>
    <w:rsid w:val="00D15CF2"/>
    <w:rsid w:val="00D16BAB"/>
    <w:rsid w:val="00D16C1C"/>
    <w:rsid w:val="00D1767C"/>
    <w:rsid w:val="00D20031"/>
    <w:rsid w:val="00D20408"/>
    <w:rsid w:val="00D22EDA"/>
    <w:rsid w:val="00D23125"/>
    <w:rsid w:val="00D2429A"/>
    <w:rsid w:val="00D24A1E"/>
    <w:rsid w:val="00D2571E"/>
    <w:rsid w:val="00D26D01"/>
    <w:rsid w:val="00D313B3"/>
    <w:rsid w:val="00D31821"/>
    <w:rsid w:val="00D3213B"/>
    <w:rsid w:val="00D3292B"/>
    <w:rsid w:val="00D329A9"/>
    <w:rsid w:val="00D32B6D"/>
    <w:rsid w:val="00D32BD2"/>
    <w:rsid w:val="00D32EFF"/>
    <w:rsid w:val="00D33DDC"/>
    <w:rsid w:val="00D33F02"/>
    <w:rsid w:val="00D34094"/>
    <w:rsid w:val="00D358F7"/>
    <w:rsid w:val="00D35A42"/>
    <w:rsid w:val="00D36376"/>
    <w:rsid w:val="00D36B5A"/>
    <w:rsid w:val="00D36E67"/>
    <w:rsid w:val="00D378BD"/>
    <w:rsid w:val="00D37C84"/>
    <w:rsid w:val="00D37EF5"/>
    <w:rsid w:val="00D40652"/>
    <w:rsid w:val="00D40B04"/>
    <w:rsid w:val="00D4168C"/>
    <w:rsid w:val="00D419C9"/>
    <w:rsid w:val="00D42517"/>
    <w:rsid w:val="00D4268C"/>
    <w:rsid w:val="00D428B9"/>
    <w:rsid w:val="00D42DCE"/>
    <w:rsid w:val="00D43246"/>
    <w:rsid w:val="00D433A4"/>
    <w:rsid w:val="00D436A4"/>
    <w:rsid w:val="00D43823"/>
    <w:rsid w:val="00D44A53"/>
    <w:rsid w:val="00D44E0F"/>
    <w:rsid w:val="00D45750"/>
    <w:rsid w:val="00D457EA"/>
    <w:rsid w:val="00D459C4"/>
    <w:rsid w:val="00D45C42"/>
    <w:rsid w:val="00D46CF1"/>
    <w:rsid w:val="00D4701A"/>
    <w:rsid w:val="00D4701E"/>
    <w:rsid w:val="00D471E5"/>
    <w:rsid w:val="00D47556"/>
    <w:rsid w:val="00D47571"/>
    <w:rsid w:val="00D50244"/>
    <w:rsid w:val="00D50431"/>
    <w:rsid w:val="00D50A54"/>
    <w:rsid w:val="00D5103A"/>
    <w:rsid w:val="00D512D1"/>
    <w:rsid w:val="00D513BB"/>
    <w:rsid w:val="00D515AE"/>
    <w:rsid w:val="00D52E54"/>
    <w:rsid w:val="00D52FF5"/>
    <w:rsid w:val="00D533E3"/>
    <w:rsid w:val="00D5365F"/>
    <w:rsid w:val="00D545B6"/>
    <w:rsid w:val="00D547B9"/>
    <w:rsid w:val="00D55A07"/>
    <w:rsid w:val="00D55A85"/>
    <w:rsid w:val="00D55B4E"/>
    <w:rsid w:val="00D56B2F"/>
    <w:rsid w:val="00D56DFA"/>
    <w:rsid w:val="00D57292"/>
    <w:rsid w:val="00D60BD8"/>
    <w:rsid w:val="00D60E22"/>
    <w:rsid w:val="00D61302"/>
    <w:rsid w:val="00D61580"/>
    <w:rsid w:val="00D616E2"/>
    <w:rsid w:val="00D61D7B"/>
    <w:rsid w:val="00D62186"/>
    <w:rsid w:val="00D62B70"/>
    <w:rsid w:val="00D62F4D"/>
    <w:rsid w:val="00D63761"/>
    <w:rsid w:val="00D63E05"/>
    <w:rsid w:val="00D64112"/>
    <w:rsid w:val="00D64286"/>
    <w:rsid w:val="00D64906"/>
    <w:rsid w:val="00D6497E"/>
    <w:rsid w:val="00D652D9"/>
    <w:rsid w:val="00D668AF"/>
    <w:rsid w:val="00D66A02"/>
    <w:rsid w:val="00D67001"/>
    <w:rsid w:val="00D671EF"/>
    <w:rsid w:val="00D67CE9"/>
    <w:rsid w:val="00D70052"/>
    <w:rsid w:val="00D70DDA"/>
    <w:rsid w:val="00D72DC2"/>
    <w:rsid w:val="00D73113"/>
    <w:rsid w:val="00D731DB"/>
    <w:rsid w:val="00D73AD9"/>
    <w:rsid w:val="00D74572"/>
    <w:rsid w:val="00D74C1B"/>
    <w:rsid w:val="00D74EDF"/>
    <w:rsid w:val="00D762A7"/>
    <w:rsid w:val="00D76A35"/>
    <w:rsid w:val="00D77B20"/>
    <w:rsid w:val="00D77BD0"/>
    <w:rsid w:val="00D77E46"/>
    <w:rsid w:val="00D801B7"/>
    <w:rsid w:val="00D80516"/>
    <w:rsid w:val="00D809E4"/>
    <w:rsid w:val="00D80BBC"/>
    <w:rsid w:val="00D80C29"/>
    <w:rsid w:val="00D81F7F"/>
    <w:rsid w:val="00D82887"/>
    <w:rsid w:val="00D8316D"/>
    <w:rsid w:val="00D8331A"/>
    <w:rsid w:val="00D83B51"/>
    <w:rsid w:val="00D83C21"/>
    <w:rsid w:val="00D83EEF"/>
    <w:rsid w:val="00D84695"/>
    <w:rsid w:val="00D84AD8"/>
    <w:rsid w:val="00D84ECA"/>
    <w:rsid w:val="00D851D3"/>
    <w:rsid w:val="00D8525E"/>
    <w:rsid w:val="00D85409"/>
    <w:rsid w:val="00D858C6"/>
    <w:rsid w:val="00D85ECF"/>
    <w:rsid w:val="00D86489"/>
    <w:rsid w:val="00D86743"/>
    <w:rsid w:val="00D86FE1"/>
    <w:rsid w:val="00D874EA"/>
    <w:rsid w:val="00D87D39"/>
    <w:rsid w:val="00D9041B"/>
    <w:rsid w:val="00D90DBB"/>
    <w:rsid w:val="00D910CE"/>
    <w:rsid w:val="00D9141D"/>
    <w:rsid w:val="00D91813"/>
    <w:rsid w:val="00D91832"/>
    <w:rsid w:val="00D9307F"/>
    <w:rsid w:val="00D935A9"/>
    <w:rsid w:val="00D93795"/>
    <w:rsid w:val="00D93AB1"/>
    <w:rsid w:val="00D93C2E"/>
    <w:rsid w:val="00D946C9"/>
    <w:rsid w:val="00D94CF3"/>
    <w:rsid w:val="00D95D52"/>
    <w:rsid w:val="00D95FBF"/>
    <w:rsid w:val="00D96540"/>
    <w:rsid w:val="00D967A8"/>
    <w:rsid w:val="00D96C5E"/>
    <w:rsid w:val="00DA03B9"/>
    <w:rsid w:val="00DA058E"/>
    <w:rsid w:val="00DA0630"/>
    <w:rsid w:val="00DA0878"/>
    <w:rsid w:val="00DA089C"/>
    <w:rsid w:val="00DA17E6"/>
    <w:rsid w:val="00DA3048"/>
    <w:rsid w:val="00DA4C6B"/>
    <w:rsid w:val="00DA4FB1"/>
    <w:rsid w:val="00DA512C"/>
    <w:rsid w:val="00DA55D0"/>
    <w:rsid w:val="00DA5E0D"/>
    <w:rsid w:val="00DA6765"/>
    <w:rsid w:val="00DA6FB4"/>
    <w:rsid w:val="00DA7B00"/>
    <w:rsid w:val="00DA7B3E"/>
    <w:rsid w:val="00DA7DAE"/>
    <w:rsid w:val="00DA7E15"/>
    <w:rsid w:val="00DB003C"/>
    <w:rsid w:val="00DB0A7E"/>
    <w:rsid w:val="00DB1915"/>
    <w:rsid w:val="00DB1A38"/>
    <w:rsid w:val="00DB1B7E"/>
    <w:rsid w:val="00DB1E91"/>
    <w:rsid w:val="00DB2442"/>
    <w:rsid w:val="00DB2F39"/>
    <w:rsid w:val="00DB4410"/>
    <w:rsid w:val="00DB4A2B"/>
    <w:rsid w:val="00DB5117"/>
    <w:rsid w:val="00DB5CA8"/>
    <w:rsid w:val="00DB6031"/>
    <w:rsid w:val="00DB664A"/>
    <w:rsid w:val="00DB6B4D"/>
    <w:rsid w:val="00DB7463"/>
    <w:rsid w:val="00DB7F9F"/>
    <w:rsid w:val="00DC02A4"/>
    <w:rsid w:val="00DC0FC3"/>
    <w:rsid w:val="00DC14AF"/>
    <w:rsid w:val="00DC1671"/>
    <w:rsid w:val="00DC1720"/>
    <w:rsid w:val="00DC35C9"/>
    <w:rsid w:val="00DC3633"/>
    <w:rsid w:val="00DC36D1"/>
    <w:rsid w:val="00DC3A0E"/>
    <w:rsid w:val="00DC4108"/>
    <w:rsid w:val="00DC4D48"/>
    <w:rsid w:val="00DC4E26"/>
    <w:rsid w:val="00DC4EC7"/>
    <w:rsid w:val="00DC4F64"/>
    <w:rsid w:val="00DC50C5"/>
    <w:rsid w:val="00DC64A7"/>
    <w:rsid w:val="00DC69D6"/>
    <w:rsid w:val="00DC751B"/>
    <w:rsid w:val="00DC7981"/>
    <w:rsid w:val="00DC7D22"/>
    <w:rsid w:val="00DD051D"/>
    <w:rsid w:val="00DD0953"/>
    <w:rsid w:val="00DD1A95"/>
    <w:rsid w:val="00DD241E"/>
    <w:rsid w:val="00DD2453"/>
    <w:rsid w:val="00DD2C81"/>
    <w:rsid w:val="00DD3DB3"/>
    <w:rsid w:val="00DD404A"/>
    <w:rsid w:val="00DD4CE1"/>
    <w:rsid w:val="00DD4F78"/>
    <w:rsid w:val="00DD595E"/>
    <w:rsid w:val="00DD5E47"/>
    <w:rsid w:val="00DD7543"/>
    <w:rsid w:val="00DD7831"/>
    <w:rsid w:val="00DD7CBD"/>
    <w:rsid w:val="00DE027D"/>
    <w:rsid w:val="00DE1172"/>
    <w:rsid w:val="00DE1AA8"/>
    <w:rsid w:val="00DE2496"/>
    <w:rsid w:val="00DE3284"/>
    <w:rsid w:val="00DE378C"/>
    <w:rsid w:val="00DE41ED"/>
    <w:rsid w:val="00DE461F"/>
    <w:rsid w:val="00DE4E55"/>
    <w:rsid w:val="00DE5D9D"/>
    <w:rsid w:val="00DE6F9D"/>
    <w:rsid w:val="00DE7099"/>
    <w:rsid w:val="00DF0FAA"/>
    <w:rsid w:val="00DF174D"/>
    <w:rsid w:val="00DF212A"/>
    <w:rsid w:val="00DF2884"/>
    <w:rsid w:val="00DF3073"/>
    <w:rsid w:val="00DF31F0"/>
    <w:rsid w:val="00DF341B"/>
    <w:rsid w:val="00DF3895"/>
    <w:rsid w:val="00DF39E9"/>
    <w:rsid w:val="00DF431B"/>
    <w:rsid w:val="00DF4BAF"/>
    <w:rsid w:val="00DF4BEC"/>
    <w:rsid w:val="00DF5473"/>
    <w:rsid w:val="00DF5942"/>
    <w:rsid w:val="00DF6C58"/>
    <w:rsid w:val="00DF7429"/>
    <w:rsid w:val="00DF74D9"/>
    <w:rsid w:val="00DF7ABE"/>
    <w:rsid w:val="00E00203"/>
    <w:rsid w:val="00E0055A"/>
    <w:rsid w:val="00E00A1C"/>
    <w:rsid w:val="00E00E00"/>
    <w:rsid w:val="00E014E7"/>
    <w:rsid w:val="00E01BC3"/>
    <w:rsid w:val="00E023E8"/>
    <w:rsid w:val="00E02C15"/>
    <w:rsid w:val="00E02DAC"/>
    <w:rsid w:val="00E02EAF"/>
    <w:rsid w:val="00E03344"/>
    <w:rsid w:val="00E0360B"/>
    <w:rsid w:val="00E038BE"/>
    <w:rsid w:val="00E03A96"/>
    <w:rsid w:val="00E04708"/>
    <w:rsid w:val="00E05184"/>
    <w:rsid w:val="00E0526B"/>
    <w:rsid w:val="00E05D56"/>
    <w:rsid w:val="00E060B1"/>
    <w:rsid w:val="00E079B8"/>
    <w:rsid w:val="00E07ACF"/>
    <w:rsid w:val="00E07E8E"/>
    <w:rsid w:val="00E105A9"/>
    <w:rsid w:val="00E10BBA"/>
    <w:rsid w:val="00E13DDB"/>
    <w:rsid w:val="00E14D4E"/>
    <w:rsid w:val="00E14DE8"/>
    <w:rsid w:val="00E15056"/>
    <w:rsid w:val="00E1507E"/>
    <w:rsid w:val="00E15B61"/>
    <w:rsid w:val="00E15DB1"/>
    <w:rsid w:val="00E15EF0"/>
    <w:rsid w:val="00E163A9"/>
    <w:rsid w:val="00E165C8"/>
    <w:rsid w:val="00E16EC6"/>
    <w:rsid w:val="00E16F4C"/>
    <w:rsid w:val="00E17297"/>
    <w:rsid w:val="00E17552"/>
    <w:rsid w:val="00E17D45"/>
    <w:rsid w:val="00E2077A"/>
    <w:rsid w:val="00E20C2C"/>
    <w:rsid w:val="00E20E82"/>
    <w:rsid w:val="00E21B03"/>
    <w:rsid w:val="00E22238"/>
    <w:rsid w:val="00E22445"/>
    <w:rsid w:val="00E2370B"/>
    <w:rsid w:val="00E23728"/>
    <w:rsid w:val="00E23C8F"/>
    <w:rsid w:val="00E23D50"/>
    <w:rsid w:val="00E2414A"/>
    <w:rsid w:val="00E2431C"/>
    <w:rsid w:val="00E2463A"/>
    <w:rsid w:val="00E25517"/>
    <w:rsid w:val="00E260A3"/>
    <w:rsid w:val="00E26161"/>
    <w:rsid w:val="00E262AD"/>
    <w:rsid w:val="00E267BC"/>
    <w:rsid w:val="00E268B8"/>
    <w:rsid w:val="00E26D15"/>
    <w:rsid w:val="00E2735E"/>
    <w:rsid w:val="00E276D5"/>
    <w:rsid w:val="00E2789A"/>
    <w:rsid w:val="00E27DDB"/>
    <w:rsid w:val="00E30288"/>
    <w:rsid w:val="00E309DB"/>
    <w:rsid w:val="00E315FE"/>
    <w:rsid w:val="00E31702"/>
    <w:rsid w:val="00E31B75"/>
    <w:rsid w:val="00E321C9"/>
    <w:rsid w:val="00E3242E"/>
    <w:rsid w:val="00E324EB"/>
    <w:rsid w:val="00E32E26"/>
    <w:rsid w:val="00E330C9"/>
    <w:rsid w:val="00E3330E"/>
    <w:rsid w:val="00E3342D"/>
    <w:rsid w:val="00E3351F"/>
    <w:rsid w:val="00E33992"/>
    <w:rsid w:val="00E33F73"/>
    <w:rsid w:val="00E34CC8"/>
    <w:rsid w:val="00E34EFE"/>
    <w:rsid w:val="00E34FD5"/>
    <w:rsid w:val="00E3546F"/>
    <w:rsid w:val="00E3584B"/>
    <w:rsid w:val="00E360A0"/>
    <w:rsid w:val="00E36D9D"/>
    <w:rsid w:val="00E409D4"/>
    <w:rsid w:val="00E40DAE"/>
    <w:rsid w:val="00E40F62"/>
    <w:rsid w:val="00E41CB0"/>
    <w:rsid w:val="00E4204F"/>
    <w:rsid w:val="00E423CF"/>
    <w:rsid w:val="00E427DA"/>
    <w:rsid w:val="00E42CEC"/>
    <w:rsid w:val="00E43249"/>
    <w:rsid w:val="00E436A2"/>
    <w:rsid w:val="00E44452"/>
    <w:rsid w:val="00E4505C"/>
    <w:rsid w:val="00E458D8"/>
    <w:rsid w:val="00E47641"/>
    <w:rsid w:val="00E47CFA"/>
    <w:rsid w:val="00E518A7"/>
    <w:rsid w:val="00E5254A"/>
    <w:rsid w:val="00E529F5"/>
    <w:rsid w:val="00E5356B"/>
    <w:rsid w:val="00E53A5C"/>
    <w:rsid w:val="00E53E00"/>
    <w:rsid w:val="00E53F49"/>
    <w:rsid w:val="00E54221"/>
    <w:rsid w:val="00E5650A"/>
    <w:rsid w:val="00E56910"/>
    <w:rsid w:val="00E574EC"/>
    <w:rsid w:val="00E57869"/>
    <w:rsid w:val="00E57F9C"/>
    <w:rsid w:val="00E6065C"/>
    <w:rsid w:val="00E6078D"/>
    <w:rsid w:val="00E615F9"/>
    <w:rsid w:val="00E6172C"/>
    <w:rsid w:val="00E61870"/>
    <w:rsid w:val="00E6193C"/>
    <w:rsid w:val="00E61EAB"/>
    <w:rsid w:val="00E621FF"/>
    <w:rsid w:val="00E62BC2"/>
    <w:rsid w:val="00E62C34"/>
    <w:rsid w:val="00E6324F"/>
    <w:rsid w:val="00E633AA"/>
    <w:rsid w:val="00E63DAA"/>
    <w:rsid w:val="00E63E1E"/>
    <w:rsid w:val="00E6501E"/>
    <w:rsid w:val="00E658E4"/>
    <w:rsid w:val="00E65F36"/>
    <w:rsid w:val="00E65FF7"/>
    <w:rsid w:val="00E66C16"/>
    <w:rsid w:val="00E6766D"/>
    <w:rsid w:val="00E67803"/>
    <w:rsid w:val="00E7058D"/>
    <w:rsid w:val="00E70757"/>
    <w:rsid w:val="00E70857"/>
    <w:rsid w:val="00E708C1"/>
    <w:rsid w:val="00E708C8"/>
    <w:rsid w:val="00E71A62"/>
    <w:rsid w:val="00E7221D"/>
    <w:rsid w:val="00E7456C"/>
    <w:rsid w:val="00E74735"/>
    <w:rsid w:val="00E75351"/>
    <w:rsid w:val="00E760DF"/>
    <w:rsid w:val="00E7615F"/>
    <w:rsid w:val="00E76775"/>
    <w:rsid w:val="00E76AE0"/>
    <w:rsid w:val="00E809E0"/>
    <w:rsid w:val="00E81003"/>
    <w:rsid w:val="00E81619"/>
    <w:rsid w:val="00E81A87"/>
    <w:rsid w:val="00E82325"/>
    <w:rsid w:val="00E8275A"/>
    <w:rsid w:val="00E83231"/>
    <w:rsid w:val="00E8347C"/>
    <w:rsid w:val="00E83948"/>
    <w:rsid w:val="00E83CF9"/>
    <w:rsid w:val="00E845A6"/>
    <w:rsid w:val="00E8497A"/>
    <w:rsid w:val="00E84E02"/>
    <w:rsid w:val="00E84E99"/>
    <w:rsid w:val="00E8568A"/>
    <w:rsid w:val="00E87007"/>
    <w:rsid w:val="00E87445"/>
    <w:rsid w:val="00E875A3"/>
    <w:rsid w:val="00E92974"/>
    <w:rsid w:val="00E92F98"/>
    <w:rsid w:val="00E9331D"/>
    <w:rsid w:val="00E9350B"/>
    <w:rsid w:val="00E945D7"/>
    <w:rsid w:val="00E946FE"/>
    <w:rsid w:val="00E94CBD"/>
    <w:rsid w:val="00E95322"/>
    <w:rsid w:val="00E95490"/>
    <w:rsid w:val="00E957D3"/>
    <w:rsid w:val="00E95A55"/>
    <w:rsid w:val="00E965A4"/>
    <w:rsid w:val="00E968C1"/>
    <w:rsid w:val="00E971F6"/>
    <w:rsid w:val="00E97CA5"/>
    <w:rsid w:val="00EA0C0C"/>
    <w:rsid w:val="00EA0E54"/>
    <w:rsid w:val="00EA1066"/>
    <w:rsid w:val="00EA1769"/>
    <w:rsid w:val="00EA1808"/>
    <w:rsid w:val="00EA3059"/>
    <w:rsid w:val="00EA34DA"/>
    <w:rsid w:val="00EA3671"/>
    <w:rsid w:val="00EA3CE4"/>
    <w:rsid w:val="00EA4AE9"/>
    <w:rsid w:val="00EA4BA6"/>
    <w:rsid w:val="00EA4E9F"/>
    <w:rsid w:val="00EA4FA4"/>
    <w:rsid w:val="00EA5FA4"/>
    <w:rsid w:val="00EA6486"/>
    <w:rsid w:val="00EA6691"/>
    <w:rsid w:val="00EA7116"/>
    <w:rsid w:val="00EA72DC"/>
    <w:rsid w:val="00EA7C41"/>
    <w:rsid w:val="00EB0B44"/>
    <w:rsid w:val="00EB0D7B"/>
    <w:rsid w:val="00EB0DEA"/>
    <w:rsid w:val="00EB0F34"/>
    <w:rsid w:val="00EB1D6B"/>
    <w:rsid w:val="00EB1F63"/>
    <w:rsid w:val="00EB23C0"/>
    <w:rsid w:val="00EB27BC"/>
    <w:rsid w:val="00EB2E9B"/>
    <w:rsid w:val="00EB38ED"/>
    <w:rsid w:val="00EB3ECA"/>
    <w:rsid w:val="00EB5148"/>
    <w:rsid w:val="00EB625C"/>
    <w:rsid w:val="00EB6A32"/>
    <w:rsid w:val="00EB79BF"/>
    <w:rsid w:val="00EB7CA9"/>
    <w:rsid w:val="00EC12EE"/>
    <w:rsid w:val="00EC33A0"/>
    <w:rsid w:val="00EC39F7"/>
    <w:rsid w:val="00EC4454"/>
    <w:rsid w:val="00EC4836"/>
    <w:rsid w:val="00EC4E12"/>
    <w:rsid w:val="00EC4E81"/>
    <w:rsid w:val="00EC5088"/>
    <w:rsid w:val="00EC528B"/>
    <w:rsid w:val="00EC529E"/>
    <w:rsid w:val="00EC58C4"/>
    <w:rsid w:val="00EC6027"/>
    <w:rsid w:val="00EC7C31"/>
    <w:rsid w:val="00ED0FB1"/>
    <w:rsid w:val="00ED1006"/>
    <w:rsid w:val="00ED1C5C"/>
    <w:rsid w:val="00ED2141"/>
    <w:rsid w:val="00ED30C5"/>
    <w:rsid w:val="00ED3178"/>
    <w:rsid w:val="00ED34D2"/>
    <w:rsid w:val="00ED409F"/>
    <w:rsid w:val="00ED5249"/>
    <w:rsid w:val="00ED5B33"/>
    <w:rsid w:val="00ED5E38"/>
    <w:rsid w:val="00ED62B7"/>
    <w:rsid w:val="00ED6CA5"/>
    <w:rsid w:val="00EE4490"/>
    <w:rsid w:val="00EE4EEF"/>
    <w:rsid w:val="00EE6832"/>
    <w:rsid w:val="00EE6959"/>
    <w:rsid w:val="00EE6D6C"/>
    <w:rsid w:val="00EF0304"/>
    <w:rsid w:val="00EF1755"/>
    <w:rsid w:val="00EF36F7"/>
    <w:rsid w:val="00EF3AD8"/>
    <w:rsid w:val="00EF3D58"/>
    <w:rsid w:val="00EF6417"/>
    <w:rsid w:val="00EF6945"/>
    <w:rsid w:val="00EF6EF4"/>
    <w:rsid w:val="00EF6F8B"/>
    <w:rsid w:val="00EF7063"/>
    <w:rsid w:val="00EF7084"/>
    <w:rsid w:val="00EF7632"/>
    <w:rsid w:val="00EF7A80"/>
    <w:rsid w:val="00F0067E"/>
    <w:rsid w:val="00F01151"/>
    <w:rsid w:val="00F01373"/>
    <w:rsid w:val="00F013D1"/>
    <w:rsid w:val="00F014C9"/>
    <w:rsid w:val="00F015E5"/>
    <w:rsid w:val="00F01D6C"/>
    <w:rsid w:val="00F02233"/>
    <w:rsid w:val="00F02587"/>
    <w:rsid w:val="00F03383"/>
    <w:rsid w:val="00F03B39"/>
    <w:rsid w:val="00F04052"/>
    <w:rsid w:val="00F04739"/>
    <w:rsid w:val="00F04BF0"/>
    <w:rsid w:val="00F04FED"/>
    <w:rsid w:val="00F05406"/>
    <w:rsid w:val="00F05B14"/>
    <w:rsid w:val="00F05B7A"/>
    <w:rsid w:val="00F05DC9"/>
    <w:rsid w:val="00F05E82"/>
    <w:rsid w:val="00F062E0"/>
    <w:rsid w:val="00F06673"/>
    <w:rsid w:val="00F06961"/>
    <w:rsid w:val="00F06F67"/>
    <w:rsid w:val="00F070AE"/>
    <w:rsid w:val="00F0733D"/>
    <w:rsid w:val="00F075CE"/>
    <w:rsid w:val="00F077CF"/>
    <w:rsid w:val="00F07A99"/>
    <w:rsid w:val="00F07BD8"/>
    <w:rsid w:val="00F1063F"/>
    <w:rsid w:val="00F1066F"/>
    <w:rsid w:val="00F107DE"/>
    <w:rsid w:val="00F10F70"/>
    <w:rsid w:val="00F1157F"/>
    <w:rsid w:val="00F1219C"/>
    <w:rsid w:val="00F12649"/>
    <w:rsid w:val="00F1415F"/>
    <w:rsid w:val="00F14201"/>
    <w:rsid w:val="00F1508C"/>
    <w:rsid w:val="00F1578E"/>
    <w:rsid w:val="00F157FD"/>
    <w:rsid w:val="00F15BDB"/>
    <w:rsid w:val="00F15DEE"/>
    <w:rsid w:val="00F15F34"/>
    <w:rsid w:val="00F165CF"/>
    <w:rsid w:val="00F17D3F"/>
    <w:rsid w:val="00F20710"/>
    <w:rsid w:val="00F20763"/>
    <w:rsid w:val="00F20F7F"/>
    <w:rsid w:val="00F212DD"/>
    <w:rsid w:val="00F22401"/>
    <w:rsid w:val="00F227C8"/>
    <w:rsid w:val="00F22AA1"/>
    <w:rsid w:val="00F23661"/>
    <w:rsid w:val="00F23CB7"/>
    <w:rsid w:val="00F23EB7"/>
    <w:rsid w:val="00F24450"/>
    <w:rsid w:val="00F245A1"/>
    <w:rsid w:val="00F24714"/>
    <w:rsid w:val="00F257B5"/>
    <w:rsid w:val="00F257B9"/>
    <w:rsid w:val="00F268D8"/>
    <w:rsid w:val="00F26C43"/>
    <w:rsid w:val="00F2711C"/>
    <w:rsid w:val="00F2720E"/>
    <w:rsid w:val="00F2776D"/>
    <w:rsid w:val="00F2798C"/>
    <w:rsid w:val="00F27ABF"/>
    <w:rsid w:val="00F27CA4"/>
    <w:rsid w:val="00F3062F"/>
    <w:rsid w:val="00F30AD3"/>
    <w:rsid w:val="00F31997"/>
    <w:rsid w:val="00F32304"/>
    <w:rsid w:val="00F33A8E"/>
    <w:rsid w:val="00F3433A"/>
    <w:rsid w:val="00F346E6"/>
    <w:rsid w:val="00F34E73"/>
    <w:rsid w:val="00F35667"/>
    <w:rsid w:val="00F370E5"/>
    <w:rsid w:val="00F372A2"/>
    <w:rsid w:val="00F379C8"/>
    <w:rsid w:val="00F37D7D"/>
    <w:rsid w:val="00F401EA"/>
    <w:rsid w:val="00F40864"/>
    <w:rsid w:val="00F41A82"/>
    <w:rsid w:val="00F42D43"/>
    <w:rsid w:val="00F43326"/>
    <w:rsid w:val="00F43C14"/>
    <w:rsid w:val="00F44200"/>
    <w:rsid w:val="00F4427D"/>
    <w:rsid w:val="00F445E7"/>
    <w:rsid w:val="00F44895"/>
    <w:rsid w:val="00F45226"/>
    <w:rsid w:val="00F4541F"/>
    <w:rsid w:val="00F46EAF"/>
    <w:rsid w:val="00F50585"/>
    <w:rsid w:val="00F516E3"/>
    <w:rsid w:val="00F52B48"/>
    <w:rsid w:val="00F54832"/>
    <w:rsid w:val="00F5493E"/>
    <w:rsid w:val="00F559E3"/>
    <w:rsid w:val="00F567ED"/>
    <w:rsid w:val="00F57885"/>
    <w:rsid w:val="00F57A81"/>
    <w:rsid w:val="00F60110"/>
    <w:rsid w:val="00F60321"/>
    <w:rsid w:val="00F60C6A"/>
    <w:rsid w:val="00F629E9"/>
    <w:rsid w:val="00F633B3"/>
    <w:rsid w:val="00F637DF"/>
    <w:rsid w:val="00F65C7B"/>
    <w:rsid w:val="00F65CAF"/>
    <w:rsid w:val="00F66144"/>
    <w:rsid w:val="00F666E4"/>
    <w:rsid w:val="00F66846"/>
    <w:rsid w:val="00F66A71"/>
    <w:rsid w:val="00F66CFC"/>
    <w:rsid w:val="00F6713F"/>
    <w:rsid w:val="00F6749F"/>
    <w:rsid w:val="00F674BE"/>
    <w:rsid w:val="00F676F2"/>
    <w:rsid w:val="00F6778E"/>
    <w:rsid w:val="00F67F69"/>
    <w:rsid w:val="00F70440"/>
    <w:rsid w:val="00F707C1"/>
    <w:rsid w:val="00F719DC"/>
    <w:rsid w:val="00F7327D"/>
    <w:rsid w:val="00F74A48"/>
    <w:rsid w:val="00F74B51"/>
    <w:rsid w:val="00F75037"/>
    <w:rsid w:val="00F756FB"/>
    <w:rsid w:val="00F75B46"/>
    <w:rsid w:val="00F75D45"/>
    <w:rsid w:val="00F76B2B"/>
    <w:rsid w:val="00F77676"/>
    <w:rsid w:val="00F7770B"/>
    <w:rsid w:val="00F77F35"/>
    <w:rsid w:val="00F8008B"/>
    <w:rsid w:val="00F80553"/>
    <w:rsid w:val="00F80782"/>
    <w:rsid w:val="00F807D3"/>
    <w:rsid w:val="00F80ABB"/>
    <w:rsid w:val="00F81362"/>
    <w:rsid w:val="00F81956"/>
    <w:rsid w:val="00F823EC"/>
    <w:rsid w:val="00F82410"/>
    <w:rsid w:val="00F82691"/>
    <w:rsid w:val="00F82A75"/>
    <w:rsid w:val="00F82B6D"/>
    <w:rsid w:val="00F82CDB"/>
    <w:rsid w:val="00F82F0A"/>
    <w:rsid w:val="00F837D0"/>
    <w:rsid w:val="00F846E0"/>
    <w:rsid w:val="00F84BB3"/>
    <w:rsid w:val="00F854EE"/>
    <w:rsid w:val="00F856A6"/>
    <w:rsid w:val="00F8629E"/>
    <w:rsid w:val="00F90F8E"/>
    <w:rsid w:val="00F91170"/>
    <w:rsid w:val="00F91353"/>
    <w:rsid w:val="00F91CE7"/>
    <w:rsid w:val="00F92517"/>
    <w:rsid w:val="00F925CC"/>
    <w:rsid w:val="00F9296F"/>
    <w:rsid w:val="00F92EA3"/>
    <w:rsid w:val="00F93073"/>
    <w:rsid w:val="00F94577"/>
    <w:rsid w:val="00F95F47"/>
    <w:rsid w:val="00F96524"/>
    <w:rsid w:val="00F9684A"/>
    <w:rsid w:val="00F96E44"/>
    <w:rsid w:val="00F97CCA"/>
    <w:rsid w:val="00FA0213"/>
    <w:rsid w:val="00FA0825"/>
    <w:rsid w:val="00FA08AD"/>
    <w:rsid w:val="00FA1297"/>
    <w:rsid w:val="00FA13F0"/>
    <w:rsid w:val="00FA172D"/>
    <w:rsid w:val="00FA1F41"/>
    <w:rsid w:val="00FA2F27"/>
    <w:rsid w:val="00FA4150"/>
    <w:rsid w:val="00FA4A26"/>
    <w:rsid w:val="00FA5129"/>
    <w:rsid w:val="00FA5766"/>
    <w:rsid w:val="00FA586C"/>
    <w:rsid w:val="00FA5C25"/>
    <w:rsid w:val="00FA604F"/>
    <w:rsid w:val="00FA6185"/>
    <w:rsid w:val="00FA6F78"/>
    <w:rsid w:val="00FA7D7D"/>
    <w:rsid w:val="00FA7D86"/>
    <w:rsid w:val="00FA7F2E"/>
    <w:rsid w:val="00FB1473"/>
    <w:rsid w:val="00FB14E3"/>
    <w:rsid w:val="00FB296F"/>
    <w:rsid w:val="00FB3538"/>
    <w:rsid w:val="00FB3612"/>
    <w:rsid w:val="00FB4A0E"/>
    <w:rsid w:val="00FB4B16"/>
    <w:rsid w:val="00FB4EA3"/>
    <w:rsid w:val="00FB590F"/>
    <w:rsid w:val="00FB620D"/>
    <w:rsid w:val="00FB6F67"/>
    <w:rsid w:val="00FB742C"/>
    <w:rsid w:val="00FC0AD1"/>
    <w:rsid w:val="00FC0AD7"/>
    <w:rsid w:val="00FC0EA2"/>
    <w:rsid w:val="00FC1071"/>
    <w:rsid w:val="00FC10DE"/>
    <w:rsid w:val="00FC1457"/>
    <w:rsid w:val="00FC16F4"/>
    <w:rsid w:val="00FC1AFF"/>
    <w:rsid w:val="00FC2854"/>
    <w:rsid w:val="00FC2D5F"/>
    <w:rsid w:val="00FC4490"/>
    <w:rsid w:val="00FC5164"/>
    <w:rsid w:val="00FC5603"/>
    <w:rsid w:val="00FC75E1"/>
    <w:rsid w:val="00FD01D5"/>
    <w:rsid w:val="00FD026D"/>
    <w:rsid w:val="00FD0A86"/>
    <w:rsid w:val="00FD0A9D"/>
    <w:rsid w:val="00FD0B28"/>
    <w:rsid w:val="00FD0D03"/>
    <w:rsid w:val="00FD0EB8"/>
    <w:rsid w:val="00FD17BA"/>
    <w:rsid w:val="00FD210F"/>
    <w:rsid w:val="00FD21AE"/>
    <w:rsid w:val="00FD283E"/>
    <w:rsid w:val="00FD2C9D"/>
    <w:rsid w:val="00FD2F74"/>
    <w:rsid w:val="00FD300E"/>
    <w:rsid w:val="00FD34F7"/>
    <w:rsid w:val="00FD37BC"/>
    <w:rsid w:val="00FD382E"/>
    <w:rsid w:val="00FD3B94"/>
    <w:rsid w:val="00FD40DD"/>
    <w:rsid w:val="00FD43B3"/>
    <w:rsid w:val="00FD4825"/>
    <w:rsid w:val="00FD4EB1"/>
    <w:rsid w:val="00FD4FEA"/>
    <w:rsid w:val="00FD561D"/>
    <w:rsid w:val="00FD58FB"/>
    <w:rsid w:val="00FD6295"/>
    <w:rsid w:val="00FD6698"/>
    <w:rsid w:val="00FD71E3"/>
    <w:rsid w:val="00FD7A04"/>
    <w:rsid w:val="00FE0313"/>
    <w:rsid w:val="00FE04C2"/>
    <w:rsid w:val="00FE0775"/>
    <w:rsid w:val="00FE085D"/>
    <w:rsid w:val="00FE1118"/>
    <w:rsid w:val="00FE1129"/>
    <w:rsid w:val="00FE16CA"/>
    <w:rsid w:val="00FE1B1F"/>
    <w:rsid w:val="00FE20E7"/>
    <w:rsid w:val="00FE24A6"/>
    <w:rsid w:val="00FE258E"/>
    <w:rsid w:val="00FE2AF6"/>
    <w:rsid w:val="00FE40E5"/>
    <w:rsid w:val="00FE4463"/>
    <w:rsid w:val="00FE4739"/>
    <w:rsid w:val="00FE4B55"/>
    <w:rsid w:val="00FE4D43"/>
    <w:rsid w:val="00FE4DB2"/>
    <w:rsid w:val="00FE5EED"/>
    <w:rsid w:val="00FE681D"/>
    <w:rsid w:val="00FE7111"/>
    <w:rsid w:val="00FE74DF"/>
    <w:rsid w:val="00FE752C"/>
    <w:rsid w:val="00FE77EF"/>
    <w:rsid w:val="00FF025D"/>
    <w:rsid w:val="00FF0BF3"/>
    <w:rsid w:val="00FF0D55"/>
    <w:rsid w:val="00FF0DBD"/>
    <w:rsid w:val="00FF1242"/>
    <w:rsid w:val="00FF1A1A"/>
    <w:rsid w:val="00FF2100"/>
    <w:rsid w:val="00FF258D"/>
    <w:rsid w:val="00FF3708"/>
    <w:rsid w:val="00FF3A07"/>
    <w:rsid w:val="00FF3FEA"/>
    <w:rsid w:val="00FF4C68"/>
    <w:rsid w:val="00FF5A1B"/>
    <w:rsid w:val="00FF6A16"/>
    <w:rsid w:val="011444EE"/>
    <w:rsid w:val="01AE8A5F"/>
    <w:rsid w:val="023E511F"/>
    <w:rsid w:val="030B1C13"/>
    <w:rsid w:val="037D9620"/>
    <w:rsid w:val="043B779F"/>
    <w:rsid w:val="050A76E7"/>
    <w:rsid w:val="06746F9E"/>
    <w:rsid w:val="07CEF78B"/>
    <w:rsid w:val="08D32DB4"/>
    <w:rsid w:val="09DEF59D"/>
    <w:rsid w:val="0AA9107D"/>
    <w:rsid w:val="0AADE709"/>
    <w:rsid w:val="0C56A2F8"/>
    <w:rsid w:val="0C66EC97"/>
    <w:rsid w:val="0D49BA33"/>
    <w:rsid w:val="0FBD2826"/>
    <w:rsid w:val="10CBCE6E"/>
    <w:rsid w:val="10EE7423"/>
    <w:rsid w:val="1130555C"/>
    <w:rsid w:val="129C1EDE"/>
    <w:rsid w:val="1351D7F9"/>
    <w:rsid w:val="1370933B"/>
    <w:rsid w:val="15EA9D96"/>
    <w:rsid w:val="18258C5D"/>
    <w:rsid w:val="18B5E9AE"/>
    <w:rsid w:val="190BF6D6"/>
    <w:rsid w:val="1AB99D42"/>
    <w:rsid w:val="1B9F3AD5"/>
    <w:rsid w:val="1D1DA95E"/>
    <w:rsid w:val="1E61B0EF"/>
    <w:rsid w:val="1ED8B26F"/>
    <w:rsid w:val="1F98B049"/>
    <w:rsid w:val="1FE2DBC7"/>
    <w:rsid w:val="20437B65"/>
    <w:rsid w:val="2050D91A"/>
    <w:rsid w:val="214A8155"/>
    <w:rsid w:val="21B5A50C"/>
    <w:rsid w:val="2225CA6A"/>
    <w:rsid w:val="22677BBF"/>
    <w:rsid w:val="228A5030"/>
    <w:rsid w:val="2295C521"/>
    <w:rsid w:val="23380796"/>
    <w:rsid w:val="23699D7F"/>
    <w:rsid w:val="238FDDF4"/>
    <w:rsid w:val="245D0818"/>
    <w:rsid w:val="24959C35"/>
    <w:rsid w:val="26F96D1C"/>
    <w:rsid w:val="2886AC25"/>
    <w:rsid w:val="2973BB34"/>
    <w:rsid w:val="2A186938"/>
    <w:rsid w:val="2BF24003"/>
    <w:rsid w:val="2E6884F7"/>
    <w:rsid w:val="2F2D4B04"/>
    <w:rsid w:val="2FB618A9"/>
    <w:rsid w:val="30E81031"/>
    <w:rsid w:val="31DC1E47"/>
    <w:rsid w:val="33927AA9"/>
    <w:rsid w:val="340D3519"/>
    <w:rsid w:val="35642FFF"/>
    <w:rsid w:val="35661C99"/>
    <w:rsid w:val="35EECD26"/>
    <w:rsid w:val="38A5D191"/>
    <w:rsid w:val="39BDC4AD"/>
    <w:rsid w:val="3B75FF8D"/>
    <w:rsid w:val="3CA80B3E"/>
    <w:rsid w:val="3E59A61E"/>
    <w:rsid w:val="3F8C037F"/>
    <w:rsid w:val="3FB3A133"/>
    <w:rsid w:val="40349238"/>
    <w:rsid w:val="40C0D669"/>
    <w:rsid w:val="4257AC30"/>
    <w:rsid w:val="4298F19F"/>
    <w:rsid w:val="42C28E62"/>
    <w:rsid w:val="4374DCDD"/>
    <w:rsid w:val="45D74F30"/>
    <w:rsid w:val="46C37FD2"/>
    <w:rsid w:val="47513725"/>
    <w:rsid w:val="4803F40C"/>
    <w:rsid w:val="48182BDF"/>
    <w:rsid w:val="489EBA95"/>
    <w:rsid w:val="495B41B3"/>
    <w:rsid w:val="4DAC7898"/>
    <w:rsid w:val="4E88BAF1"/>
    <w:rsid w:val="4EA1E869"/>
    <w:rsid w:val="4F1DC800"/>
    <w:rsid w:val="4F2C3142"/>
    <w:rsid w:val="51B402CF"/>
    <w:rsid w:val="52635495"/>
    <w:rsid w:val="5327BA16"/>
    <w:rsid w:val="535EB769"/>
    <w:rsid w:val="5404BC25"/>
    <w:rsid w:val="549C6D53"/>
    <w:rsid w:val="54B5C4B1"/>
    <w:rsid w:val="54B6255D"/>
    <w:rsid w:val="5549C085"/>
    <w:rsid w:val="55601427"/>
    <w:rsid w:val="56535ABB"/>
    <w:rsid w:val="56A2333E"/>
    <w:rsid w:val="56DE84D2"/>
    <w:rsid w:val="58CC8D8B"/>
    <w:rsid w:val="59782653"/>
    <w:rsid w:val="598BC6A7"/>
    <w:rsid w:val="5A306935"/>
    <w:rsid w:val="5A75D301"/>
    <w:rsid w:val="5B4607E3"/>
    <w:rsid w:val="5BC13869"/>
    <w:rsid w:val="5E8C7984"/>
    <w:rsid w:val="5F9D45C1"/>
    <w:rsid w:val="61F23A52"/>
    <w:rsid w:val="6270CCBA"/>
    <w:rsid w:val="62EF38A8"/>
    <w:rsid w:val="63871AFE"/>
    <w:rsid w:val="63DBFA06"/>
    <w:rsid w:val="63FB3DF7"/>
    <w:rsid w:val="6513B467"/>
    <w:rsid w:val="65442B1D"/>
    <w:rsid w:val="65CA0BC8"/>
    <w:rsid w:val="65F47C60"/>
    <w:rsid w:val="65F540BC"/>
    <w:rsid w:val="66ED4493"/>
    <w:rsid w:val="670C8BF8"/>
    <w:rsid w:val="673B2518"/>
    <w:rsid w:val="675ED959"/>
    <w:rsid w:val="680ABB75"/>
    <w:rsid w:val="68614FA9"/>
    <w:rsid w:val="68E05DA6"/>
    <w:rsid w:val="6E61554C"/>
    <w:rsid w:val="6EA5177C"/>
    <w:rsid w:val="70DB2FAF"/>
    <w:rsid w:val="715E66E4"/>
    <w:rsid w:val="7214BDA8"/>
    <w:rsid w:val="72877F88"/>
    <w:rsid w:val="73D9A890"/>
    <w:rsid w:val="74445C24"/>
    <w:rsid w:val="76547BE9"/>
    <w:rsid w:val="77B07680"/>
    <w:rsid w:val="786C4EFD"/>
    <w:rsid w:val="79D274E2"/>
    <w:rsid w:val="7AAEA4E5"/>
    <w:rsid w:val="7B726C41"/>
    <w:rsid w:val="7BE53B81"/>
    <w:rsid w:val="7C1D3689"/>
    <w:rsid w:val="7C7D2A09"/>
    <w:rsid w:val="7DC3D0AE"/>
    <w:rsid w:val="7F040C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light" w:hAnsi="@Yu Gothic UI Semiligh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onclusion box,Table Grid nm,HealthConsult,CMA Table Template,YHEC table,HTAtableplain,Dossier table,Section 3- footnotes,PBAC table,MSD Table Grid,Lash Style Table,Summary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ingLiU-ExtB" w:hAnsi="MingLiU-Ext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ingLiU-ExtB" w:hAnsi="MingLiU-Ext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ingLiU-ExtB" w:hAnsi="MingLiU-ExtB"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Default">
    <w:name w:val="Default"/>
    <w:rsid w:val="00841F83"/>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EB0D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EB0D7B"/>
  </w:style>
  <w:style w:type="character" w:customStyle="1" w:styleId="cf01">
    <w:name w:val="cf01"/>
    <w:basedOn w:val="DefaultParagraphFont"/>
    <w:rsid w:val="00AF22CD"/>
    <w:rPr>
      <w:rFonts w:ascii="Segoe UI" w:hAnsi="Segoe UI" w:cs="Segoe UI" w:hint="default"/>
      <w:sz w:val="18"/>
      <w:szCs w:val="18"/>
    </w:rPr>
  </w:style>
  <w:style w:type="character" w:styleId="UnresolvedMention">
    <w:name w:val="Unresolved Mention"/>
    <w:basedOn w:val="DefaultParagraphFont"/>
    <w:uiPriority w:val="99"/>
    <w:semiHidden/>
    <w:unhideWhenUsed/>
    <w:rsid w:val="00C57CAA"/>
    <w:rPr>
      <w:color w:val="605E5C"/>
      <w:shd w:val="clear" w:color="auto" w:fill="E1DFDD"/>
    </w:rPr>
  </w:style>
  <w:style w:type="character" w:customStyle="1" w:styleId="EXECsumChar">
    <w:name w:val="EXEC sum Char"/>
    <w:basedOn w:val="DefaultParagraphFont"/>
    <w:link w:val="EXECsum"/>
    <w:locked/>
    <w:rsid w:val="0092611C"/>
    <w:rPr>
      <w:rFonts w:ascii="Franklin Gothic Book" w:hAnsi="Franklin Gothic Book"/>
    </w:rPr>
  </w:style>
  <w:style w:type="paragraph" w:customStyle="1" w:styleId="EXECsum">
    <w:name w:val="EXEC sum"/>
    <w:basedOn w:val="Normal"/>
    <w:link w:val="EXECsumChar"/>
    <w:qFormat/>
    <w:rsid w:val="0092611C"/>
    <w:pPr>
      <w:spacing w:after="120" w:line="240" w:lineRule="auto"/>
    </w:pPr>
  </w:style>
  <w:style w:type="character" w:styleId="Mention">
    <w:name w:val="Mention"/>
    <w:basedOn w:val="DefaultParagraphFont"/>
    <w:uiPriority w:val="99"/>
    <w:unhideWhenUsed/>
    <w:rsid w:val="00B14307"/>
    <w:rPr>
      <w:color w:val="2B579A"/>
      <w:shd w:val="clear" w:color="auto" w:fill="E1DFDD"/>
    </w:rPr>
  </w:style>
  <w:style w:type="character" w:styleId="SubtleEmphasis">
    <w:name w:val="Subtle Emphasis"/>
    <w:basedOn w:val="DefaultParagraphFont"/>
    <w:uiPriority w:val="19"/>
    <w:qFormat/>
    <w:rsid w:val="009E212B"/>
    <w:rPr>
      <w:i/>
      <w:iCs/>
      <w:color w:val="404040" w:themeColor="text1" w:themeTint="BF"/>
    </w:rPr>
  </w:style>
  <w:style w:type="numbering" w:customStyle="1" w:styleId="Headings">
    <w:name w:val="Headings"/>
    <w:uiPriority w:val="99"/>
    <w:rsid w:val="00E33F73"/>
    <w:pPr>
      <w:numPr>
        <w:numId w:val="17"/>
      </w:numPr>
    </w:pPr>
  </w:style>
  <w:style w:type="paragraph" w:customStyle="1" w:styleId="InstructionalText0">
    <w:name w:val="Instructional Text"/>
    <w:basedOn w:val="MSACESParagraph"/>
    <w:link w:val="InstructionalTextChar0"/>
    <w:uiPriority w:val="3"/>
    <w:qFormat/>
    <w:rsid w:val="00E33F73"/>
    <w:pPr>
      <w:jc w:val="both"/>
    </w:pPr>
    <w:rPr>
      <w:rFonts w:asciiTheme="minorHAnsi" w:hAnsiTheme="minorHAnsi" w:cstheme="minorHAnsi"/>
      <w:color w:val="3366FF"/>
    </w:rPr>
  </w:style>
  <w:style w:type="character" w:customStyle="1" w:styleId="InstructionalTextChar0">
    <w:name w:val="Instructional Text Char"/>
    <w:basedOn w:val="DefaultParagraphFont"/>
    <w:link w:val="InstructionalText0"/>
    <w:uiPriority w:val="3"/>
    <w:rsid w:val="00E33F73"/>
    <w:rPr>
      <w:rFonts w:cstheme="minorHAnsi"/>
      <w:color w:val="3366FF"/>
      <w:sz w:val="24"/>
    </w:rPr>
  </w:style>
  <w:style w:type="paragraph" w:styleId="BodyText">
    <w:name w:val="Body Text"/>
    <w:basedOn w:val="Normal"/>
    <w:link w:val="BodyTextChar"/>
    <w:uiPriority w:val="4"/>
    <w:unhideWhenUsed/>
    <w:rsid w:val="00E33F73"/>
    <w:pPr>
      <w:spacing w:after="120" w:line="240" w:lineRule="auto"/>
      <w:jc w:val="both"/>
    </w:pPr>
    <w:rPr>
      <w:rFonts w:asciiTheme="minorHAnsi" w:hAnsiTheme="minorHAnsi"/>
      <w:sz w:val="24"/>
    </w:rPr>
  </w:style>
  <w:style w:type="character" w:customStyle="1" w:styleId="BodyTextChar">
    <w:name w:val="Body Text Char"/>
    <w:basedOn w:val="DefaultParagraphFont"/>
    <w:link w:val="BodyText"/>
    <w:uiPriority w:val="4"/>
    <w:rsid w:val="00E33F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720">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92096763">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9832749">
      <w:bodyDiv w:val="1"/>
      <w:marLeft w:val="0"/>
      <w:marRight w:val="0"/>
      <w:marTop w:val="0"/>
      <w:marBottom w:val="0"/>
      <w:divBdr>
        <w:top w:val="none" w:sz="0" w:space="0" w:color="auto"/>
        <w:left w:val="none" w:sz="0" w:space="0" w:color="auto"/>
        <w:bottom w:val="none" w:sz="0" w:space="0" w:color="auto"/>
        <w:right w:val="none" w:sz="0" w:space="0" w:color="auto"/>
      </w:divBdr>
    </w:div>
    <w:div w:id="528497455">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91463770">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1315786">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85841894">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67453477">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4074935">
      <w:bodyDiv w:val="1"/>
      <w:marLeft w:val="0"/>
      <w:marRight w:val="0"/>
      <w:marTop w:val="0"/>
      <w:marBottom w:val="0"/>
      <w:divBdr>
        <w:top w:val="none" w:sz="0" w:space="0" w:color="auto"/>
        <w:left w:val="none" w:sz="0" w:space="0" w:color="auto"/>
        <w:bottom w:val="none" w:sz="0" w:space="0" w:color="auto"/>
        <w:right w:val="none" w:sz="0" w:space="0" w:color="auto"/>
      </w:divBdr>
    </w:div>
    <w:div w:id="1642416862">
      <w:bodyDiv w:val="1"/>
      <w:marLeft w:val="0"/>
      <w:marRight w:val="0"/>
      <w:marTop w:val="0"/>
      <w:marBottom w:val="0"/>
      <w:divBdr>
        <w:top w:val="none" w:sz="0" w:space="0" w:color="auto"/>
        <w:left w:val="none" w:sz="0" w:space="0" w:color="auto"/>
        <w:bottom w:val="none" w:sz="0" w:space="0" w:color="auto"/>
        <w:right w:val="none" w:sz="0" w:space="0" w:color="auto"/>
      </w:divBdr>
      <w:divsChild>
        <w:div w:id="247546704">
          <w:marLeft w:val="0"/>
          <w:marRight w:val="0"/>
          <w:marTop w:val="0"/>
          <w:marBottom w:val="0"/>
          <w:divBdr>
            <w:top w:val="none" w:sz="0" w:space="0" w:color="auto"/>
            <w:left w:val="none" w:sz="0" w:space="0" w:color="auto"/>
            <w:bottom w:val="none" w:sz="0" w:space="0" w:color="auto"/>
            <w:right w:val="none" w:sz="0" w:space="0" w:color="auto"/>
          </w:divBdr>
          <w:divsChild>
            <w:div w:id="1215510842">
              <w:marLeft w:val="439"/>
              <w:marRight w:val="0"/>
              <w:marTop w:val="0"/>
              <w:marBottom w:val="0"/>
              <w:divBdr>
                <w:top w:val="none" w:sz="0" w:space="0" w:color="auto"/>
                <w:left w:val="none" w:sz="0" w:space="0" w:color="auto"/>
                <w:bottom w:val="none" w:sz="0" w:space="0" w:color="auto"/>
                <w:right w:val="none" w:sz="0" w:space="0" w:color="auto"/>
              </w:divBdr>
              <w:divsChild>
                <w:div w:id="12466006">
                  <w:marLeft w:val="0"/>
                  <w:marRight w:val="0"/>
                  <w:marTop w:val="0"/>
                  <w:marBottom w:val="0"/>
                  <w:divBdr>
                    <w:top w:val="none" w:sz="0" w:space="0" w:color="auto"/>
                    <w:left w:val="none" w:sz="0" w:space="0" w:color="auto"/>
                    <w:bottom w:val="none" w:sz="0" w:space="0" w:color="auto"/>
                    <w:right w:val="none" w:sz="0" w:space="0" w:color="auto"/>
                  </w:divBdr>
                  <w:divsChild>
                    <w:div w:id="463347827">
                      <w:marLeft w:val="0"/>
                      <w:marRight w:val="0"/>
                      <w:marTop w:val="0"/>
                      <w:marBottom w:val="0"/>
                      <w:divBdr>
                        <w:top w:val="none" w:sz="0" w:space="0" w:color="auto"/>
                        <w:left w:val="none" w:sz="0" w:space="0" w:color="auto"/>
                        <w:bottom w:val="none" w:sz="0" w:space="0" w:color="auto"/>
                        <w:right w:val="none" w:sz="0" w:space="0" w:color="auto"/>
                      </w:divBdr>
                    </w:div>
                    <w:div w:id="1916359412">
                      <w:marLeft w:val="176"/>
                      <w:marRight w:val="0"/>
                      <w:marTop w:val="0"/>
                      <w:marBottom w:val="0"/>
                      <w:divBdr>
                        <w:top w:val="none" w:sz="0" w:space="0" w:color="auto"/>
                        <w:left w:val="none" w:sz="0" w:space="0" w:color="auto"/>
                        <w:bottom w:val="none" w:sz="0" w:space="0" w:color="auto"/>
                        <w:right w:val="none" w:sz="0" w:space="0" w:color="auto"/>
                      </w:divBdr>
                    </w:div>
                  </w:divsChild>
                </w:div>
                <w:div w:id="74129700">
                  <w:marLeft w:val="0"/>
                  <w:marRight w:val="0"/>
                  <w:marTop w:val="0"/>
                  <w:marBottom w:val="0"/>
                  <w:divBdr>
                    <w:top w:val="none" w:sz="0" w:space="0" w:color="auto"/>
                    <w:left w:val="none" w:sz="0" w:space="0" w:color="auto"/>
                    <w:bottom w:val="none" w:sz="0" w:space="0" w:color="auto"/>
                    <w:right w:val="none" w:sz="0" w:space="0" w:color="auto"/>
                  </w:divBdr>
                  <w:divsChild>
                    <w:div w:id="1832603006">
                      <w:marLeft w:val="0"/>
                      <w:marRight w:val="0"/>
                      <w:marTop w:val="0"/>
                      <w:marBottom w:val="0"/>
                      <w:divBdr>
                        <w:top w:val="none" w:sz="0" w:space="0" w:color="auto"/>
                        <w:left w:val="none" w:sz="0" w:space="0" w:color="auto"/>
                        <w:bottom w:val="none" w:sz="0" w:space="0" w:color="auto"/>
                        <w:right w:val="none" w:sz="0" w:space="0" w:color="auto"/>
                      </w:divBdr>
                    </w:div>
                    <w:div w:id="1855344986">
                      <w:marLeft w:val="176"/>
                      <w:marRight w:val="0"/>
                      <w:marTop w:val="0"/>
                      <w:marBottom w:val="0"/>
                      <w:divBdr>
                        <w:top w:val="none" w:sz="0" w:space="0" w:color="auto"/>
                        <w:left w:val="none" w:sz="0" w:space="0" w:color="auto"/>
                        <w:bottom w:val="none" w:sz="0" w:space="0" w:color="auto"/>
                        <w:right w:val="none" w:sz="0" w:space="0" w:color="auto"/>
                      </w:divBdr>
                    </w:div>
                  </w:divsChild>
                </w:div>
                <w:div w:id="554895729">
                  <w:marLeft w:val="0"/>
                  <w:marRight w:val="0"/>
                  <w:marTop w:val="0"/>
                  <w:marBottom w:val="0"/>
                  <w:divBdr>
                    <w:top w:val="none" w:sz="0" w:space="0" w:color="auto"/>
                    <w:left w:val="none" w:sz="0" w:space="0" w:color="auto"/>
                    <w:bottom w:val="none" w:sz="0" w:space="0" w:color="auto"/>
                    <w:right w:val="none" w:sz="0" w:space="0" w:color="auto"/>
                  </w:divBdr>
                  <w:divsChild>
                    <w:div w:id="68772916">
                      <w:marLeft w:val="0"/>
                      <w:marRight w:val="0"/>
                      <w:marTop w:val="0"/>
                      <w:marBottom w:val="0"/>
                      <w:divBdr>
                        <w:top w:val="none" w:sz="0" w:space="0" w:color="auto"/>
                        <w:left w:val="none" w:sz="0" w:space="0" w:color="auto"/>
                        <w:bottom w:val="none" w:sz="0" w:space="0" w:color="auto"/>
                        <w:right w:val="none" w:sz="0" w:space="0" w:color="auto"/>
                      </w:divBdr>
                    </w:div>
                    <w:div w:id="1097093700">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967274322">
              <w:marLeft w:val="0"/>
              <w:marRight w:val="0"/>
              <w:marTop w:val="0"/>
              <w:marBottom w:val="0"/>
              <w:divBdr>
                <w:top w:val="none" w:sz="0" w:space="0" w:color="auto"/>
                <w:left w:val="none" w:sz="0" w:space="0" w:color="auto"/>
                <w:bottom w:val="none" w:sz="0" w:space="0" w:color="auto"/>
                <w:right w:val="none" w:sz="0" w:space="0" w:color="auto"/>
              </w:divBdr>
            </w:div>
          </w:divsChild>
        </w:div>
        <w:div w:id="1814517638">
          <w:marLeft w:val="0"/>
          <w:marRight w:val="0"/>
          <w:marTop w:val="0"/>
          <w:marBottom w:val="0"/>
          <w:divBdr>
            <w:top w:val="none" w:sz="0" w:space="0" w:color="auto"/>
            <w:left w:val="none" w:sz="0" w:space="0" w:color="auto"/>
            <w:bottom w:val="none" w:sz="0" w:space="0" w:color="auto"/>
            <w:right w:val="none" w:sz="0" w:space="0" w:color="auto"/>
          </w:divBdr>
        </w:div>
      </w:divsChild>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66727910">
      <w:bodyDiv w:val="1"/>
      <w:marLeft w:val="0"/>
      <w:marRight w:val="0"/>
      <w:marTop w:val="0"/>
      <w:marBottom w:val="0"/>
      <w:divBdr>
        <w:top w:val="none" w:sz="0" w:space="0" w:color="auto"/>
        <w:left w:val="none" w:sz="0" w:space="0" w:color="auto"/>
        <w:bottom w:val="none" w:sz="0" w:space="0" w:color="auto"/>
        <w:right w:val="none" w:sz="0" w:space="0" w:color="auto"/>
      </w:divBdr>
      <w:divsChild>
        <w:div w:id="191722757">
          <w:marLeft w:val="0"/>
          <w:marRight w:val="0"/>
          <w:marTop w:val="0"/>
          <w:marBottom w:val="0"/>
          <w:divBdr>
            <w:top w:val="none" w:sz="0" w:space="0" w:color="auto"/>
            <w:left w:val="none" w:sz="0" w:space="0" w:color="auto"/>
            <w:bottom w:val="none" w:sz="0" w:space="0" w:color="auto"/>
            <w:right w:val="none" w:sz="0" w:space="0" w:color="auto"/>
          </w:divBdr>
        </w:div>
        <w:div w:id="1852337216">
          <w:marLeft w:val="0"/>
          <w:marRight w:val="0"/>
          <w:marTop w:val="0"/>
          <w:marBottom w:val="0"/>
          <w:divBdr>
            <w:top w:val="none" w:sz="0" w:space="0" w:color="auto"/>
            <w:left w:val="none" w:sz="0" w:space="0" w:color="auto"/>
            <w:bottom w:val="none" w:sz="0" w:space="0" w:color="auto"/>
            <w:right w:val="none" w:sz="0" w:space="0" w:color="auto"/>
          </w:divBdr>
          <w:divsChild>
            <w:div w:id="1588054">
              <w:marLeft w:val="439"/>
              <w:marRight w:val="0"/>
              <w:marTop w:val="0"/>
              <w:marBottom w:val="0"/>
              <w:divBdr>
                <w:top w:val="none" w:sz="0" w:space="0" w:color="auto"/>
                <w:left w:val="none" w:sz="0" w:space="0" w:color="auto"/>
                <w:bottom w:val="none" w:sz="0" w:space="0" w:color="auto"/>
                <w:right w:val="none" w:sz="0" w:space="0" w:color="auto"/>
              </w:divBdr>
              <w:divsChild>
                <w:div w:id="539971558">
                  <w:marLeft w:val="0"/>
                  <w:marRight w:val="0"/>
                  <w:marTop w:val="0"/>
                  <w:marBottom w:val="0"/>
                  <w:divBdr>
                    <w:top w:val="none" w:sz="0" w:space="0" w:color="auto"/>
                    <w:left w:val="none" w:sz="0" w:space="0" w:color="auto"/>
                    <w:bottom w:val="none" w:sz="0" w:space="0" w:color="auto"/>
                    <w:right w:val="none" w:sz="0" w:space="0" w:color="auto"/>
                  </w:divBdr>
                  <w:divsChild>
                    <w:div w:id="571551303">
                      <w:marLeft w:val="0"/>
                      <w:marRight w:val="0"/>
                      <w:marTop w:val="0"/>
                      <w:marBottom w:val="0"/>
                      <w:divBdr>
                        <w:top w:val="none" w:sz="0" w:space="0" w:color="auto"/>
                        <w:left w:val="none" w:sz="0" w:space="0" w:color="auto"/>
                        <w:bottom w:val="none" w:sz="0" w:space="0" w:color="auto"/>
                        <w:right w:val="none" w:sz="0" w:space="0" w:color="auto"/>
                      </w:divBdr>
                    </w:div>
                    <w:div w:id="2030643310">
                      <w:marLeft w:val="176"/>
                      <w:marRight w:val="0"/>
                      <w:marTop w:val="0"/>
                      <w:marBottom w:val="0"/>
                      <w:divBdr>
                        <w:top w:val="none" w:sz="0" w:space="0" w:color="auto"/>
                        <w:left w:val="none" w:sz="0" w:space="0" w:color="auto"/>
                        <w:bottom w:val="none" w:sz="0" w:space="0" w:color="auto"/>
                        <w:right w:val="none" w:sz="0" w:space="0" w:color="auto"/>
                      </w:divBdr>
                    </w:div>
                  </w:divsChild>
                </w:div>
                <w:div w:id="1321082388">
                  <w:marLeft w:val="0"/>
                  <w:marRight w:val="0"/>
                  <w:marTop w:val="0"/>
                  <w:marBottom w:val="0"/>
                  <w:divBdr>
                    <w:top w:val="none" w:sz="0" w:space="0" w:color="auto"/>
                    <w:left w:val="none" w:sz="0" w:space="0" w:color="auto"/>
                    <w:bottom w:val="none" w:sz="0" w:space="0" w:color="auto"/>
                    <w:right w:val="none" w:sz="0" w:space="0" w:color="auto"/>
                  </w:divBdr>
                  <w:divsChild>
                    <w:div w:id="38944281">
                      <w:marLeft w:val="176"/>
                      <w:marRight w:val="0"/>
                      <w:marTop w:val="0"/>
                      <w:marBottom w:val="0"/>
                      <w:divBdr>
                        <w:top w:val="none" w:sz="0" w:space="0" w:color="auto"/>
                        <w:left w:val="none" w:sz="0" w:space="0" w:color="auto"/>
                        <w:bottom w:val="none" w:sz="0" w:space="0" w:color="auto"/>
                        <w:right w:val="none" w:sz="0" w:space="0" w:color="auto"/>
                      </w:divBdr>
                    </w:div>
                    <w:div w:id="979307914">
                      <w:marLeft w:val="0"/>
                      <w:marRight w:val="0"/>
                      <w:marTop w:val="0"/>
                      <w:marBottom w:val="0"/>
                      <w:divBdr>
                        <w:top w:val="none" w:sz="0" w:space="0" w:color="auto"/>
                        <w:left w:val="none" w:sz="0" w:space="0" w:color="auto"/>
                        <w:bottom w:val="none" w:sz="0" w:space="0" w:color="auto"/>
                        <w:right w:val="none" w:sz="0" w:space="0" w:color="auto"/>
                      </w:divBdr>
                    </w:div>
                  </w:divsChild>
                </w:div>
                <w:div w:id="1719666516">
                  <w:marLeft w:val="0"/>
                  <w:marRight w:val="0"/>
                  <w:marTop w:val="0"/>
                  <w:marBottom w:val="0"/>
                  <w:divBdr>
                    <w:top w:val="none" w:sz="0" w:space="0" w:color="auto"/>
                    <w:left w:val="none" w:sz="0" w:space="0" w:color="auto"/>
                    <w:bottom w:val="none" w:sz="0" w:space="0" w:color="auto"/>
                    <w:right w:val="none" w:sz="0" w:space="0" w:color="auto"/>
                  </w:divBdr>
                  <w:divsChild>
                    <w:div w:id="630330942">
                      <w:marLeft w:val="176"/>
                      <w:marRight w:val="0"/>
                      <w:marTop w:val="0"/>
                      <w:marBottom w:val="0"/>
                      <w:divBdr>
                        <w:top w:val="none" w:sz="0" w:space="0" w:color="auto"/>
                        <w:left w:val="none" w:sz="0" w:space="0" w:color="auto"/>
                        <w:bottom w:val="none" w:sz="0" w:space="0" w:color="auto"/>
                        <w:right w:val="none" w:sz="0" w:space="0" w:color="auto"/>
                      </w:divBdr>
                    </w:div>
                    <w:div w:id="14087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1843">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94469668">
      <w:bodyDiv w:val="1"/>
      <w:marLeft w:val="0"/>
      <w:marRight w:val="0"/>
      <w:marTop w:val="0"/>
      <w:marBottom w:val="0"/>
      <w:divBdr>
        <w:top w:val="none" w:sz="0" w:space="0" w:color="auto"/>
        <w:left w:val="none" w:sz="0" w:space="0" w:color="auto"/>
        <w:bottom w:val="none" w:sz="0" w:space="0" w:color="auto"/>
        <w:right w:val="none" w:sz="0" w:space="0" w:color="auto"/>
      </w:divBdr>
      <w:divsChild>
        <w:div w:id="740759358">
          <w:marLeft w:val="0"/>
          <w:marRight w:val="0"/>
          <w:marTop w:val="0"/>
          <w:marBottom w:val="0"/>
          <w:divBdr>
            <w:top w:val="none" w:sz="0" w:space="0" w:color="auto"/>
            <w:left w:val="none" w:sz="0" w:space="0" w:color="auto"/>
            <w:bottom w:val="none" w:sz="0" w:space="0" w:color="auto"/>
            <w:right w:val="none" w:sz="0" w:space="0" w:color="auto"/>
          </w:divBdr>
          <w:divsChild>
            <w:div w:id="786390058">
              <w:marLeft w:val="0"/>
              <w:marRight w:val="0"/>
              <w:marTop w:val="0"/>
              <w:marBottom w:val="0"/>
              <w:divBdr>
                <w:top w:val="none" w:sz="0" w:space="0" w:color="auto"/>
                <w:left w:val="none" w:sz="0" w:space="0" w:color="auto"/>
                <w:bottom w:val="none" w:sz="0" w:space="0" w:color="auto"/>
                <w:right w:val="none" w:sz="0" w:space="0" w:color="auto"/>
              </w:divBdr>
            </w:div>
            <w:div w:id="1829176221">
              <w:marLeft w:val="439"/>
              <w:marRight w:val="0"/>
              <w:marTop w:val="0"/>
              <w:marBottom w:val="0"/>
              <w:divBdr>
                <w:top w:val="none" w:sz="0" w:space="0" w:color="auto"/>
                <w:left w:val="none" w:sz="0" w:space="0" w:color="auto"/>
                <w:bottom w:val="none" w:sz="0" w:space="0" w:color="auto"/>
                <w:right w:val="none" w:sz="0" w:space="0" w:color="auto"/>
              </w:divBdr>
              <w:divsChild>
                <w:div w:id="260066206">
                  <w:marLeft w:val="0"/>
                  <w:marRight w:val="0"/>
                  <w:marTop w:val="0"/>
                  <w:marBottom w:val="0"/>
                  <w:divBdr>
                    <w:top w:val="none" w:sz="0" w:space="0" w:color="auto"/>
                    <w:left w:val="none" w:sz="0" w:space="0" w:color="auto"/>
                    <w:bottom w:val="none" w:sz="0" w:space="0" w:color="auto"/>
                    <w:right w:val="none" w:sz="0" w:space="0" w:color="auto"/>
                  </w:divBdr>
                  <w:divsChild>
                    <w:div w:id="619190494">
                      <w:marLeft w:val="176"/>
                      <w:marRight w:val="0"/>
                      <w:marTop w:val="0"/>
                      <w:marBottom w:val="0"/>
                      <w:divBdr>
                        <w:top w:val="none" w:sz="0" w:space="0" w:color="auto"/>
                        <w:left w:val="none" w:sz="0" w:space="0" w:color="auto"/>
                        <w:bottom w:val="none" w:sz="0" w:space="0" w:color="auto"/>
                        <w:right w:val="none" w:sz="0" w:space="0" w:color="auto"/>
                      </w:divBdr>
                    </w:div>
                    <w:div w:id="1395353408">
                      <w:marLeft w:val="0"/>
                      <w:marRight w:val="0"/>
                      <w:marTop w:val="0"/>
                      <w:marBottom w:val="0"/>
                      <w:divBdr>
                        <w:top w:val="none" w:sz="0" w:space="0" w:color="auto"/>
                        <w:left w:val="none" w:sz="0" w:space="0" w:color="auto"/>
                        <w:bottom w:val="none" w:sz="0" w:space="0" w:color="auto"/>
                        <w:right w:val="none" w:sz="0" w:space="0" w:color="auto"/>
                      </w:divBdr>
                    </w:div>
                  </w:divsChild>
                </w:div>
                <w:div w:id="1000348129">
                  <w:marLeft w:val="0"/>
                  <w:marRight w:val="0"/>
                  <w:marTop w:val="0"/>
                  <w:marBottom w:val="0"/>
                  <w:divBdr>
                    <w:top w:val="none" w:sz="0" w:space="0" w:color="auto"/>
                    <w:left w:val="none" w:sz="0" w:space="0" w:color="auto"/>
                    <w:bottom w:val="none" w:sz="0" w:space="0" w:color="auto"/>
                    <w:right w:val="none" w:sz="0" w:space="0" w:color="auto"/>
                  </w:divBdr>
                  <w:divsChild>
                    <w:div w:id="673538207">
                      <w:marLeft w:val="0"/>
                      <w:marRight w:val="0"/>
                      <w:marTop w:val="0"/>
                      <w:marBottom w:val="0"/>
                      <w:divBdr>
                        <w:top w:val="none" w:sz="0" w:space="0" w:color="auto"/>
                        <w:left w:val="none" w:sz="0" w:space="0" w:color="auto"/>
                        <w:bottom w:val="none" w:sz="0" w:space="0" w:color="auto"/>
                        <w:right w:val="none" w:sz="0" w:space="0" w:color="auto"/>
                      </w:divBdr>
                    </w:div>
                    <w:div w:id="1456021654">
                      <w:marLeft w:val="176"/>
                      <w:marRight w:val="0"/>
                      <w:marTop w:val="0"/>
                      <w:marBottom w:val="0"/>
                      <w:divBdr>
                        <w:top w:val="none" w:sz="0" w:space="0" w:color="auto"/>
                        <w:left w:val="none" w:sz="0" w:space="0" w:color="auto"/>
                        <w:bottom w:val="none" w:sz="0" w:space="0" w:color="auto"/>
                        <w:right w:val="none" w:sz="0" w:space="0" w:color="auto"/>
                      </w:divBdr>
                    </w:div>
                  </w:divsChild>
                </w:div>
                <w:div w:id="1358315862">
                  <w:marLeft w:val="0"/>
                  <w:marRight w:val="0"/>
                  <w:marTop w:val="0"/>
                  <w:marBottom w:val="0"/>
                  <w:divBdr>
                    <w:top w:val="none" w:sz="0" w:space="0" w:color="auto"/>
                    <w:left w:val="none" w:sz="0" w:space="0" w:color="auto"/>
                    <w:bottom w:val="none" w:sz="0" w:space="0" w:color="auto"/>
                    <w:right w:val="none" w:sz="0" w:space="0" w:color="auto"/>
                  </w:divBdr>
                  <w:divsChild>
                    <w:div w:id="76176644">
                      <w:marLeft w:val="0"/>
                      <w:marRight w:val="0"/>
                      <w:marTop w:val="0"/>
                      <w:marBottom w:val="0"/>
                      <w:divBdr>
                        <w:top w:val="none" w:sz="0" w:space="0" w:color="auto"/>
                        <w:left w:val="none" w:sz="0" w:space="0" w:color="auto"/>
                        <w:bottom w:val="none" w:sz="0" w:space="0" w:color="auto"/>
                        <w:right w:val="none" w:sz="0" w:space="0" w:color="auto"/>
                      </w:divBdr>
                    </w:div>
                    <w:div w:id="2055500496">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7834">
          <w:marLeft w:val="0"/>
          <w:marRight w:val="0"/>
          <w:marTop w:val="0"/>
          <w:marBottom w:val="0"/>
          <w:divBdr>
            <w:top w:val="none" w:sz="0" w:space="0" w:color="auto"/>
            <w:left w:val="none" w:sz="0" w:space="0" w:color="auto"/>
            <w:bottom w:val="none" w:sz="0" w:space="0" w:color="auto"/>
            <w:right w:val="none" w:sz="0" w:space="0" w:color="auto"/>
          </w:divBdr>
        </w:div>
      </w:divsChild>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9.health.gov.au/mbs/search.cfm?q=38618&amp;Submit=&amp;sop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msac.gov.au/internet/msac/publishing.nsf/Content/1749-public" TargetMode="External"/><Relationship Id="rId7" Type="http://schemas.openxmlformats.org/officeDocument/2006/relationships/settings" Target="settings.xml"/><Relationship Id="rId12" Type="http://schemas.openxmlformats.org/officeDocument/2006/relationships/hyperlink" Target="https://www9.health.gov.au/mbs/search.cfm?q=38615&amp;Submit=&amp;sop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sac.gov.au/internet/msac/publishing.nsf/Content/1749-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msac.gov.au/internet/msac/publishing.nsf/Content/Home-1"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oi.org/10.1016/j.hlc.2024.06.35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ijcard.2022.03.044" TargetMode="External"/><Relationship Id="rId7" Type="http://schemas.openxmlformats.org/officeDocument/2006/relationships/hyperlink" Target="https://www.jhltonline.org/article/S1053-2498(22)02248-3/fulltext" TargetMode="External"/><Relationship Id="rId2" Type="http://schemas.openxmlformats.org/officeDocument/2006/relationships/hyperlink" Target="https://doi.org/10.1016/j.hlc.2024.06.350" TargetMode="External"/><Relationship Id="rId1" Type="http://schemas.openxmlformats.org/officeDocument/2006/relationships/hyperlink" Target="https://www.fda.gov/medical-devices/medical-device-recalls/abbottthoratec-corp-recalls-heartmate-ii-and-heartmate-3-left-ventricular-assist-system-lvas-due" TargetMode="External"/><Relationship Id="rId6" Type="http://schemas.openxmlformats.org/officeDocument/2006/relationships/hyperlink" Target="https://doi.org/10.1016/j.athoracsur.2023.11.004" TargetMode="External"/><Relationship Id="rId5" Type="http://schemas.openxmlformats.org/officeDocument/2006/relationships/hyperlink" Target="https://doi.org/10.1080/13696998.2016.1261031" TargetMode="External"/><Relationship Id="rId4" Type="http://schemas.openxmlformats.org/officeDocument/2006/relationships/hyperlink" Target="https://doi.org/10.1016/j.ijcard.2016.1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3fe6a9a36f47368fc1700838102d75b8">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1e7cf07b4405444414bd2c3ff46db4be"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A9829-3351-4917-85B7-E6DFFD28487F}">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2.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customXml/itemProps3.xml><?xml version="1.0" encoding="utf-8"?>
<ds:datastoreItem xmlns:ds="http://schemas.openxmlformats.org/officeDocument/2006/customXml" ds:itemID="{9EDB904A-177D-4BB6-98AC-236E11515E6F}">
  <ds:schemaRefs>
    <ds:schemaRef ds:uri="http://schemas.microsoft.com/sharepoint/v3/contenttype/forms"/>
  </ds:schemaRefs>
</ds:datastoreItem>
</file>

<file path=customXml/itemProps4.xml><?xml version="1.0" encoding="utf-8"?>
<ds:datastoreItem xmlns:ds="http://schemas.openxmlformats.org/officeDocument/2006/customXml" ds:itemID="{9752FEDA-666D-4F3C-A7EF-9CB0F19E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15473</Words>
  <Characters>88197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103464</CharactersWithSpaces>
  <SharedDoc>false</SharedDoc>
  <HyperlinkBase/>
  <HLinks>
    <vt:vector size="84" baseType="variant">
      <vt:variant>
        <vt:i4>6684716</vt:i4>
      </vt:variant>
      <vt:variant>
        <vt:i4>132</vt:i4>
      </vt:variant>
      <vt:variant>
        <vt:i4>0</vt:i4>
      </vt:variant>
      <vt:variant>
        <vt:i4>5</vt:i4>
      </vt:variant>
      <vt:variant>
        <vt:lpwstr>http://msac.gov.au/internet/msac/publishing.nsf/Content/Home-1</vt:lpwstr>
      </vt:variant>
      <vt:variant>
        <vt:lpwstr/>
      </vt:variant>
      <vt:variant>
        <vt:i4>5308438</vt:i4>
      </vt:variant>
      <vt:variant>
        <vt:i4>57</vt:i4>
      </vt:variant>
      <vt:variant>
        <vt:i4>0</vt:i4>
      </vt:variant>
      <vt:variant>
        <vt:i4>5</vt:i4>
      </vt:variant>
      <vt:variant>
        <vt:lpwstr>https://doi.org/10.1016/j.hlc.2024.06.350</vt:lpwstr>
      </vt:variant>
      <vt:variant>
        <vt:lpwstr/>
      </vt:variant>
      <vt:variant>
        <vt:i4>2621493</vt:i4>
      </vt:variant>
      <vt:variant>
        <vt:i4>42</vt:i4>
      </vt:variant>
      <vt:variant>
        <vt:i4>0</vt:i4>
      </vt:variant>
      <vt:variant>
        <vt:i4>5</vt:i4>
      </vt:variant>
      <vt:variant>
        <vt:lpwstr>http://msac.gov.au/internet/msac/publishing.nsf/Content/1749-public</vt:lpwstr>
      </vt:variant>
      <vt:variant>
        <vt:lpwstr/>
      </vt:variant>
      <vt:variant>
        <vt:i4>2621548</vt:i4>
      </vt:variant>
      <vt:variant>
        <vt:i4>30</vt:i4>
      </vt:variant>
      <vt:variant>
        <vt:i4>0</vt:i4>
      </vt:variant>
      <vt:variant>
        <vt:i4>5</vt:i4>
      </vt:variant>
      <vt:variant>
        <vt:lpwstr>http://www.msac.gov.au/internet/msac/publishing.nsf/Content/1749-public</vt:lpwstr>
      </vt:variant>
      <vt:variant>
        <vt:lpwstr/>
      </vt:variant>
      <vt:variant>
        <vt:i4>1048667</vt:i4>
      </vt:variant>
      <vt:variant>
        <vt:i4>21</vt:i4>
      </vt:variant>
      <vt:variant>
        <vt:i4>0</vt:i4>
      </vt:variant>
      <vt:variant>
        <vt:i4>5</vt:i4>
      </vt:variant>
      <vt:variant>
        <vt:lpwstr>https://www9.health.gov.au/mbs/search.cfm?q=38618&amp;Submit=&amp;sopt=S</vt:lpwstr>
      </vt:variant>
      <vt:variant>
        <vt:lpwstr/>
      </vt:variant>
      <vt:variant>
        <vt:i4>1048662</vt:i4>
      </vt:variant>
      <vt:variant>
        <vt:i4>18</vt:i4>
      </vt:variant>
      <vt:variant>
        <vt:i4>0</vt:i4>
      </vt:variant>
      <vt:variant>
        <vt:i4>5</vt:i4>
      </vt:variant>
      <vt:variant>
        <vt:lpwstr>https://www9.health.gov.au/mbs/search.cfm?q=38615&amp;Submit=&amp;sopt=S</vt:lpwstr>
      </vt:variant>
      <vt:variant>
        <vt:lpwstr/>
      </vt:variant>
      <vt:variant>
        <vt:i4>3997744</vt:i4>
      </vt:variant>
      <vt:variant>
        <vt:i4>0</vt:i4>
      </vt:variant>
      <vt:variant>
        <vt:i4>0</vt:i4>
      </vt:variant>
      <vt:variant>
        <vt:i4>5</vt:i4>
      </vt:variant>
      <vt:variant>
        <vt:lpwstr>http://www.msac.gov.au/</vt:lpwstr>
      </vt:variant>
      <vt:variant>
        <vt:lpwstr/>
      </vt:variant>
      <vt:variant>
        <vt:i4>4390982</vt:i4>
      </vt:variant>
      <vt:variant>
        <vt:i4>18</vt:i4>
      </vt:variant>
      <vt:variant>
        <vt:i4>0</vt:i4>
      </vt:variant>
      <vt:variant>
        <vt:i4>5</vt:i4>
      </vt:variant>
      <vt:variant>
        <vt:lpwstr>https://www.jhltonline.org/article/S1053-2498(22)02248-3/fulltext</vt:lpwstr>
      </vt:variant>
      <vt:variant>
        <vt:lpwstr/>
      </vt:variant>
      <vt:variant>
        <vt:i4>6029401</vt:i4>
      </vt:variant>
      <vt:variant>
        <vt:i4>15</vt:i4>
      </vt:variant>
      <vt:variant>
        <vt:i4>0</vt:i4>
      </vt:variant>
      <vt:variant>
        <vt:i4>5</vt:i4>
      </vt:variant>
      <vt:variant>
        <vt:lpwstr>https://doi.org/10.1016/j.athoracsur.2023.11.004</vt:lpwstr>
      </vt:variant>
      <vt:variant>
        <vt:lpwstr/>
      </vt:variant>
      <vt:variant>
        <vt:i4>852045</vt:i4>
      </vt:variant>
      <vt:variant>
        <vt:i4>12</vt:i4>
      </vt:variant>
      <vt:variant>
        <vt:i4>0</vt:i4>
      </vt:variant>
      <vt:variant>
        <vt:i4>5</vt:i4>
      </vt:variant>
      <vt:variant>
        <vt:lpwstr>https://doi.org/10.1080/13696998.2016.1261031</vt:lpwstr>
      </vt:variant>
      <vt:variant>
        <vt:lpwstr/>
      </vt:variant>
      <vt:variant>
        <vt:i4>5177418</vt:i4>
      </vt:variant>
      <vt:variant>
        <vt:i4>9</vt:i4>
      </vt:variant>
      <vt:variant>
        <vt:i4>0</vt:i4>
      </vt:variant>
      <vt:variant>
        <vt:i4>5</vt:i4>
      </vt:variant>
      <vt:variant>
        <vt:lpwstr>https://doi.org/10.1016/j.ijcard.2016.11.030</vt:lpwstr>
      </vt:variant>
      <vt:variant>
        <vt:lpwstr/>
      </vt:variant>
      <vt:variant>
        <vt:i4>4849736</vt:i4>
      </vt:variant>
      <vt:variant>
        <vt:i4>6</vt:i4>
      </vt:variant>
      <vt:variant>
        <vt:i4>0</vt:i4>
      </vt:variant>
      <vt:variant>
        <vt:i4>5</vt:i4>
      </vt:variant>
      <vt:variant>
        <vt:lpwstr>https://doi.org/10.1016/j.ijcard.2022.03.044</vt:lpwstr>
      </vt:variant>
      <vt:variant>
        <vt:lpwstr/>
      </vt:variant>
      <vt:variant>
        <vt:i4>5308438</vt:i4>
      </vt:variant>
      <vt:variant>
        <vt:i4>3</vt:i4>
      </vt:variant>
      <vt:variant>
        <vt:i4>0</vt:i4>
      </vt:variant>
      <vt:variant>
        <vt:i4>5</vt:i4>
      </vt:variant>
      <vt:variant>
        <vt:lpwstr>https://doi.org/10.1016/j.hlc.2024.06.350</vt:lpwstr>
      </vt:variant>
      <vt:variant>
        <vt:lpwstr/>
      </vt:variant>
      <vt:variant>
        <vt:i4>720986</vt:i4>
      </vt:variant>
      <vt:variant>
        <vt:i4>0</vt:i4>
      </vt:variant>
      <vt:variant>
        <vt:i4>0</vt:i4>
      </vt:variant>
      <vt:variant>
        <vt:i4>5</vt:i4>
      </vt:variant>
      <vt:variant>
        <vt:lpwstr>https://www.fda.gov/medical-devices/medical-device-recalls/abbottthoratec-corp-recalls-heartmate-ii-and-heartmate-3-left-ventricular-assist-system-lvas-due</vt:lpwstr>
      </vt:variant>
      <vt:variant>
        <vt:lpwstr>:~:text=Abbott%2FThoratec%20Corp.%20is%20recalling%20HeartMate%20II%20and%20HeartMate,Bend%20relief%20or%20additional%20components%20added%20during%20surgery.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2025-02-10T02:54:00Z</dcterms:created>
  <dcterms:modified xsi:type="dcterms:W3CDTF">2025-02-10T22:06:00Z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ActionId">
    <vt:lpwstr>dae6bf2c-4408-4acb-8509-d22d2db2b2c9</vt:lpwstr>
  </property>
  <property fmtid="{D5CDD505-2E9C-101B-9397-08002B2CF9AE}" pid="3" name="MSIP_Label_0f488380-630a-4f55-a077-a19445e3f360_ContentBits">
    <vt:lpwstr>0</vt:lpwstr>
  </property>
  <property fmtid="{D5CDD505-2E9C-101B-9397-08002B2CF9AE}" pid="4" name="MediaServiceImageTags">
    <vt:lpwstr/>
  </property>
  <property fmtid="{D5CDD505-2E9C-101B-9397-08002B2CF9AE}" pid="5" name="MSIP_Label_0f488380-630a-4f55-a077-a19445e3f360_SiteId">
    <vt:lpwstr>b6e377cf-9db3-46cb-91a2-fad9605bb15c</vt:lpwstr>
  </property>
  <property fmtid="{D5CDD505-2E9C-101B-9397-08002B2CF9AE}" pid="6" name="ContentTypeId">
    <vt:lpwstr>0x0101005E4A37BE997BE34FBB7D5057D341D123</vt:lpwstr>
  </property>
  <property fmtid="{D5CDD505-2E9C-101B-9397-08002B2CF9AE}" pid="7" name="MSIP_Label_0f488380-630a-4f55-a077-a19445e3f360_Method">
    <vt:lpwstr>Standard</vt:lpwstr>
  </property>
  <property fmtid="{D5CDD505-2E9C-101B-9397-08002B2CF9AE}" pid="8" name="MSIP_Label_0f488380-630a-4f55-a077-a19445e3f360_Enabled">
    <vt:lpwstr>true</vt:lpwstr>
  </property>
  <property fmtid="{D5CDD505-2E9C-101B-9397-08002B2CF9AE}" pid="9" name="MSIP_Label_0f488380-630a-4f55-a077-a19445e3f360_SetDate">
    <vt:lpwstr>2024-09-11T02:24:25Z</vt:lpwstr>
  </property>
  <property fmtid="{D5CDD505-2E9C-101B-9397-08002B2CF9AE}" pid="10" name="MSIP_Label_0f488380-630a-4f55-a077-a19445e3f360_Name">
    <vt:lpwstr>OFFICIAL - INTERNAL</vt:lpwstr>
  </property>
</Properties>
</file>