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ECB8" w14:textId="4CAF2254" w:rsidR="00AB3B69" w:rsidRPr="00701C82" w:rsidRDefault="00AB3B69" w:rsidP="00701C82">
      <w:pPr>
        <w:pStyle w:val="Title"/>
        <w:spacing w:before="720" w:after="600"/>
        <w:contextualSpacing w:val="0"/>
        <w:jc w:val="center"/>
        <w:rPr>
          <w:rFonts w:ascii="Segoe UI" w:hAnsi="Segoe UI" w:cs="Segoe UI"/>
          <w:b/>
          <w:bCs/>
        </w:rPr>
      </w:pPr>
      <w:r w:rsidRPr="00222820">
        <w:rPr>
          <w:rFonts w:ascii="Segoe UI" w:hAnsi="Segoe UI" w:cs="Segoe UI"/>
          <w:b/>
          <w:bCs/>
        </w:rPr>
        <w:t>MSAC Application</w:t>
      </w:r>
      <w:r>
        <w:rPr>
          <w:rFonts w:ascii="Segoe UI" w:hAnsi="Segoe UI" w:cs="Segoe UI"/>
          <w:b/>
          <w:bCs/>
        </w:rPr>
        <w:t xml:space="preserve"> 1771.1</w:t>
      </w:r>
    </w:p>
    <w:p w14:paraId="18142EB9" w14:textId="510B90F0" w:rsidR="00AB3B69" w:rsidRDefault="00AB3B69" w:rsidP="00701C82">
      <w:pPr>
        <w:pStyle w:val="Subtitle"/>
        <w:spacing w:after="600"/>
        <w:jc w:val="center"/>
        <w:rPr>
          <w:rFonts w:ascii="Segoe UI" w:hAnsi="Segoe UI" w:cs="Segoe UI"/>
          <w:b/>
          <w:bCs/>
          <w:color w:val="002060"/>
          <w:sz w:val="48"/>
          <w:szCs w:val="48"/>
        </w:rPr>
      </w:pPr>
      <w:r w:rsidRPr="00AB3B69">
        <w:rPr>
          <w:rFonts w:ascii="Segoe UI" w:hAnsi="Segoe UI" w:cs="Segoe UI"/>
          <w:b/>
          <w:bCs/>
          <w:color w:val="002060"/>
          <w:sz w:val="48"/>
          <w:szCs w:val="48"/>
        </w:rPr>
        <w:t>Axicabtagene ciloleucel therapy for patients with relapsed or refractory follicular lymphoma</w:t>
      </w:r>
    </w:p>
    <w:p w14:paraId="5C529576" w14:textId="0A1BE7B1" w:rsidR="00AB3B69" w:rsidRPr="00701C82" w:rsidRDefault="00AB3B69" w:rsidP="00701C82">
      <w:pPr>
        <w:pStyle w:val="Subtitle"/>
        <w:jc w:val="center"/>
        <w:rPr>
          <w:rFonts w:ascii="Segoe UI" w:hAnsi="Segoe UI" w:cs="Segoe UI"/>
          <w:b/>
          <w:bCs/>
          <w:color w:val="002060"/>
          <w:sz w:val="48"/>
          <w:szCs w:val="48"/>
        </w:rPr>
      </w:pPr>
      <w:r w:rsidRPr="00222820">
        <w:rPr>
          <w:rFonts w:ascii="Segoe UI" w:hAnsi="Segoe UI" w:cs="Segoe UI"/>
          <w:b/>
          <w:bCs/>
          <w:color w:val="002060"/>
          <w:sz w:val="48"/>
          <w:szCs w:val="48"/>
        </w:rPr>
        <w:t xml:space="preserve">PICO Set </w:t>
      </w:r>
      <w:r>
        <w:rPr>
          <w:rFonts w:eastAsia="Segoe UI"/>
          <w:b/>
          <w:color w:val="000000"/>
          <w:sz w:val="32"/>
        </w:rPr>
        <w:br w:type="page"/>
      </w:r>
    </w:p>
    <w:p w14:paraId="5BEAFFDE" w14:textId="119D5856" w:rsidR="00051843" w:rsidRPr="001E1797" w:rsidRDefault="00051843" w:rsidP="001E1797">
      <w:pPr>
        <w:pStyle w:val="Heading1"/>
      </w:pPr>
      <w:r w:rsidRPr="001E1797">
        <w:lastRenderedPageBreak/>
        <w:t>Population</w:t>
      </w:r>
    </w:p>
    <w:p w14:paraId="403BD183" w14:textId="7F82E8DB" w:rsidR="00051843" w:rsidRPr="001E1797" w:rsidRDefault="00051843" w:rsidP="001E1797">
      <w:pPr>
        <w:pStyle w:val="Heading2"/>
      </w:pPr>
      <w:r w:rsidRPr="001E1797">
        <w:t>Describe the population in which the proposed health technology is intended to be used:</w:t>
      </w:r>
    </w:p>
    <w:p w14:paraId="4D033191" w14:textId="1BEA1B5F" w:rsidR="00051843" w:rsidRDefault="00C951C6" w:rsidP="001E1797">
      <w:r>
        <w:t>Adult</w:t>
      </w:r>
      <w:r w:rsidR="003F271A">
        <w:t xml:space="preserve"> patients </w:t>
      </w:r>
      <w:r w:rsidR="00DE770E">
        <w:t xml:space="preserve">with </w:t>
      </w:r>
      <w:r w:rsidR="00D6264C">
        <w:t>G</w:t>
      </w:r>
      <w:r w:rsidR="00296DA3">
        <w:t>rade 1</w:t>
      </w:r>
      <w:r w:rsidR="00F06364">
        <w:t xml:space="preserve">, </w:t>
      </w:r>
      <w:r w:rsidR="00D6264C">
        <w:t>G</w:t>
      </w:r>
      <w:r w:rsidR="00F06364">
        <w:t>rade</w:t>
      </w:r>
      <w:r w:rsidR="00413E01">
        <w:t xml:space="preserve"> 2 </w:t>
      </w:r>
      <w:r w:rsidR="00D6264C">
        <w:t>or G</w:t>
      </w:r>
      <w:r w:rsidR="00413E01">
        <w:t xml:space="preserve">rade </w:t>
      </w:r>
      <w:r w:rsidR="00296DA3">
        <w:t xml:space="preserve">3a </w:t>
      </w:r>
      <w:r w:rsidR="00DD7DC1" w:rsidRPr="00DD7DC1">
        <w:t>follicular lymphoma</w:t>
      </w:r>
      <w:r w:rsidR="00296DA3">
        <w:t xml:space="preserve"> </w:t>
      </w:r>
      <w:r w:rsidR="0066157D">
        <w:t xml:space="preserve">and relapsed or refractory disease </w:t>
      </w:r>
      <w:r w:rsidR="00D5157C">
        <w:t>after two or more lines of therapy</w:t>
      </w:r>
      <w:r w:rsidR="000D5217">
        <w:t>.</w:t>
      </w:r>
    </w:p>
    <w:p w14:paraId="7B7089F3" w14:textId="325C7AB6" w:rsidR="00051843" w:rsidRPr="001E1797" w:rsidRDefault="00051843" w:rsidP="001E1797">
      <w:pPr>
        <w:pStyle w:val="Heading2"/>
      </w:pPr>
      <w: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20289503" w14:textId="2CCA44E9" w:rsidR="00A01164" w:rsidRPr="00E30035" w:rsidRDefault="00694AC8" w:rsidP="001E1797">
      <w:pPr>
        <w:rPr>
          <w:u w:val="single"/>
        </w:rPr>
      </w:pPr>
      <w:r w:rsidRPr="00E30035">
        <w:rPr>
          <w:u w:val="single"/>
        </w:rPr>
        <w:t>Investigations and management within the Australian health care system</w:t>
      </w:r>
    </w:p>
    <w:p w14:paraId="42ADC305" w14:textId="7D2E1607" w:rsidR="00D03D55" w:rsidRDefault="00DD7DC1" w:rsidP="001E1797">
      <w:r w:rsidRPr="00DD7DC1">
        <w:t>Follicular lymphoma</w:t>
      </w:r>
      <w:r w:rsidR="00FD1796">
        <w:t xml:space="preserve"> </w:t>
      </w:r>
      <w:r w:rsidR="00431047">
        <w:t>is a</w:t>
      </w:r>
      <w:r w:rsidR="000E6D0D">
        <w:t xml:space="preserve"> haematol</w:t>
      </w:r>
      <w:r w:rsidR="00807785">
        <w:t>ogical malignancy</w:t>
      </w:r>
      <w:r w:rsidR="00046D9C">
        <w:t xml:space="preserve"> involving</w:t>
      </w:r>
      <w:r w:rsidR="00FF6A54">
        <w:t xml:space="preserve"> B-cell lymphocytes</w:t>
      </w:r>
      <w:r w:rsidR="00C82AF6">
        <w:t xml:space="preserve"> which often </w:t>
      </w:r>
      <w:r w:rsidR="00D03D55">
        <w:t>impacts the lymph nodes (glands) and lymphatic system</w:t>
      </w:r>
      <w:r w:rsidR="00170A68">
        <w:t>.</w:t>
      </w:r>
    </w:p>
    <w:p w14:paraId="6EE4F4F5" w14:textId="1341C63B" w:rsidR="007F7932" w:rsidRDefault="001D3FBB" w:rsidP="001E1797">
      <w:r>
        <w:t xml:space="preserve">The diagnosis of </w:t>
      </w:r>
      <w:r w:rsidR="007F1912">
        <w:t>FL</w:t>
      </w:r>
      <w:r>
        <w:t xml:space="preserve"> </w:t>
      </w:r>
      <w:r w:rsidR="00366D09">
        <w:t>is based on</w:t>
      </w:r>
      <w:r w:rsidR="00641FCD">
        <w:t>:</w:t>
      </w:r>
      <w:r w:rsidR="00D01559">
        <w:t xml:space="preserve"> physical examination; </w:t>
      </w:r>
      <w:r w:rsidR="007E7D1A">
        <w:t>pathological assessment</w:t>
      </w:r>
      <w:r w:rsidR="006856D0">
        <w:t>s</w:t>
      </w:r>
      <w:r w:rsidR="007E7D1A">
        <w:t xml:space="preserve"> of blood sample</w:t>
      </w:r>
      <w:r w:rsidR="00687CB1">
        <w:t xml:space="preserve">; </w:t>
      </w:r>
      <w:r w:rsidR="007E7D1A">
        <w:t xml:space="preserve">consideration of </w:t>
      </w:r>
      <w:r w:rsidR="00017F8D">
        <w:t>viral serology testing</w:t>
      </w:r>
      <w:r w:rsidR="001124F7">
        <w:t xml:space="preserve"> (hepatitis B and C and HIV)</w:t>
      </w:r>
      <w:r w:rsidR="00687CB1">
        <w:t>;</w:t>
      </w:r>
      <w:r w:rsidR="00366D09">
        <w:t xml:space="preserve"> </w:t>
      </w:r>
      <w:r w:rsidR="00687CB1">
        <w:t xml:space="preserve">and </w:t>
      </w:r>
      <w:r w:rsidR="00366D09">
        <w:t xml:space="preserve">excisional (preferred) or core </w:t>
      </w:r>
      <w:r w:rsidR="00D65C43">
        <w:t>(</w:t>
      </w:r>
      <w:r w:rsidR="00366D09">
        <w:t xml:space="preserve">if </w:t>
      </w:r>
      <w:r w:rsidR="00655589">
        <w:t>excisional no</w:t>
      </w:r>
      <w:r w:rsidR="00D65C43">
        <w:t>t</w:t>
      </w:r>
      <w:r w:rsidR="00655589">
        <w:t xml:space="preserve"> possible) lymph node biopsy</w:t>
      </w:r>
      <w:r w:rsidR="00171E18">
        <w:t xml:space="preserve">, </w:t>
      </w:r>
      <w:r w:rsidR="00D65C43">
        <w:t>followed by</w:t>
      </w:r>
      <w:r w:rsidR="00171E18">
        <w:t xml:space="preserve"> histopathological assessment of </w:t>
      </w:r>
      <w:r w:rsidR="00F72E33">
        <w:t xml:space="preserve">the </w:t>
      </w:r>
      <w:r w:rsidR="00171E18">
        <w:t>biopsy specimen</w:t>
      </w:r>
      <w:r w:rsidR="008D5122">
        <w:t xml:space="preserve"> </w:t>
      </w:r>
      <w:r w:rsidR="008D5122">
        <w:fldChar w:fldCharType="begin"/>
      </w:r>
      <w:r w:rsidR="008D5122">
        <w:instrText xml:space="preserve"> ADDIN EN.CITE &lt;EndNote&gt;&lt;Cite&gt;&lt;Author&gt;Trotman&lt;/Author&gt;&lt;Year&gt;2019&lt;/Year&gt;&lt;RecNum&gt;1199&lt;/RecNum&gt;&lt;DisplayText&gt;(Trotman et al. 2019)&lt;/DisplayText&gt;&lt;record&gt;&lt;rec-number&gt;1199&lt;/rec-number&gt;&lt;foreign-keys&gt;&lt;key app="EN" db-id="ezvspvpphdrt93e9asepdx5etr9rf5rptvp0" timestamp="1698801249"&gt;1199&lt;/key&gt;&lt;/foreign-keys&gt;&lt;ref-type name="Journal Article"&gt;17&lt;/ref-type&gt;&lt;contributors&gt;&lt;authors&gt;&lt;author&gt;Trotman, Judith&lt;/author&gt;&lt;author&gt;Cheah, Chan Y&lt;/author&gt;&lt;author&gt;Marlton, Paula&lt;/author&gt;&lt;author&gt;Opat, Stephen&lt;/author&gt;&lt;/authors&gt;&lt;/contributors&gt;&lt;titles&gt;&lt;title&gt;Front‐line management of non‐Hodgkin lymphoma in Australia. Part 1: follicular lymphoma&lt;/title&gt;&lt;secondary-title&gt;Internal Medicine Journal&lt;/secondary-title&gt;&lt;/titles&gt;&lt;periodical&gt;&lt;full-title&gt;Internal Medicine Journal&lt;/full-title&gt;&lt;/periodical&gt;&lt;pages&gt;422-433&lt;/pages&gt;&lt;volume&gt;49&lt;/volume&gt;&lt;number&gt;4&lt;/number&gt;&lt;dates&gt;&lt;year&gt;2019&lt;/year&gt;&lt;/dates&gt;&lt;isbn&gt;1444-0903&lt;/isbn&gt;&lt;urls&gt;&lt;/urls&gt;&lt;/record&gt;&lt;/Cite&gt;&lt;/EndNote&gt;</w:instrText>
      </w:r>
      <w:r w:rsidR="008D5122">
        <w:fldChar w:fldCharType="separate"/>
      </w:r>
      <w:r w:rsidR="008D5122">
        <w:rPr>
          <w:noProof/>
        </w:rPr>
        <w:t>(Trotman et al. 2019)</w:t>
      </w:r>
      <w:r w:rsidR="008D5122">
        <w:fldChar w:fldCharType="end"/>
      </w:r>
      <w:r w:rsidR="008D5122">
        <w:t>.</w:t>
      </w:r>
    </w:p>
    <w:p w14:paraId="046B9D9C" w14:textId="4AFFBC8A" w:rsidR="00E84D89" w:rsidRDefault="008824A5" w:rsidP="001E1797">
      <w:r>
        <w:t>P</w:t>
      </w:r>
      <w:r w:rsidR="00B037AC">
        <w:t xml:space="preserve">atients with a confirmed diagnosis of </w:t>
      </w:r>
      <w:r w:rsidR="005C0C3D">
        <w:t>FL</w:t>
      </w:r>
      <w:r>
        <w:t xml:space="preserve"> should </w:t>
      </w:r>
      <w:r w:rsidR="0034350E">
        <w:t xml:space="preserve">receive investigations </w:t>
      </w:r>
      <w:r w:rsidR="00F72E33">
        <w:t>supporting</w:t>
      </w:r>
      <w:r w:rsidR="0034350E">
        <w:t xml:space="preserve"> disease staging</w:t>
      </w:r>
      <w:r w:rsidR="007F7932">
        <w:t>. W</w:t>
      </w:r>
      <w:r w:rsidR="009E1809">
        <w:t>ork-up includ</w:t>
      </w:r>
      <w:r w:rsidR="007F7932">
        <w:t xml:space="preserve">es </w:t>
      </w:r>
      <w:r w:rsidR="009E1809">
        <w:t>bone marrow aspirat</w:t>
      </w:r>
      <w:r w:rsidR="00775329">
        <w:t xml:space="preserve">e and </w:t>
      </w:r>
      <w:r w:rsidR="00EC296A">
        <w:t xml:space="preserve">trephine </w:t>
      </w:r>
      <w:r w:rsidR="00775329">
        <w:t>biopsy</w:t>
      </w:r>
      <w:r w:rsidR="00A57CEB">
        <w:t>,</w:t>
      </w:r>
      <w:r w:rsidR="00F05FAF">
        <w:t xml:space="preserve"> complemented by contrast-enhanced computed tomography (CT)</w:t>
      </w:r>
      <w:r w:rsidR="000D4AAC">
        <w:t xml:space="preserve"> or positron emission tomography (PET</w:t>
      </w:r>
      <w:r w:rsidR="00A27B66">
        <w:t xml:space="preserve">) imaging </w:t>
      </w:r>
      <w:r w:rsidR="00A27B66">
        <w:fldChar w:fldCharType="begin"/>
      </w:r>
      <w:r w:rsidR="00A27B66">
        <w:instrText xml:space="preserve"> ADDIN EN.CITE &lt;EndNote&gt;&lt;Cite&gt;&lt;Author&gt;Dreyling&lt;/Author&gt;&lt;Year&gt;2021&lt;/Year&gt;&lt;RecNum&gt;1200&lt;/RecNum&gt;&lt;DisplayText&gt;(Trotman et al. 2019, 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K&lt;/author&gt;&lt;author&gt;Seymour, JF&lt;/author&gt;&lt;author&gt;Jerkeman, M&lt;/author&gt;&lt;/authors&gt;&lt;/contributors&gt;&lt;titles&gt;&lt;title&gt;Newly diagnosed and relapsed follicular lymphoma: ESMO Clinical Practice Guidelines for diagnosis, treatment and follow-</w:instrText>
      </w:r>
      <w:r w:rsidR="00A27B66">
        <w:lastRenderedPageBreak/>
        <w:instrText>up†</w:instrText>
      </w:r>
      <w:r w:rsidR="00A27B66">
        <w:rPr>
          <w:rFonts w:ascii="Segoe UI Symbol" w:hAnsi="Segoe UI Symbol" w:cs="Segoe UI Symbol"/>
        </w:rPr>
        <w:instrText>☆</w:instrText>
      </w:r>
      <w:r w:rsidR="00A27B66">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Cite&gt;&lt;Author&gt;Trotman&lt;/Author&gt;&lt;Year&gt;2019&lt;/Year&gt;&lt;RecNum&gt;1199&lt;/RecNum&gt;&lt;record&gt;&lt;rec-number&gt;1199&lt;/rec-number&gt;&lt;foreign-keys&gt;&lt;key app="EN" db-id="ezvspvpphdrt93e9asepdx5etr9rf5rptvp0" timestamp="1698801249"&gt;1199&lt;/key&gt;&lt;/foreign-keys&gt;&lt;ref-type name="Journal Article"&gt;17&lt;/ref-type&gt;&lt;contributors&gt;&lt;authors&gt;&lt;author&gt;Trotman, Judith&lt;/author&gt;&lt;author&gt;Cheah, Chan Y&lt;/author&gt;&lt;author&gt;Marlton, Paula&lt;/author&gt;&lt;author&gt;Opat, Stephen&lt;/author&gt;&lt;/authors&gt;&lt;/contributors&gt;&lt;titles&gt;&lt;title&gt;Front‐line management of non‐Hodgkin lymphoma in Australia. Part 1: follicular lymphoma&lt;/title&gt;&lt;secondary-title&gt;Internal Medicine Journal&lt;/secondary-title&gt;&lt;/titles&gt;&lt;periodical&gt;&lt;full-title&gt;Internal Medicine Journal&lt;/full-title&gt;&lt;/periodical&gt;&lt;pages&gt;422-433&lt;/pages&gt;&lt;volume&gt;49&lt;/volume&gt;&lt;number&gt;4&lt;/number&gt;&lt;dates&gt;&lt;year&gt;2019&lt;/year&gt;&lt;/dates&gt;&lt;isbn&gt;1444-0903&lt;/isbn&gt;&lt;urls&gt;&lt;/urls&gt;&lt;/record&gt;&lt;/Cite&gt;&lt;/EndNote&gt;</w:instrText>
      </w:r>
      <w:r w:rsidR="00A27B66">
        <w:fldChar w:fldCharType="separate"/>
      </w:r>
      <w:r w:rsidR="00A27B66">
        <w:rPr>
          <w:noProof/>
        </w:rPr>
        <w:t>(Trotman et al. 2019, Dreyling et al. 2021)</w:t>
      </w:r>
      <w:r w:rsidR="00A27B66">
        <w:fldChar w:fldCharType="end"/>
      </w:r>
      <w:r w:rsidR="00A27B66">
        <w:t>.</w:t>
      </w:r>
    </w:p>
    <w:p w14:paraId="0635F721" w14:textId="7CF59F9B" w:rsidR="00051843" w:rsidRDefault="00DD7DC1" w:rsidP="001E1797">
      <w:r w:rsidRPr="00DD7DC1">
        <w:t>Follicular lymphoma</w:t>
      </w:r>
      <w:r w:rsidR="00526248">
        <w:t xml:space="preserve"> </w:t>
      </w:r>
      <w:r w:rsidR="000F3F21">
        <w:t xml:space="preserve">is </w:t>
      </w:r>
      <w:r w:rsidR="00A4435F">
        <w:t>indolent in nature</w:t>
      </w:r>
      <w:r w:rsidR="00A57CEB">
        <w:t xml:space="preserve"> for many patients</w:t>
      </w:r>
      <w:r w:rsidR="00016C59">
        <w:t>. These patients may be asymptomatic or only have mild symptoms</w:t>
      </w:r>
      <w:r w:rsidR="000F65C5">
        <w:t>.</w:t>
      </w:r>
      <w:r w:rsidR="00C82778">
        <w:t xml:space="preserve"> </w:t>
      </w:r>
      <w:r w:rsidR="00746E1A">
        <w:t xml:space="preserve">Patients with indolent </w:t>
      </w:r>
      <w:r w:rsidR="005C0C3D">
        <w:t>FL</w:t>
      </w:r>
      <w:r w:rsidR="0059729A">
        <w:t xml:space="preserve"> </w:t>
      </w:r>
      <w:r w:rsidR="00CE7B05">
        <w:t>hav</w:t>
      </w:r>
      <w:r w:rsidR="0059729A">
        <w:t xml:space="preserve">e </w:t>
      </w:r>
      <w:r w:rsidR="00CE7B05">
        <w:t>a favourable prognosis</w:t>
      </w:r>
      <w:r w:rsidR="009767D8">
        <w:t>,</w:t>
      </w:r>
      <w:r w:rsidR="004F28A1">
        <w:t xml:space="preserve"> with a </w:t>
      </w:r>
      <w:r w:rsidR="0081480E">
        <w:t xml:space="preserve">median overall survival of more than 15 years </w:t>
      </w:r>
      <w:r w:rsidR="00513706">
        <w:fldChar w:fldCharType="begin"/>
      </w:r>
      <w:r w:rsidR="00513706">
        <w:instrText xml:space="preserve"> ADDIN EN.CITE &lt;EndNote&gt;&lt;Cite&gt;&lt;Author&gt;Carbone&lt;/Author&gt;&lt;Year&gt;2019&lt;/Year&gt;&lt;RecNum&gt;1197&lt;/RecNum&gt;&lt;DisplayText&gt;(Carbone et al. 2019)&lt;/DisplayText&gt;&lt;record&gt;&lt;rec-number&gt;1197&lt;/rec-number&gt;&lt;foreign-keys&gt;&lt;key app="EN" db-id="ezvspvpphdrt93e9asepdx5etr9rf5rptvp0" timestamp="1698799284"&gt;1197&lt;/key&gt;&lt;/foreign-keys&gt;&lt;ref-type name="Journal Article"&gt;17&lt;/ref-type&gt;&lt;contributors&gt;&lt;authors&gt;&lt;author&gt;Carbone, Antonino&lt;/author&gt;&lt;author&gt;Roulland, Sandrine&lt;/author&gt;&lt;author&gt;Gloghini, Annunziata&lt;/author&gt;&lt;author&gt;Younes, Anas&lt;/author&gt;&lt;author&gt;von Keudell, Gottfried&lt;/author&gt;&lt;author&gt;López-Guillermo, Armando&lt;/author&gt;&lt;author&gt;Fitzgibbon, Jude&lt;/author&gt;&lt;/authors&gt;&lt;/contributors&gt;&lt;titles&gt;&lt;title&gt;Follicular lymphoma&lt;/title&gt;&lt;secondary-title&gt;Nature reviews Disease primers&lt;/secondary-title&gt;&lt;/titles&gt;&lt;periodical&gt;&lt;full-title&gt;Nature reviews Disease primers&lt;/full-title&gt;&lt;/periodical&gt;&lt;pages&gt;83&lt;/pages&gt;&lt;volume&gt;5&lt;/volume&gt;&lt;number&gt;1&lt;/number&gt;&lt;dates&gt;&lt;year&gt;2019&lt;/year&gt;&lt;/dates&gt;&lt;isbn&gt;2056-676X&lt;/isbn&gt;&lt;urls&gt;&lt;/urls&gt;&lt;/record&gt;&lt;/Cite&gt;&lt;/EndNote&gt;</w:instrText>
      </w:r>
      <w:r w:rsidR="00513706">
        <w:fldChar w:fldCharType="separate"/>
      </w:r>
      <w:r w:rsidR="00513706">
        <w:rPr>
          <w:noProof/>
        </w:rPr>
        <w:t>(Carbone et al. 2019)</w:t>
      </w:r>
      <w:r w:rsidR="00513706">
        <w:fldChar w:fldCharType="end"/>
      </w:r>
      <w:r w:rsidR="00513706">
        <w:t>.</w:t>
      </w:r>
      <w:r w:rsidR="004F28A1">
        <w:t xml:space="preserve"> On this basis, </w:t>
      </w:r>
      <w:r w:rsidR="000237A9">
        <w:t xml:space="preserve">patients with a diagnosis of </w:t>
      </w:r>
      <w:r w:rsidR="005C0C3D">
        <w:t>FL who</w:t>
      </w:r>
      <w:r w:rsidR="002539F6">
        <w:t xml:space="preserve"> are asymptomatic and have low tumour burden </w:t>
      </w:r>
      <w:r w:rsidR="00281C8C">
        <w:t xml:space="preserve">do not require active treatment and </w:t>
      </w:r>
      <w:r w:rsidR="00A33E7C">
        <w:t xml:space="preserve">are </w:t>
      </w:r>
      <w:r w:rsidR="00460A44">
        <w:t xml:space="preserve">recommended to be managed with an observation/watch-and-wait approach </w:t>
      </w:r>
      <w:r w:rsidR="00A131C5">
        <w:fldChar w:fldCharType="begin"/>
      </w:r>
      <w:r w:rsidR="00A131C5">
        <w:instrText xml:space="preserve"> ADDIN EN.CITE &lt;EndNote&gt;&lt;Cite&gt;&lt;Author&gt;Dreyling&lt;/Author&gt;&lt;Year&gt;2021&lt;/Year&gt;&lt;RecNum&gt;1200&lt;/RecNum&gt;&lt;DisplayText&gt;(Trotman et al. 2019, 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K&lt;/author&gt;&lt;author&gt;Seymour, JF&lt;/author&gt;&lt;author&gt;Jerkeman, M&lt;/author&gt;&lt;/authors&gt;&lt;/contributors&gt;&lt;titles&gt;&lt;title&gt;Newly diagnosed and relapsed follicular lymphoma: ESMO Clinical Practice Guidelines for diagnosis, treatment and follow-</w:instrText>
      </w:r>
      <w:r w:rsidR="00A131C5">
        <w:lastRenderedPageBreak/>
        <w:instrText>up†</w:instrText>
      </w:r>
      <w:r w:rsidR="00A131C5">
        <w:rPr>
          <w:rFonts w:ascii="Segoe UI Symbol" w:hAnsi="Segoe UI Symbol" w:cs="Segoe UI Symbol"/>
        </w:rPr>
        <w:instrText>☆</w:instrText>
      </w:r>
      <w:r w:rsidR="00A131C5">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Cite&gt;&lt;Author&gt;Trotman&lt;/Author&gt;&lt;Year&gt;2019&lt;/Year&gt;&lt;RecNum&gt;1199&lt;/RecNum&gt;&lt;record&gt;&lt;rec-number&gt;1199&lt;/rec-number&gt;&lt;foreign-keys&gt;&lt;key app="EN" db-id="ezvspvpphdrt93e9asepdx5etr9rf5rptvp0" timestamp="1698801249"&gt;1199&lt;/key&gt;&lt;/foreign-keys&gt;&lt;ref-type name="Journal Article"&gt;17&lt;/ref-type&gt;&lt;contributors&gt;&lt;authors&gt;&lt;author&gt;Trotman, Judith&lt;/author&gt;&lt;author&gt;Cheah, Chan Y&lt;/author&gt;&lt;author&gt;Marlton, Paula&lt;/author&gt;&lt;author&gt;Opat, Stephen&lt;/author&gt;&lt;/authors&gt;&lt;/contributors&gt;&lt;titles&gt;&lt;title&gt;Front‐line management of non‐Hodgkin lymphoma in Australia. Part 1: follicular lymphoma&lt;/title&gt;&lt;secondary-title&gt;Internal Medicine Journal&lt;/secondary-title&gt;&lt;/titles&gt;&lt;periodical&gt;&lt;full-title&gt;Internal Medicine Journal&lt;/full-title&gt;&lt;/periodical&gt;&lt;pages&gt;422-433&lt;/pages&gt;&lt;volume&gt;49&lt;/volume&gt;&lt;number&gt;4&lt;/number&gt;&lt;dates&gt;&lt;year&gt;2019&lt;/year&gt;&lt;/dates&gt;&lt;isbn&gt;1444-0903&lt;/isbn&gt;&lt;urls&gt;&lt;/urls&gt;&lt;/record&gt;&lt;/Cite&gt;&lt;/EndNote&gt;</w:instrText>
      </w:r>
      <w:r w:rsidR="00A131C5">
        <w:fldChar w:fldCharType="separate"/>
      </w:r>
      <w:r w:rsidR="00A131C5">
        <w:rPr>
          <w:noProof/>
        </w:rPr>
        <w:t>(Trotman et al. 2019, Dreyling et al. 2021)</w:t>
      </w:r>
      <w:r w:rsidR="00A131C5">
        <w:fldChar w:fldCharType="end"/>
      </w:r>
      <w:r w:rsidR="00A131C5">
        <w:t>.</w:t>
      </w:r>
    </w:p>
    <w:p w14:paraId="25C85BBD" w14:textId="582AD66A" w:rsidR="00FC75CA" w:rsidRDefault="009767D8" w:rsidP="002F6945">
      <w:r>
        <w:t>P</w:t>
      </w:r>
      <w:r w:rsidR="00B60A2A">
        <w:t xml:space="preserve">reviously indolent forms of </w:t>
      </w:r>
      <w:r w:rsidR="005C0C3D">
        <w:t>FL</w:t>
      </w:r>
      <w:r w:rsidR="00B60A2A">
        <w:t xml:space="preserve"> </w:t>
      </w:r>
      <w:r w:rsidR="004419AF">
        <w:t>may develop into a more aggressive form of disease.</w:t>
      </w:r>
      <w:r w:rsidR="00E6172C">
        <w:t xml:space="preserve"> The increased rate of</w:t>
      </w:r>
      <w:r w:rsidR="00B94C99">
        <w:t xml:space="preserve"> cellular</w:t>
      </w:r>
      <w:r w:rsidR="00E6172C">
        <w:t xml:space="preserve"> proliferation in </w:t>
      </w:r>
      <w:r w:rsidR="004C4B86">
        <w:t>more aggressive forms of</w:t>
      </w:r>
      <w:r w:rsidR="008D0282">
        <w:t xml:space="preserve"> </w:t>
      </w:r>
      <w:r w:rsidR="00DB334E">
        <w:t>FL</w:t>
      </w:r>
      <w:r w:rsidR="003818F9">
        <w:t xml:space="preserve"> </w:t>
      </w:r>
      <w:r w:rsidR="00EC5265">
        <w:t xml:space="preserve">is associated with an increase in tumour burden </w:t>
      </w:r>
      <w:r w:rsidR="00F1145F">
        <w:t xml:space="preserve">and </w:t>
      </w:r>
      <w:r w:rsidR="00EC5265">
        <w:t>development of symptomatic disease</w:t>
      </w:r>
      <w:r w:rsidR="006002AF">
        <w:t>.</w:t>
      </w:r>
      <w:r w:rsidR="00B032B8">
        <w:t xml:space="preserve"> Local and international clinical management guidelines recommend that patients with </w:t>
      </w:r>
      <w:r w:rsidR="006002AF">
        <w:t>symptomatic</w:t>
      </w:r>
      <w:r w:rsidR="0000187C">
        <w:t xml:space="preserve"> </w:t>
      </w:r>
      <w:r w:rsidR="00B725A0">
        <w:t>and/</w:t>
      </w:r>
      <w:r w:rsidR="0000187C">
        <w:t xml:space="preserve">or high tumour burden </w:t>
      </w:r>
      <w:r w:rsidR="00DB334E">
        <w:t>FL</w:t>
      </w:r>
      <w:r w:rsidR="0000187C">
        <w:t xml:space="preserve"> </w:t>
      </w:r>
      <w:r w:rsidR="0077021D">
        <w:t>receive systemic treatment</w:t>
      </w:r>
      <w:r w:rsidR="005C7BD7">
        <w:t>.</w:t>
      </w:r>
    </w:p>
    <w:p w14:paraId="74CE008D" w14:textId="3D1AEE1B" w:rsidR="00CA0235" w:rsidRDefault="006D6921" w:rsidP="002F6945">
      <w:r>
        <w:t>In Australia t</w:t>
      </w:r>
      <w:r w:rsidR="0052335D">
        <w:t>he established first</w:t>
      </w:r>
      <w:r w:rsidR="004D5573">
        <w:t xml:space="preserve"> </w:t>
      </w:r>
      <w:r w:rsidR="0052335D">
        <w:t>line (1L) treatment for patients with</w:t>
      </w:r>
      <w:r w:rsidR="00B725A0">
        <w:t xml:space="preserve"> symptomatic and/or high tumour burden</w:t>
      </w:r>
      <w:r w:rsidR="000345E0">
        <w:t xml:space="preserve"> </w:t>
      </w:r>
      <w:r w:rsidR="00DB334E">
        <w:t>FL</w:t>
      </w:r>
      <w:r w:rsidR="000345E0">
        <w:t xml:space="preserve"> is chemoimmunotherapy</w:t>
      </w:r>
      <w:r>
        <w:t>, often followed by anti-CD20 antibody m</w:t>
      </w:r>
      <w:r w:rsidR="00FD1237">
        <w:t xml:space="preserve">aintenance </w:t>
      </w:r>
      <w:r w:rsidR="00FD1237">
        <w:fldChar w:fldCharType="begin"/>
      </w:r>
      <w:r w:rsidR="00FD1237">
        <w:instrText xml:space="preserve"> ADDIN EN.CITE &lt;EndNote&gt;&lt;Cite&gt;&lt;Author&gt;Trotman&lt;/Author&gt;&lt;Year&gt;2019&lt;/Year&gt;&lt;RecNum&gt;1199&lt;/RecNum&gt;&lt;DisplayText&gt;(Trotman et al. 2019)&lt;/DisplayText&gt;&lt;record&gt;&lt;rec-number&gt;1199&lt;/rec-number&gt;&lt;foreign-keys&gt;&lt;key app="EN" db-id="ezvspvpphdrt93e9asepdx5etr9rf5rptvp0" timestamp="1698801249"&gt;1199&lt;/key&gt;&lt;/foreign-keys&gt;&lt;ref-type name="Journal Article"&gt;17&lt;/ref-type&gt;&lt;contributors&gt;&lt;authors&gt;&lt;author&gt;Trotman, Judith&lt;/author&gt;&lt;author&gt;Cheah, Chan Y&lt;/author&gt;&lt;author&gt;Marlton, Paula&lt;/author&gt;&lt;author&gt;Opat, Stephen&lt;/author&gt;&lt;/authors&gt;&lt;/contributors&gt;&lt;titles&gt;&lt;title&gt;Front‐line management of non‐Hodgkin lymphoma in Australia. Part 1: follicular lymphoma&lt;/title&gt;&lt;secondary-title&gt;Internal Medicine Journal&lt;/secondary-title&gt;&lt;/titles&gt;&lt;periodical&gt;&lt;full-title&gt;Internal Medicine Journal&lt;/full-title&gt;&lt;/periodical&gt;&lt;pages&gt;422-433&lt;/pages&gt;&lt;volume&gt;49&lt;/volume&gt;&lt;number&gt;4&lt;/number&gt;&lt;dates&gt;&lt;year&gt;2019&lt;/year&gt;&lt;/dates&gt;&lt;isbn&gt;1444-0903&lt;/isbn&gt;&lt;urls&gt;&lt;/urls&gt;&lt;/record&gt;&lt;/Cite&gt;&lt;/EndNote&gt;</w:instrText>
      </w:r>
      <w:r w:rsidR="00FD1237">
        <w:fldChar w:fldCharType="separate"/>
      </w:r>
      <w:r w:rsidR="00FD1237">
        <w:rPr>
          <w:noProof/>
        </w:rPr>
        <w:t>(Trotman et al. 2019)</w:t>
      </w:r>
      <w:r w:rsidR="00FD1237">
        <w:fldChar w:fldCharType="end"/>
      </w:r>
      <w:r w:rsidR="00FD1237">
        <w:t xml:space="preserve">. </w:t>
      </w:r>
      <w:r w:rsidR="00AF144C">
        <w:t>Re</w:t>
      </w:r>
      <w:r w:rsidR="00CA0235">
        <w:t>commended 1L re</w:t>
      </w:r>
      <w:r w:rsidR="00AF144C">
        <w:t>gim</w:t>
      </w:r>
      <w:r w:rsidR="00FA0C3E">
        <w:t>ens</w:t>
      </w:r>
      <w:r w:rsidR="00CA0235">
        <w:t xml:space="preserve"> are </w:t>
      </w:r>
      <w:r w:rsidR="00CA0235" w:rsidRPr="00E23F90">
        <w:t xml:space="preserve">outlined in </w:t>
      </w:r>
      <w:r w:rsidR="007566A0" w:rsidRPr="00E23F90">
        <w:fldChar w:fldCharType="begin"/>
      </w:r>
      <w:r w:rsidR="007566A0" w:rsidRPr="00E23F90">
        <w:instrText xml:space="preserve"> REF _Ref149740503 \h </w:instrText>
      </w:r>
      <w:r w:rsidR="007566A0" w:rsidRPr="00E23F90">
        <w:fldChar w:fldCharType="separate"/>
      </w:r>
      <w:r w:rsidR="008B21F4" w:rsidRPr="00E23F90">
        <w:t>Table 1</w:t>
      </w:r>
      <w:r w:rsidR="007566A0" w:rsidRPr="00E23F90">
        <w:fldChar w:fldCharType="end"/>
      </w:r>
      <w:r w:rsidR="00CA0235" w:rsidRPr="00E23F90">
        <w:t>.</w:t>
      </w:r>
    </w:p>
    <w:p w14:paraId="5200DA3C" w14:textId="77777777" w:rsidR="00F24F33" w:rsidRPr="00F24F33" w:rsidRDefault="00F24F33" w:rsidP="00F24F33"/>
    <w:p w14:paraId="5CEB7DBC" w14:textId="77777777" w:rsidR="00F24F33" w:rsidRPr="00F24F33" w:rsidRDefault="00F24F33" w:rsidP="00F24F33"/>
    <w:p w14:paraId="24C32F9A" w14:textId="77777777" w:rsidR="00F24F33" w:rsidRPr="00F24F33" w:rsidRDefault="00F24F33" w:rsidP="00F24F33"/>
    <w:p w14:paraId="51C6AE4E" w14:textId="4E19D6CE" w:rsidR="00F24F33" w:rsidRPr="00F24F33" w:rsidRDefault="00F24F33" w:rsidP="00F24F33">
      <w:pPr>
        <w:tabs>
          <w:tab w:val="left" w:pos="8325"/>
        </w:tabs>
      </w:pPr>
      <w:r>
        <w:tab/>
      </w:r>
    </w:p>
    <w:p w14:paraId="3CBFB2DC" w14:textId="6A9AEBDD" w:rsidR="00391872" w:rsidRPr="000D5217" w:rsidRDefault="009A7599" w:rsidP="000D5217">
      <w:pPr>
        <w:pStyle w:val="Caption"/>
        <w:keepNext/>
        <w:keepLines/>
        <w:rPr>
          <w:b/>
          <w:bCs/>
          <w:i w:val="0"/>
          <w:iCs w:val="0"/>
          <w:color w:val="auto"/>
          <w:sz w:val="22"/>
          <w:szCs w:val="22"/>
        </w:rPr>
      </w:pPr>
      <w:bookmarkStart w:id="0" w:name="_Ref149740503"/>
      <w:r w:rsidRPr="000D5217">
        <w:rPr>
          <w:b/>
          <w:bCs/>
          <w:i w:val="0"/>
          <w:iCs w:val="0"/>
          <w:color w:val="auto"/>
          <w:sz w:val="22"/>
          <w:szCs w:val="22"/>
        </w:rPr>
        <w:lastRenderedPageBreak/>
        <w:t xml:space="preserve">Table </w:t>
      </w:r>
      <w:r w:rsidRPr="000D5217">
        <w:rPr>
          <w:b/>
          <w:bCs/>
          <w:i w:val="0"/>
          <w:iCs w:val="0"/>
          <w:color w:val="auto"/>
          <w:sz w:val="22"/>
          <w:szCs w:val="22"/>
        </w:rPr>
        <w:fldChar w:fldCharType="begin"/>
      </w:r>
      <w:r w:rsidRPr="000D5217">
        <w:rPr>
          <w:b/>
          <w:bCs/>
          <w:i w:val="0"/>
          <w:iCs w:val="0"/>
          <w:color w:val="auto"/>
          <w:sz w:val="22"/>
          <w:szCs w:val="22"/>
        </w:rPr>
        <w:instrText xml:space="preserve"> SEQ Table \* ARABIC </w:instrText>
      </w:r>
      <w:r w:rsidRPr="000D5217">
        <w:rPr>
          <w:b/>
          <w:bCs/>
          <w:i w:val="0"/>
          <w:iCs w:val="0"/>
          <w:color w:val="auto"/>
          <w:sz w:val="22"/>
          <w:szCs w:val="22"/>
        </w:rPr>
        <w:fldChar w:fldCharType="separate"/>
      </w:r>
      <w:r w:rsidR="008B21F4">
        <w:rPr>
          <w:b/>
          <w:bCs/>
          <w:i w:val="0"/>
          <w:iCs w:val="0"/>
          <w:noProof/>
          <w:color w:val="auto"/>
          <w:sz w:val="22"/>
          <w:szCs w:val="22"/>
        </w:rPr>
        <w:t>1</w:t>
      </w:r>
      <w:r w:rsidRPr="000D5217">
        <w:rPr>
          <w:b/>
          <w:bCs/>
          <w:i w:val="0"/>
          <w:iCs w:val="0"/>
          <w:noProof/>
          <w:color w:val="auto"/>
          <w:sz w:val="22"/>
          <w:szCs w:val="22"/>
        </w:rPr>
        <w:fldChar w:fldCharType="end"/>
      </w:r>
      <w:bookmarkEnd w:id="0"/>
      <w:r w:rsidR="007566A0" w:rsidRPr="000D5217">
        <w:rPr>
          <w:b/>
          <w:bCs/>
          <w:i w:val="0"/>
          <w:iCs w:val="0"/>
          <w:color w:val="auto"/>
          <w:sz w:val="22"/>
          <w:szCs w:val="22"/>
        </w:rPr>
        <w:t>:</w:t>
      </w:r>
      <w:r w:rsidR="00391872" w:rsidRPr="000D5217">
        <w:rPr>
          <w:b/>
          <w:bCs/>
          <w:i w:val="0"/>
          <w:iCs w:val="0"/>
          <w:color w:val="auto"/>
          <w:sz w:val="22"/>
          <w:szCs w:val="22"/>
        </w:rPr>
        <w:t xml:space="preserve"> </w:t>
      </w:r>
      <w:r w:rsidR="00B8188D" w:rsidRPr="000D5217">
        <w:rPr>
          <w:b/>
          <w:bCs/>
          <w:i w:val="0"/>
          <w:iCs w:val="0"/>
          <w:color w:val="auto"/>
          <w:sz w:val="22"/>
          <w:szCs w:val="22"/>
        </w:rPr>
        <w:t>First line</w:t>
      </w:r>
      <w:r w:rsidR="00391872" w:rsidRPr="000D5217">
        <w:rPr>
          <w:b/>
          <w:bCs/>
          <w:i w:val="0"/>
          <w:iCs w:val="0"/>
          <w:color w:val="auto"/>
          <w:sz w:val="22"/>
          <w:szCs w:val="22"/>
        </w:rPr>
        <w:t xml:space="preserve"> chemo</w:t>
      </w:r>
      <w:r w:rsidRPr="000D5217">
        <w:rPr>
          <w:b/>
          <w:bCs/>
          <w:i w:val="0"/>
          <w:iCs w:val="0"/>
          <w:color w:val="auto"/>
          <w:sz w:val="22"/>
          <w:szCs w:val="22"/>
        </w:rPr>
        <w:t xml:space="preserve">immunotherapy regimens for </w:t>
      </w:r>
      <w:r w:rsidR="00DD7DC1" w:rsidRPr="00DD7DC1">
        <w:rPr>
          <w:b/>
          <w:bCs/>
          <w:i w:val="0"/>
          <w:iCs w:val="0"/>
          <w:color w:val="auto"/>
          <w:sz w:val="22"/>
          <w:szCs w:val="22"/>
        </w:rPr>
        <w:t>follicular lymphoma</w:t>
      </w:r>
    </w:p>
    <w:tbl>
      <w:tblPr>
        <w:tblStyle w:val="TableGrid"/>
        <w:tblW w:w="5000" w:type="pct"/>
        <w:tblLook w:val="04A0" w:firstRow="1" w:lastRow="0" w:firstColumn="1" w:lastColumn="0" w:noHBand="0" w:noVBand="1"/>
        <w:tblCaption w:val="Table 1"/>
        <w:tblDescription w:val="First line chemoimmunotherapy regimens for follicular lymphoma"/>
      </w:tblPr>
      <w:tblGrid>
        <w:gridCol w:w="4732"/>
        <w:gridCol w:w="4733"/>
      </w:tblGrid>
      <w:tr w:rsidR="00AF5108" w14:paraId="2819FED9" w14:textId="77777777" w:rsidTr="00AF5108">
        <w:tc>
          <w:tcPr>
            <w:tcW w:w="2500" w:type="pct"/>
          </w:tcPr>
          <w:p w14:paraId="6ADA8D94" w14:textId="0B263755" w:rsidR="00AF5108" w:rsidRPr="007566A0" w:rsidRDefault="00AF5108" w:rsidP="000D5217">
            <w:pPr>
              <w:keepNext/>
              <w:keepLines/>
              <w:rPr>
                <w:b/>
                <w:bCs/>
              </w:rPr>
            </w:pPr>
            <w:r w:rsidRPr="007566A0">
              <w:rPr>
                <w:b/>
                <w:bCs/>
              </w:rPr>
              <w:t>Induction regimen</w:t>
            </w:r>
          </w:p>
        </w:tc>
        <w:tc>
          <w:tcPr>
            <w:tcW w:w="2500" w:type="pct"/>
          </w:tcPr>
          <w:p w14:paraId="5D764C11" w14:textId="01255DC2" w:rsidR="00AF5108" w:rsidRPr="007566A0" w:rsidRDefault="00AF5108" w:rsidP="000D5217">
            <w:pPr>
              <w:keepNext/>
              <w:keepLines/>
              <w:rPr>
                <w:b/>
                <w:bCs/>
              </w:rPr>
            </w:pPr>
            <w:r w:rsidRPr="007566A0">
              <w:rPr>
                <w:b/>
                <w:bCs/>
              </w:rPr>
              <w:t>Maintenance regimen</w:t>
            </w:r>
          </w:p>
        </w:tc>
      </w:tr>
      <w:tr w:rsidR="00AF5108" w14:paraId="04CB1F05" w14:textId="77777777" w:rsidTr="00AF5108">
        <w:tc>
          <w:tcPr>
            <w:tcW w:w="2500" w:type="pct"/>
          </w:tcPr>
          <w:p w14:paraId="085285A8" w14:textId="2856371A" w:rsidR="00AF5108" w:rsidRDefault="00AF5108" w:rsidP="000D5217">
            <w:pPr>
              <w:keepNext/>
              <w:keepLines/>
            </w:pPr>
            <w:r>
              <w:t>Obinutuzumab-CHOP</w:t>
            </w:r>
          </w:p>
        </w:tc>
        <w:tc>
          <w:tcPr>
            <w:tcW w:w="2500" w:type="pct"/>
          </w:tcPr>
          <w:p w14:paraId="60DE21B2" w14:textId="066792C7" w:rsidR="00AF5108" w:rsidRDefault="00DD08A9" w:rsidP="000D5217">
            <w:pPr>
              <w:keepNext/>
              <w:keepLines/>
            </w:pPr>
            <w:r>
              <w:t>Obinutuzumab</w:t>
            </w:r>
          </w:p>
        </w:tc>
      </w:tr>
      <w:tr w:rsidR="00AF5108" w14:paraId="082F1D5B" w14:textId="77777777" w:rsidTr="00AF5108">
        <w:tc>
          <w:tcPr>
            <w:tcW w:w="2500" w:type="pct"/>
          </w:tcPr>
          <w:p w14:paraId="7F71A85A" w14:textId="5ED30F93" w:rsidR="00AF5108" w:rsidRDefault="00AF5108" w:rsidP="000D5217">
            <w:pPr>
              <w:keepNext/>
              <w:keepLines/>
            </w:pPr>
            <w:r>
              <w:t>Rituximab-CHOP</w:t>
            </w:r>
          </w:p>
        </w:tc>
        <w:tc>
          <w:tcPr>
            <w:tcW w:w="2500" w:type="pct"/>
          </w:tcPr>
          <w:p w14:paraId="465484F9" w14:textId="62BFCC50" w:rsidR="00AF5108" w:rsidRDefault="00DD08A9" w:rsidP="000D5217">
            <w:pPr>
              <w:keepNext/>
              <w:keepLines/>
            </w:pPr>
            <w:r>
              <w:t>Rituximab</w:t>
            </w:r>
          </w:p>
        </w:tc>
      </w:tr>
      <w:tr w:rsidR="00FF7AA6" w14:paraId="5BF1B8EC" w14:textId="77777777" w:rsidTr="00AF5108">
        <w:tc>
          <w:tcPr>
            <w:tcW w:w="2500" w:type="pct"/>
          </w:tcPr>
          <w:p w14:paraId="0B550DFC" w14:textId="4702DA40" w:rsidR="00FF7AA6" w:rsidRDefault="00FF7AA6" w:rsidP="000D5217">
            <w:pPr>
              <w:keepNext/>
              <w:keepLines/>
            </w:pPr>
            <w:r>
              <w:t>Obinutuzumab-CVP</w:t>
            </w:r>
          </w:p>
        </w:tc>
        <w:tc>
          <w:tcPr>
            <w:tcW w:w="2500" w:type="pct"/>
          </w:tcPr>
          <w:p w14:paraId="59062622" w14:textId="19138A48" w:rsidR="00FF7AA6" w:rsidRDefault="00FF7AA6" w:rsidP="000D5217">
            <w:pPr>
              <w:keepNext/>
              <w:keepLines/>
            </w:pPr>
            <w:r>
              <w:t>Obinutuzumab</w:t>
            </w:r>
          </w:p>
        </w:tc>
      </w:tr>
      <w:tr w:rsidR="00FF7AA6" w14:paraId="28DD8498" w14:textId="77777777" w:rsidTr="00AF5108">
        <w:tc>
          <w:tcPr>
            <w:tcW w:w="2500" w:type="pct"/>
          </w:tcPr>
          <w:p w14:paraId="7484E0E3" w14:textId="4882E2A8" w:rsidR="00FF7AA6" w:rsidRDefault="00FF7AA6" w:rsidP="000D5217">
            <w:pPr>
              <w:keepNext/>
              <w:keepLines/>
            </w:pPr>
            <w:r>
              <w:t>Rituximab-CVP</w:t>
            </w:r>
          </w:p>
        </w:tc>
        <w:tc>
          <w:tcPr>
            <w:tcW w:w="2500" w:type="pct"/>
          </w:tcPr>
          <w:p w14:paraId="28B452E9" w14:textId="03D94B7E" w:rsidR="00FF7AA6" w:rsidRDefault="00FF7AA6" w:rsidP="000D5217">
            <w:pPr>
              <w:keepNext/>
              <w:keepLines/>
            </w:pPr>
            <w:r>
              <w:t>Rituximab</w:t>
            </w:r>
          </w:p>
        </w:tc>
      </w:tr>
      <w:tr w:rsidR="000E5ADC" w14:paraId="66A96E26" w14:textId="77777777" w:rsidTr="00AF5108">
        <w:tc>
          <w:tcPr>
            <w:tcW w:w="2500" w:type="pct"/>
          </w:tcPr>
          <w:p w14:paraId="46AC8942" w14:textId="1FEBF158" w:rsidR="000E5ADC" w:rsidRDefault="000E5ADC" w:rsidP="000D5217">
            <w:pPr>
              <w:keepNext/>
              <w:keepLines/>
            </w:pPr>
            <w:r>
              <w:t>Obinutuzumab-B</w:t>
            </w:r>
          </w:p>
        </w:tc>
        <w:tc>
          <w:tcPr>
            <w:tcW w:w="2500" w:type="pct"/>
          </w:tcPr>
          <w:p w14:paraId="641A7939" w14:textId="3217B32A" w:rsidR="000E5ADC" w:rsidRDefault="000E5ADC" w:rsidP="000D5217">
            <w:pPr>
              <w:keepNext/>
              <w:keepLines/>
            </w:pPr>
            <w:r>
              <w:t>Obinutuzumab</w:t>
            </w:r>
          </w:p>
        </w:tc>
      </w:tr>
      <w:tr w:rsidR="000E5ADC" w14:paraId="74EB6AC1" w14:textId="77777777" w:rsidTr="00AF5108">
        <w:tc>
          <w:tcPr>
            <w:tcW w:w="2500" w:type="pct"/>
          </w:tcPr>
          <w:p w14:paraId="0ECF8319" w14:textId="7FC2FBBB" w:rsidR="000E5ADC" w:rsidRDefault="0090689F" w:rsidP="000D5217">
            <w:pPr>
              <w:keepNext/>
              <w:keepLines/>
            </w:pPr>
            <w:r>
              <w:t>Rituximab</w:t>
            </w:r>
            <w:r w:rsidR="000E5ADC">
              <w:t>-B</w:t>
            </w:r>
          </w:p>
        </w:tc>
        <w:tc>
          <w:tcPr>
            <w:tcW w:w="2500" w:type="pct"/>
          </w:tcPr>
          <w:p w14:paraId="49E5188B" w14:textId="4A147F35" w:rsidR="000E5ADC" w:rsidRDefault="007566A0" w:rsidP="000D5217">
            <w:pPr>
              <w:keepNext/>
              <w:keepLines/>
            </w:pPr>
            <w:r>
              <w:t>-</w:t>
            </w:r>
          </w:p>
        </w:tc>
      </w:tr>
    </w:tbl>
    <w:p w14:paraId="711539A6" w14:textId="7CFDCF4A" w:rsidR="00D64980" w:rsidRPr="00A4731C" w:rsidRDefault="0090689F" w:rsidP="000D5217">
      <w:pPr>
        <w:keepNext/>
        <w:keepLines/>
        <w:rPr>
          <w:sz w:val="18"/>
          <w:szCs w:val="18"/>
        </w:rPr>
      </w:pPr>
      <w:r w:rsidRPr="00A4731C">
        <w:rPr>
          <w:sz w:val="18"/>
          <w:szCs w:val="18"/>
        </w:rPr>
        <w:t>Abbreviations: B=bendamustine; CHOP=</w:t>
      </w:r>
      <w:r w:rsidR="00F330D5" w:rsidRPr="00A4731C">
        <w:rPr>
          <w:sz w:val="18"/>
          <w:szCs w:val="18"/>
        </w:rPr>
        <w:t>cyclophosphamide, vincristine, do</w:t>
      </w:r>
      <w:r w:rsidR="00391872" w:rsidRPr="00A4731C">
        <w:rPr>
          <w:sz w:val="18"/>
          <w:szCs w:val="18"/>
        </w:rPr>
        <w:t xml:space="preserve">xorubicin and </w:t>
      </w:r>
      <w:r w:rsidR="00C32B22" w:rsidRPr="00A4731C">
        <w:rPr>
          <w:sz w:val="18"/>
          <w:szCs w:val="18"/>
        </w:rPr>
        <w:t>prednisone</w:t>
      </w:r>
      <w:r w:rsidR="00391872" w:rsidRPr="00A4731C">
        <w:rPr>
          <w:sz w:val="18"/>
          <w:szCs w:val="18"/>
        </w:rPr>
        <w:t xml:space="preserve">; CVP= cyclophosphamide, vincristine, doxorubicin and </w:t>
      </w:r>
      <w:r w:rsidR="00C32B22" w:rsidRPr="00A4731C">
        <w:rPr>
          <w:sz w:val="18"/>
          <w:szCs w:val="18"/>
        </w:rPr>
        <w:t>prednisone</w:t>
      </w:r>
    </w:p>
    <w:p w14:paraId="623AD9B0" w14:textId="206FC672" w:rsidR="00E95D1A" w:rsidRDefault="001D035F" w:rsidP="001E1797">
      <w:r w:rsidRPr="0034721B">
        <w:t xml:space="preserve">Patients </w:t>
      </w:r>
      <w:r w:rsidR="001D4947" w:rsidRPr="0034721B">
        <w:t xml:space="preserve">treated with </w:t>
      </w:r>
      <w:r w:rsidR="0057261B" w:rsidRPr="0034721B">
        <w:t>1L chemoimmunotherapy</w:t>
      </w:r>
      <w:r w:rsidR="001D4947" w:rsidRPr="0034721B">
        <w:t xml:space="preserve"> would be </w:t>
      </w:r>
      <w:r w:rsidR="00B03DDB">
        <w:t>examined every 3-6 months</w:t>
      </w:r>
      <w:r w:rsidR="001D4947" w:rsidRPr="0034721B">
        <w:t xml:space="preserve"> </w:t>
      </w:r>
      <w:r w:rsidR="00BE417B" w:rsidRPr="0034721B">
        <w:t xml:space="preserve">to assess response to treatment. Investigations relevant to </w:t>
      </w:r>
      <w:r w:rsidR="00A0748B" w:rsidRPr="0034721B">
        <w:t xml:space="preserve">monitoring </w:t>
      </w:r>
      <w:r w:rsidR="00E27A59">
        <w:t xml:space="preserve">patients </w:t>
      </w:r>
      <w:r w:rsidR="00A0748B" w:rsidRPr="0034721B">
        <w:t xml:space="preserve">include </w:t>
      </w:r>
      <w:r w:rsidR="00241785" w:rsidRPr="0034721B">
        <w:t>physical examination</w:t>
      </w:r>
      <w:r w:rsidR="000C46A9">
        <w:t xml:space="preserve"> and </w:t>
      </w:r>
      <w:r w:rsidR="006856D0">
        <w:t>pathological assessments of blood sample</w:t>
      </w:r>
      <w:r w:rsidR="000C46A9">
        <w:t>s</w:t>
      </w:r>
      <w:r w:rsidR="00BA13EC">
        <w:t xml:space="preserve">, with </w:t>
      </w:r>
      <w:r w:rsidR="0034721B">
        <w:t>and CT imaging</w:t>
      </w:r>
      <w:r w:rsidR="00E95D1A">
        <w:t xml:space="preserve"> performed if clinically indicated</w:t>
      </w:r>
      <w:r w:rsidR="0034721B">
        <w:t>.</w:t>
      </w:r>
      <w:r w:rsidR="000C151A">
        <w:t xml:space="preserve"> </w:t>
      </w:r>
      <w:r w:rsidR="00E86EFC">
        <w:t xml:space="preserve">Patients assessed </w:t>
      </w:r>
      <w:r w:rsidR="00E02A30">
        <w:t xml:space="preserve">as responding </w:t>
      </w:r>
      <w:r w:rsidR="003A3F11">
        <w:t xml:space="preserve">and tolerating </w:t>
      </w:r>
      <w:r w:rsidR="00E02A30">
        <w:t>to 1L chemoimmunotherapy</w:t>
      </w:r>
      <w:r w:rsidR="003A3F11">
        <w:t xml:space="preserve"> would continue to receive the</w:t>
      </w:r>
      <w:r w:rsidR="00E2237C">
        <w:t>ir</w:t>
      </w:r>
      <w:r w:rsidR="003A3F11">
        <w:t xml:space="preserve"> induction or maintenance regimen</w:t>
      </w:r>
      <w:r w:rsidR="0068593C">
        <w:t xml:space="preserve"> until the completion of the course of treatment</w:t>
      </w:r>
      <w:r w:rsidR="004874BC">
        <w:t>.</w:t>
      </w:r>
    </w:p>
    <w:p w14:paraId="3B2B865C" w14:textId="6118756E" w:rsidR="00D67F4D" w:rsidRDefault="00CD57FC" w:rsidP="001E1797">
      <w:r>
        <w:t>Despite recent advanced in 1L treatments, the majority of patients will</w:t>
      </w:r>
      <w:r w:rsidR="00DD7F97">
        <w:t xml:space="preserve"> experience disease progression </w:t>
      </w:r>
      <w:r w:rsidR="00E27859">
        <w:t xml:space="preserve">on or </w:t>
      </w:r>
      <w:r w:rsidR="00B80D0A">
        <w:t xml:space="preserve">after 1L therapy </w:t>
      </w:r>
      <w:r w:rsidR="00B80D0A">
        <w:fldChar w:fldCharType="begin"/>
      </w:r>
      <w:r w:rsidR="00B80D0A">
        <w:instrText xml:space="preserve"> ADDIN EN.CITE &lt;EndNote&gt;&lt;Cite&gt;&lt;Author&gt;Carbone&lt;/Author&gt;&lt;Year&gt;2019&lt;/Year&gt;&lt;RecNum&gt;1197&lt;/RecNum&gt;&lt;DisplayText&gt;(Carbone et al. 2019)&lt;/DisplayText&gt;&lt;record&gt;&lt;rec-number&gt;1197&lt;/rec-number&gt;&lt;foreign-keys&gt;&lt;key app="EN" db-id="ezvspvpphdrt93e9asepdx5etr9rf5rptvp0" timestamp="1698799284"&gt;1197&lt;/key&gt;&lt;/foreign-keys&gt;&lt;ref-type name="Journal Article"&gt;17&lt;/ref-type&gt;&lt;contributors&gt;&lt;authors&gt;&lt;author&gt;Carbone, Antonino&lt;/author&gt;&lt;author&gt;Roulland, Sandrine&lt;/author&gt;&lt;author&gt;Gloghini, Annunziata&lt;/author&gt;&lt;author&gt;Younes, Anas&lt;/author&gt;&lt;author&gt;von Keudell, Gottfried&lt;/author&gt;&lt;author&gt;López-Guillermo, Armando&lt;/author&gt;&lt;author&gt;Fitzgibbon, Jude&lt;/author&gt;&lt;/authors&gt;&lt;/contributors&gt;&lt;titles&gt;&lt;title&gt;Follicular lymphoma&lt;/title&gt;&lt;secondary-title&gt;Nature reviews Disease primers&lt;/secondary-title&gt;&lt;/titles&gt;&lt;periodical&gt;&lt;full-title&gt;Nature reviews Disease primers&lt;/full-title&gt;&lt;/periodical&gt;&lt;pages&gt;83&lt;/pages&gt;&lt;volume&gt;5&lt;/volume&gt;&lt;number&gt;1&lt;/number&gt;&lt;dates&gt;&lt;year&gt;2019&lt;/year&gt;&lt;/dates&gt;&lt;isbn&gt;2056-676X&lt;/isbn&gt;&lt;urls&gt;&lt;/urls&gt;&lt;/record&gt;&lt;/Cite&gt;&lt;/EndNote&gt;</w:instrText>
      </w:r>
      <w:r w:rsidR="00B80D0A">
        <w:fldChar w:fldCharType="separate"/>
      </w:r>
      <w:r w:rsidR="00B80D0A">
        <w:rPr>
          <w:noProof/>
        </w:rPr>
        <w:t>(Carbone et al. 2019)</w:t>
      </w:r>
      <w:r w:rsidR="00B80D0A">
        <w:fldChar w:fldCharType="end"/>
      </w:r>
      <w:r w:rsidR="00A950E9">
        <w:t>.</w:t>
      </w:r>
      <w:r w:rsidR="00D67F4D">
        <w:t xml:space="preserve"> The L</w:t>
      </w:r>
      <w:r w:rsidR="00626480">
        <w:t>u</w:t>
      </w:r>
      <w:r w:rsidR="00D67F4D">
        <w:t>g</w:t>
      </w:r>
      <w:r w:rsidR="00626480">
        <w:t>a</w:t>
      </w:r>
      <w:r w:rsidR="00D67F4D">
        <w:t>n</w:t>
      </w:r>
      <w:r w:rsidR="00626480">
        <w:t>o</w:t>
      </w:r>
      <w:r w:rsidR="00D67F4D">
        <w:t xml:space="preserve"> cri</w:t>
      </w:r>
      <w:r w:rsidR="00473CB6">
        <w:t>teria</w:t>
      </w:r>
      <w:r w:rsidR="00F13F93">
        <w:t xml:space="preserve"> </w:t>
      </w:r>
      <w:r w:rsidR="00902819">
        <w:fldChar w:fldCharType="begin"/>
      </w:r>
      <w:r w:rsidR="00902819">
        <w:instrText xml:space="preserve"> ADDIN EN.CITE &lt;EndNote&gt;&lt;Cite&gt;&lt;Author&gt;Cheson&lt;/Author&gt;&lt;Year&gt;2014&lt;/Year&gt;&lt;RecNum&gt;1202&lt;/RecNum&gt;&lt;DisplayText&gt;(Cheson et al. 2014)&lt;/DisplayText&gt;&lt;record&gt;&lt;rec-number&gt;1202&lt;/rec-number&gt;&lt;foreign-keys&gt;&lt;key app="EN" db-id="ezvspvpphdrt93e9asepdx5etr9rf5rptvp0" timestamp="1698879812"&gt;1202&lt;/key&gt;&lt;/foreign-keys&gt;&lt;ref-type name="Journal Article"&gt;17&lt;/ref-type&gt;&lt;contributors&gt;&lt;authors&gt;&lt;author&gt;Cheson, Bruce D&lt;/author&gt;&lt;author&gt;Fisher, Richard I&lt;/author&gt;&lt;author&gt;Barrington, Sally F&lt;/author&gt;&lt;author&gt;Cavalli, Franco&lt;/author&gt;&lt;author&gt;Schwartz, Lawrence H&lt;/author&gt;&lt;author&gt;Zucca, Emanuele&lt;/author&gt;&lt;author&gt;Lister, T Andrew&lt;/author&gt;&lt;/authors&gt;&lt;/contributors&gt;&lt;titles&gt;&lt;title&gt;Recommendations for initial evaluation, staging, and response assessment of Hodgkin and non-Hodgkin lymphoma: the Lugano classification&lt;/title&gt;&lt;secondary-title&gt;Journal of clinical oncology&lt;/secondary-</w:instrText>
      </w:r>
      <w:r w:rsidR="00902819">
        <w:lastRenderedPageBreak/>
        <w:instrText>title&gt;&lt;/titles&gt;&lt;periodical&gt;&lt;full-title&gt;Journal of Clinical Oncology&lt;/full-title&gt;&lt;/periodical&gt;&lt;pages&gt;3059&lt;/pages&gt;&lt;volume&gt;32&lt;/volume&gt;&lt;number&gt;27&lt;/number&gt;&lt;dates&gt;&lt;year&gt;2014&lt;/year&gt;&lt;/dates&gt;&lt;urls&gt;&lt;/urls&gt;&lt;/record&gt;&lt;/Cite&gt;&lt;/EndNote&gt;</w:instrText>
      </w:r>
      <w:r w:rsidR="00902819">
        <w:fldChar w:fldCharType="separate"/>
      </w:r>
      <w:r w:rsidR="00902819">
        <w:rPr>
          <w:noProof/>
        </w:rPr>
        <w:t>(Cheson et al. 2014)</w:t>
      </w:r>
      <w:r w:rsidR="00902819">
        <w:fldChar w:fldCharType="end"/>
      </w:r>
      <w:r w:rsidR="00473CB6">
        <w:t xml:space="preserve"> is a widely adopted framework to assess patient </w:t>
      </w:r>
      <w:r w:rsidR="00962D03">
        <w:t>response to</w:t>
      </w:r>
      <w:r w:rsidR="00030CB6">
        <w:t xml:space="preserve"> treatment.</w:t>
      </w:r>
    </w:p>
    <w:p w14:paraId="5CC0A7E1" w14:textId="100C1919" w:rsidR="00C33628" w:rsidRDefault="00FA0FB4" w:rsidP="001E1797">
      <w:r>
        <w:t xml:space="preserve">Patients assessed as no longer achieving disease control </w:t>
      </w:r>
      <w:r w:rsidR="00CC1FBB">
        <w:t>are classified as being</w:t>
      </w:r>
      <w:r w:rsidR="00C33628">
        <w:t>:</w:t>
      </w:r>
    </w:p>
    <w:p w14:paraId="10AB1731" w14:textId="52E4EACE" w:rsidR="00C33628" w:rsidRDefault="00C33628" w:rsidP="00C33628">
      <w:pPr>
        <w:pStyle w:val="ListParagraph"/>
        <w:numPr>
          <w:ilvl w:val="0"/>
          <w:numId w:val="1"/>
        </w:numPr>
      </w:pPr>
      <w:r>
        <w:t>Relapsed, typically</w:t>
      </w:r>
      <w:r w:rsidR="006875D5">
        <w:t xml:space="preserve"> defined as patients who progress </w:t>
      </w:r>
      <w:r w:rsidR="00895A37">
        <w:t>≥</w:t>
      </w:r>
      <w:r w:rsidR="006875D5">
        <w:t xml:space="preserve">6 months from completion of </w:t>
      </w:r>
      <w:r w:rsidR="00A427F0">
        <w:t>the most recent prior treatment, or:</w:t>
      </w:r>
    </w:p>
    <w:p w14:paraId="2572BAFC" w14:textId="5764AE2F" w:rsidR="00A427F0" w:rsidRDefault="00A427F0" w:rsidP="00C33628">
      <w:pPr>
        <w:pStyle w:val="ListParagraph"/>
        <w:numPr>
          <w:ilvl w:val="0"/>
          <w:numId w:val="1"/>
        </w:numPr>
      </w:pPr>
      <w:r>
        <w:t>Refractory, typically defined as patients who progress &lt;</w:t>
      </w:r>
      <w:r w:rsidR="00D67F4D">
        <w:t>6 months from completion of the most</w:t>
      </w:r>
      <w:r w:rsidR="00902819">
        <w:t xml:space="preserve"> recent prior treatment</w:t>
      </w:r>
    </w:p>
    <w:p w14:paraId="7AE55ACC" w14:textId="66DE443C" w:rsidR="00E24298" w:rsidRDefault="003261CC" w:rsidP="001E1797">
      <w:r>
        <w:t xml:space="preserve">Patients with R/R </w:t>
      </w:r>
      <w:r w:rsidR="00492B3D">
        <w:t>FL</w:t>
      </w:r>
      <w:r>
        <w:t xml:space="preserve"> </w:t>
      </w:r>
      <w:r w:rsidR="00E3072B">
        <w:t xml:space="preserve">with symptomatic disease and/or high tumour burden </w:t>
      </w:r>
      <w:r w:rsidR="003F26A3">
        <w:t>should be considered for second</w:t>
      </w:r>
      <w:r w:rsidR="00403BBE">
        <w:t xml:space="preserve"> </w:t>
      </w:r>
      <w:r w:rsidR="003F26A3">
        <w:t xml:space="preserve">line (2L) treatment </w:t>
      </w:r>
      <w:r w:rsidR="00924F30">
        <w:fldChar w:fldCharType="begin"/>
      </w:r>
      <w:r w:rsidR="00924F30">
        <w:instrText xml:space="preserve"> ADDIN EN.CITE &lt;EndNote&gt;&lt;Cite&gt;&lt;Author&gt;Dreyling&lt;/Author&gt;&lt;Year&gt;2021&lt;/Year&gt;&lt;RecNum&gt;1200&lt;/RecNum&gt;&lt;DisplayText&gt;(Freedman et al. 2020, 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K&lt;/author&gt;&lt;author&gt;Seymour, JF&lt;/author&gt;&lt;author&gt;Jerkeman, M&lt;/author&gt;&lt;/authors&gt;&lt;/contributors&gt;&lt;titles&gt;&lt;title&gt;Newly diagnosed and relapsed follicular lymphoma: ESMO Clinical Practice Guidelines for diagnosis, treatment and follow-up†</w:instrText>
      </w:r>
      <w:r w:rsidR="00924F30">
        <w:rPr>
          <w:rFonts w:ascii="Segoe UI Symbol" w:hAnsi="Segoe UI Symbol" w:cs="Segoe UI Symbol"/>
        </w:rPr>
        <w:instrText>☆</w:instrText>
      </w:r>
      <w:r w:rsidR="00924F30">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Cite&gt;&lt;Author&gt;Freedman&lt;/Author&gt;&lt;Year&gt;2020&lt;/Year&gt;&lt;RecNum&gt;1203&lt;/RecNum&gt;&lt;record&gt;&lt;rec-number&gt;1203&lt;/rec-number&gt;&lt;foreign-keys&gt;&lt;key app="EN" db-id="ezvspvpphdrt93e9asepdx5etr9rf5rptvp0" timestamp="1698880147"&gt;1203&lt;/key&gt;&lt;/foreign-keys&gt;&lt;ref-type name="Journal Article"&gt;17&lt;/ref-type&gt;&lt;contributors&gt;&lt;authors&gt;&lt;author&gt;Freedman, Arnold&lt;/author&gt;&lt;author&gt;Jacobsen, Eric&lt;/author&gt;&lt;/authors&gt;&lt;/contributors&gt;&lt;titles&gt;&lt;title&gt;Follicular lymphoma: 2020 update on diagnosis and management&lt;/title&gt;&lt;secondary-title&gt;American Journal of Hematology&lt;/secondary-title&gt;&lt;/titles&gt;&lt;periodical&gt;&lt;full-title&gt;American Journal of Hematology&lt;/full-title&gt;&lt;/periodical&gt;&lt;pages&gt;316-327&lt;/pages&gt;&lt;volume&gt;95&lt;/volume&gt;&lt;number&gt;3&lt;/number&gt;&lt;dates&gt;&lt;year&gt;2020&lt;/year&gt;&lt;/dates&gt;&lt;isbn&gt;0361-8609&lt;/isbn&gt;&lt;urls&gt;&lt;/urls&gt;&lt;/record&gt;&lt;/Cite&gt;&lt;/EndNote&gt;</w:instrText>
      </w:r>
      <w:r w:rsidR="00924F30">
        <w:fldChar w:fldCharType="separate"/>
      </w:r>
      <w:r w:rsidR="00924F30">
        <w:rPr>
          <w:noProof/>
        </w:rPr>
        <w:t>(Freedman et al. 2020, Dreyling et al. 2021)</w:t>
      </w:r>
      <w:r w:rsidR="00924F30">
        <w:fldChar w:fldCharType="end"/>
      </w:r>
      <w:r w:rsidR="00E3072B">
        <w:t>.</w:t>
      </w:r>
      <w:r w:rsidR="00403BBE">
        <w:t xml:space="preserve"> Patients with asymptomatic disease and low tumour burden may be managed with an observation/watch-and-wait approach </w:t>
      </w:r>
      <w:r w:rsidR="00403BBE">
        <w:fldChar w:fldCharType="begin"/>
      </w:r>
      <w:r w:rsidR="00403BBE">
        <w:instrText xml:space="preserve"> ADDIN EN.CITE &lt;EndNote&gt;&lt;Cite&gt;&lt;Author&gt;Dreyling&lt;/Author&gt;&lt;Year&gt;2021&lt;/Year&gt;&lt;RecNum&gt;1200&lt;/RecNum&gt;&lt;DisplayText&gt;(Dreyling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w:instrText>
      </w:r>
      <w:r w:rsidR="00403BBE">
        <w:lastRenderedPageBreak/>
        <w:instrText>K&lt;/author&gt;&lt;author&gt;Seymour, JF&lt;/author&gt;&lt;author&gt;Jerkeman, M&lt;/author&gt;&lt;/authors&gt;&lt;/contributors&gt;&lt;titles&gt;&lt;title&gt;Newly diagnosed and relapsed follicular lymphoma: ESMO Clinical Practice Guidelines for diagnosis, treatment and follow-up†</w:instrText>
      </w:r>
      <w:r w:rsidR="00403BBE">
        <w:rPr>
          <w:rFonts w:ascii="Segoe UI Symbol" w:hAnsi="Segoe UI Symbol" w:cs="Segoe UI Symbol"/>
        </w:rPr>
        <w:instrText>☆</w:instrText>
      </w:r>
      <w:r w:rsidR="00403BBE">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EndNote&gt;</w:instrText>
      </w:r>
      <w:r w:rsidR="00403BBE">
        <w:fldChar w:fldCharType="separate"/>
      </w:r>
      <w:r w:rsidR="00403BBE">
        <w:rPr>
          <w:noProof/>
        </w:rPr>
        <w:t>(Dreyling et al. 2021)</w:t>
      </w:r>
      <w:r w:rsidR="00403BBE">
        <w:fldChar w:fldCharType="end"/>
      </w:r>
      <w:r w:rsidR="00403BBE">
        <w:t>.</w:t>
      </w:r>
    </w:p>
    <w:p w14:paraId="2A2CD39D" w14:textId="3D16E209" w:rsidR="00B4155B" w:rsidRPr="00E23F90" w:rsidRDefault="001C2574" w:rsidP="00B4155B">
      <w:r>
        <w:t xml:space="preserve">The selection of 2L treatment </w:t>
      </w:r>
      <w:r w:rsidR="000723C6">
        <w:t xml:space="preserve">is based on the </w:t>
      </w:r>
      <w:r w:rsidR="00481A0B">
        <w:t xml:space="preserve">efficacy and duration of response of </w:t>
      </w:r>
      <w:r w:rsidR="00BA5BD2">
        <w:t xml:space="preserve">the </w:t>
      </w:r>
      <w:r w:rsidR="00481A0B">
        <w:t>prior</w:t>
      </w:r>
      <w:r w:rsidR="00BA5BD2">
        <w:t xml:space="preserve"> treatment</w:t>
      </w:r>
      <w:r w:rsidR="00481A0B">
        <w:t xml:space="preserve"> </w:t>
      </w:r>
      <w:r w:rsidR="00E24298">
        <w:t>regimen.</w:t>
      </w:r>
      <w:r w:rsidR="00974CA6">
        <w:t xml:space="preserve"> </w:t>
      </w:r>
      <w:r w:rsidR="004B46AD">
        <w:t>Australian clinical management guidelines do not discuss th</w:t>
      </w:r>
      <w:r w:rsidR="00400A2F">
        <w:t xml:space="preserve">e management of R/R </w:t>
      </w:r>
      <w:r w:rsidR="00492B3D">
        <w:t>FL</w:t>
      </w:r>
      <w:r w:rsidR="00400A2F">
        <w:t xml:space="preserve"> in detail. </w:t>
      </w:r>
      <w:r w:rsidR="00400A2F" w:rsidRPr="00E23F90">
        <w:t>However, a</w:t>
      </w:r>
      <w:r w:rsidR="00AF75E0" w:rsidRPr="00E23F90">
        <w:t xml:space="preserve"> summary of 2L</w:t>
      </w:r>
      <w:r w:rsidR="00B4155B" w:rsidRPr="00E23F90">
        <w:t xml:space="preserve"> regimens </w:t>
      </w:r>
      <w:r w:rsidR="00F64AC9" w:rsidRPr="00E23F90">
        <w:t xml:space="preserve">recommended in international clinical management guidelines </w:t>
      </w:r>
      <w:r w:rsidR="004B46AD" w:rsidRPr="00E23F90">
        <w:fldChar w:fldCharType="begin"/>
      </w:r>
      <w:r w:rsidR="004B46AD" w:rsidRPr="00E23F90">
        <w:instrText xml:space="preserve"> ADDIN EN.CITE &lt;EndNote&gt;&lt;Cite&gt;&lt;Author&gt;Dreyling&lt;/Author&gt;&lt;Year&gt;2021&lt;/Year&gt;&lt;RecNum&gt;1200&lt;/RecNum&gt;&lt;DisplayText&gt;(Freedman et al. 2020, 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K&lt;/author&gt;&lt;author&gt;Seymour, JF&lt;/author&gt;&lt;author&gt;Jerkeman, M&lt;/author&gt;&lt;/authors&gt;&lt;/contributors&gt;&lt;titles&gt;&lt;title&gt;Newly diagnosed and relapsed follicular lymphoma: ESMO Clinical Practice Guidelines for diagnosis, treatment and follow-up†</w:instrText>
      </w:r>
      <w:r w:rsidR="004B46AD" w:rsidRPr="00E23F90">
        <w:rPr>
          <w:rFonts w:ascii="Segoe UI Symbol" w:hAnsi="Segoe UI Symbol" w:cs="Segoe UI Symbol"/>
        </w:rPr>
        <w:instrText>☆</w:instrText>
      </w:r>
      <w:r w:rsidR="004B46AD" w:rsidRPr="00E23F90">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Cite&gt;&lt;Author&gt;Freedman&lt;/Author&gt;&lt;Year&gt;2020&lt;/Year&gt;&lt;RecNum&gt;1203&lt;/RecNum&gt;&lt;record&gt;&lt;rec-number&gt;1203&lt;/rec-number&gt;&lt;foreign-keys&gt;&lt;key app="EN" db-id="ezvspvpphdrt93e9asepdx5etr9rf5rptvp0" timestamp="1698880147"&gt;1203&lt;/key&gt;&lt;/foreign-keys&gt;&lt;ref-type name="Journal Article"&gt;17&lt;/ref-type&gt;&lt;contributors&gt;&lt;authors&gt;&lt;author&gt;Freedman, Arnold&lt;/author&gt;&lt;author&gt;Jacobsen, Eric&lt;/author&gt;&lt;/authors&gt;&lt;/contributors&gt;&lt;titles&gt;&lt;title&gt;Follicular lymphoma: 2020 update on diagnosis and management&lt;/title&gt;&lt;secondary-title&gt;American Journal of Hematology&lt;/secondary-title&gt;&lt;/titles&gt;&lt;periodical&gt;&lt;full-title&gt;American Journal of Hematology&lt;/full-title&gt;&lt;/periodical&gt;&lt;pages&gt;316-327&lt;/pages&gt;&lt;volume&gt;95&lt;/volume&gt;&lt;number&gt;3&lt;/number&gt;&lt;dates&gt;&lt;year&gt;2020&lt;/year&gt;&lt;/dates&gt;&lt;isbn&gt;0361-8609&lt;/isbn&gt;&lt;urls&gt;&lt;/urls&gt;&lt;/record&gt;&lt;/Cite&gt;&lt;/EndNote&gt;</w:instrText>
      </w:r>
      <w:r w:rsidR="004B46AD" w:rsidRPr="00E23F90">
        <w:fldChar w:fldCharType="separate"/>
      </w:r>
      <w:r w:rsidR="004B46AD" w:rsidRPr="00E23F90">
        <w:t>(Freedman et al. 2020, Dreyling et al. 2021)</w:t>
      </w:r>
      <w:r w:rsidR="004B46AD" w:rsidRPr="00E23F90">
        <w:fldChar w:fldCharType="end"/>
      </w:r>
      <w:r w:rsidR="00F64AC9" w:rsidRPr="00E23F90">
        <w:t xml:space="preserve"> is </w:t>
      </w:r>
      <w:r w:rsidR="00B4155B" w:rsidRPr="00E23F90">
        <w:t>outlined in</w:t>
      </w:r>
      <w:r w:rsidR="008C413C" w:rsidRPr="00E23F90">
        <w:t xml:space="preserve"> </w:t>
      </w:r>
      <w:r w:rsidR="008C413C" w:rsidRPr="00E23F90">
        <w:fldChar w:fldCharType="begin"/>
      </w:r>
      <w:r w:rsidR="008C413C" w:rsidRPr="00E23F90">
        <w:instrText xml:space="preserve"> REF _Ref149812955 \h </w:instrText>
      </w:r>
      <w:r w:rsidR="008C413C" w:rsidRPr="00E23F90">
        <w:fldChar w:fldCharType="separate"/>
      </w:r>
      <w:r w:rsidR="008B21F4" w:rsidRPr="00E23F90">
        <w:t>Table 2</w:t>
      </w:r>
      <w:r w:rsidR="008C413C" w:rsidRPr="00E23F90">
        <w:fldChar w:fldCharType="end"/>
      </w:r>
      <w:r w:rsidR="00B4155B" w:rsidRPr="00E23F90">
        <w:t>.</w:t>
      </w:r>
    </w:p>
    <w:p w14:paraId="14BEE962" w14:textId="710F05E9" w:rsidR="00B4155B" w:rsidRPr="00D126F8" w:rsidRDefault="00B4155B" w:rsidP="00D126F8">
      <w:pPr>
        <w:pStyle w:val="Caption"/>
        <w:keepNext/>
        <w:keepLines/>
        <w:rPr>
          <w:b/>
          <w:bCs/>
          <w:i w:val="0"/>
          <w:iCs w:val="0"/>
          <w:color w:val="auto"/>
          <w:sz w:val="22"/>
          <w:szCs w:val="22"/>
        </w:rPr>
      </w:pPr>
      <w:bookmarkStart w:id="1" w:name="_Ref149812955"/>
      <w:r w:rsidRPr="00D126F8">
        <w:rPr>
          <w:b/>
          <w:bCs/>
          <w:i w:val="0"/>
          <w:iCs w:val="0"/>
          <w:color w:val="auto"/>
          <w:sz w:val="22"/>
          <w:szCs w:val="22"/>
        </w:rPr>
        <w:lastRenderedPageBreak/>
        <w:t xml:space="preserve">Table </w:t>
      </w:r>
      <w:r w:rsidRPr="00D126F8">
        <w:rPr>
          <w:b/>
          <w:bCs/>
          <w:i w:val="0"/>
          <w:iCs w:val="0"/>
          <w:color w:val="auto"/>
          <w:sz w:val="22"/>
          <w:szCs w:val="22"/>
        </w:rPr>
        <w:fldChar w:fldCharType="begin"/>
      </w:r>
      <w:r w:rsidRPr="00D126F8">
        <w:rPr>
          <w:b/>
          <w:bCs/>
          <w:i w:val="0"/>
          <w:iCs w:val="0"/>
          <w:color w:val="auto"/>
          <w:sz w:val="22"/>
          <w:szCs w:val="22"/>
        </w:rPr>
        <w:instrText xml:space="preserve"> SEQ Table \* ARABIC </w:instrText>
      </w:r>
      <w:r w:rsidRPr="00D126F8">
        <w:rPr>
          <w:b/>
          <w:bCs/>
          <w:i w:val="0"/>
          <w:iCs w:val="0"/>
          <w:color w:val="auto"/>
          <w:sz w:val="22"/>
          <w:szCs w:val="22"/>
        </w:rPr>
        <w:fldChar w:fldCharType="separate"/>
      </w:r>
      <w:r w:rsidR="008B21F4">
        <w:rPr>
          <w:b/>
          <w:bCs/>
          <w:i w:val="0"/>
          <w:iCs w:val="0"/>
          <w:noProof/>
          <w:color w:val="auto"/>
          <w:sz w:val="22"/>
          <w:szCs w:val="22"/>
        </w:rPr>
        <w:t>2</w:t>
      </w:r>
      <w:r w:rsidRPr="00D126F8">
        <w:rPr>
          <w:b/>
          <w:bCs/>
          <w:i w:val="0"/>
          <w:iCs w:val="0"/>
          <w:color w:val="auto"/>
          <w:sz w:val="22"/>
          <w:szCs w:val="22"/>
        </w:rPr>
        <w:fldChar w:fldCharType="end"/>
      </w:r>
      <w:bookmarkEnd w:id="1"/>
      <w:r w:rsidRPr="00D126F8">
        <w:rPr>
          <w:b/>
          <w:bCs/>
          <w:i w:val="0"/>
          <w:iCs w:val="0"/>
          <w:color w:val="auto"/>
          <w:sz w:val="22"/>
          <w:szCs w:val="22"/>
        </w:rPr>
        <w:t xml:space="preserve">: </w:t>
      </w:r>
      <w:r w:rsidR="008C413C" w:rsidRPr="00D126F8">
        <w:rPr>
          <w:b/>
          <w:bCs/>
          <w:i w:val="0"/>
          <w:iCs w:val="0"/>
          <w:color w:val="auto"/>
          <w:sz w:val="22"/>
          <w:szCs w:val="22"/>
        </w:rPr>
        <w:t>Second</w:t>
      </w:r>
      <w:r w:rsidR="00CC2166">
        <w:rPr>
          <w:b/>
          <w:bCs/>
          <w:i w:val="0"/>
          <w:iCs w:val="0"/>
          <w:color w:val="auto"/>
          <w:sz w:val="22"/>
          <w:szCs w:val="22"/>
        </w:rPr>
        <w:t xml:space="preserve"> </w:t>
      </w:r>
      <w:r w:rsidRPr="00D126F8">
        <w:rPr>
          <w:b/>
          <w:bCs/>
          <w:i w:val="0"/>
          <w:iCs w:val="0"/>
          <w:color w:val="auto"/>
          <w:sz w:val="22"/>
          <w:szCs w:val="22"/>
        </w:rPr>
        <w:t xml:space="preserve">line </w:t>
      </w:r>
      <w:r w:rsidR="0005534E" w:rsidRPr="00D126F8">
        <w:rPr>
          <w:b/>
          <w:bCs/>
          <w:i w:val="0"/>
          <w:iCs w:val="0"/>
          <w:color w:val="auto"/>
          <w:sz w:val="22"/>
          <w:szCs w:val="22"/>
        </w:rPr>
        <w:t xml:space="preserve">treatment </w:t>
      </w:r>
      <w:r w:rsidRPr="00D126F8">
        <w:rPr>
          <w:b/>
          <w:bCs/>
          <w:i w:val="0"/>
          <w:iCs w:val="0"/>
          <w:color w:val="auto"/>
          <w:sz w:val="22"/>
          <w:szCs w:val="22"/>
        </w:rPr>
        <w:t xml:space="preserve">regimens for </w:t>
      </w:r>
      <w:r w:rsidR="00DD7DC1" w:rsidRPr="00DD7DC1">
        <w:rPr>
          <w:b/>
          <w:bCs/>
          <w:i w:val="0"/>
          <w:iCs w:val="0"/>
          <w:color w:val="auto"/>
          <w:sz w:val="22"/>
          <w:szCs w:val="22"/>
        </w:rPr>
        <w:t>follicular lymphoma</w:t>
      </w:r>
    </w:p>
    <w:tbl>
      <w:tblPr>
        <w:tblStyle w:val="TableGrid"/>
        <w:tblW w:w="4999" w:type="pct"/>
        <w:tblLook w:val="04A0" w:firstRow="1" w:lastRow="0" w:firstColumn="1" w:lastColumn="0" w:noHBand="0" w:noVBand="1"/>
        <w:tblCaption w:val="Table 2"/>
        <w:tblDescription w:val="Second line treatment regimens for follicular lymphoma"/>
      </w:tblPr>
      <w:tblGrid>
        <w:gridCol w:w="4730"/>
        <w:gridCol w:w="4733"/>
      </w:tblGrid>
      <w:tr w:rsidR="006C68ED" w14:paraId="3B5BE09A" w14:textId="77777777" w:rsidTr="006C68ED">
        <w:tc>
          <w:tcPr>
            <w:tcW w:w="2499" w:type="pct"/>
          </w:tcPr>
          <w:p w14:paraId="7B0C02AE" w14:textId="3C2A8727" w:rsidR="006C68ED" w:rsidRPr="007566A0" w:rsidRDefault="006C68ED" w:rsidP="00D126F8">
            <w:pPr>
              <w:keepNext/>
              <w:keepLines/>
              <w:rPr>
                <w:b/>
                <w:bCs/>
              </w:rPr>
            </w:pPr>
            <w:r>
              <w:rPr>
                <w:b/>
                <w:bCs/>
              </w:rPr>
              <w:t>R</w:t>
            </w:r>
            <w:r w:rsidRPr="007566A0">
              <w:rPr>
                <w:b/>
                <w:bCs/>
              </w:rPr>
              <w:t>egimen</w:t>
            </w:r>
          </w:p>
        </w:tc>
        <w:tc>
          <w:tcPr>
            <w:tcW w:w="2501" w:type="pct"/>
          </w:tcPr>
          <w:p w14:paraId="16CFC240" w14:textId="6480FEAD" w:rsidR="006C68ED" w:rsidRPr="007566A0" w:rsidRDefault="006C68ED" w:rsidP="00D126F8">
            <w:pPr>
              <w:keepNext/>
              <w:keepLines/>
              <w:rPr>
                <w:b/>
                <w:bCs/>
              </w:rPr>
            </w:pPr>
            <w:r>
              <w:rPr>
                <w:b/>
                <w:bCs/>
              </w:rPr>
              <w:t>Note</w:t>
            </w:r>
          </w:p>
        </w:tc>
      </w:tr>
      <w:tr w:rsidR="006C68ED" w14:paraId="7AE476ED" w14:textId="11E8B638" w:rsidTr="006C68ED">
        <w:tc>
          <w:tcPr>
            <w:tcW w:w="2499" w:type="pct"/>
          </w:tcPr>
          <w:p w14:paraId="0EE115A2" w14:textId="24AA3C1B" w:rsidR="006C68ED" w:rsidRDefault="006C68ED" w:rsidP="00B5762E">
            <w:pPr>
              <w:keepNext/>
              <w:keepLines/>
            </w:pPr>
            <w:proofErr w:type="spellStart"/>
            <w:r>
              <w:t>Obinutuzumab+B</w:t>
            </w:r>
            <w:proofErr w:type="spellEnd"/>
          </w:p>
        </w:tc>
        <w:tc>
          <w:tcPr>
            <w:tcW w:w="2501" w:type="pct"/>
          </w:tcPr>
          <w:p w14:paraId="6C079B7A" w14:textId="32BD02AE" w:rsidR="006C68ED" w:rsidRDefault="0018626A" w:rsidP="00B5762E">
            <w:pPr>
              <w:keepNext/>
              <w:keepLines/>
            </w:pPr>
            <w:r>
              <w:t>Consider in rituximab-refractory cases or remissions lasting &lt;6 months</w:t>
            </w:r>
          </w:p>
        </w:tc>
      </w:tr>
      <w:tr w:rsidR="006C68ED" w14:paraId="58DBEEA9" w14:textId="77777777" w:rsidTr="006C68ED">
        <w:tc>
          <w:tcPr>
            <w:tcW w:w="2499" w:type="pct"/>
          </w:tcPr>
          <w:p w14:paraId="4EC43522" w14:textId="067787B6" w:rsidR="006C68ED" w:rsidRDefault="006C68ED" w:rsidP="00B5762E">
            <w:pPr>
              <w:keepNext/>
              <w:keepLines/>
            </w:pPr>
            <w:r>
              <w:t>Bendamustine</w:t>
            </w:r>
          </w:p>
        </w:tc>
        <w:tc>
          <w:tcPr>
            <w:tcW w:w="2501" w:type="pct"/>
          </w:tcPr>
          <w:p w14:paraId="5837343D" w14:textId="545D4258" w:rsidR="006C68ED" w:rsidRDefault="006C68ED" w:rsidP="00B5762E">
            <w:pPr>
              <w:keepNext/>
              <w:keepLines/>
            </w:pPr>
            <w:r>
              <w:t>Consider for early systemic relapses (&lt;12-24 months) after CHOP</w:t>
            </w:r>
          </w:p>
        </w:tc>
      </w:tr>
      <w:tr w:rsidR="006C68ED" w14:paraId="79344984" w14:textId="77777777" w:rsidTr="006C68ED">
        <w:tc>
          <w:tcPr>
            <w:tcW w:w="2499" w:type="pct"/>
          </w:tcPr>
          <w:p w14:paraId="025CCFC1" w14:textId="4E8B1195" w:rsidR="006C68ED" w:rsidRDefault="006C68ED" w:rsidP="00B5762E">
            <w:pPr>
              <w:keepNext/>
              <w:keepLines/>
            </w:pPr>
            <w:r>
              <w:t>Rituximab-B</w:t>
            </w:r>
          </w:p>
        </w:tc>
        <w:tc>
          <w:tcPr>
            <w:tcW w:w="2501" w:type="pct"/>
          </w:tcPr>
          <w:p w14:paraId="3D9ADD9B" w14:textId="482E5F63" w:rsidR="006C68ED" w:rsidRDefault="006C68ED" w:rsidP="00B5762E">
            <w:pPr>
              <w:keepNext/>
              <w:keepLines/>
            </w:pPr>
            <w:r>
              <w:t>-</w:t>
            </w:r>
          </w:p>
        </w:tc>
      </w:tr>
      <w:tr w:rsidR="006C68ED" w14:paraId="4E6997DE" w14:textId="77777777" w:rsidTr="006C68ED">
        <w:tc>
          <w:tcPr>
            <w:tcW w:w="2499" w:type="pct"/>
          </w:tcPr>
          <w:p w14:paraId="085FB5D2" w14:textId="692FE71C" w:rsidR="006C68ED" w:rsidRDefault="006C68ED" w:rsidP="00B5762E">
            <w:pPr>
              <w:keepNext/>
              <w:keepLines/>
            </w:pPr>
            <w:r>
              <w:t>Fludarabine-based chemotherapy</w:t>
            </w:r>
          </w:p>
        </w:tc>
        <w:tc>
          <w:tcPr>
            <w:tcW w:w="2501" w:type="pct"/>
          </w:tcPr>
          <w:p w14:paraId="5ACEE665" w14:textId="305EC535" w:rsidR="006C68ED" w:rsidRDefault="006C68ED" w:rsidP="00B5762E">
            <w:pPr>
              <w:keepNext/>
              <w:keepLines/>
            </w:pPr>
            <w:r>
              <w:t>-</w:t>
            </w:r>
          </w:p>
        </w:tc>
      </w:tr>
      <w:tr w:rsidR="006C68ED" w14:paraId="16E4F53E" w14:textId="77777777" w:rsidTr="006C68ED">
        <w:tc>
          <w:tcPr>
            <w:tcW w:w="2499" w:type="pct"/>
          </w:tcPr>
          <w:p w14:paraId="6DE8D7E4" w14:textId="12FEDD90" w:rsidR="006C68ED" w:rsidRDefault="006C68ED" w:rsidP="00B5762E">
            <w:pPr>
              <w:keepNext/>
              <w:keepLines/>
            </w:pPr>
            <w:r>
              <w:t>Platinum-based chemotherapy</w:t>
            </w:r>
          </w:p>
        </w:tc>
        <w:tc>
          <w:tcPr>
            <w:tcW w:w="2501" w:type="pct"/>
          </w:tcPr>
          <w:p w14:paraId="18AF4489" w14:textId="3EC05D24" w:rsidR="006C68ED" w:rsidRDefault="006C68ED" w:rsidP="00B5762E">
            <w:pPr>
              <w:keepNext/>
              <w:keepLines/>
            </w:pPr>
            <w:r>
              <w:t>-</w:t>
            </w:r>
          </w:p>
        </w:tc>
      </w:tr>
      <w:tr w:rsidR="006C68ED" w14:paraId="6AC69ED8" w14:textId="77777777" w:rsidTr="006C68ED">
        <w:tc>
          <w:tcPr>
            <w:tcW w:w="2499" w:type="pct"/>
          </w:tcPr>
          <w:p w14:paraId="5055300D" w14:textId="1091ED28" w:rsidR="006C68ED" w:rsidRDefault="006C68ED" w:rsidP="00B5762E">
            <w:pPr>
              <w:keepNext/>
              <w:keepLines/>
            </w:pPr>
            <w:r>
              <w:t>Alkylating agent-based chemotherapy</w:t>
            </w:r>
          </w:p>
        </w:tc>
        <w:tc>
          <w:tcPr>
            <w:tcW w:w="2501" w:type="pct"/>
          </w:tcPr>
          <w:p w14:paraId="6F2147A6" w14:textId="74C21494" w:rsidR="006C68ED" w:rsidRDefault="006C68ED" w:rsidP="00B5762E">
            <w:pPr>
              <w:keepNext/>
              <w:keepLines/>
            </w:pPr>
            <w:r>
              <w:t>-</w:t>
            </w:r>
          </w:p>
        </w:tc>
      </w:tr>
      <w:tr w:rsidR="006C68ED" w14:paraId="2B9EF45A" w14:textId="77777777" w:rsidTr="006C68ED">
        <w:tc>
          <w:tcPr>
            <w:tcW w:w="2499" w:type="pct"/>
          </w:tcPr>
          <w:p w14:paraId="43F3FE0F" w14:textId="39D87EF8" w:rsidR="006C68ED" w:rsidRDefault="006C68ED" w:rsidP="00B5762E">
            <w:pPr>
              <w:keepNext/>
              <w:keepLines/>
            </w:pPr>
            <w:r>
              <w:t>Add rituximab to previously used chemoimmunotherapy regimen</w:t>
            </w:r>
          </w:p>
        </w:tc>
        <w:tc>
          <w:tcPr>
            <w:tcW w:w="2501" w:type="pct"/>
          </w:tcPr>
          <w:p w14:paraId="02665A32" w14:textId="71765BA2" w:rsidR="006C68ED" w:rsidRDefault="006C68ED" w:rsidP="00B5762E">
            <w:pPr>
              <w:keepNext/>
              <w:keepLines/>
            </w:pPr>
            <w:r>
              <w:t>Consider if previous regimen achieved &gt;6-</w:t>
            </w:r>
            <w:proofErr w:type="gramStart"/>
            <w:r>
              <w:t>12 month</w:t>
            </w:r>
            <w:proofErr w:type="gramEnd"/>
            <w:r>
              <w:t xml:space="preserve"> remission</w:t>
            </w:r>
          </w:p>
        </w:tc>
      </w:tr>
      <w:tr w:rsidR="006C68ED" w14:paraId="05382352" w14:textId="77777777" w:rsidTr="006C68ED">
        <w:tc>
          <w:tcPr>
            <w:tcW w:w="2499" w:type="pct"/>
          </w:tcPr>
          <w:p w14:paraId="0C10DF6B" w14:textId="1AF154ED" w:rsidR="006C68ED" w:rsidRDefault="006C68ED" w:rsidP="00B5762E">
            <w:pPr>
              <w:keepNext/>
              <w:keepLines/>
            </w:pPr>
            <w:r>
              <w:t>Idelalisib</w:t>
            </w:r>
          </w:p>
        </w:tc>
        <w:tc>
          <w:tcPr>
            <w:tcW w:w="2501" w:type="pct"/>
          </w:tcPr>
          <w:p w14:paraId="7E57B142" w14:textId="288AE08F" w:rsidR="006C68ED" w:rsidRDefault="006C68ED" w:rsidP="00B5762E">
            <w:pPr>
              <w:keepNext/>
              <w:keepLines/>
            </w:pPr>
            <w:r>
              <w:t xml:space="preserve">PBS listed for </w:t>
            </w:r>
            <w:proofErr w:type="gramStart"/>
            <w:r>
              <w:t>patients</w:t>
            </w:r>
            <w:proofErr w:type="gramEnd"/>
            <w:r>
              <w:t xml:space="preserve"> refractory to rituximab and/or alkylating agent within 6 months of completion of treatment</w:t>
            </w:r>
          </w:p>
        </w:tc>
      </w:tr>
      <w:tr w:rsidR="006C68ED" w14:paraId="29F8F5FB" w14:textId="77777777" w:rsidTr="006C68ED">
        <w:tc>
          <w:tcPr>
            <w:tcW w:w="2499" w:type="pct"/>
          </w:tcPr>
          <w:p w14:paraId="481AF465" w14:textId="003EF4E3" w:rsidR="006C68ED" w:rsidRDefault="006C68ED" w:rsidP="00B5762E">
            <w:pPr>
              <w:keepNext/>
              <w:keepLines/>
            </w:pPr>
            <w:proofErr w:type="spellStart"/>
            <w:r>
              <w:t>Lenalidomide+rituximab</w:t>
            </w:r>
            <w:proofErr w:type="spellEnd"/>
          </w:p>
        </w:tc>
        <w:tc>
          <w:tcPr>
            <w:tcW w:w="2501" w:type="pct"/>
          </w:tcPr>
          <w:p w14:paraId="4D1E99A4" w14:textId="0A454936" w:rsidR="006C68ED" w:rsidRDefault="006C68ED" w:rsidP="00B5762E">
            <w:pPr>
              <w:keepNext/>
              <w:keepLines/>
            </w:pPr>
            <w:r>
              <w:t>Lenalidomide not PBS listed for treatment of FL</w:t>
            </w:r>
          </w:p>
        </w:tc>
      </w:tr>
    </w:tbl>
    <w:p w14:paraId="4F016A03" w14:textId="7579C21E" w:rsidR="00B4155B" w:rsidRPr="00A4731C" w:rsidRDefault="00B4155B" w:rsidP="00A4731C">
      <w:pPr>
        <w:keepNext/>
        <w:keepLines/>
        <w:rPr>
          <w:sz w:val="18"/>
          <w:szCs w:val="18"/>
        </w:rPr>
      </w:pPr>
      <w:r w:rsidRPr="00A4731C">
        <w:rPr>
          <w:sz w:val="18"/>
          <w:szCs w:val="18"/>
        </w:rPr>
        <w:t xml:space="preserve">Abbreviations: B=bendamustine; CHOP=cyclophosphamide, vincristine, doxorubicin and </w:t>
      </w:r>
      <w:r w:rsidR="004A5772" w:rsidRPr="00A4731C">
        <w:rPr>
          <w:sz w:val="18"/>
          <w:szCs w:val="18"/>
        </w:rPr>
        <w:t>prednisone</w:t>
      </w:r>
      <w:r w:rsidR="00427BEB">
        <w:rPr>
          <w:sz w:val="18"/>
          <w:szCs w:val="18"/>
        </w:rPr>
        <w:t>; FL=follicular lymphoma</w:t>
      </w:r>
    </w:p>
    <w:p w14:paraId="43293C11" w14:textId="77777777" w:rsidR="003B26C4" w:rsidRDefault="001810F2" w:rsidP="001E1797">
      <w:r>
        <w:t>Patient</w:t>
      </w:r>
      <w:r w:rsidR="00B2474D">
        <w:t>s</w:t>
      </w:r>
      <w:r>
        <w:t xml:space="preserve"> receiving 2L treatment would be </w:t>
      </w:r>
      <w:r w:rsidR="00FB0CAC">
        <w:t>monitored for response to treatment</w:t>
      </w:r>
      <w:r w:rsidR="00946BF3">
        <w:t xml:space="preserve"> </w:t>
      </w:r>
      <w:r w:rsidR="00833DD5">
        <w:t>in a way</w:t>
      </w:r>
      <w:r w:rsidR="00BA5BD2">
        <w:t xml:space="preserve"> </w:t>
      </w:r>
      <w:r w:rsidR="00833DD5">
        <w:t>consistent with monitoring patients receiving 1L treatment</w:t>
      </w:r>
      <w:r w:rsidR="00CA28C0">
        <w:t>.</w:t>
      </w:r>
    </w:p>
    <w:p w14:paraId="2746EC4C" w14:textId="2CA7ABE7" w:rsidR="001810F2" w:rsidRDefault="00F95ECA" w:rsidP="001E1797">
      <w:r>
        <w:t>P</w:t>
      </w:r>
      <w:r w:rsidR="00A62A8E">
        <w:t>atients that de</w:t>
      </w:r>
      <w:r>
        <w:t>ve</w:t>
      </w:r>
      <w:r w:rsidR="00A62A8E">
        <w:t xml:space="preserve">lop R/R </w:t>
      </w:r>
      <w:r w:rsidR="00EE6B3C">
        <w:t>FL</w:t>
      </w:r>
      <w:r>
        <w:t xml:space="preserve"> after 2L treatment </w:t>
      </w:r>
      <w:r w:rsidR="004B6BA3">
        <w:t>have limited treatment options</w:t>
      </w:r>
      <w:r w:rsidR="00FD21AB">
        <w:t xml:space="preserve"> </w:t>
      </w:r>
      <w:r w:rsidR="002B3D20">
        <w:t xml:space="preserve">that have </w:t>
      </w:r>
      <w:r w:rsidR="0029533E">
        <w:t xml:space="preserve">demonstrated </w:t>
      </w:r>
      <w:r w:rsidR="002B3D20">
        <w:t xml:space="preserve">clinical </w:t>
      </w:r>
      <w:r w:rsidR="0029533E">
        <w:t>efficacy in</w:t>
      </w:r>
      <w:r w:rsidR="004F03B8">
        <w:t xml:space="preserve"> clinical trials</w:t>
      </w:r>
      <w:r w:rsidR="00352749">
        <w:t xml:space="preserve">. For this </w:t>
      </w:r>
      <w:r w:rsidR="00011ED2">
        <w:t>reason,</w:t>
      </w:r>
      <w:r w:rsidR="00352749">
        <w:t xml:space="preserve"> patients indicated for </w:t>
      </w:r>
      <w:r w:rsidR="00A35641">
        <w:t>third line</w:t>
      </w:r>
      <w:r w:rsidR="004F03B8">
        <w:t xml:space="preserve"> and beyond (3L+) treatment </w:t>
      </w:r>
      <w:r w:rsidR="00FD21AB">
        <w:t xml:space="preserve">often ‘cycle through’ </w:t>
      </w:r>
      <w:r w:rsidR="00E3647C">
        <w:t xml:space="preserve">recommended </w:t>
      </w:r>
      <w:r w:rsidR="0050192F">
        <w:t>2L treatment regimens</w:t>
      </w:r>
      <w:r w:rsidR="004B6BA3">
        <w:t>.</w:t>
      </w:r>
    </w:p>
    <w:p w14:paraId="16D51F2A" w14:textId="746C685A" w:rsidR="008C5124" w:rsidRPr="00E23F90" w:rsidRDefault="008C5124" w:rsidP="001E1797">
      <w:r>
        <w:t xml:space="preserve">Analysis of a </w:t>
      </w:r>
      <w:r w:rsidR="00992C7D">
        <w:t xml:space="preserve">cohort of R/R </w:t>
      </w:r>
      <w:r w:rsidR="00EE6B3C">
        <w:t>FL</w:t>
      </w:r>
      <w:r w:rsidR="00992C7D">
        <w:t xml:space="preserve"> patients initiating 3L+ treatment </w:t>
      </w:r>
      <w:r w:rsidR="00FC60AF">
        <w:t>demonstrates that survival outcomes for patients in the 3L+</w:t>
      </w:r>
      <w:r w:rsidR="009440A6">
        <w:t xml:space="preserve"> setting are poor</w:t>
      </w:r>
      <w:r w:rsidR="00656BA8">
        <w:t xml:space="preserve"> </w:t>
      </w:r>
      <w:r w:rsidR="00656BA8" w:rsidRPr="00B11DB5">
        <w:fldChar w:fldCharType="begin"/>
      </w:r>
      <w:r w:rsidR="00656BA8" w:rsidRPr="00B11DB5">
        <w:instrText xml:space="preserve"> ADDIN EN.CITE &lt;EndNote&gt;&lt;Cite&gt;&lt;Author&gt;Ghione&lt;/Author&gt;&lt;Year&gt;2023&lt;/Year&gt;&lt;RecNum&gt;1204&lt;/RecNum&gt;&lt;DisplayText&gt;(Ghione et al. 2023)&lt;/DisplayText&gt;&lt;record&gt;&lt;rec-number&gt;1204&lt;/rec-number&gt;&lt;foreign-keys&gt;&lt;key app="EN" db-id="ezvspvpphdrt93e9asepdx5etr9rf5rptvp0" timestamp="1698884854"&gt;1204&lt;/key&gt;&lt;/foreign-keys&gt;&lt;ref-type name="Journal Article"&gt;17&lt;/ref-type&gt;&lt;contributors&gt;&lt;authors&gt;&lt;author&gt;Ghione, Paola&lt;/author&gt;&lt;author&gt;Palomba, Maria Lia&lt;/author&gt;&lt;author&gt;Ghesquieres, Hervé&lt;/author&gt;&lt;author&gt;Bobillo, Sabela&lt;/author&gt;&lt;author&gt;Patel, Anik R&lt;/author&gt;&lt;author&gt;Nahas, Myrna&lt;/author&gt;&lt;author&gt;Kanters, Steve&lt;/author&gt;&lt;author&gt;Deighton, Kevin&lt;/author&gt;&lt;author&gt;Hatswell, Anthony&lt;/author&gt;&lt;author&gt;Ma, Long&lt;/author&gt;&lt;/authors&gt;&lt;/contributors&gt;&lt;titles&gt;&lt;title&gt;Treatment patterns and outcomes in relapsed/refractory follicular lymphoma: results from the international SCHOLAR-5 study&lt;/title&gt;&lt;secondary-title&gt;Haematologica&lt;/secondary-title&gt;&lt;/titles&gt;&lt;periodical&gt;&lt;full-title&gt;Haematologica&lt;/full-title&gt;&lt;/periodical&gt;&lt;pages&gt;822&lt;/pages&gt;&lt;volume&gt;108&lt;/volume&gt;&lt;number&gt;3&lt;/number&gt;&lt;dates&gt;&lt;year&gt;2023&lt;/year&gt;&lt;/dates&gt;&lt;urls&gt;&lt;/urls&gt;&lt;/record&gt;&lt;/Cite&gt;&lt;/EndNote&gt;</w:instrText>
      </w:r>
      <w:r w:rsidR="00656BA8" w:rsidRPr="00B11DB5">
        <w:fldChar w:fldCharType="separate"/>
      </w:r>
      <w:r w:rsidR="00656BA8" w:rsidRPr="00B11DB5">
        <w:rPr>
          <w:noProof/>
        </w:rPr>
        <w:t>(Ghione et al. 2023)</w:t>
      </w:r>
      <w:r w:rsidR="00656BA8" w:rsidRPr="00B11DB5">
        <w:fldChar w:fldCharType="end"/>
      </w:r>
      <w:r w:rsidR="00B54E0D">
        <w:t xml:space="preserve"> and that </w:t>
      </w:r>
      <w:r w:rsidR="009440A6">
        <w:t xml:space="preserve">outcome </w:t>
      </w:r>
      <w:r w:rsidR="009440A6">
        <w:lastRenderedPageBreak/>
        <w:t>becom</w:t>
      </w:r>
      <w:r w:rsidR="00B54E0D">
        <w:t xml:space="preserve">e </w:t>
      </w:r>
      <w:r w:rsidR="009440A6">
        <w:t>progressively worse for patients ini</w:t>
      </w:r>
      <w:r w:rsidR="00EE38B3">
        <w:t xml:space="preserve">tiating each subsequent line of </w:t>
      </w:r>
      <w:r w:rsidR="00EE38B3" w:rsidRPr="00E23F90">
        <w:t>treatment (</w:t>
      </w:r>
      <w:r w:rsidR="00807F27" w:rsidRPr="00E23F90">
        <w:fldChar w:fldCharType="begin"/>
      </w:r>
      <w:r w:rsidR="00807F27" w:rsidRPr="00E23F90">
        <w:instrText xml:space="preserve"> REF _Ref149816757 \h </w:instrText>
      </w:r>
      <w:r w:rsidR="00807F27" w:rsidRPr="00E23F90">
        <w:fldChar w:fldCharType="separate"/>
      </w:r>
      <w:r w:rsidR="008B21F4" w:rsidRPr="00E23F90">
        <w:t>Figure 1</w:t>
      </w:r>
      <w:r w:rsidR="00807F27" w:rsidRPr="00E23F90">
        <w:fldChar w:fldCharType="end"/>
      </w:r>
      <w:r w:rsidR="00EE38B3" w:rsidRPr="00E23F90">
        <w:t>).</w:t>
      </w:r>
    </w:p>
    <w:p w14:paraId="38601572" w14:textId="0F7B8D5B" w:rsidR="001701C5" w:rsidRPr="00300C2D" w:rsidRDefault="001701C5" w:rsidP="00300C2D">
      <w:pPr>
        <w:pStyle w:val="Caption"/>
        <w:keepNext/>
        <w:keepLines/>
        <w:rPr>
          <w:b/>
          <w:bCs/>
          <w:i w:val="0"/>
          <w:iCs w:val="0"/>
          <w:color w:val="auto"/>
          <w:sz w:val="22"/>
          <w:szCs w:val="22"/>
        </w:rPr>
      </w:pPr>
      <w:bookmarkStart w:id="2" w:name="_Ref149816757"/>
      <w:r w:rsidRPr="00300C2D">
        <w:rPr>
          <w:b/>
          <w:bCs/>
          <w:i w:val="0"/>
          <w:iCs w:val="0"/>
          <w:color w:val="auto"/>
          <w:sz w:val="22"/>
          <w:szCs w:val="22"/>
        </w:rPr>
        <w:t xml:space="preserve">Figure </w:t>
      </w:r>
      <w:r w:rsidRPr="00300C2D">
        <w:rPr>
          <w:b/>
          <w:bCs/>
          <w:i w:val="0"/>
          <w:iCs w:val="0"/>
          <w:color w:val="auto"/>
          <w:sz w:val="22"/>
          <w:szCs w:val="22"/>
        </w:rPr>
        <w:fldChar w:fldCharType="begin"/>
      </w:r>
      <w:r w:rsidRPr="00300C2D">
        <w:rPr>
          <w:b/>
          <w:bCs/>
          <w:i w:val="0"/>
          <w:iCs w:val="0"/>
          <w:color w:val="auto"/>
          <w:sz w:val="22"/>
          <w:szCs w:val="22"/>
        </w:rPr>
        <w:instrText xml:space="preserve"> SEQ Figure \* ARABIC </w:instrText>
      </w:r>
      <w:r w:rsidRPr="00300C2D">
        <w:rPr>
          <w:b/>
          <w:bCs/>
          <w:i w:val="0"/>
          <w:iCs w:val="0"/>
          <w:color w:val="auto"/>
          <w:sz w:val="22"/>
          <w:szCs w:val="22"/>
        </w:rPr>
        <w:fldChar w:fldCharType="separate"/>
      </w:r>
      <w:r w:rsidR="008B21F4">
        <w:rPr>
          <w:b/>
          <w:bCs/>
          <w:i w:val="0"/>
          <w:iCs w:val="0"/>
          <w:noProof/>
          <w:color w:val="auto"/>
          <w:sz w:val="22"/>
          <w:szCs w:val="22"/>
        </w:rPr>
        <w:t>1</w:t>
      </w:r>
      <w:r w:rsidRPr="00300C2D">
        <w:rPr>
          <w:b/>
          <w:bCs/>
          <w:i w:val="0"/>
          <w:iCs w:val="0"/>
          <w:color w:val="auto"/>
          <w:sz w:val="22"/>
          <w:szCs w:val="22"/>
        </w:rPr>
        <w:fldChar w:fldCharType="end"/>
      </w:r>
      <w:bookmarkEnd w:id="2"/>
      <w:r w:rsidRPr="00300C2D">
        <w:rPr>
          <w:b/>
          <w:bCs/>
          <w:i w:val="0"/>
          <w:iCs w:val="0"/>
          <w:color w:val="auto"/>
          <w:sz w:val="22"/>
          <w:szCs w:val="22"/>
        </w:rPr>
        <w:t>: Overall survival for</w:t>
      </w:r>
      <w:r w:rsidR="008C6A86" w:rsidRPr="00300C2D">
        <w:rPr>
          <w:b/>
          <w:bCs/>
          <w:i w:val="0"/>
          <w:iCs w:val="0"/>
          <w:color w:val="auto"/>
          <w:sz w:val="22"/>
          <w:szCs w:val="22"/>
        </w:rPr>
        <w:t xml:space="preserve"> </w:t>
      </w:r>
      <w:r w:rsidR="002D36FF" w:rsidRPr="00300C2D">
        <w:rPr>
          <w:b/>
          <w:bCs/>
          <w:i w:val="0"/>
          <w:iCs w:val="0"/>
          <w:color w:val="auto"/>
          <w:sz w:val="22"/>
          <w:szCs w:val="22"/>
        </w:rPr>
        <w:t xml:space="preserve">relapsed or refractory </w:t>
      </w:r>
      <w:r w:rsidR="00DD7DC1" w:rsidRPr="00DD7DC1">
        <w:rPr>
          <w:b/>
          <w:bCs/>
          <w:i w:val="0"/>
          <w:iCs w:val="0"/>
          <w:color w:val="auto"/>
          <w:sz w:val="22"/>
          <w:szCs w:val="22"/>
        </w:rPr>
        <w:t>follicular lymphoma</w:t>
      </w:r>
      <w:r w:rsidR="009C6954" w:rsidRPr="00300C2D">
        <w:rPr>
          <w:b/>
          <w:bCs/>
          <w:i w:val="0"/>
          <w:iCs w:val="0"/>
          <w:color w:val="auto"/>
          <w:sz w:val="22"/>
          <w:szCs w:val="22"/>
        </w:rPr>
        <w:t xml:space="preserve"> patients by line of </w:t>
      </w:r>
      <w:r w:rsidR="00807F27" w:rsidRPr="00300C2D">
        <w:rPr>
          <w:b/>
          <w:bCs/>
          <w:i w:val="0"/>
          <w:iCs w:val="0"/>
          <w:color w:val="auto"/>
          <w:sz w:val="22"/>
          <w:szCs w:val="22"/>
        </w:rPr>
        <w:t>therapy</w:t>
      </w:r>
    </w:p>
    <w:p w14:paraId="113AE40A" w14:textId="70C45906" w:rsidR="001701C5" w:rsidRDefault="001701C5" w:rsidP="001E1797">
      <w:r w:rsidRPr="001701C5">
        <w:rPr>
          <w:noProof/>
        </w:rPr>
        <w:drawing>
          <wp:inline distT="0" distB="0" distL="0" distR="0" wp14:anchorId="37982C3F" wp14:editId="465710BA">
            <wp:extent cx="4219427" cy="3960000"/>
            <wp:effectExtent l="0" t="0" r="0" b="2540"/>
            <wp:docPr id="802423992" name="Picture 802423992" descr="Figure 1: Overall survival for relapsed or refractory follicular lymphoma patients by line of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23992" name="Picture 802423992" descr="Figure 1: Overall survival for relapsed or refractory follicular lymphoma patients by line of therapy"/>
                    <pic:cNvPicPr/>
                  </pic:nvPicPr>
                  <pic:blipFill>
                    <a:blip r:embed="rId8"/>
                    <a:stretch>
                      <a:fillRect/>
                    </a:stretch>
                  </pic:blipFill>
                  <pic:spPr>
                    <a:xfrm>
                      <a:off x="0" y="0"/>
                      <a:ext cx="4219427" cy="3960000"/>
                    </a:xfrm>
                    <a:prstGeom prst="rect">
                      <a:avLst/>
                    </a:prstGeom>
                  </pic:spPr>
                </pic:pic>
              </a:graphicData>
            </a:graphic>
          </wp:inline>
        </w:drawing>
      </w:r>
    </w:p>
    <w:p w14:paraId="3B8098C2" w14:textId="58B78243" w:rsidR="00EE38B3" w:rsidRDefault="00B11DB5" w:rsidP="00A4731C">
      <w:pPr>
        <w:keepNext/>
        <w:keepLines/>
        <w:rPr>
          <w:sz w:val="18"/>
          <w:szCs w:val="18"/>
        </w:rPr>
      </w:pPr>
      <w:r w:rsidRPr="00A4731C">
        <w:rPr>
          <w:sz w:val="18"/>
          <w:szCs w:val="18"/>
        </w:rPr>
        <w:t xml:space="preserve">Source: </w:t>
      </w:r>
      <w:r w:rsidR="00FE7FFA" w:rsidRPr="00A4731C">
        <w:rPr>
          <w:sz w:val="18"/>
          <w:szCs w:val="18"/>
        </w:rPr>
        <w:t>Figure 4 (Panel</w:t>
      </w:r>
      <w:r w:rsidR="002F0626" w:rsidRPr="00A4731C">
        <w:rPr>
          <w:sz w:val="18"/>
          <w:szCs w:val="18"/>
        </w:rPr>
        <w:t xml:space="preserve"> A), p. 829 of </w:t>
      </w:r>
      <w:r w:rsidR="002F0626" w:rsidRPr="00A4731C">
        <w:rPr>
          <w:sz w:val="18"/>
          <w:szCs w:val="18"/>
        </w:rPr>
        <w:fldChar w:fldCharType="begin"/>
      </w:r>
      <w:r w:rsidR="002F0626" w:rsidRPr="00A4731C">
        <w:rPr>
          <w:sz w:val="18"/>
          <w:szCs w:val="18"/>
        </w:rPr>
        <w:instrText xml:space="preserve"> ADDIN EN.CITE &lt;EndNote&gt;&lt;Cite&gt;&lt;Author&gt;Ghione&lt;/Author&gt;&lt;Year&gt;2023&lt;/Year&gt;&lt;RecNum&gt;1204&lt;/RecNum&gt;&lt;DisplayText&gt;(Ghione et al. 2023)&lt;/DisplayText&gt;&lt;record&gt;&lt;rec-number&gt;1204&lt;/rec-number&gt;&lt;foreign-keys&gt;&lt;key app="EN" db-id="ezvspvpphdrt93e9asepdx5etr9rf5rptvp0" timestamp="1698884854"&gt;1204&lt;/key&gt;&lt;/foreign-keys&gt;&lt;ref-type name="Journal Article"&gt;17&lt;/ref-type&gt;&lt;contributors&gt;&lt;authors&gt;&lt;author&gt;Ghione, Paola&lt;/author&gt;&lt;author&gt;Palomba, Maria Lia&lt;/author&gt;&lt;author&gt;Ghesquieres, Hervé&lt;/author&gt;&lt;author&gt;Bobillo, Sabela&lt;/author&gt;&lt;author&gt;Patel, Anik R&lt;/author&gt;&lt;author&gt;Nahas, Myrna&lt;/author&gt;&lt;author&gt;Kanters, Steve&lt;/author&gt;&lt;author&gt;Deighton, Kevin&lt;/author&gt;&lt;author&gt;Hatswell, Anthony&lt;/author&gt;&lt;author&gt;Ma, Long&lt;/author&gt;&lt;/authors&gt;&lt;/contributors&gt;&lt;titles&gt;&lt;title&gt;Treatment patterns and outcomes in relapsed/refractory follicular lymphoma: results from the international SCHOLAR-5 study&lt;/title&gt;&lt;secondary-title&gt;Haematologica&lt;/secondary-title&gt;&lt;/titles&gt;&lt;periodical&gt;&lt;full-title&gt;Haematologica&lt;/full-title&gt;&lt;/periodical&gt;&lt;pages&gt;822&lt;/pages&gt;&lt;volume&gt;108&lt;/volume&gt;&lt;number&gt;3&lt;/number&gt;&lt;dates&gt;&lt;year&gt;2023&lt;/year&gt;&lt;/dates&gt;&lt;urls&gt;&lt;/urls&gt;&lt;/record&gt;&lt;/Cite&gt;&lt;/EndNote&gt;</w:instrText>
      </w:r>
      <w:r w:rsidR="002F0626" w:rsidRPr="00A4731C">
        <w:rPr>
          <w:sz w:val="18"/>
          <w:szCs w:val="18"/>
        </w:rPr>
        <w:fldChar w:fldCharType="separate"/>
      </w:r>
      <w:r w:rsidR="002F0626" w:rsidRPr="00A4731C">
        <w:rPr>
          <w:sz w:val="18"/>
          <w:szCs w:val="18"/>
        </w:rPr>
        <w:t>(Ghione et al. 2023)</w:t>
      </w:r>
      <w:r w:rsidR="002F0626" w:rsidRPr="00A4731C">
        <w:rPr>
          <w:sz w:val="18"/>
          <w:szCs w:val="18"/>
        </w:rPr>
        <w:fldChar w:fldCharType="end"/>
      </w:r>
    </w:p>
    <w:p w14:paraId="28229F02" w14:textId="3658BC4C" w:rsidR="00E25BDB" w:rsidRPr="00A4731C" w:rsidRDefault="00E25BDB" w:rsidP="00A4731C">
      <w:pPr>
        <w:keepNext/>
        <w:keepLines/>
        <w:rPr>
          <w:sz w:val="18"/>
          <w:szCs w:val="18"/>
        </w:rPr>
      </w:pPr>
      <w:r>
        <w:rPr>
          <w:sz w:val="18"/>
          <w:szCs w:val="18"/>
        </w:rPr>
        <w:t>Abbreviation: Lot=line of t</w:t>
      </w:r>
      <w:r w:rsidR="00CF31D7">
        <w:rPr>
          <w:sz w:val="18"/>
          <w:szCs w:val="18"/>
        </w:rPr>
        <w:t>herapy</w:t>
      </w:r>
    </w:p>
    <w:p w14:paraId="430877E0" w14:textId="5A19D906" w:rsidR="00B82D41" w:rsidRDefault="002F0626" w:rsidP="00B82D41">
      <w:r>
        <w:t xml:space="preserve">This application </w:t>
      </w:r>
      <w:r w:rsidR="00DC4586">
        <w:t>propose</w:t>
      </w:r>
      <w:r w:rsidR="00300C2D">
        <w:t>s</w:t>
      </w:r>
      <w:r w:rsidR="00DC4586">
        <w:t xml:space="preserve"> that Yescarta </w:t>
      </w:r>
      <w:r w:rsidR="00300C2D">
        <w:t xml:space="preserve">is </w:t>
      </w:r>
      <w:r w:rsidR="00DC4586">
        <w:t xml:space="preserve">funded as a treatment for </w:t>
      </w:r>
      <w:r w:rsidR="007729BF">
        <w:t xml:space="preserve">adult patients with </w:t>
      </w:r>
      <w:r w:rsidR="004C4560">
        <w:t>G</w:t>
      </w:r>
      <w:r w:rsidR="007729BF">
        <w:t>rade 1</w:t>
      </w:r>
      <w:r w:rsidR="004C4560">
        <w:t xml:space="preserve">, Grade 2 or Grade </w:t>
      </w:r>
      <w:r w:rsidR="007729BF">
        <w:t xml:space="preserve">3a </w:t>
      </w:r>
      <w:r w:rsidR="004C4560">
        <w:t>FL</w:t>
      </w:r>
      <w:r w:rsidR="00B82D41">
        <w:t xml:space="preserve"> </w:t>
      </w:r>
      <w:r w:rsidR="007729BF">
        <w:t xml:space="preserve">with relapsed or refractory disease </w:t>
      </w:r>
      <w:r w:rsidR="00B82D41">
        <w:t xml:space="preserve">after </w:t>
      </w:r>
      <w:r w:rsidR="000B3C60">
        <w:t>2</w:t>
      </w:r>
      <w:r w:rsidR="00B82D41">
        <w:t xml:space="preserve"> or more lines of therapy. That is, Yescarta would be used in a 3L+ setting</w:t>
      </w:r>
      <w:r w:rsidR="002D36FF">
        <w:t>.</w:t>
      </w:r>
    </w:p>
    <w:p w14:paraId="1EB9B562" w14:textId="013EC20E" w:rsidR="002F0626" w:rsidRPr="00E30035" w:rsidRDefault="00694AC8" w:rsidP="001E1797">
      <w:pPr>
        <w:rPr>
          <w:u w:val="single"/>
        </w:rPr>
      </w:pPr>
      <w:r w:rsidRPr="00E30035">
        <w:rPr>
          <w:u w:val="single"/>
        </w:rPr>
        <w:t xml:space="preserve">Referral pathway </w:t>
      </w:r>
      <w:r w:rsidR="00DA77C7" w:rsidRPr="00E30035">
        <w:rPr>
          <w:u w:val="single"/>
        </w:rPr>
        <w:t>to be considered by treatment with Yescarta</w:t>
      </w:r>
    </w:p>
    <w:p w14:paraId="10D4782E" w14:textId="5588BCEF" w:rsidR="00522F07" w:rsidRPr="005826A6" w:rsidRDefault="00DA77C7" w:rsidP="001E1797">
      <w:r w:rsidRPr="005826A6">
        <w:t xml:space="preserve">Patients with </w:t>
      </w:r>
      <w:r w:rsidR="00EE6B3C">
        <w:t>FL</w:t>
      </w:r>
      <w:r w:rsidRPr="005826A6">
        <w:t xml:space="preserve"> would typically be managed </w:t>
      </w:r>
      <w:r w:rsidR="00522F07" w:rsidRPr="005826A6">
        <w:t>by a clinician specialising in haem</w:t>
      </w:r>
      <w:r w:rsidR="00AA1D2B" w:rsidRPr="005826A6">
        <w:t>atological malignancies.</w:t>
      </w:r>
      <w:r w:rsidR="00B7679F">
        <w:t xml:space="preserve"> Upon an assessment of a patient </w:t>
      </w:r>
      <w:r w:rsidR="00767409">
        <w:t>being R/R to 2L treatment</w:t>
      </w:r>
      <w:r w:rsidR="001C6CB6">
        <w:t xml:space="preserve"> and a potential </w:t>
      </w:r>
      <w:r w:rsidR="000446E8">
        <w:t>candidate</w:t>
      </w:r>
      <w:r w:rsidR="001C6CB6">
        <w:t xml:space="preserve"> for Yescarta</w:t>
      </w:r>
      <w:r w:rsidR="00EE5BD7">
        <w:t>,</w:t>
      </w:r>
      <w:r w:rsidR="001C6CB6">
        <w:t xml:space="preserve"> the clinician would refer the patient to a </w:t>
      </w:r>
      <w:r w:rsidR="00717A73">
        <w:t>t</w:t>
      </w:r>
      <w:r w:rsidR="003D36CB">
        <w:t xml:space="preserve">ertiary hospital </w:t>
      </w:r>
      <w:r w:rsidR="009A0B23">
        <w:t xml:space="preserve">that has been approved to </w:t>
      </w:r>
      <w:r w:rsidR="00C561C6">
        <w:t>provide</w:t>
      </w:r>
      <w:r w:rsidR="00E30035">
        <w:t xml:space="preserve"> Yesca</w:t>
      </w:r>
      <w:r w:rsidR="008C356E">
        <w:t>r</w:t>
      </w:r>
      <w:r w:rsidR="00E30035">
        <w:t xml:space="preserve">ta </w:t>
      </w:r>
      <w:r w:rsidR="00C561C6">
        <w:t xml:space="preserve">infusion </w:t>
      </w:r>
      <w:r w:rsidR="00E30035">
        <w:t xml:space="preserve">for the treatment of </w:t>
      </w:r>
      <w:r w:rsidR="00EE6B3C">
        <w:t>FL</w:t>
      </w:r>
      <w:r w:rsidR="00E30035">
        <w:t>.</w:t>
      </w:r>
    </w:p>
    <w:p w14:paraId="0EB432EF" w14:textId="5FCC0EB1" w:rsidR="00051843" w:rsidRPr="001E1797" w:rsidRDefault="00051843" w:rsidP="001E1797">
      <w:pPr>
        <w:pStyle w:val="Heading2"/>
      </w:pPr>
      <w:r>
        <w:lastRenderedPageBreak/>
        <w:t>P</w:t>
      </w:r>
      <w:r w:rsidR="001E1797">
        <w:t>r</w:t>
      </w:r>
      <w:r>
        <w:t>ovide a rationale for the specifics of the eligible population:</w:t>
      </w:r>
    </w:p>
    <w:p w14:paraId="095B8D8D" w14:textId="070CFF49" w:rsidR="005A1140" w:rsidRDefault="005A1140" w:rsidP="005A1140">
      <w:pPr>
        <w:rPr>
          <w:rFonts w:asciiTheme="minorHAnsi" w:eastAsia="Segoe UI" w:hAnsiTheme="minorHAnsi" w:cstheme="minorHAnsi"/>
          <w:color w:val="000000"/>
        </w:rPr>
      </w:pPr>
      <w:r>
        <w:t xml:space="preserve">The patient population proposed to be eligible for </w:t>
      </w:r>
      <w:r w:rsidR="00D8108C">
        <w:t xml:space="preserve">treatment with </w:t>
      </w:r>
      <w:r>
        <w:t xml:space="preserve">Yescarta is consistent with the </w:t>
      </w:r>
      <w:r w:rsidR="00CF31D7">
        <w:t xml:space="preserve">TGA-approved </w:t>
      </w:r>
      <w:r w:rsidR="00871473">
        <w:t xml:space="preserve">indication </w:t>
      </w:r>
      <w:r>
        <w:t xml:space="preserve">and the patient population enrolled in the pivotal study assessing the safety and efficacy of Yescarta as a treatment for </w:t>
      </w:r>
      <w:r w:rsidR="008B547A">
        <w:t xml:space="preserve">FL </w:t>
      </w:r>
      <w:r w:rsidR="00671ED6">
        <w:t>(</w:t>
      </w:r>
      <w:r w:rsidR="008B547A">
        <w:t xml:space="preserve">the </w:t>
      </w:r>
      <w:r>
        <w:t>ZUMA-</w:t>
      </w:r>
      <w:r w:rsidR="008B547A">
        <w:t>5 study</w:t>
      </w:r>
      <w:r w:rsidR="00671ED6">
        <w:t>)</w:t>
      </w:r>
      <w:r>
        <w:t>.</w:t>
      </w:r>
    </w:p>
    <w:p w14:paraId="386FF8F4" w14:textId="13C78E7A" w:rsidR="00D8108C" w:rsidRDefault="009E308D" w:rsidP="001E1797">
      <w:r>
        <w:t xml:space="preserve">The TGA-approved </w:t>
      </w:r>
      <w:r w:rsidR="001309A3">
        <w:t xml:space="preserve">indication for Yescarta as a treatment for patients with </w:t>
      </w:r>
      <w:r w:rsidR="00EE6B3C">
        <w:t>FL</w:t>
      </w:r>
      <w:r w:rsidR="00D8108C">
        <w:t xml:space="preserve"> is outlined below.</w:t>
      </w:r>
    </w:p>
    <w:tbl>
      <w:tblPr>
        <w:tblStyle w:val="TableGrid"/>
        <w:tblW w:w="0" w:type="auto"/>
        <w:tblLook w:val="04A0" w:firstRow="1" w:lastRow="0" w:firstColumn="1" w:lastColumn="0" w:noHBand="0" w:noVBand="1"/>
        <w:tblCaption w:val="Table for the Yescarta TGA-approved indication"/>
        <w:tblDescription w:val="TGA-approved indication for Yescarta as a treatment for patients with FL "/>
      </w:tblPr>
      <w:tblGrid>
        <w:gridCol w:w="9465"/>
      </w:tblGrid>
      <w:tr w:rsidR="00DD5BE9" w14:paraId="67AC0314" w14:textId="77777777" w:rsidTr="00DD5BE9">
        <w:tc>
          <w:tcPr>
            <w:tcW w:w="9465" w:type="dxa"/>
          </w:tcPr>
          <w:p w14:paraId="6766A3EF" w14:textId="1BA35D87" w:rsidR="00DD5BE9" w:rsidRDefault="00DD5BE9" w:rsidP="001E1797">
            <w:r>
              <w:t>YESCARTA</w:t>
            </w:r>
            <w:r w:rsidR="00C63504">
              <w:t xml:space="preserve"> is a genetically modified autologous </w:t>
            </w:r>
            <w:proofErr w:type="spellStart"/>
            <w:r w:rsidR="00C63504">
              <w:t>immunocellular</w:t>
            </w:r>
            <w:proofErr w:type="spellEnd"/>
            <w:r w:rsidR="00C63504">
              <w:t xml:space="preserve"> therapy for the treatment of patients with rela</w:t>
            </w:r>
            <w:r w:rsidR="00B9272D">
              <w:t xml:space="preserve">psed or refractory </w:t>
            </w:r>
            <w:r w:rsidR="00DD7DC1" w:rsidRPr="00DD7DC1">
              <w:t>follicular lymphoma</w:t>
            </w:r>
            <w:r w:rsidR="00B9272D">
              <w:t xml:space="preserve"> (FL) after two or more lines of systemic therapy</w:t>
            </w:r>
          </w:p>
        </w:tc>
      </w:tr>
    </w:tbl>
    <w:p w14:paraId="4B433F56" w14:textId="0D40E502" w:rsidR="009E308D" w:rsidRDefault="00B9272D" w:rsidP="001E1797">
      <w:r>
        <w:t>K</w:t>
      </w:r>
      <w:r w:rsidR="002F6353">
        <w:t>ey e</w:t>
      </w:r>
      <w:r w:rsidR="00152083">
        <w:t>ligibility</w:t>
      </w:r>
      <w:r w:rsidR="00A47FB6">
        <w:t xml:space="preserve"> criteria applied in the recruit</w:t>
      </w:r>
      <w:r w:rsidR="002F6353">
        <w:t xml:space="preserve">ing </w:t>
      </w:r>
      <w:r w:rsidR="00A47FB6">
        <w:t xml:space="preserve">patients into the ZUMA-5 trial </w:t>
      </w:r>
      <w:proofErr w:type="gramStart"/>
      <w:r w:rsidR="002F6353">
        <w:t>were:</w:t>
      </w:r>
      <w:proofErr w:type="gramEnd"/>
      <w:r w:rsidR="002F6353">
        <w:t xml:space="preserve"> adult patients (≥18 years</w:t>
      </w:r>
      <w:r w:rsidR="003668E5">
        <w:t xml:space="preserve">), grade 1-3a </w:t>
      </w:r>
      <w:r w:rsidR="00DD7DC1" w:rsidRPr="00DD7DC1">
        <w:t>follicular lymphoma</w:t>
      </w:r>
      <w:r w:rsidR="003668E5">
        <w:t xml:space="preserve">, </w:t>
      </w:r>
      <w:r w:rsidR="006F25DC">
        <w:t xml:space="preserve">relapsed or refractory disease after </w:t>
      </w:r>
      <w:r w:rsidR="000B3C60">
        <w:t>2</w:t>
      </w:r>
      <w:r w:rsidR="005F3D7F">
        <w:t xml:space="preserve"> or more lines of therapy.</w:t>
      </w:r>
    </w:p>
    <w:p w14:paraId="730114B1" w14:textId="17224D17" w:rsidR="00280050" w:rsidRDefault="00051843" w:rsidP="001E1797">
      <w:pPr>
        <w:pStyle w:val="Heading1"/>
      </w:pPr>
      <w:r>
        <w:t>Intervention</w:t>
      </w:r>
    </w:p>
    <w:p w14:paraId="4EE4D8C5" w14:textId="54FB192F" w:rsidR="00665487" w:rsidRPr="001E1797" w:rsidRDefault="00665487" w:rsidP="001E1797">
      <w:pPr>
        <w:pStyle w:val="Heading2"/>
      </w:pPr>
      <w:r w:rsidRPr="00B15CDF">
        <w:t>Name of the proposed health technology:</w:t>
      </w:r>
    </w:p>
    <w:p w14:paraId="661E51AD" w14:textId="145E555B" w:rsidR="00BE6B22" w:rsidRPr="001E1797" w:rsidRDefault="00B16CAE" w:rsidP="001E1797">
      <w:pPr>
        <w:rPr>
          <w:rFonts w:asciiTheme="minorHAnsi" w:eastAsia="Segoe UI" w:hAnsiTheme="minorHAnsi" w:cstheme="minorHAnsi"/>
          <w:color w:val="000000"/>
        </w:rPr>
      </w:pPr>
      <w:r>
        <w:t>Y</w:t>
      </w:r>
      <w:r w:rsidR="00753C77">
        <w:t>escarta</w:t>
      </w:r>
      <w:r w:rsidR="00877BA3">
        <w:t>™</w:t>
      </w:r>
      <w:r w:rsidR="00753C77">
        <w:t xml:space="preserve"> (axicabtagene ciloleucel)</w:t>
      </w:r>
    </w:p>
    <w:p w14:paraId="61D4A875" w14:textId="41CF21BF" w:rsidR="00BE6B22" w:rsidRDefault="00665487" w:rsidP="001E1797">
      <w:pPr>
        <w:pStyle w:val="Heading2"/>
      </w:pPr>
      <w:r w:rsidRPr="00B15CDF">
        <w:t>Describe the key components and clinical steps involved in delivering the proposed health technology</w:t>
      </w:r>
      <w:r w:rsidR="00BE6B22">
        <w:t>:</w:t>
      </w:r>
    </w:p>
    <w:p w14:paraId="0510C98D" w14:textId="5D3B84E2" w:rsidR="008C4ADE" w:rsidRDefault="008C4ADE" w:rsidP="00AF1B31">
      <w:r>
        <w:t xml:space="preserve">The key steps involved in delivering Yescarta for the treatment of patients with R/R </w:t>
      </w:r>
      <w:r w:rsidR="00EE6B3C">
        <w:t>FL</w:t>
      </w:r>
      <w:r>
        <w:t xml:space="preserve"> is consistent with the use of Yescarta for other indications considered by MSAC. </w:t>
      </w:r>
      <w:r w:rsidR="00C713DC">
        <w:t>A summary of the procedures involved in delivering treatment with Yescarta is provided below.</w:t>
      </w:r>
    </w:p>
    <w:p w14:paraId="5B727B17" w14:textId="45F5E5C5" w:rsidR="00AF1B31" w:rsidRPr="00EE66B1" w:rsidRDefault="00AF1B31" w:rsidP="00AF1B31">
      <w:pPr>
        <w:rPr>
          <w:u w:val="single"/>
        </w:rPr>
      </w:pPr>
      <w:r w:rsidRPr="00EE66B1">
        <w:rPr>
          <w:u w:val="single"/>
        </w:rPr>
        <w:t>Step 1: Leukapheresis</w:t>
      </w:r>
    </w:p>
    <w:p w14:paraId="600F92CA" w14:textId="77777777" w:rsidR="00B47E3B" w:rsidRDefault="00AF1B31" w:rsidP="00AF1B31">
      <w:r w:rsidRPr="006D7D7E">
        <w:rPr>
          <w:noProof/>
        </w:rPr>
        <mc:AlternateContent>
          <mc:Choice Requires="wpg">
            <w:drawing>
              <wp:anchor distT="0" distB="0" distL="114300" distR="114300" simplePos="0" relativeHeight="251658240" behindDoc="1" locked="0" layoutInCell="1" allowOverlap="1" wp14:anchorId="735DEECC" wp14:editId="152992DA">
                <wp:simplePos x="0" y="0"/>
                <wp:positionH relativeFrom="page">
                  <wp:posOffset>895985</wp:posOffset>
                </wp:positionH>
                <wp:positionV relativeFrom="page">
                  <wp:posOffset>9871075</wp:posOffset>
                </wp:positionV>
                <wp:extent cx="5768340" cy="0"/>
                <wp:effectExtent l="10160" t="12700" r="12700" b="6350"/>
                <wp:wrapNone/>
                <wp:docPr id="429283986" name="Group 4292839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0"/>
                          <a:chOff x="1411" y="15545"/>
                          <a:chExt cx="9084" cy="0"/>
                        </a:xfrm>
                      </wpg:grpSpPr>
                      <wps:wsp>
                        <wps:cNvPr id="1638666574" name="Freeform 3"/>
                        <wps:cNvSpPr>
                          <a:spLocks/>
                        </wps:cNvSpPr>
                        <wps:spPr bwMode="auto">
                          <a:xfrm>
                            <a:off x="1411" y="15545"/>
                            <a:ext cx="9084" cy="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736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E80A7" id="Group 429283986" o:spid="_x0000_s1026" alt="&quot;&quot;" style="position:absolute;margin-left:70.55pt;margin-top:777.25pt;width:454.2pt;height:0;z-index:-251658240;mso-position-horizontal-relative:page;mso-position-vertical-relative:page" coordorigin="1411,15545" coordsize="9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">
                <v:shape id="Freeform 3" o:spid="_x0000_s1027" style="position:absolute;left:1411;top:15545;width:9084;height:0;visibility:visible;mso-wrap-style:square;v-text-anchor:top" coordsize="9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" path="m,l9084,e" filled="f" strokecolor="#d8d8d8" strokeweight=".58pt">
                  <v:path arrowok="t" o:connecttype="custom" o:connectlocs="0,0;9084,0" o:connectangles="0,0"/>
                </v:shape>
                <w10:wrap anchorx="page" anchory="page"/>
              </v:group>
            </w:pict>
          </mc:Fallback>
        </mc:AlternateContent>
      </w:r>
      <w:r w:rsidRPr="006D7D7E">
        <w:t>Leukocytes (white blood cells) are collected from the patient at their clinical centre. This is done by leukapheresis, whereby whole blood is withdrawn from the patient, leukocytes are extracted and then the remainder of the blood is transfused back into the patient.</w:t>
      </w:r>
    </w:p>
    <w:p w14:paraId="507F289F" w14:textId="62FAD147" w:rsidR="00B47E3B" w:rsidRPr="009121D3" w:rsidRDefault="00DB39F0" w:rsidP="00B47E3B">
      <w:pPr>
        <w:rPr>
          <w:u w:val="single"/>
        </w:rPr>
      </w:pPr>
      <w:r w:rsidRPr="009121D3">
        <w:rPr>
          <w:u w:val="single"/>
        </w:rPr>
        <w:t>Step 2: Procurement of Yescarta</w:t>
      </w:r>
    </w:p>
    <w:p w14:paraId="3946426A" w14:textId="015A6871" w:rsidR="00B47E3B" w:rsidRPr="006D7D7E" w:rsidRDefault="00B47E3B" w:rsidP="00B47E3B">
      <w:r w:rsidRPr="006D7D7E">
        <w:t xml:space="preserve">The manufacturing process is undertaken </w:t>
      </w:r>
      <w:r w:rsidR="002F56E0" w:rsidRPr="00B05DC5">
        <w:rPr>
          <w:highlight w:val="yellow"/>
        </w:rPr>
        <w:t>Redacted</w:t>
      </w:r>
      <w:r w:rsidRPr="002F56E0">
        <w:t>.</w:t>
      </w:r>
      <w:r w:rsidRPr="006D7D7E">
        <w:t xml:space="preserve"> The manufacturing process involves isolation and activation of T-cells</w:t>
      </w:r>
      <w:r w:rsidR="00C51707">
        <w:t xml:space="preserve"> obtained </w:t>
      </w:r>
      <w:r w:rsidR="00254A36">
        <w:t xml:space="preserve">from the patient sample collected as part of the </w:t>
      </w:r>
      <w:r w:rsidR="006D56F3">
        <w:t>leukapheresis</w:t>
      </w:r>
      <w:r w:rsidR="00E845A5">
        <w:t xml:space="preserve"> step. </w:t>
      </w:r>
      <w:r w:rsidR="00E07441">
        <w:t>The pa</w:t>
      </w:r>
      <w:r w:rsidR="00E67498">
        <w:t xml:space="preserve">tients T-cells the engineered </w:t>
      </w:r>
      <w:r w:rsidR="00AE6CB4">
        <w:t>to express</w:t>
      </w:r>
      <w:r w:rsidR="00D42BAE">
        <w:t xml:space="preserve"> </w:t>
      </w:r>
      <w:r w:rsidRPr="006D7D7E">
        <w:t xml:space="preserve">the CAR gene, </w:t>
      </w:r>
      <w:r w:rsidR="00D42BAE">
        <w:t xml:space="preserve">followed </w:t>
      </w:r>
      <w:r w:rsidR="00B557F3">
        <w:t xml:space="preserve">by steps to </w:t>
      </w:r>
      <w:r w:rsidRPr="006D7D7E">
        <w:t>expan</w:t>
      </w:r>
      <w:r w:rsidR="00B557F3">
        <w:t xml:space="preserve">d the population </w:t>
      </w:r>
      <w:r w:rsidRPr="006D7D7E">
        <w:t>of engineered T-cells. The final product is washed, cryopreserved and tested for identity, potency, and adventitious agents. After meeting acceptance criteria, the product is transported back to the patient’s clinical centre in Australia using a validated cryo-shipper.</w:t>
      </w:r>
    </w:p>
    <w:p w14:paraId="4C761017" w14:textId="77777777" w:rsidR="00B47E3B" w:rsidRPr="007E405B" w:rsidRDefault="00B47E3B" w:rsidP="00B47E3B">
      <w:pPr>
        <w:rPr>
          <w:u w:val="single"/>
        </w:rPr>
      </w:pPr>
      <w:r w:rsidRPr="007E405B">
        <w:rPr>
          <w:u w:val="single"/>
        </w:rPr>
        <w:t>Step 3: Lymphodepleting chemotherapy</w:t>
      </w:r>
    </w:p>
    <w:p w14:paraId="7FE6E385" w14:textId="7DE39279" w:rsidR="00B47E3B" w:rsidRPr="006D7D7E" w:rsidRDefault="00B47E3B" w:rsidP="00B47E3B">
      <w:r w:rsidRPr="006D7D7E">
        <w:t>Prior to infusion, patients are treated with low</w:t>
      </w:r>
      <w:r w:rsidR="004D5573">
        <w:t xml:space="preserve"> </w:t>
      </w:r>
      <w:r w:rsidRPr="006D7D7E">
        <w:t xml:space="preserve">dose lymphodepleting chemotherapy to eliminate the patient’s lymphocytes and allow space for the T-cells to expand. Lymphodepleting chemotherapy consists of fludarabine (30 mg/m2/day) plus cyclophosphamide (500 mg/m2/day) for </w:t>
      </w:r>
      <w:r w:rsidR="000B3C60">
        <w:t>3</w:t>
      </w:r>
      <w:r w:rsidRPr="006D7D7E">
        <w:t xml:space="preserve"> days (on the fifth, fourth, and third day before the infusion of </w:t>
      </w:r>
      <w:r w:rsidR="00604EE1">
        <w:t>Yescarta</w:t>
      </w:r>
      <w:r w:rsidRPr="006D7D7E">
        <w:t xml:space="preserve"> at Day 0)</w:t>
      </w:r>
      <w:r w:rsidR="000B3A33">
        <w:t>.</w:t>
      </w:r>
    </w:p>
    <w:p w14:paraId="1719BEC6" w14:textId="413FBE5B" w:rsidR="00B47E3B" w:rsidRPr="000B3A33" w:rsidRDefault="00B47E3B" w:rsidP="00B47E3B">
      <w:pPr>
        <w:rPr>
          <w:u w:val="single"/>
        </w:rPr>
      </w:pPr>
      <w:r w:rsidRPr="000B3A33">
        <w:rPr>
          <w:u w:val="single"/>
        </w:rPr>
        <w:t>Step 4: Treatment infusion</w:t>
      </w:r>
    </w:p>
    <w:p w14:paraId="2D4A5399" w14:textId="474B4AE8" w:rsidR="00B47E3B" w:rsidRDefault="000B3A33" w:rsidP="00B47E3B">
      <w:r>
        <w:lastRenderedPageBreak/>
        <w:t>Yescarta</w:t>
      </w:r>
      <w:r w:rsidR="00B47E3B" w:rsidRPr="006D7D7E">
        <w:t xml:space="preserve"> is a single infusion product. Each bag contains a suspension of anti-CD19 CAR</w:t>
      </w:r>
      <w:r w:rsidR="004D5573">
        <w:t>-</w:t>
      </w:r>
      <w:r w:rsidR="00B47E3B" w:rsidRPr="006D7D7E">
        <w:t xml:space="preserve">T- cells </w:t>
      </w:r>
      <w:r w:rsidR="00222250">
        <w:t xml:space="preserve">at a target dose of </w:t>
      </w:r>
      <w:r w:rsidR="0087656D">
        <w:t>2x10</w:t>
      </w:r>
      <w:r w:rsidR="0087656D">
        <w:rPr>
          <w:vertAlign w:val="superscript"/>
        </w:rPr>
        <w:t>6</w:t>
      </w:r>
      <w:r w:rsidR="0087656D">
        <w:t xml:space="preserve"> cells/kg</w:t>
      </w:r>
      <w:r w:rsidR="00BA251D">
        <w:t xml:space="preserve"> </w:t>
      </w:r>
      <w:r w:rsidR="00B47E3B" w:rsidRPr="006D7D7E">
        <w:t xml:space="preserve">in approximately 68 mL. </w:t>
      </w:r>
      <w:r w:rsidR="00BA251D">
        <w:t>Yescarta</w:t>
      </w:r>
      <w:r w:rsidR="00B47E3B" w:rsidRPr="006D7D7E">
        <w:t xml:space="preserve"> is delivered via an </w:t>
      </w:r>
      <w:r w:rsidR="00BA251D">
        <w:t xml:space="preserve">intravenous </w:t>
      </w:r>
      <w:r w:rsidR="00B47E3B" w:rsidRPr="006D7D7E">
        <w:t>infusion.</w:t>
      </w:r>
    </w:p>
    <w:p w14:paraId="2C8A47B1" w14:textId="6F7A7313" w:rsidR="00193FEB" w:rsidRDefault="00193FEB" w:rsidP="00B47E3B">
      <w:r>
        <w:t xml:space="preserve">A diagram representing the </w:t>
      </w:r>
      <w:r w:rsidR="00840DBB">
        <w:t>steps involved in the delivery of treatment with Yescarta is provided below.</w:t>
      </w:r>
    </w:p>
    <w:p w14:paraId="58BF5432" w14:textId="5537CC9E" w:rsidR="00193FEB" w:rsidRPr="006D7D7E" w:rsidRDefault="00193FEB" w:rsidP="00B47E3B">
      <w:r>
        <w:rPr>
          <w:noProof/>
        </w:rPr>
        <mc:AlternateContent>
          <mc:Choice Requires="wpg">
            <w:drawing>
              <wp:inline distT="0" distB="0" distL="0" distR="0" wp14:anchorId="2D159943" wp14:editId="00716C47">
                <wp:extent cx="5731510" cy="1304290"/>
                <wp:effectExtent l="0" t="0" r="2540" b="0"/>
                <wp:docPr id="848554704" name="Group 848554704" descr="diagram representing the steps involved in the delivery of treatment with Yescart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1304290"/>
                          <a:chOff x="1867" y="7896"/>
                          <a:chExt cx="9026" cy="2054"/>
                        </a:xfrm>
                      </wpg:grpSpPr>
                      <pic:pic xmlns:pic="http://schemas.openxmlformats.org/drawingml/2006/picture">
                        <pic:nvPicPr>
                          <pic:cNvPr id="240255151"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67" y="7896"/>
                            <a:ext cx="9026" cy="2054"/>
                          </a:xfrm>
                          <a:prstGeom prst="rect">
                            <a:avLst/>
                          </a:prstGeom>
                          <a:noFill/>
                          <a:extLst>
                            <a:ext uri="{909E8E84-426E-40DD-AFC4-6F175D3DCCD1}">
                              <a14:hiddenFill xmlns:a14="http://schemas.microsoft.com/office/drawing/2010/main">
                                <a:solidFill>
                                  <a:srgbClr val="FFFFFF"/>
                                </a:solidFill>
                              </a14:hiddenFill>
                            </a:ext>
                          </a:extLst>
                        </pic:spPr>
                      </pic:pic>
                      <wps:wsp>
                        <wps:cNvPr id="1520975451" name="Freeform 9"/>
                        <wps:cNvSpPr>
                          <a:spLocks/>
                        </wps:cNvSpPr>
                        <wps:spPr bwMode="auto">
                          <a:xfrm>
                            <a:off x="3058" y="8042"/>
                            <a:ext cx="972" cy="804"/>
                          </a:xfrm>
                          <a:custGeom>
                            <a:avLst/>
                            <a:gdLst>
                              <a:gd name="T0" fmla="+- 0 3058 3058"/>
                              <a:gd name="T1" fmla="*/ T0 w 972"/>
                              <a:gd name="T2" fmla="+- 0 8042 8042"/>
                              <a:gd name="T3" fmla="*/ 8042 h 804"/>
                              <a:gd name="T4" fmla="+- 0 4030 3058"/>
                              <a:gd name="T5" fmla="*/ T4 w 972"/>
                              <a:gd name="T6" fmla="+- 0 8042 8042"/>
                              <a:gd name="T7" fmla="*/ 8042 h 804"/>
                              <a:gd name="T8" fmla="+- 0 4030 3058"/>
                              <a:gd name="T9" fmla="*/ T8 w 972"/>
                              <a:gd name="T10" fmla="+- 0 8846 8042"/>
                              <a:gd name="T11" fmla="*/ 8846 h 804"/>
                              <a:gd name="T12" fmla="+- 0 3058 3058"/>
                              <a:gd name="T13" fmla="*/ T12 w 972"/>
                              <a:gd name="T14" fmla="+- 0 8846 8042"/>
                              <a:gd name="T15" fmla="*/ 8846 h 804"/>
                              <a:gd name="T16" fmla="+- 0 3058 3058"/>
                              <a:gd name="T17" fmla="*/ T16 w 972"/>
                              <a:gd name="T18" fmla="+- 0 8042 8042"/>
                              <a:gd name="T19" fmla="*/ 8042 h 804"/>
                            </a:gdLst>
                            <a:ahLst/>
                            <a:cxnLst>
                              <a:cxn ang="0">
                                <a:pos x="T1" y="T3"/>
                              </a:cxn>
                              <a:cxn ang="0">
                                <a:pos x="T5" y="T7"/>
                              </a:cxn>
                              <a:cxn ang="0">
                                <a:pos x="T9" y="T11"/>
                              </a:cxn>
                              <a:cxn ang="0">
                                <a:pos x="T13" y="T15"/>
                              </a:cxn>
                              <a:cxn ang="0">
                                <a:pos x="T17" y="T19"/>
                              </a:cxn>
                            </a:cxnLst>
                            <a:rect l="0" t="0" r="r" b="b"/>
                            <a:pathLst>
                              <a:path w="972" h="804">
                                <a:moveTo>
                                  <a:pt x="0" y="0"/>
                                </a:moveTo>
                                <a:lnTo>
                                  <a:pt x="972" y="0"/>
                                </a:lnTo>
                                <a:lnTo>
                                  <a:pt x="972" y="804"/>
                                </a:lnTo>
                                <a:lnTo>
                                  <a:pt x="0" y="804"/>
                                </a:lnTo>
                                <a:lnTo>
                                  <a:pt x="0"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837B40" id="Group 848554704" o:spid="_x0000_s1026" alt="diagram representing the steps involved in the delivery of treatment with Yescarta" style="width:451.3pt;height:102.7pt;mso-position-horizontal-relative:char;mso-position-vertical-relative:line" coordorigin="1867,7896" coordsize="9026,2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867;top:7896;width:9026;height:2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">
                  <v:imagedata r:id="rId13" o:title=""/>
                </v:shape>
                <v:shape id="Freeform 9" o:spid="_x0000_s1028" style="position:absolute;left:3058;top:8042;width:972;height:804;visibility:visible;mso-wrap-style:square;v-text-anchor:top" coordsize="97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" path="m,l972,r,804l,804,,xe" fillcolor="#f2f2f2" stroked="f">
                  <v:path arrowok="t" o:connecttype="custom" o:connectlocs="0,8042;972,8042;972,8846;0,8846;0,8042" o:connectangles="0,0,0,0,0"/>
                </v:shape>
                <w10:anchorlock/>
              </v:group>
            </w:pict>
          </mc:Fallback>
        </mc:AlternateContent>
      </w:r>
    </w:p>
    <w:p w14:paraId="496F861E" w14:textId="451B27B3" w:rsidR="00BE6B22" w:rsidRDefault="00665487" w:rsidP="001E1797">
      <w:pPr>
        <w:pStyle w:val="Heading2"/>
      </w:pPr>
      <w:r w:rsidRPr="00B15CDF">
        <w:t>Identify how the proposed technology achieves the intended patient outcomes</w:t>
      </w:r>
      <w:r w:rsidR="00BE6B22">
        <w:t>:</w:t>
      </w:r>
    </w:p>
    <w:p w14:paraId="3A5D0327" w14:textId="02FD9D17" w:rsidR="00E06440" w:rsidRDefault="00E06440" w:rsidP="00E06440">
      <w:r>
        <w:t>Yescarta</w:t>
      </w:r>
      <w:r w:rsidRPr="00E06440">
        <w:t xml:space="preserve"> binds to CD19, an antigen expressed on the cell surface of the target lymphoma B cells. Following engagement with CD19-expressing target cells, the CD3ζ domain activates the downstream signalling cascade that leads to T-cell activation, proliferation, and acquisition of effector functions, such as cytotoxicity. The intracellular signalling domain of CD28 provides a co-stimulatory</w:t>
      </w:r>
      <w:r w:rsidR="00D16793">
        <w:t xml:space="preserve"> </w:t>
      </w:r>
      <w:r w:rsidRPr="00E06440">
        <w:t xml:space="preserve">signal that works in concert with the primary CD3ζ signal to augment T-cell function, including interleukin-2 (IL-2) production </w:t>
      </w:r>
      <w:r w:rsidR="00823ADE">
        <w:fldChar w:fldCharType="begin"/>
      </w:r>
      <w:r w:rsidR="00823ADE">
        <w:instrText xml:space="preserve"> ADDIN EN.CITE &lt;EndNote&gt;&lt;Cite&gt;&lt;Author&gt;Finney&lt;/Author&gt;&lt;Year&gt;1998&lt;/Year&gt;&lt;RecNum&gt;1205&lt;/RecNum&gt;&lt;DisplayText&gt;(Finney et al. 1998)&lt;/DisplayText&gt;&lt;record&gt;&lt;rec-number&gt;1205&lt;/rec-number&gt;&lt;foreign-keys&gt;&lt;key app="EN" db-id="ezvspvpphdrt93e9asepdx5etr9rf5rptvp0" timestamp="1698970660"&gt;1205&lt;/key&gt;&lt;/foreign-keys&gt;&lt;ref-type name="Journal Article"&gt;17&lt;/ref-type&gt;&lt;contributors&gt;&lt;authors&gt;&lt;author&gt;Finney, Helene M&lt;/author&gt;&lt;author&gt;Lawson, Alastair DG&lt;/author&gt;&lt;author&gt;Bebbington, Christopher R&lt;/author&gt;&lt;author&gt;Weir, A Neil C&lt;/author&gt;&lt;/authors&gt;&lt;/contributors&gt;&lt;titles&gt;&lt;title&gt;Chimeric receptors providing both primary and costimulatory signaling in T cells from a single gene product&lt;/title&gt;&lt;secondary-title&gt;The Journal of Immunology&lt;/secondary-title&gt;&lt;/titles&gt;&lt;periodical&gt;&lt;full-title&gt;The Journal of Immunology&lt;/full-title&gt;&lt;/periodical&gt;&lt;pages&gt;2791-2797&lt;/pages&gt;&lt;volume&gt;161&lt;/volume&gt;&lt;number&gt;6&lt;/number&gt;&lt;dates&gt;&lt;year&gt;1998&lt;/year&gt;&lt;/dates&gt;&lt;isbn&gt;0022-1767&lt;/isbn&gt;&lt;urls&gt;&lt;/urls&gt;&lt;/record&gt;&lt;/Cite&gt;&lt;/EndNote&gt;</w:instrText>
      </w:r>
      <w:r w:rsidR="00823ADE">
        <w:fldChar w:fldCharType="separate"/>
      </w:r>
      <w:r w:rsidR="00823ADE">
        <w:rPr>
          <w:noProof/>
        </w:rPr>
        <w:t>(Finney et al. 1998)</w:t>
      </w:r>
      <w:r w:rsidR="00823ADE">
        <w:fldChar w:fldCharType="end"/>
      </w:r>
      <w:r w:rsidRPr="00E06440">
        <w:t xml:space="preserve">. Together, these signals act in concert resulting in proliferation of the </w:t>
      </w:r>
      <w:r w:rsidR="00ED7FCE">
        <w:t>Yescarta</w:t>
      </w:r>
      <w:r w:rsidRPr="00E06440">
        <w:t xml:space="preserve"> CAR T-cells and direct killing of target cells. In addition, activated T-cells secrete cytokines and other molecules that can recruit and activate additional</w:t>
      </w:r>
      <w:r w:rsidR="00ED7FCE">
        <w:t xml:space="preserve"> </w:t>
      </w:r>
      <w:r w:rsidRPr="00E06440">
        <w:t>anti-tumour immune cells</w:t>
      </w:r>
      <w:r w:rsidR="009D347D">
        <w:t xml:space="preserve"> </w:t>
      </w:r>
      <w:r w:rsidR="009D347D">
        <w:fldChar w:fldCharType="begin"/>
      </w:r>
      <w:r w:rsidR="009D347D">
        <w:instrText xml:space="preserve"> ADDIN EN.CITE &lt;EndNote&gt;&lt;Cite&gt;&lt;Author&gt;Restifo&lt;/Author&gt;&lt;Year&gt;2012&lt;/Year&gt;&lt;RecNum&gt;1206&lt;/RecNum&gt;&lt;DisplayText&gt;(Restifo et al. 2012)&lt;/DisplayText&gt;&lt;record&gt;&lt;rec-number&gt;1206&lt;/rec-number&gt;&lt;foreign-keys&gt;&lt;key app="EN" db-id="ezvspvpphdrt93e9asepdx5etr9rf5rptvp0" timestamp="1698970812"&gt;1206&lt;/key&gt;&lt;/foreign-keys&gt;&lt;ref-type name="Journal Article"&gt;17&lt;/ref-type&gt;&lt;contributors&gt;&lt;authors&gt;&lt;author&gt;Restifo, Nicholas P&lt;/author&gt;&lt;author&gt;Dudley, Mark E&lt;/author&gt;&lt;author&gt;Rosenberg, Steven A&lt;/author&gt;&lt;/authors&gt;&lt;/contributors&gt;&lt;titles&gt;&lt;title&gt;Adoptive immunotherapy for cancer: harnessing the T cell response&lt;/title&gt;&lt;secondary-title&gt;Nature Reviews Immunology&lt;/secondary-title&gt;&lt;/titles&gt;&lt;periodical&gt;&lt;full-title&gt;Nature Reviews Immunology&lt;/full-title&gt;&lt;/periodical&gt;&lt;pages&gt;269-</w:instrText>
      </w:r>
      <w:r w:rsidR="009D347D">
        <w:lastRenderedPageBreak/>
        <w:instrText>281&lt;/pages&gt;&lt;volume&gt;12&lt;/volume&gt;&lt;number&gt;4&lt;/number&gt;&lt;dates&gt;&lt;year&gt;2012&lt;/year&gt;&lt;/dates&gt;&lt;isbn&gt;1474-1733&lt;/isbn&gt;&lt;urls&gt;&lt;/urls&gt;&lt;/record&gt;&lt;/Cite&gt;&lt;/EndNote&gt;</w:instrText>
      </w:r>
      <w:r w:rsidR="009D347D">
        <w:fldChar w:fldCharType="separate"/>
      </w:r>
      <w:r w:rsidR="009D347D">
        <w:rPr>
          <w:noProof/>
        </w:rPr>
        <w:t>(Restifo et al. 2012)</w:t>
      </w:r>
      <w:r w:rsidR="009D347D">
        <w:fldChar w:fldCharType="end"/>
      </w:r>
      <w:r w:rsidRPr="00E06440">
        <w:t>.</w:t>
      </w:r>
    </w:p>
    <w:p w14:paraId="0F9D3230" w14:textId="4E174FBF" w:rsidR="00BE6B22" w:rsidRPr="00665487" w:rsidRDefault="00665487" w:rsidP="001E1797">
      <w:pPr>
        <w:pStyle w:val="Heading2"/>
      </w:pPr>
      <w:r w:rsidRPr="00B15CDF">
        <w:t>Does the proposed health technology include a registered trademark component with characteristics that distinguishes it from other similar health components</w:t>
      </w:r>
      <w:r w:rsidR="00BE6B22">
        <w:t>?</w:t>
      </w:r>
    </w:p>
    <w:p w14:paraId="6F3B5B06" w14:textId="138F35A9" w:rsidR="00BE6B22" w:rsidRDefault="00BE6B22" w:rsidP="001E1797">
      <w:r w:rsidRPr="00DF2D79">
        <w:t>Yes</w:t>
      </w:r>
      <w:r w:rsidR="00A81CCB">
        <w:t xml:space="preserve">, </w:t>
      </w:r>
      <w:r w:rsidR="00033220">
        <w:t>Yescarta is a registered trademark</w:t>
      </w:r>
      <w:r w:rsidR="00C4441F">
        <w:t xml:space="preserve"> (YESCARTA®)</w:t>
      </w:r>
    </w:p>
    <w:p w14:paraId="6FE677F6" w14:textId="40020514" w:rsidR="00B759D1" w:rsidRPr="001E1797" w:rsidRDefault="00665487" w:rsidP="001E1797">
      <w:pPr>
        <w:pStyle w:val="Heading2"/>
      </w:pPr>
      <w:r w:rsidRPr="00B15CDF">
        <w:t>Explain whether it is essential to have this trademark component or whether there would be other components that would be suitable</w:t>
      </w:r>
      <w:r w:rsidR="00B759D1">
        <w:t>:</w:t>
      </w:r>
    </w:p>
    <w:p w14:paraId="299D8BBA" w14:textId="52679CED" w:rsidR="00186739" w:rsidRDefault="005971F1" w:rsidP="001E1797">
      <w:r>
        <w:t xml:space="preserve">The </w:t>
      </w:r>
      <w:r w:rsidR="006B07E2">
        <w:t>process of manufactur</w:t>
      </w:r>
      <w:r w:rsidR="00690DD5">
        <w:t>e for Yescarta is distinct from other CAR-T therapies</w:t>
      </w:r>
      <w:r>
        <w:t xml:space="preserve"> available in Australia such as</w:t>
      </w:r>
      <w:r w:rsidR="000B5C1E">
        <w:t xml:space="preserve"> Kymriah (tisagenlecleucel) and </w:t>
      </w:r>
      <w:proofErr w:type="spellStart"/>
      <w:r w:rsidR="000B5C1E">
        <w:t>Tecartus</w:t>
      </w:r>
      <w:proofErr w:type="spellEnd"/>
      <w:r w:rsidR="000B5C1E">
        <w:t xml:space="preserve"> (brexucabtagene </w:t>
      </w:r>
      <w:proofErr w:type="spellStart"/>
      <w:r w:rsidR="000B5C1E">
        <w:t>auto</w:t>
      </w:r>
      <w:r w:rsidR="00CC2682">
        <w:t>eucel</w:t>
      </w:r>
      <w:proofErr w:type="spellEnd"/>
      <w:r w:rsidR="00CC2682">
        <w:t xml:space="preserve">). </w:t>
      </w:r>
      <w:r w:rsidR="00AF07A7">
        <w:t xml:space="preserve">As such, </w:t>
      </w:r>
      <w:r w:rsidR="00D7627D">
        <w:t>CAR-T treatments are not considered to be interchangeable</w:t>
      </w:r>
      <w:r w:rsidR="00810A5A">
        <w:t xml:space="preserve"> with each other</w:t>
      </w:r>
      <w:r w:rsidR="00864D4A">
        <w:t>.</w:t>
      </w:r>
    </w:p>
    <w:p w14:paraId="2D4411B7" w14:textId="6598222B" w:rsidR="00B759D1" w:rsidRPr="001E1797" w:rsidRDefault="00864D4A" w:rsidP="001E1797">
      <w:pPr>
        <w:rPr>
          <w:rFonts w:asciiTheme="minorHAnsi" w:eastAsia="Segoe UI" w:hAnsiTheme="minorHAnsi" w:cstheme="minorHAnsi"/>
          <w:color w:val="000000"/>
        </w:rPr>
      </w:pPr>
      <w:r>
        <w:t>The inclusion of the tra</w:t>
      </w:r>
      <w:r w:rsidR="00186739">
        <w:t>d</w:t>
      </w:r>
      <w:r>
        <w:t xml:space="preserve">emarked (Yescarta) component </w:t>
      </w:r>
      <w:r w:rsidR="00C4441F">
        <w:t>is</w:t>
      </w:r>
      <w:r w:rsidR="00186739">
        <w:t xml:space="preserve"> important to </w:t>
      </w:r>
      <w:r w:rsidR="000C0959">
        <w:t>avoid confusion with other CAR-T therapies which are not within the scope of this application.</w:t>
      </w:r>
    </w:p>
    <w:p w14:paraId="46AD8179" w14:textId="7BA3B7CA" w:rsidR="00665487" w:rsidRDefault="00EA7B42" w:rsidP="001E1797">
      <w:pPr>
        <w:pStyle w:val="Heading2"/>
        <w:rPr>
          <w:bCs/>
        </w:rPr>
      </w:pPr>
      <w:r w:rsidRPr="00B15CDF">
        <w:t>Are there any proposed limitations on the provision of the proposed health technology delivered to the patient (For example: accessibility, dosage, quantity, duration or frequency)</w:t>
      </w:r>
      <w:r>
        <w:t>:</w:t>
      </w:r>
    </w:p>
    <w:p w14:paraId="669B5F75" w14:textId="7B7D5B33" w:rsidR="00665487" w:rsidRDefault="00665487" w:rsidP="001E1797">
      <w:r w:rsidRPr="00DF2D79">
        <w:t>Yes</w:t>
      </w:r>
    </w:p>
    <w:p w14:paraId="207973FE" w14:textId="7D491BB2" w:rsidR="00665487" w:rsidRDefault="00EA7B42" w:rsidP="001E1797">
      <w:pPr>
        <w:pStyle w:val="Heading2"/>
      </w:pPr>
      <w:r>
        <w:t>Provide details and explain</w:t>
      </w:r>
      <w:r w:rsidR="00665487">
        <w:t>:</w:t>
      </w:r>
    </w:p>
    <w:p w14:paraId="4E401A92" w14:textId="6662B849" w:rsidR="004F7E13" w:rsidRDefault="004F7E13" w:rsidP="004F7E13">
      <w:r>
        <w:t>Yescarta will be administered at tertiary public hospitals that have successfully completed Gilead’s rigorous site qualification process to ensure all quality and safety requirements can be satisfied.</w:t>
      </w:r>
    </w:p>
    <w:p w14:paraId="4673167B" w14:textId="42F58F15" w:rsidR="004F7E13" w:rsidRDefault="004F7E13" w:rsidP="004F7E13">
      <w:r>
        <w:t>Patients will require daily monitoring for at least 7 days at the qualified clinical facility following infusion for possible adverse events, such as cytokine release syn</w:t>
      </w:r>
      <w:r w:rsidR="00460561">
        <w:t xml:space="preserve">drome </w:t>
      </w:r>
      <w:r>
        <w:t>or neurologic events.</w:t>
      </w:r>
    </w:p>
    <w:p w14:paraId="23B51A8C" w14:textId="329D052A" w:rsidR="004F7E13" w:rsidRDefault="004F7E13" w:rsidP="004F7E13">
      <w:r>
        <w:t>Patients are then instructed to remain within proximity of the qualified clinical facility for at least 4 weeks</w:t>
      </w:r>
      <w:r w:rsidR="00460561">
        <w:t xml:space="preserve"> </w:t>
      </w:r>
      <w:r>
        <w:t xml:space="preserve">following infusion with </w:t>
      </w:r>
      <w:r w:rsidR="00460561">
        <w:t>Yescarta</w:t>
      </w:r>
      <w:r>
        <w:t>.</w:t>
      </w:r>
    </w:p>
    <w:p w14:paraId="2F90F356" w14:textId="43491E78" w:rsidR="006227EF" w:rsidRPr="001E1797" w:rsidRDefault="006227EF" w:rsidP="001E1797">
      <w:pPr>
        <w:pStyle w:val="Heading2"/>
      </w:pPr>
      <w:r>
        <w:t>If applicable, advise which health professionals will be needed to provide the proposed health technology:</w:t>
      </w:r>
    </w:p>
    <w:p w14:paraId="6BC4ECCB" w14:textId="18194602" w:rsidR="006227EF" w:rsidRPr="001E1797" w:rsidRDefault="006361B6" w:rsidP="001E1797">
      <w:pPr>
        <w:rPr>
          <w:rFonts w:asciiTheme="minorHAnsi" w:eastAsia="Segoe UI" w:hAnsiTheme="minorHAnsi" w:cstheme="minorHAnsi"/>
          <w:color w:val="000000"/>
        </w:rPr>
      </w:pPr>
      <w:r>
        <w:t xml:space="preserve">Haematologists and </w:t>
      </w:r>
      <w:r w:rsidR="008A4149">
        <w:t xml:space="preserve">clinicians specialising in </w:t>
      </w:r>
      <w:r>
        <w:t>haem</w:t>
      </w:r>
      <w:r w:rsidR="008A4149">
        <w:t xml:space="preserve">atological </w:t>
      </w:r>
      <w:r w:rsidR="009E55E4">
        <w:t>malignancies.</w:t>
      </w:r>
    </w:p>
    <w:p w14:paraId="46150CA8" w14:textId="6722C6AC" w:rsidR="006227EF" w:rsidRPr="001E1797" w:rsidRDefault="006227EF" w:rsidP="001E1797">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0C96F6FD" w:rsidR="00665487" w:rsidRPr="001E1797" w:rsidRDefault="00D8544C" w:rsidP="001E1797">
      <w:pPr>
        <w:rPr>
          <w:rFonts w:asciiTheme="minorHAnsi" w:eastAsia="Segoe UI" w:hAnsiTheme="minorHAnsi" w:cstheme="minorHAnsi"/>
          <w:color w:val="000000"/>
        </w:rPr>
      </w:pPr>
      <w:r>
        <w:t>Not applicable</w:t>
      </w:r>
    </w:p>
    <w:p w14:paraId="414D5196" w14:textId="3C2C8F99" w:rsidR="006227EF" w:rsidRPr="001E1797" w:rsidRDefault="006227EF" w:rsidP="001E1797">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4245A4E4" w:rsidR="006227EF" w:rsidRPr="001E1797" w:rsidRDefault="00303EA5" w:rsidP="001E1797">
      <w:pPr>
        <w:rPr>
          <w:rFonts w:asciiTheme="minorHAnsi" w:eastAsia="Segoe UI" w:hAnsiTheme="minorHAnsi" w:cstheme="minorHAnsi"/>
          <w:color w:val="000000"/>
        </w:rPr>
      </w:pPr>
      <w:r>
        <w:t>Not applicable</w:t>
      </w:r>
    </w:p>
    <w:p w14:paraId="30AC00A8" w14:textId="23C01BF3" w:rsidR="00380C41" w:rsidRDefault="00380C41" w:rsidP="001E1797">
      <w:pPr>
        <w:pStyle w:val="Heading2"/>
        <w:rPr>
          <w:bCs/>
        </w:rPr>
      </w:pPr>
      <w:r>
        <w:t>Is there specific training or qualifications required to provide or deliver the proposed service, and/or any accreditation requirements to support delivery of the health technology?</w:t>
      </w:r>
    </w:p>
    <w:p w14:paraId="4E1F9F81" w14:textId="43D6F254" w:rsidR="00380C41" w:rsidRDefault="00380C41" w:rsidP="001E1797">
      <w:r w:rsidRPr="00DF2D79">
        <w:lastRenderedPageBreak/>
        <w:t>Yes</w:t>
      </w:r>
    </w:p>
    <w:p w14:paraId="0E842550" w14:textId="07B5EC36" w:rsidR="00380C41" w:rsidRDefault="00380C41" w:rsidP="001E1797">
      <w:pPr>
        <w:pStyle w:val="Heading2"/>
      </w:pPr>
      <w:r>
        <w:t>Provide details and explain:</w:t>
      </w:r>
    </w:p>
    <w:p w14:paraId="5F498B9C" w14:textId="70E938F2" w:rsidR="00E96B4A" w:rsidRDefault="007A368F" w:rsidP="001E1797">
      <w:r>
        <w:t>Yescarta would be prescribed by clinicians with qualifications</w:t>
      </w:r>
      <w:r w:rsidR="00D01F83">
        <w:t xml:space="preserve"> </w:t>
      </w:r>
      <w:r w:rsidR="00652907">
        <w:t xml:space="preserve">allowing them to </w:t>
      </w:r>
      <w:r w:rsidR="00CE0B81">
        <w:t>practice</w:t>
      </w:r>
      <w:r w:rsidR="00652907">
        <w:t xml:space="preserve"> in Australia and manage</w:t>
      </w:r>
      <w:r w:rsidR="00E96B4A">
        <w:t xml:space="preserve"> patients with haematological malignancies.</w:t>
      </w:r>
    </w:p>
    <w:p w14:paraId="7E983158" w14:textId="2B30FB23" w:rsidR="00380C41" w:rsidRDefault="00E96B4A" w:rsidP="001E1797">
      <w:pPr>
        <w:rPr>
          <w:rFonts w:asciiTheme="minorHAnsi" w:eastAsia="Segoe UI" w:hAnsiTheme="minorHAnsi" w:cstheme="minorHAnsi"/>
          <w:color w:val="000000"/>
        </w:rPr>
      </w:pPr>
      <w:r>
        <w:t>The administration of Yescarta would take place in tertiary hospitals that have been accredited to provide Yescarta</w:t>
      </w:r>
      <w:r w:rsidR="00431C69">
        <w:t xml:space="preserve"> after completion of </w:t>
      </w:r>
      <w:r>
        <w:t>Gilead’s rigorous site qualification proce</w:t>
      </w:r>
      <w:r w:rsidR="00431C69">
        <w:t>ss.</w:t>
      </w:r>
    </w:p>
    <w:p w14:paraId="54E88C9C" w14:textId="1B0A165B" w:rsidR="00380C41" w:rsidRDefault="00BB494A" w:rsidP="00431C69">
      <w:pPr>
        <w:pStyle w:val="Heading2"/>
      </w:pPr>
      <w:r>
        <w:t xml:space="preserve">Indicate the proposed setting(s) in which the proposed health technology will be delivered: </w:t>
      </w:r>
      <w:r w:rsidRPr="00431C69">
        <w:t>(select all relevant settings)</w:t>
      </w:r>
    </w:p>
    <w:p w14:paraId="786722A5" w14:textId="1BFCF500" w:rsidR="00380C41" w:rsidRPr="001E1797" w:rsidRDefault="00380C41"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w:t>
      </w:r>
      <w:r w:rsidR="00BB494A" w:rsidRPr="001E1797">
        <w:rPr>
          <w:rFonts w:ascii="Segoe UI" w:hAnsi="Segoe UI" w:cs="Segoe UI"/>
          <w:sz w:val="22"/>
          <w:szCs w:val="22"/>
        </w:rPr>
        <w:t>Consulting rooms</w:t>
      </w:r>
    </w:p>
    <w:p w14:paraId="27A91C50" w14:textId="0933C883" w:rsidR="00380C41" w:rsidRPr="001E1797" w:rsidRDefault="00380C41"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w:t>
      </w:r>
      <w:r w:rsidR="00BB494A" w:rsidRPr="001E1797">
        <w:rPr>
          <w:rFonts w:ascii="Segoe UI" w:hAnsi="Segoe UI" w:cs="Segoe UI"/>
          <w:sz w:val="22"/>
          <w:szCs w:val="22"/>
        </w:rPr>
        <w:t>Day surgery centre</w:t>
      </w:r>
    </w:p>
    <w:p w14:paraId="1DAFF305" w14:textId="524FC290" w:rsidR="00380C41" w:rsidRPr="001E1797" w:rsidRDefault="00380C41"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w:t>
      </w:r>
      <w:r w:rsidR="00BB494A" w:rsidRPr="001E1797">
        <w:rPr>
          <w:rFonts w:ascii="Segoe UI" w:hAnsi="Segoe UI" w:cs="Segoe UI"/>
          <w:sz w:val="22"/>
          <w:szCs w:val="22"/>
        </w:rPr>
        <w:t>Emergency Department</w:t>
      </w:r>
    </w:p>
    <w:p w14:paraId="020AC503" w14:textId="5C662B9C" w:rsidR="00380C41" w:rsidRPr="001E1797" w:rsidRDefault="00380C41"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w:t>
      </w:r>
      <w:r w:rsidR="00BB494A" w:rsidRPr="001E1797">
        <w:rPr>
          <w:rFonts w:ascii="Segoe UI" w:hAnsi="Segoe UI" w:cs="Segoe UI"/>
          <w:sz w:val="22"/>
          <w:szCs w:val="22"/>
        </w:rPr>
        <w:t>Inpatient private hospital</w:t>
      </w:r>
    </w:p>
    <w:p w14:paraId="6E8C6D7D" w14:textId="58E7E5AD" w:rsidR="00BB494A" w:rsidRPr="001E1797" w:rsidRDefault="00452E76" w:rsidP="001E1797">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3" w:name="Check1"/>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3"/>
      <w:r w:rsidR="00BB494A" w:rsidRPr="001E1797">
        <w:rPr>
          <w:rFonts w:ascii="Segoe UI" w:hAnsi="Segoe UI" w:cs="Segoe UI"/>
          <w:sz w:val="22"/>
          <w:szCs w:val="22"/>
        </w:rPr>
        <w:t xml:space="preserve"> Inpatient public hospital</w:t>
      </w:r>
    </w:p>
    <w:p w14:paraId="1C5133DF" w14:textId="2F641D97"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Laboratory</w:t>
      </w:r>
    </w:p>
    <w:p w14:paraId="723FB55F" w14:textId="5363161B" w:rsidR="00BB494A" w:rsidRPr="001E1797" w:rsidRDefault="00452E76"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B494A" w:rsidRPr="001E1797">
        <w:rPr>
          <w:rFonts w:ascii="Segoe UI" w:hAnsi="Segoe UI" w:cs="Segoe UI"/>
          <w:sz w:val="22"/>
          <w:szCs w:val="22"/>
        </w:rPr>
        <w:t xml:space="preserve"> Outpatient clinic</w:t>
      </w:r>
    </w:p>
    <w:p w14:paraId="111DE2AB" w14:textId="35A5324A"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Patient’s home</w:t>
      </w:r>
    </w:p>
    <w:p w14:paraId="428D75FD" w14:textId="1B53F81B"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Point of care testing</w:t>
      </w:r>
    </w:p>
    <w:p w14:paraId="47F449C5" w14:textId="7A9B3B9E"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Residential aged care facility</w:t>
      </w:r>
    </w:p>
    <w:p w14:paraId="01BEE2C3" w14:textId="7F61E5AB"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Other (please specify)</w:t>
      </w:r>
    </w:p>
    <w:p w14:paraId="269CD298" w14:textId="77777777" w:rsidR="00E11222" w:rsidRDefault="00E11222" w:rsidP="00E11222"/>
    <w:p w14:paraId="332B7035" w14:textId="4D1480C5" w:rsidR="000F1D80" w:rsidRPr="00E11222" w:rsidRDefault="005B7AF5" w:rsidP="00E11222">
      <w:r w:rsidRPr="00E11222">
        <w:t>A patient’s T-cells will be collected at an outpatient clinic via leukapheresis. Extracted apheresis material is</w:t>
      </w:r>
      <w:r w:rsidR="00DB3E3E" w:rsidRPr="00E11222">
        <w:t xml:space="preserve"> </w:t>
      </w:r>
      <w:r w:rsidRPr="00E11222">
        <w:t>then couriered to an offsite manufacturing facility and returned to Australia to the</w:t>
      </w:r>
      <w:r w:rsidR="00DB3E3E" w:rsidRPr="00E11222">
        <w:t xml:space="preserve"> </w:t>
      </w:r>
      <w:r w:rsidRPr="00E11222">
        <w:t>healthcare/clinical facility</w:t>
      </w:r>
      <w:r w:rsidR="000F1D80" w:rsidRPr="00E11222">
        <w:t>.</w:t>
      </w:r>
    </w:p>
    <w:p w14:paraId="4E775017" w14:textId="77777777" w:rsidR="000F1D80" w:rsidRPr="00E11222" w:rsidRDefault="005B7AF5" w:rsidP="00E11222">
      <w:r w:rsidRPr="00E11222">
        <w:t>Lymphodepleting chemotherapy with fludarabine and</w:t>
      </w:r>
      <w:r w:rsidR="000F1D80" w:rsidRPr="00E11222">
        <w:t xml:space="preserve"> </w:t>
      </w:r>
      <w:r w:rsidRPr="00E11222">
        <w:t>cyclophosphamide will be infused at an</w:t>
      </w:r>
      <w:r w:rsidR="000F1D80" w:rsidRPr="00E11222">
        <w:t xml:space="preserve"> </w:t>
      </w:r>
      <w:r w:rsidRPr="00E11222">
        <w:t>outpatient clinic.</w:t>
      </w:r>
    </w:p>
    <w:p w14:paraId="7A5E3FDA" w14:textId="617EF8FC" w:rsidR="002D676A" w:rsidRDefault="000F1D80" w:rsidP="00E11222">
      <w:r w:rsidRPr="00E11222">
        <w:t xml:space="preserve">Yescarta </w:t>
      </w:r>
      <w:r w:rsidR="005B7AF5" w:rsidRPr="00E11222">
        <w:t xml:space="preserve">will be administered </w:t>
      </w:r>
      <w:r w:rsidRPr="00E11222">
        <w:t xml:space="preserve">by intravenous infusion </w:t>
      </w:r>
      <w:r w:rsidR="005B7AF5" w:rsidRPr="00E11222">
        <w:t>at the qualified clinical facility.</w:t>
      </w:r>
      <w:r w:rsidR="009F1A51" w:rsidRPr="00E11222">
        <w:t xml:space="preserve"> </w:t>
      </w:r>
      <w:r w:rsidR="005B7AF5" w:rsidRPr="00E11222">
        <w:t>Patients will require monitoring daily for at least 7 days at the qualified healthcare/clinical facility</w:t>
      </w:r>
      <w:r w:rsidR="00707412" w:rsidRPr="00E11222">
        <w:t xml:space="preserve"> f</w:t>
      </w:r>
      <w:r w:rsidR="005B7AF5" w:rsidRPr="00E11222">
        <w:t xml:space="preserve">ollowing infusion for possible adverse events such as </w:t>
      </w:r>
      <w:r w:rsidR="009F1A51" w:rsidRPr="00E11222">
        <w:t>cytokine release syndrom</w:t>
      </w:r>
      <w:r w:rsidR="00707412" w:rsidRPr="00E11222">
        <w:t>e.</w:t>
      </w:r>
    </w:p>
    <w:p w14:paraId="2A1C0D0A" w14:textId="798C018B" w:rsidR="002D7216" w:rsidRDefault="002D7216" w:rsidP="005B7AF5">
      <w:pPr>
        <w:pStyle w:val="Heading2"/>
        <w:rPr>
          <w:bCs/>
        </w:rPr>
      </w:pPr>
      <w:r>
        <w:t>Is the proposed health technology intended to be entirely rendered inside Australia?</w:t>
      </w:r>
    </w:p>
    <w:p w14:paraId="0478F3B1" w14:textId="3E3A9F7D" w:rsidR="002D7216" w:rsidRDefault="002D7216" w:rsidP="001E1797">
      <w:r>
        <w:t>No</w:t>
      </w:r>
    </w:p>
    <w:p w14:paraId="659D2B35" w14:textId="41DB959B" w:rsidR="002D7216" w:rsidRPr="001E1797" w:rsidRDefault="002D7216" w:rsidP="001E1797">
      <w:pPr>
        <w:pStyle w:val="Heading2"/>
      </w:pPr>
      <w:r>
        <w:t>Please provide additional details on the proposed health technology to be rendered outside of Australia:</w:t>
      </w:r>
    </w:p>
    <w:p w14:paraId="598F6A3E" w14:textId="69DDE382" w:rsidR="002D7216" w:rsidRDefault="0062032B" w:rsidP="001E1797">
      <w:r>
        <w:t xml:space="preserve">The manufacturing of Yescarta </w:t>
      </w:r>
      <w:r w:rsidR="00661E77">
        <w:t>is undertaken at a manufacturing facility outside of Australia</w:t>
      </w:r>
      <w:r w:rsidR="000C1EA6">
        <w:t>.</w:t>
      </w:r>
    </w:p>
    <w:p w14:paraId="6DEBAC21" w14:textId="345A7E22" w:rsidR="002D676A" w:rsidRDefault="000C1EA6" w:rsidP="001E1797">
      <w:r>
        <w:t>All other steps (leukaph</w:t>
      </w:r>
      <w:r w:rsidR="00231416">
        <w:t>eresis, administration and post-administration monitoring) are rendered in Australia.</w:t>
      </w:r>
    </w:p>
    <w:p w14:paraId="5B9D9A2F" w14:textId="20073633" w:rsidR="00FE257E" w:rsidRDefault="00FE257E" w:rsidP="001E1797">
      <w:pPr>
        <w:pStyle w:val="Heading1"/>
      </w:pPr>
      <w:r>
        <w:t>Comparator</w:t>
      </w:r>
    </w:p>
    <w:p w14:paraId="236B2BF5" w14:textId="1003B0CC" w:rsidR="00FE257E" w:rsidRDefault="00FE257E" w:rsidP="001E1797">
      <w:r w:rsidRPr="00FE257E">
        <w:t xml:space="preserve">Nominate the appropriate comparator(s) for the proposed medical service (i.e. how is the proposed population currently managed in the absence of the proposed medical service being </w:t>
      </w:r>
      <w:r w:rsidRPr="00FE257E">
        <w:lastRenderedPageBreak/>
        <w:t xml:space="preserve">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4FFBF7A2" w14:textId="47969B1E" w:rsidR="00FE257E" w:rsidRPr="001E1797" w:rsidRDefault="0047658B" w:rsidP="001E1797">
      <w:pPr>
        <w:rPr>
          <w:b/>
          <w:bCs/>
          <w:i/>
          <w:iCs/>
        </w:rPr>
      </w:pPr>
      <w:r w:rsidRPr="001E1797">
        <w:rPr>
          <w:i/>
          <w:iCs/>
        </w:rPr>
        <w:t>(please copy the below questions and complete for each comparator)</w:t>
      </w:r>
    </w:p>
    <w:p w14:paraId="16600999" w14:textId="3AEE202E" w:rsidR="0047658B" w:rsidRPr="00271624" w:rsidRDefault="0047658B" w:rsidP="001E1797">
      <w:pPr>
        <w:rPr>
          <w:b/>
          <w:bCs/>
        </w:rPr>
      </w:pPr>
      <w:r w:rsidRPr="00271624">
        <w:rPr>
          <w:b/>
          <w:bCs/>
        </w:rPr>
        <w:t>Please provide a name for your comparator:</w:t>
      </w:r>
    </w:p>
    <w:p w14:paraId="1870E5FF" w14:textId="0193C4E9" w:rsidR="00FE257E" w:rsidRDefault="00576EE5" w:rsidP="00CC2B9C">
      <w:r>
        <w:t>Standard of Care</w:t>
      </w:r>
      <w:r w:rsidR="006C6143">
        <w:t xml:space="preserve"> (So</w:t>
      </w:r>
      <w:r w:rsidR="00980475">
        <w:t>C</w:t>
      </w:r>
      <w:r w:rsidR="006C6143">
        <w:t>)</w:t>
      </w:r>
      <w:r w:rsidR="001F1522">
        <w:t>, represented by a ‘basket’ of</w:t>
      </w:r>
      <w:r w:rsidR="00622329">
        <w:t xml:space="preserve"> </w:t>
      </w:r>
      <w:r w:rsidR="00622329" w:rsidRPr="00CC2B9C">
        <w:t>anti CD20 monotherapy, anti</w:t>
      </w:r>
      <w:r w:rsidR="00CC2B9C" w:rsidRPr="00CC2B9C">
        <w:t xml:space="preserve"> CD20 therapy </w:t>
      </w:r>
      <w:r w:rsidR="00622329" w:rsidRPr="00CC2B9C">
        <w:t>in combination with chemotherapy</w:t>
      </w:r>
      <w:r w:rsidR="00CC2B9C" w:rsidRPr="00CC2B9C">
        <w:t xml:space="preserve"> and chemotherapy </w:t>
      </w:r>
      <w:r w:rsidR="009E55E4">
        <w:t>regimens.</w:t>
      </w:r>
    </w:p>
    <w:p w14:paraId="631DB3AD" w14:textId="5124C3E3" w:rsidR="0047658B" w:rsidRPr="00271624" w:rsidRDefault="0047658B" w:rsidP="001E1797">
      <w:pPr>
        <w:rPr>
          <w:b/>
          <w:bCs/>
        </w:rPr>
      </w:pPr>
      <w:r w:rsidRPr="00271624">
        <w:rPr>
          <w:b/>
          <w:bCs/>
        </w:rPr>
        <w:t>Please provide an identifying number for your comparator (if applicable):</w:t>
      </w:r>
    </w:p>
    <w:p w14:paraId="412030A6" w14:textId="29FB63E2" w:rsidR="00930344" w:rsidRPr="001E1797" w:rsidRDefault="00D761E4" w:rsidP="001E1797">
      <w:pPr>
        <w:rPr>
          <w:rFonts w:asciiTheme="minorHAnsi" w:eastAsia="Segoe UI" w:hAnsiTheme="minorHAnsi" w:cstheme="minorHAnsi"/>
          <w:color w:val="000000"/>
        </w:rPr>
      </w:pPr>
      <w:r>
        <w:t>Not applicable</w:t>
      </w:r>
    </w:p>
    <w:p w14:paraId="7AE42CF7" w14:textId="77C9B872" w:rsidR="00FE257E" w:rsidRPr="00271624" w:rsidRDefault="005B5A58" w:rsidP="001E1797">
      <w:pPr>
        <w:rPr>
          <w:b/>
          <w:bCs/>
        </w:rPr>
      </w:pPr>
      <w:r w:rsidRPr="00271624">
        <w:rPr>
          <w:b/>
          <w:bCs/>
        </w:rPr>
        <w:t>Please provide a rationale for why this is a comparator</w:t>
      </w:r>
      <w:r w:rsidR="000627EF" w:rsidRPr="00271624">
        <w:rPr>
          <w:b/>
          <w:bCs/>
        </w:rPr>
        <w:t>:</w:t>
      </w:r>
    </w:p>
    <w:p w14:paraId="2AC8DACE" w14:textId="0B1D473E" w:rsidR="00271624" w:rsidRDefault="00271624" w:rsidP="00271624">
      <w:r>
        <w:t xml:space="preserve">As discussed above, there is no uniformly recommended systemic treatment for patients with </w:t>
      </w:r>
      <w:r w:rsidR="00EE6B3C">
        <w:t>FL</w:t>
      </w:r>
      <w:r>
        <w:t xml:space="preserve"> that are R/R to at least 2 prior lines of </w:t>
      </w:r>
      <w:r w:rsidR="00D722E6">
        <w:t>therapy</w:t>
      </w:r>
      <w:r>
        <w:t>. Instead, treatments are chosen based on individual patient circumstances such as the mechanism of action and duration of response to prior treatments.</w:t>
      </w:r>
    </w:p>
    <w:p w14:paraId="3B57A245" w14:textId="696A777C" w:rsidR="00A95F85" w:rsidRPr="00980475" w:rsidRDefault="002F56E0" w:rsidP="00980475">
      <w:r w:rsidRPr="00B05DC5">
        <w:rPr>
          <w:highlight w:val="yellow"/>
        </w:rPr>
        <w:t>Redacted</w:t>
      </w:r>
      <w:r w:rsidR="00A95F85" w:rsidRPr="002F56E0">
        <w:t>.</w:t>
      </w:r>
      <w:r w:rsidR="00DB69A6" w:rsidRPr="00980475">
        <w:t xml:space="preserve"> Regim</w:t>
      </w:r>
      <w:r w:rsidR="00CA6523" w:rsidRPr="00980475">
        <w:t>ens recor</w:t>
      </w:r>
      <w:r w:rsidR="00F8349C" w:rsidRPr="00980475">
        <w:t>d</w:t>
      </w:r>
      <w:r w:rsidR="00CA6523" w:rsidRPr="00980475">
        <w:t>ed as 3L treatment were:</w:t>
      </w:r>
    </w:p>
    <w:p w14:paraId="1C3A072A" w14:textId="30393E9B" w:rsidR="00CA6523" w:rsidRPr="00980475" w:rsidRDefault="00CA6523" w:rsidP="00980475">
      <w:pPr>
        <w:pStyle w:val="ListParagraph"/>
        <w:numPr>
          <w:ilvl w:val="0"/>
          <w:numId w:val="5"/>
        </w:numPr>
      </w:pPr>
      <w:proofErr w:type="spellStart"/>
      <w:r w:rsidRPr="00980475">
        <w:t>Rituximab+bendamustine</w:t>
      </w:r>
      <w:proofErr w:type="spellEnd"/>
      <w:r w:rsidR="000D1F3E">
        <w:t xml:space="preserve"> (anti</w:t>
      </w:r>
      <w:r w:rsidR="006912ED">
        <w:t xml:space="preserve"> CD20 therapy in combination with chemotherapy)</w:t>
      </w:r>
    </w:p>
    <w:p w14:paraId="71712BC3" w14:textId="328E8977" w:rsidR="00CA6523" w:rsidRPr="00980475" w:rsidRDefault="00130A79" w:rsidP="00980475">
      <w:pPr>
        <w:pStyle w:val="ListParagraph"/>
        <w:numPr>
          <w:ilvl w:val="0"/>
          <w:numId w:val="5"/>
        </w:numPr>
      </w:pPr>
      <w:proofErr w:type="spellStart"/>
      <w:r w:rsidRPr="00980475">
        <w:t>Dexamethasone</w:t>
      </w:r>
      <w:r w:rsidR="0021102A" w:rsidRPr="00980475">
        <w:t>+cytarabine+carboplatin</w:t>
      </w:r>
      <w:proofErr w:type="spellEnd"/>
      <w:r w:rsidR="0021102A" w:rsidRPr="00980475">
        <w:t xml:space="preserve"> (</w:t>
      </w:r>
      <w:r w:rsidR="006912ED">
        <w:t>chemotherapy</w:t>
      </w:r>
      <w:r w:rsidR="0021102A" w:rsidRPr="00980475">
        <w:t>)</w:t>
      </w:r>
    </w:p>
    <w:p w14:paraId="5CBD7E63" w14:textId="6B44D4BE" w:rsidR="00BA00EC" w:rsidRPr="00980475" w:rsidRDefault="00BA00EC" w:rsidP="00980475">
      <w:pPr>
        <w:pStyle w:val="ListParagraph"/>
        <w:numPr>
          <w:ilvl w:val="0"/>
          <w:numId w:val="5"/>
        </w:numPr>
      </w:pPr>
      <w:proofErr w:type="spellStart"/>
      <w:r w:rsidRPr="00980475">
        <w:t>I</w:t>
      </w:r>
      <w:r w:rsidR="001840E1" w:rsidRPr="00980475">
        <w:t>fosfamide+carboplatin+etoposide</w:t>
      </w:r>
      <w:proofErr w:type="spellEnd"/>
      <w:r w:rsidR="001840E1" w:rsidRPr="00980475">
        <w:t xml:space="preserve"> (</w:t>
      </w:r>
      <w:r w:rsidR="006912ED">
        <w:t>chemotherapy</w:t>
      </w:r>
      <w:r w:rsidR="001840E1" w:rsidRPr="00980475">
        <w:t>)</w:t>
      </w:r>
    </w:p>
    <w:p w14:paraId="59896AC1" w14:textId="0B598358" w:rsidR="0057228B" w:rsidRPr="00980475" w:rsidRDefault="002F56E0" w:rsidP="00980475">
      <w:r w:rsidRPr="00B05DC5">
        <w:rPr>
          <w:highlight w:val="yellow"/>
        </w:rPr>
        <w:t>Redacted</w:t>
      </w:r>
      <w:r w:rsidR="009D7FC0" w:rsidRPr="00B05DC5">
        <w:rPr>
          <w:highlight w:val="yellow"/>
        </w:rPr>
        <w:t>.</w:t>
      </w:r>
      <w:r w:rsidR="009D7FC0" w:rsidRPr="00980475">
        <w:t xml:space="preserve"> Therefore, it is </w:t>
      </w:r>
      <w:r w:rsidR="005D46EA" w:rsidRPr="00980475">
        <w:t>plausible</w:t>
      </w:r>
      <w:r w:rsidR="009D7FC0" w:rsidRPr="00980475">
        <w:t xml:space="preserve"> that </w:t>
      </w:r>
      <w:r w:rsidR="005D46EA" w:rsidRPr="00980475">
        <w:t xml:space="preserve">additional </w:t>
      </w:r>
      <w:r w:rsidR="006912ED">
        <w:t>therapeutic</w:t>
      </w:r>
      <w:r w:rsidR="00C352AE" w:rsidRPr="00980475">
        <w:t xml:space="preserve"> combinations </w:t>
      </w:r>
      <w:r w:rsidR="005D46EA" w:rsidRPr="00980475">
        <w:t>would</w:t>
      </w:r>
      <w:r w:rsidR="00A35641">
        <w:t xml:space="preserve"> be</w:t>
      </w:r>
      <w:r w:rsidR="005D46EA" w:rsidRPr="00980475">
        <w:t xml:space="preserve"> used in Australian clinical practice</w:t>
      </w:r>
      <w:r w:rsidR="00422206" w:rsidRPr="00980475">
        <w:t>.</w:t>
      </w:r>
    </w:p>
    <w:p w14:paraId="71D7F103" w14:textId="5F04263F" w:rsidR="002D676A" w:rsidRDefault="00B11512" w:rsidP="00980475">
      <w:r w:rsidRPr="00980475">
        <w:t xml:space="preserve">Given the range of treatment regimens likely used as 3L treatment for patients with </w:t>
      </w:r>
      <w:r w:rsidR="00EE6B3C">
        <w:t>FL</w:t>
      </w:r>
      <w:r w:rsidR="00743733">
        <w:t xml:space="preserve">, </w:t>
      </w:r>
      <w:r w:rsidR="00B2465F" w:rsidRPr="00980475">
        <w:t>nomination of SoC represented by a ‘basket’ of</w:t>
      </w:r>
      <w:r w:rsidR="00F00C98">
        <w:t xml:space="preserve"> </w:t>
      </w:r>
      <w:r w:rsidR="00F00C98" w:rsidRPr="00F00C98">
        <w:t>anti CD20 monotherapy, anti CD20 therapy in combination with chemotherapy and chemotherapy regimens</w:t>
      </w:r>
      <w:r w:rsidR="00F00C98">
        <w:t xml:space="preserve"> </w:t>
      </w:r>
      <w:r w:rsidR="009C2B97" w:rsidRPr="00980475">
        <w:t xml:space="preserve">reasonably captures how patients </w:t>
      </w:r>
      <w:r w:rsidR="00251FF2" w:rsidRPr="00980475">
        <w:t xml:space="preserve">with </w:t>
      </w:r>
      <w:r w:rsidR="00D8587A">
        <w:t xml:space="preserve">R/R </w:t>
      </w:r>
      <w:r w:rsidR="00EE6B3C">
        <w:t>FL</w:t>
      </w:r>
      <w:r w:rsidR="00251FF2" w:rsidRPr="00980475">
        <w:t xml:space="preserve"> </w:t>
      </w:r>
      <w:r w:rsidR="00D8587A">
        <w:t xml:space="preserve">after </w:t>
      </w:r>
      <w:r w:rsidR="00251FF2" w:rsidRPr="00980475">
        <w:t>at least 2 prior lines of treatment are managed in Australia.</w:t>
      </w:r>
    </w:p>
    <w:p w14:paraId="3BE3CF30" w14:textId="237486BC" w:rsidR="005B5A58" w:rsidRPr="00271624" w:rsidRDefault="005B5A58" w:rsidP="001E1797">
      <w:pPr>
        <w:rPr>
          <w:b/>
          <w:bCs/>
        </w:rPr>
      </w:pPr>
      <w:r w:rsidRPr="00271624">
        <w:rPr>
          <w:b/>
          <w:bCs/>
        </w:rPr>
        <w:t xml:space="preserve">Pattern of substitution – Will the proposed health technology wholly replace the proposed comparator, partially replace </w:t>
      </w:r>
      <w:r w:rsidR="000627EF" w:rsidRPr="00271624">
        <w:rPr>
          <w:b/>
          <w:bCs/>
        </w:rPr>
        <w:t>the proposed comparator, displace the proposed comparator or be used in combination with the proposed comparator?</w:t>
      </w:r>
      <w:r w:rsidR="00DB2D53" w:rsidRPr="00271624">
        <w:rPr>
          <w:b/>
          <w:bCs/>
        </w:rPr>
        <w:t xml:space="preserve"> (please select your response)</w:t>
      </w:r>
    </w:p>
    <w:p w14:paraId="229BD1AA" w14:textId="69B4C45C" w:rsidR="001E1797" w:rsidRPr="00BC0C43" w:rsidRDefault="001E1797" w:rsidP="001E1797">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None </w:t>
      </w:r>
      <w:r w:rsidRPr="00BC0C43">
        <w:rPr>
          <w:rFonts w:ascii="Segoe UI" w:hAnsi="Segoe UI" w:cs="Segoe UI"/>
          <w:i/>
          <w:iCs/>
          <w:sz w:val="18"/>
          <w:szCs w:val="18"/>
        </w:rPr>
        <w:t>(used with the comparator)</w:t>
      </w:r>
    </w:p>
    <w:p w14:paraId="4EC71EF4" w14:textId="77777777" w:rsidR="001E1797" w:rsidRPr="00BC0C43" w:rsidRDefault="001E1797" w:rsidP="001E1797">
      <w:pPr>
        <w:pStyle w:val="Tickboxes"/>
        <w:ind w:left="0"/>
        <w:rPr>
          <w:rFonts w:ascii="Segoe UI" w:hAnsi="Segoe UI" w:cs="Segoe UI"/>
          <w:i/>
          <w:iCs/>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Displaced </w:t>
      </w:r>
      <w:r w:rsidRPr="00BC0C43">
        <w:rPr>
          <w:rFonts w:ascii="Segoe UI" w:hAnsi="Segoe UI" w:cs="Segoe UI"/>
          <w:i/>
          <w:iCs/>
          <w:sz w:val="18"/>
          <w:szCs w:val="18"/>
        </w:rPr>
        <w:t>(comparator will likely be used following the proposed technology in some patients)</w:t>
      </w:r>
    </w:p>
    <w:p w14:paraId="47FB5952" w14:textId="3D90FEC4" w:rsidR="001E1797" w:rsidRPr="00BC0C43" w:rsidRDefault="00025540" w:rsidP="001E1797">
      <w:pPr>
        <w:pStyle w:val="Tickboxes"/>
        <w:ind w:left="0"/>
        <w:rPr>
          <w:rFonts w:ascii="Segoe UI" w:hAnsi="Segoe UI" w:cs="Segoe UI"/>
          <w:sz w:val="18"/>
          <w:szCs w:val="18"/>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1E1797" w:rsidRPr="00BC0C43">
        <w:rPr>
          <w:rFonts w:ascii="Segoe UI" w:hAnsi="Segoe UI" w:cs="Segoe UI"/>
          <w:sz w:val="22"/>
          <w:szCs w:val="22"/>
        </w:rPr>
        <w:t xml:space="preserve"> Partial </w:t>
      </w:r>
      <w:r w:rsidR="001E1797" w:rsidRPr="00BC0C43">
        <w:rPr>
          <w:rFonts w:ascii="Segoe UI" w:hAnsi="Segoe UI" w:cs="Segoe UI"/>
          <w:i/>
          <w:iCs/>
          <w:sz w:val="18"/>
          <w:szCs w:val="18"/>
        </w:rPr>
        <w:t>(in some cases, the proposed technology will replace the use of the comparator, but not in all cases)</w:t>
      </w:r>
    </w:p>
    <w:p w14:paraId="32AA0FD6" w14:textId="67849A1F" w:rsidR="000627EF" w:rsidRPr="001E1797" w:rsidRDefault="00025540" w:rsidP="001E1797">
      <w:pPr>
        <w:pStyle w:val="Tickboxes"/>
        <w:ind w:left="0"/>
        <w:rPr>
          <w:rFonts w:ascii="Segoe UI" w:hAnsi="Segoe UI" w:cs="Segoe UI"/>
          <w:b/>
          <w:i/>
          <w:iCs/>
        </w:rPr>
      </w:pPr>
      <w:r>
        <w:rPr>
          <w:rFonts w:ascii="Segoe UI" w:hAnsi="Segoe UI" w:cs="Segoe UI"/>
          <w:sz w:val="22"/>
          <w:szCs w:val="22"/>
        </w:rPr>
        <w:fldChar w:fldCharType="begin">
          <w:ffData>
            <w:name w:val="Check2"/>
            <w:enabled/>
            <w:calcOnExit w:val="0"/>
            <w:checkBox>
              <w:sizeAuto/>
              <w:default w:val="0"/>
            </w:checkBox>
          </w:ffData>
        </w:fldChar>
      </w:r>
      <w:bookmarkStart w:id="4" w:name="Check2"/>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4"/>
      <w:r w:rsidR="001E1797" w:rsidRPr="00BC0C43">
        <w:rPr>
          <w:rFonts w:ascii="Segoe UI" w:hAnsi="Segoe UI" w:cs="Segoe UI"/>
          <w:sz w:val="22"/>
          <w:szCs w:val="22"/>
        </w:rPr>
        <w:t xml:space="preserve"> Full </w:t>
      </w:r>
      <w:r w:rsidR="001E1797" w:rsidRPr="00BC0C43">
        <w:rPr>
          <w:rFonts w:ascii="Segoe UI" w:hAnsi="Segoe UI" w:cs="Segoe UI"/>
          <w:i/>
          <w:iCs/>
          <w:sz w:val="18"/>
          <w:szCs w:val="18"/>
        </w:rPr>
        <w:t>(subjects who receive the proposed intervention will not receive the comparator)</w:t>
      </w:r>
    </w:p>
    <w:p w14:paraId="3D9A6633" w14:textId="290388B9" w:rsidR="000627EF" w:rsidRPr="001E1797" w:rsidRDefault="000627EF" w:rsidP="001E1797">
      <w:pPr>
        <w:pStyle w:val="Heading2"/>
      </w:pPr>
      <w:r>
        <w:t>Please outline and explain the extent to which the current comparator is expected to be substituted:</w:t>
      </w:r>
    </w:p>
    <w:p w14:paraId="674F8F96" w14:textId="1AF84D27" w:rsidR="000627EF" w:rsidRPr="00312E25" w:rsidRDefault="00977DA4" w:rsidP="001E1797">
      <w:r w:rsidRPr="00312E25">
        <w:t>Clinical contraindications for Yescarta include</w:t>
      </w:r>
      <w:r w:rsidR="00FE5FC1" w:rsidRPr="00312E25">
        <w:t xml:space="preserve"> active infection and inflammatory disorders</w:t>
      </w:r>
      <w:r w:rsidR="00AE49C7" w:rsidRPr="00312E25">
        <w:t xml:space="preserve">. Further, treatment with Yescarta involves </w:t>
      </w:r>
      <w:r w:rsidR="00D7502C" w:rsidRPr="00312E25">
        <w:t>hospital</w:t>
      </w:r>
      <w:r w:rsidR="008748EA" w:rsidRPr="00312E25">
        <w:t xml:space="preserve"> </w:t>
      </w:r>
      <w:r w:rsidR="00D918B2" w:rsidRPr="00312E25">
        <w:t xml:space="preserve">visits and </w:t>
      </w:r>
      <w:r w:rsidR="008748EA" w:rsidRPr="00312E25">
        <w:t>admission for</w:t>
      </w:r>
      <w:r w:rsidR="00D918B2" w:rsidRPr="00312E25">
        <w:t xml:space="preserve"> </w:t>
      </w:r>
      <w:r w:rsidR="00C400F0" w:rsidRPr="00312E25">
        <w:t xml:space="preserve">leukapheresis, treatment administration and monitoring. As such, some patients are anticipated to </w:t>
      </w:r>
      <w:r w:rsidR="00C24907" w:rsidRPr="00312E25">
        <w:t xml:space="preserve">elect to </w:t>
      </w:r>
      <w:r w:rsidR="00C400F0" w:rsidRPr="00312E25">
        <w:t xml:space="preserve">not </w:t>
      </w:r>
      <w:r w:rsidR="00C24907" w:rsidRPr="00312E25">
        <w:t xml:space="preserve">undergo treatment with Yescarta on the basis that </w:t>
      </w:r>
      <w:r w:rsidR="004B3286">
        <w:t>treatment</w:t>
      </w:r>
      <w:r w:rsidR="00C24907" w:rsidRPr="00312E25">
        <w:t xml:space="preserve"> requires prolonged periods away from home.</w:t>
      </w:r>
    </w:p>
    <w:p w14:paraId="059AE2CF" w14:textId="3965BD4A" w:rsidR="002D676A" w:rsidRPr="00312E25" w:rsidRDefault="00C24907" w:rsidP="001E1797">
      <w:r w:rsidRPr="00312E25">
        <w:lastRenderedPageBreak/>
        <w:t xml:space="preserve">Gilead is </w:t>
      </w:r>
      <w:r w:rsidR="00692F54" w:rsidRPr="00312E25">
        <w:t>engaging with local clinician</w:t>
      </w:r>
      <w:r w:rsidR="005A3966">
        <w:t>s</w:t>
      </w:r>
      <w:r w:rsidR="00692F54" w:rsidRPr="00312E25">
        <w:t xml:space="preserve"> to better understand the extent to which Yescarta is expected to be used as a substitute for </w:t>
      </w:r>
      <w:proofErr w:type="spellStart"/>
      <w:r w:rsidR="00692F54" w:rsidRPr="00312E25">
        <w:t>SoC</w:t>
      </w:r>
      <w:r w:rsidR="0063019A" w:rsidRPr="00312E25">
        <w:t>.</w:t>
      </w:r>
      <w:proofErr w:type="spellEnd"/>
      <w:r w:rsidR="0063019A" w:rsidRPr="00312E25">
        <w:t xml:space="preserve"> However, for the reasons outlined above it is expected that there will be </w:t>
      </w:r>
      <w:r w:rsidR="00971D67" w:rsidRPr="00312E25">
        <w:t>less than 100% substitution</w:t>
      </w:r>
      <w:r w:rsidR="00DE5172" w:rsidRPr="00312E25">
        <w:t xml:space="preserve"> in Australian clinical practice</w:t>
      </w:r>
      <w:r w:rsidRPr="00312E25">
        <w:t>.</w:t>
      </w:r>
    </w:p>
    <w:p w14:paraId="527F0163" w14:textId="07A0E8C4" w:rsidR="0016065A" w:rsidRDefault="0016065A" w:rsidP="001E1797">
      <w:pPr>
        <w:pStyle w:val="Heading1"/>
      </w:pPr>
      <w:r>
        <w:t>Outcome</w:t>
      </w:r>
      <w:r w:rsidR="00770FA6">
        <w:t>s</w:t>
      </w:r>
    </w:p>
    <w:p w14:paraId="526E076D" w14:textId="466915B6" w:rsidR="00F85A19" w:rsidRPr="001E1797" w:rsidRDefault="00F85A19" w:rsidP="001E1797">
      <w:pPr>
        <w:rPr>
          <w:rFonts w:eastAsia="Segoe UI"/>
          <w:b/>
          <w:i/>
          <w:iCs/>
          <w:color w:val="000000"/>
        </w:rPr>
      </w:pPr>
      <w:bookmarkStart w:id="5" w:name="_Hlk120718553"/>
      <w:r w:rsidRPr="001E1797">
        <w:rPr>
          <w:i/>
          <w:iCs/>
        </w:rPr>
        <w:t>(Please copy the below questions and complete for each outcome</w:t>
      </w:r>
      <w:r w:rsidRPr="001E1797">
        <w:rPr>
          <w:rFonts w:eastAsia="Segoe UI"/>
          <w:bCs/>
          <w:i/>
          <w:iCs/>
          <w:color w:val="000000"/>
        </w:rPr>
        <w:t>)</w:t>
      </w:r>
      <w:bookmarkEnd w:id="5"/>
    </w:p>
    <w:p w14:paraId="7DF00C74" w14:textId="169B115D" w:rsidR="004C02B7" w:rsidRDefault="004C02B7" w:rsidP="001E1797">
      <w:r>
        <w:t>List the key health outcomes (major and minor – prioritising major key health outcomes first) that will need to be measured in assessing the clinical claim for the proposed medical service/technology (versus the comparator):</w:t>
      </w:r>
    </w:p>
    <w:p w14:paraId="2BA09AC5" w14:textId="19B45EB3" w:rsidR="004C02B7" w:rsidRPr="001E1797" w:rsidRDefault="00213BEE"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1E1797">
        <w:rPr>
          <w:rFonts w:ascii="Segoe UI" w:hAnsi="Segoe UI" w:cs="Segoe UI"/>
          <w:sz w:val="22"/>
          <w:szCs w:val="22"/>
        </w:rPr>
        <w:t xml:space="preserve"> Health benefits</w:t>
      </w:r>
    </w:p>
    <w:p w14:paraId="4B5E35E8" w14:textId="378D3AF8" w:rsidR="004C02B7" w:rsidRPr="001E1797" w:rsidRDefault="00213BEE"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1E1797">
        <w:rPr>
          <w:rFonts w:ascii="Segoe UI" w:hAnsi="Segoe UI" w:cs="Segoe UI"/>
          <w:sz w:val="22"/>
          <w:szCs w:val="22"/>
        </w:rPr>
        <w:t xml:space="preserve"> Health harms</w:t>
      </w:r>
    </w:p>
    <w:p w14:paraId="3CEF185E" w14:textId="6D10354D" w:rsidR="004C02B7" w:rsidRDefault="00213BEE"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1E1797">
        <w:rPr>
          <w:rFonts w:ascii="Segoe UI" w:hAnsi="Segoe UI" w:cs="Segoe UI"/>
          <w:sz w:val="22"/>
          <w:szCs w:val="22"/>
        </w:rPr>
        <w:t xml:space="preserve"> Resources</w:t>
      </w:r>
    </w:p>
    <w:p w14:paraId="39B94184" w14:textId="77777777" w:rsidR="00283479" w:rsidRDefault="00283479" w:rsidP="001E1797">
      <w:pPr>
        <w:pStyle w:val="Tickboxes"/>
        <w:ind w:left="0"/>
        <w:rPr>
          <w:rFonts w:ascii="Segoe UI" w:hAnsi="Segoe UI" w:cs="Segoe UI"/>
          <w:sz w:val="22"/>
          <w:szCs w:val="22"/>
        </w:rPr>
      </w:pPr>
    </w:p>
    <w:p w14:paraId="609F8E7B" w14:textId="4FD5D340" w:rsidR="00283479" w:rsidRDefault="00283479" w:rsidP="001E1797">
      <w:pPr>
        <w:pStyle w:val="Tickboxes"/>
        <w:ind w:left="0"/>
        <w:rPr>
          <w:rFonts w:ascii="Segoe UI" w:hAnsi="Segoe UI" w:cs="Segoe UI"/>
          <w:sz w:val="22"/>
          <w:szCs w:val="22"/>
          <w:u w:val="single"/>
        </w:rPr>
      </w:pPr>
      <w:r w:rsidRPr="00283479">
        <w:rPr>
          <w:rFonts w:ascii="Segoe UI" w:hAnsi="Segoe UI" w:cs="Segoe UI"/>
          <w:sz w:val="22"/>
          <w:szCs w:val="22"/>
          <w:u w:val="single"/>
        </w:rPr>
        <w:t>Health benefits</w:t>
      </w:r>
    </w:p>
    <w:p w14:paraId="3E062EC8" w14:textId="77777777" w:rsidR="00283479" w:rsidRDefault="00283479" w:rsidP="001E1797">
      <w:pPr>
        <w:pStyle w:val="Tickboxes"/>
        <w:ind w:left="0"/>
        <w:rPr>
          <w:rFonts w:ascii="Segoe UI" w:hAnsi="Segoe UI" w:cs="Segoe UI"/>
          <w:sz w:val="22"/>
          <w:szCs w:val="22"/>
          <w:u w:val="single"/>
        </w:rPr>
      </w:pPr>
    </w:p>
    <w:p w14:paraId="545AC8DC" w14:textId="1D57F654" w:rsidR="00696CE2" w:rsidRPr="00357E33" w:rsidRDefault="00DB2980" w:rsidP="001E1797">
      <w:pPr>
        <w:pStyle w:val="Tickboxes"/>
        <w:ind w:left="0"/>
        <w:rPr>
          <w:rFonts w:ascii="Segoe UI" w:hAnsi="Segoe UI" w:cs="Segoe UI"/>
          <w:sz w:val="22"/>
          <w:szCs w:val="22"/>
        </w:rPr>
      </w:pPr>
      <w:r w:rsidRPr="00357E33">
        <w:rPr>
          <w:rFonts w:ascii="Segoe UI" w:hAnsi="Segoe UI" w:cs="Segoe UI"/>
          <w:sz w:val="22"/>
          <w:szCs w:val="22"/>
        </w:rPr>
        <w:t>Key o</w:t>
      </w:r>
      <w:r w:rsidR="00696CE2" w:rsidRPr="00357E33">
        <w:rPr>
          <w:rFonts w:ascii="Segoe UI" w:hAnsi="Segoe UI" w:cs="Segoe UI"/>
          <w:sz w:val="22"/>
          <w:szCs w:val="22"/>
        </w:rPr>
        <w:t>utcomes applicable to assessing the</w:t>
      </w:r>
      <w:r w:rsidRPr="00357E33">
        <w:rPr>
          <w:rFonts w:ascii="Segoe UI" w:hAnsi="Segoe UI" w:cs="Segoe UI"/>
          <w:sz w:val="22"/>
          <w:szCs w:val="22"/>
        </w:rPr>
        <w:t xml:space="preserve"> health benefits (efficacy) of Yescarta are</w:t>
      </w:r>
      <w:r w:rsidR="00277650" w:rsidRPr="00357E33">
        <w:rPr>
          <w:rFonts w:ascii="Segoe UI" w:hAnsi="Segoe UI" w:cs="Segoe UI"/>
          <w:sz w:val="22"/>
          <w:szCs w:val="22"/>
        </w:rPr>
        <w:t>:</w:t>
      </w:r>
    </w:p>
    <w:p w14:paraId="7CFF78EA" w14:textId="782B43EF" w:rsidR="00F66EA0" w:rsidRPr="00357E33" w:rsidRDefault="00F66EA0" w:rsidP="00F66EA0">
      <w:pPr>
        <w:pStyle w:val="Tickboxes"/>
        <w:numPr>
          <w:ilvl w:val="0"/>
          <w:numId w:val="2"/>
        </w:numPr>
        <w:rPr>
          <w:rFonts w:ascii="Segoe UI" w:hAnsi="Segoe UI" w:cs="Segoe UI"/>
          <w:sz w:val="22"/>
          <w:szCs w:val="22"/>
        </w:rPr>
      </w:pPr>
      <w:r w:rsidRPr="00357E33">
        <w:rPr>
          <w:rFonts w:ascii="Segoe UI" w:hAnsi="Segoe UI" w:cs="Segoe UI"/>
          <w:sz w:val="22"/>
          <w:szCs w:val="22"/>
        </w:rPr>
        <w:t>Objective response rate (ORR)</w:t>
      </w:r>
    </w:p>
    <w:p w14:paraId="03CDF464" w14:textId="5078ABA6" w:rsidR="00F66EA0" w:rsidRPr="00357E33" w:rsidRDefault="00094D1C" w:rsidP="00F66EA0">
      <w:pPr>
        <w:pStyle w:val="Tickboxes"/>
        <w:numPr>
          <w:ilvl w:val="0"/>
          <w:numId w:val="2"/>
        </w:numPr>
        <w:rPr>
          <w:rFonts w:ascii="Segoe UI" w:hAnsi="Segoe UI" w:cs="Segoe UI"/>
          <w:sz w:val="22"/>
          <w:szCs w:val="22"/>
        </w:rPr>
      </w:pPr>
      <w:r w:rsidRPr="00357E33">
        <w:rPr>
          <w:rFonts w:ascii="Segoe UI" w:hAnsi="Segoe UI" w:cs="Segoe UI"/>
          <w:sz w:val="22"/>
          <w:szCs w:val="22"/>
        </w:rPr>
        <w:t>Complete response rate (CR)</w:t>
      </w:r>
    </w:p>
    <w:p w14:paraId="6CECE044" w14:textId="6A13C57D" w:rsidR="00094D1C" w:rsidRPr="00357E33" w:rsidRDefault="004C0AC1" w:rsidP="00F66EA0">
      <w:pPr>
        <w:pStyle w:val="Tickboxes"/>
        <w:numPr>
          <w:ilvl w:val="0"/>
          <w:numId w:val="2"/>
        </w:numPr>
        <w:rPr>
          <w:rFonts w:ascii="Segoe UI" w:hAnsi="Segoe UI" w:cs="Segoe UI"/>
          <w:sz w:val="22"/>
          <w:szCs w:val="22"/>
        </w:rPr>
      </w:pPr>
      <w:r w:rsidRPr="00357E33">
        <w:rPr>
          <w:rFonts w:ascii="Segoe UI" w:hAnsi="Segoe UI" w:cs="Segoe UI"/>
          <w:sz w:val="22"/>
          <w:szCs w:val="22"/>
        </w:rPr>
        <w:t>Progression-fee survival (PFS)</w:t>
      </w:r>
    </w:p>
    <w:p w14:paraId="0733426B" w14:textId="5F9D9E43" w:rsidR="004C0AC1" w:rsidRPr="00357E33" w:rsidRDefault="004C0AC1" w:rsidP="00F66EA0">
      <w:pPr>
        <w:pStyle w:val="Tickboxes"/>
        <w:numPr>
          <w:ilvl w:val="0"/>
          <w:numId w:val="2"/>
        </w:numPr>
        <w:rPr>
          <w:rFonts w:ascii="Segoe UI" w:hAnsi="Segoe UI" w:cs="Segoe UI"/>
          <w:sz w:val="22"/>
          <w:szCs w:val="22"/>
        </w:rPr>
      </w:pPr>
      <w:r w:rsidRPr="00357E33">
        <w:rPr>
          <w:rFonts w:ascii="Segoe UI" w:hAnsi="Segoe UI" w:cs="Segoe UI"/>
          <w:sz w:val="22"/>
          <w:szCs w:val="22"/>
        </w:rPr>
        <w:t xml:space="preserve">Overall </w:t>
      </w:r>
      <w:r w:rsidR="002B4BB3" w:rsidRPr="00357E33">
        <w:rPr>
          <w:rFonts w:ascii="Segoe UI" w:hAnsi="Segoe UI" w:cs="Segoe UI"/>
          <w:sz w:val="22"/>
          <w:szCs w:val="22"/>
        </w:rPr>
        <w:t>survival (OS)</w:t>
      </w:r>
    </w:p>
    <w:p w14:paraId="2DC8742C" w14:textId="4EF58477" w:rsidR="002B4BB3" w:rsidRPr="00357E33" w:rsidRDefault="002B4BB3" w:rsidP="00F66EA0">
      <w:pPr>
        <w:pStyle w:val="Tickboxes"/>
        <w:numPr>
          <w:ilvl w:val="0"/>
          <w:numId w:val="2"/>
        </w:numPr>
        <w:rPr>
          <w:rFonts w:ascii="Segoe UI" w:hAnsi="Segoe UI" w:cs="Segoe UI"/>
          <w:sz w:val="22"/>
          <w:szCs w:val="22"/>
        </w:rPr>
      </w:pPr>
      <w:r w:rsidRPr="00357E33">
        <w:rPr>
          <w:rFonts w:ascii="Segoe UI" w:hAnsi="Segoe UI" w:cs="Segoe UI"/>
          <w:sz w:val="22"/>
          <w:szCs w:val="22"/>
        </w:rPr>
        <w:t>Time-to-next treatment (TTNT)</w:t>
      </w:r>
    </w:p>
    <w:p w14:paraId="3B8A0E8E" w14:textId="77777777" w:rsidR="00277650" w:rsidRDefault="00277650" w:rsidP="001E1797">
      <w:pPr>
        <w:pStyle w:val="Tickboxes"/>
        <w:ind w:left="0"/>
        <w:rPr>
          <w:rFonts w:ascii="Segoe UI" w:hAnsi="Segoe UI" w:cs="Segoe UI"/>
          <w:sz w:val="22"/>
          <w:szCs w:val="22"/>
          <w:u w:val="single"/>
        </w:rPr>
      </w:pPr>
    </w:p>
    <w:p w14:paraId="4A0F5D63" w14:textId="1354E157" w:rsidR="00357E33" w:rsidRDefault="00357E33" w:rsidP="001E1797">
      <w:pPr>
        <w:pStyle w:val="Tickboxes"/>
        <w:ind w:left="0"/>
        <w:rPr>
          <w:rFonts w:ascii="Segoe UI" w:hAnsi="Segoe UI" w:cs="Segoe UI"/>
          <w:sz w:val="22"/>
          <w:szCs w:val="22"/>
          <w:u w:val="single"/>
        </w:rPr>
      </w:pPr>
      <w:r>
        <w:rPr>
          <w:rFonts w:ascii="Segoe UI" w:hAnsi="Segoe UI" w:cs="Segoe UI"/>
          <w:sz w:val="22"/>
          <w:szCs w:val="22"/>
          <w:u w:val="single"/>
        </w:rPr>
        <w:t>Health harms</w:t>
      </w:r>
    </w:p>
    <w:p w14:paraId="7D10DF99" w14:textId="77777777" w:rsidR="00357E33" w:rsidRDefault="00357E33" w:rsidP="001E1797">
      <w:pPr>
        <w:pStyle w:val="Tickboxes"/>
        <w:ind w:left="0"/>
        <w:rPr>
          <w:rFonts w:ascii="Segoe UI" w:hAnsi="Segoe UI" w:cs="Segoe UI"/>
          <w:sz w:val="22"/>
          <w:szCs w:val="22"/>
        </w:rPr>
      </w:pPr>
    </w:p>
    <w:p w14:paraId="217E275E" w14:textId="456646A0" w:rsidR="00E076E2" w:rsidRDefault="00E076E2" w:rsidP="001E1797">
      <w:pPr>
        <w:pStyle w:val="Tickboxes"/>
        <w:ind w:left="0"/>
        <w:rPr>
          <w:rFonts w:ascii="Segoe UI" w:hAnsi="Segoe UI" w:cs="Segoe UI"/>
          <w:sz w:val="22"/>
          <w:szCs w:val="22"/>
        </w:rPr>
      </w:pPr>
      <w:r>
        <w:rPr>
          <w:rFonts w:ascii="Segoe UI" w:hAnsi="Segoe UI" w:cs="Segoe UI"/>
          <w:sz w:val="22"/>
          <w:szCs w:val="22"/>
        </w:rPr>
        <w:t>Outcomes applicable to assessing the health harms (safety) associated with Yesc</w:t>
      </w:r>
      <w:r w:rsidR="00F37795">
        <w:rPr>
          <w:rFonts w:ascii="Segoe UI" w:hAnsi="Segoe UI" w:cs="Segoe UI"/>
          <w:sz w:val="22"/>
          <w:szCs w:val="22"/>
        </w:rPr>
        <w:t>arta are:</w:t>
      </w:r>
    </w:p>
    <w:p w14:paraId="28B708B4" w14:textId="056B21F4" w:rsidR="00F37795" w:rsidRDefault="00F37795" w:rsidP="00F37795">
      <w:pPr>
        <w:pStyle w:val="Tickboxes"/>
        <w:numPr>
          <w:ilvl w:val="0"/>
          <w:numId w:val="3"/>
        </w:numPr>
        <w:rPr>
          <w:rFonts w:ascii="Segoe UI" w:hAnsi="Segoe UI" w:cs="Segoe UI"/>
          <w:sz w:val="22"/>
          <w:szCs w:val="22"/>
        </w:rPr>
      </w:pPr>
      <w:r>
        <w:rPr>
          <w:rFonts w:ascii="Segoe UI" w:hAnsi="Segoe UI" w:cs="Segoe UI"/>
          <w:sz w:val="22"/>
          <w:szCs w:val="22"/>
        </w:rPr>
        <w:t>Incidence of adverse events (AEs)</w:t>
      </w:r>
      <w:r w:rsidR="006B16DA">
        <w:rPr>
          <w:rFonts w:ascii="Segoe UI" w:hAnsi="Segoe UI" w:cs="Segoe UI"/>
          <w:sz w:val="22"/>
          <w:szCs w:val="22"/>
        </w:rPr>
        <w:t xml:space="preserve"> and serious adverse events (SAEs)</w:t>
      </w:r>
    </w:p>
    <w:p w14:paraId="41473E8F" w14:textId="6BB80112" w:rsidR="006B16DA" w:rsidRDefault="006B16DA" w:rsidP="00F37795">
      <w:pPr>
        <w:pStyle w:val="Tickboxes"/>
        <w:numPr>
          <w:ilvl w:val="0"/>
          <w:numId w:val="3"/>
        </w:numPr>
        <w:rPr>
          <w:rFonts w:ascii="Segoe UI" w:hAnsi="Segoe UI" w:cs="Segoe UI"/>
          <w:sz w:val="22"/>
          <w:szCs w:val="22"/>
        </w:rPr>
      </w:pPr>
      <w:r>
        <w:rPr>
          <w:rFonts w:ascii="Segoe UI" w:hAnsi="Segoe UI" w:cs="Segoe UI"/>
          <w:sz w:val="22"/>
          <w:szCs w:val="22"/>
        </w:rPr>
        <w:t xml:space="preserve">Incidence of </w:t>
      </w:r>
      <w:r w:rsidR="00EF7ACD">
        <w:rPr>
          <w:rFonts w:ascii="Segoe UI" w:hAnsi="Segoe UI" w:cs="Segoe UI"/>
          <w:sz w:val="22"/>
          <w:szCs w:val="22"/>
        </w:rPr>
        <w:t>AEs</w:t>
      </w:r>
      <w:r w:rsidR="001158C1">
        <w:rPr>
          <w:rFonts w:ascii="Segoe UI" w:hAnsi="Segoe UI" w:cs="Segoe UI"/>
          <w:sz w:val="22"/>
          <w:szCs w:val="22"/>
        </w:rPr>
        <w:t xml:space="preserve"> of special interest, specifically:</w:t>
      </w:r>
    </w:p>
    <w:p w14:paraId="706E97E9" w14:textId="784EE937" w:rsidR="001158C1" w:rsidRDefault="001158C1" w:rsidP="001158C1">
      <w:pPr>
        <w:pStyle w:val="Tickboxes"/>
        <w:numPr>
          <w:ilvl w:val="1"/>
          <w:numId w:val="3"/>
        </w:numPr>
        <w:rPr>
          <w:rFonts w:ascii="Segoe UI" w:hAnsi="Segoe UI" w:cs="Segoe UI"/>
          <w:sz w:val="22"/>
          <w:szCs w:val="22"/>
        </w:rPr>
      </w:pPr>
      <w:r>
        <w:rPr>
          <w:rFonts w:ascii="Segoe UI" w:hAnsi="Segoe UI" w:cs="Segoe UI"/>
          <w:sz w:val="22"/>
          <w:szCs w:val="22"/>
        </w:rPr>
        <w:t>Cytokine release syndrome</w:t>
      </w:r>
    </w:p>
    <w:p w14:paraId="4ABDDE3F" w14:textId="5CF0256C" w:rsidR="00DF2BE3" w:rsidRDefault="00BD3559" w:rsidP="001158C1">
      <w:pPr>
        <w:pStyle w:val="Tickboxes"/>
        <w:numPr>
          <w:ilvl w:val="1"/>
          <w:numId w:val="3"/>
        </w:numPr>
        <w:rPr>
          <w:rFonts w:ascii="Segoe UI" w:hAnsi="Segoe UI" w:cs="Segoe UI"/>
          <w:sz w:val="22"/>
          <w:szCs w:val="22"/>
        </w:rPr>
      </w:pPr>
      <w:r>
        <w:rPr>
          <w:rFonts w:ascii="Segoe UI" w:hAnsi="Segoe UI" w:cs="Segoe UI"/>
          <w:sz w:val="22"/>
          <w:szCs w:val="22"/>
        </w:rPr>
        <w:t>Neurological events</w:t>
      </w:r>
    </w:p>
    <w:p w14:paraId="26FC5F34" w14:textId="0564A0E1" w:rsidR="001158C1" w:rsidRDefault="001158C1" w:rsidP="001158C1">
      <w:pPr>
        <w:pStyle w:val="Tickboxes"/>
        <w:numPr>
          <w:ilvl w:val="1"/>
          <w:numId w:val="3"/>
        </w:numPr>
        <w:rPr>
          <w:rFonts w:ascii="Segoe UI" w:hAnsi="Segoe UI" w:cs="Segoe UI"/>
          <w:sz w:val="22"/>
          <w:szCs w:val="22"/>
        </w:rPr>
      </w:pPr>
      <w:r>
        <w:rPr>
          <w:rFonts w:ascii="Segoe UI" w:hAnsi="Segoe UI" w:cs="Segoe UI"/>
          <w:sz w:val="22"/>
          <w:szCs w:val="22"/>
        </w:rPr>
        <w:t>Infection</w:t>
      </w:r>
      <w:r w:rsidR="002F4E1A">
        <w:rPr>
          <w:rFonts w:ascii="Segoe UI" w:hAnsi="Segoe UI" w:cs="Segoe UI"/>
          <w:sz w:val="22"/>
          <w:szCs w:val="22"/>
        </w:rPr>
        <w:t>s</w:t>
      </w:r>
    </w:p>
    <w:p w14:paraId="454EAAA5" w14:textId="0BB48735" w:rsidR="002F4E1A" w:rsidRDefault="002F4E1A" w:rsidP="001158C1">
      <w:pPr>
        <w:pStyle w:val="Tickboxes"/>
        <w:numPr>
          <w:ilvl w:val="1"/>
          <w:numId w:val="3"/>
        </w:numPr>
        <w:rPr>
          <w:rFonts w:ascii="Segoe UI" w:hAnsi="Segoe UI" w:cs="Segoe UI"/>
          <w:sz w:val="22"/>
          <w:szCs w:val="22"/>
        </w:rPr>
      </w:pPr>
      <w:proofErr w:type="spellStart"/>
      <w:r>
        <w:rPr>
          <w:rFonts w:ascii="Segoe UI" w:hAnsi="Segoe UI" w:cs="Segoe UI"/>
          <w:sz w:val="22"/>
          <w:szCs w:val="22"/>
        </w:rPr>
        <w:t>Cytopenias</w:t>
      </w:r>
      <w:proofErr w:type="spellEnd"/>
    </w:p>
    <w:p w14:paraId="73B34890" w14:textId="77777777" w:rsidR="00357E33" w:rsidRDefault="00357E33" w:rsidP="001E1797">
      <w:pPr>
        <w:pStyle w:val="Tickboxes"/>
        <w:ind w:left="0"/>
        <w:rPr>
          <w:rFonts w:ascii="Segoe UI" w:hAnsi="Segoe UI" w:cs="Segoe UI"/>
          <w:sz w:val="22"/>
          <w:szCs w:val="22"/>
          <w:u w:val="single"/>
        </w:rPr>
      </w:pPr>
    </w:p>
    <w:p w14:paraId="6F0F3316" w14:textId="226750D3" w:rsidR="0063687D" w:rsidRDefault="0063687D" w:rsidP="001E1797">
      <w:pPr>
        <w:pStyle w:val="Tickboxes"/>
        <w:ind w:left="0"/>
        <w:rPr>
          <w:rFonts w:ascii="Segoe UI" w:hAnsi="Segoe UI" w:cs="Segoe UI"/>
          <w:sz w:val="22"/>
          <w:szCs w:val="22"/>
          <w:u w:val="single"/>
        </w:rPr>
      </w:pPr>
      <w:r>
        <w:rPr>
          <w:rFonts w:ascii="Segoe UI" w:hAnsi="Segoe UI" w:cs="Segoe UI"/>
          <w:sz w:val="22"/>
          <w:szCs w:val="22"/>
          <w:u w:val="single"/>
        </w:rPr>
        <w:t>Resources:</w:t>
      </w:r>
    </w:p>
    <w:p w14:paraId="0BE0AB7C" w14:textId="77777777" w:rsidR="0063687D" w:rsidRPr="00943E10" w:rsidRDefault="0063687D" w:rsidP="001E1797">
      <w:pPr>
        <w:pStyle w:val="Tickboxes"/>
        <w:ind w:left="0"/>
        <w:rPr>
          <w:rFonts w:ascii="Segoe UI" w:hAnsi="Segoe UI" w:cs="Segoe UI"/>
          <w:sz w:val="22"/>
          <w:szCs w:val="22"/>
        </w:rPr>
      </w:pPr>
    </w:p>
    <w:p w14:paraId="629F3CA8" w14:textId="12C98D71" w:rsidR="0063687D" w:rsidRPr="00943E10" w:rsidRDefault="006978B9" w:rsidP="001E1797">
      <w:pPr>
        <w:pStyle w:val="Tickboxes"/>
        <w:ind w:left="0"/>
        <w:rPr>
          <w:rFonts w:ascii="Segoe UI" w:hAnsi="Segoe UI" w:cs="Segoe UI"/>
          <w:sz w:val="22"/>
          <w:szCs w:val="22"/>
        </w:rPr>
      </w:pPr>
      <w:r w:rsidRPr="00943E10">
        <w:rPr>
          <w:rFonts w:ascii="Segoe UI" w:hAnsi="Segoe UI" w:cs="Segoe UI"/>
          <w:sz w:val="22"/>
          <w:szCs w:val="22"/>
        </w:rPr>
        <w:t>Healthcare resources applicable to assessing the cost-effectiveness and budget impact associated with</w:t>
      </w:r>
      <w:r w:rsidR="00CD3583" w:rsidRPr="00943E10">
        <w:rPr>
          <w:rFonts w:ascii="Segoe UI" w:hAnsi="Segoe UI" w:cs="Segoe UI"/>
          <w:sz w:val="22"/>
          <w:szCs w:val="22"/>
        </w:rPr>
        <w:t xml:space="preserve"> funding Yescarta are:</w:t>
      </w:r>
    </w:p>
    <w:p w14:paraId="1D8B61B9" w14:textId="77777777" w:rsidR="00CD3583" w:rsidRDefault="00CD3583" w:rsidP="001E1797">
      <w:pPr>
        <w:pStyle w:val="Tickboxes"/>
        <w:ind w:left="0"/>
        <w:rPr>
          <w:rFonts w:ascii="Segoe UI" w:hAnsi="Segoe UI" w:cs="Segoe UI"/>
          <w:sz w:val="22"/>
          <w:szCs w:val="22"/>
          <w:u w:val="single"/>
        </w:rPr>
      </w:pPr>
    </w:p>
    <w:p w14:paraId="7331F5FD" w14:textId="6045C7A1" w:rsidR="00CD3583" w:rsidRPr="00BB6DE7" w:rsidRDefault="00CD3583" w:rsidP="00CD3583">
      <w:pPr>
        <w:pStyle w:val="Tickboxes"/>
        <w:numPr>
          <w:ilvl w:val="0"/>
          <w:numId w:val="4"/>
        </w:numPr>
        <w:rPr>
          <w:rFonts w:ascii="Segoe UI" w:hAnsi="Segoe UI" w:cs="Segoe UI"/>
          <w:sz w:val="22"/>
          <w:szCs w:val="22"/>
        </w:rPr>
      </w:pPr>
      <w:r w:rsidRPr="00BB6DE7">
        <w:rPr>
          <w:rFonts w:ascii="Segoe UI" w:hAnsi="Segoe UI" w:cs="Segoe UI"/>
          <w:sz w:val="22"/>
          <w:szCs w:val="22"/>
        </w:rPr>
        <w:t xml:space="preserve">Percentage of patients </w:t>
      </w:r>
      <w:r w:rsidR="0065661D" w:rsidRPr="00BB6DE7">
        <w:rPr>
          <w:rFonts w:ascii="Segoe UI" w:hAnsi="Segoe UI" w:cs="Segoe UI"/>
          <w:sz w:val="22"/>
          <w:szCs w:val="22"/>
        </w:rPr>
        <w:t>undergoing leukapheresis that go on to have Yescarta administered</w:t>
      </w:r>
    </w:p>
    <w:p w14:paraId="73CA00EF" w14:textId="1DC1B472" w:rsidR="007B2DD4" w:rsidRPr="00763B77" w:rsidRDefault="005947F2" w:rsidP="00BB6DE7">
      <w:pPr>
        <w:pStyle w:val="Tickboxes"/>
        <w:numPr>
          <w:ilvl w:val="0"/>
          <w:numId w:val="4"/>
        </w:numPr>
        <w:rPr>
          <w:rFonts w:ascii="Segoe UI" w:hAnsi="Segoe UI" w:cs="Segoe UI"/>
          <w:sz w:val="22"/>
          <w:szCs w:val="22"/>
        </w:rPr>
      </w:pPr>
      <w:r w:rsidRPr="00BB6DE7">
        <w:rPr>
          <w:rFonts w:ascii="Segoe UI" w:hAnsi="Segoe UI" w:cs="Segoe UI"/>
          <w:sz w:val="22"/>
          <w:szCs w:val="22"/>
        </w:rPr>
        <w:t xml:space="preserve">Cost of pre-infusion </w:t>
      </w:r>
      <w:r w:rsidR="007B2DD4" w:rsidRPr="00763B77">
        <w:rPr>
          <w:rFonts w:ascii="Segoe UI" w:hAnsi="Segoe UI" w:cs="Segoe UI"/>
          <w:sz w:val="22"/>
          <w:szCs w:val="22"/>
        </w:rPr>
        <w:t>lymphodepleting chemotherapy</w:t>
      </w:r>
    </w:p>
    <w:p w14:paraId="0CA84788" w14:textId="777D62D6" w:rsidR="0065661D" w:rsidRPr="00763B77" w:rsidRDefault="00943E10" w:rsidP="00CD3583">
      <w:pPr>
        <w:pStyle w:val="Tickboxes"/>
        <w:numPr>
          <w:ilvl w:val="0"/>
          <w:numId w:val="4"/>
        </w:numPr>
        <w:rPr>
          <w:rFonts w:ascii="Segoe UI" w:hAnsi="Segoe UI" w:cs="Segoe UI"/>
          <w:sz w:val="22"/>
          <w:szCs w:val="22"/>
        </w:rPr>
      </w:pPr>
      <w:r w:rsidRPr="00763B77">
        <w:rPr>
          <w:rFonts w:ascii="Segoe UI" w:hAnsi="Segoe UI" w:cs="Segoe UI"/>
          <w:sz w:val="22"/>
          <w:szCs w:val="22"/>
        </w:rPr>
        <w:t>Cost of hospitalisation for Yescarta administration and monitoring</w:t>
      </w:r>
    </w:p>
    <w:p w14:paraId="2D6C02DF" w14:textId="4D2E910A" w:rsidR="00943E10" w:rsidRPr="00763B77" w:rsidRDefault="00BD1FB2" w:rsidP="00CD3583">
      <w:pPr>
        <w:pStyle w:val="Tickboxes"/>
        <w:numPr>
          <w:ilvl w:val="0"/>
          <w:numId w:val="4"/>
        </w:numPr>
        <w:rPr>
          <w:rFonts w:ascii="Segoe UI" w:hAnsi="Segoe UI" w:cs="Segoe UI"/>
          <w:sz w:val="22"/>
          <w:szCs w:val="22"/>
        </w:rPr>
      </w:pPr>
      <w:r w:rsidRPr="00763B77">
        <w:rPr>
          <w:rFonts w:ascii="Segoe UI" w:hAnsi="Segoe UI" w:cs="Segoe UI"/>
          <w:sz w:val="22"/>
          <w:szCs w:val="22"/>
        </w:rPr>
        <w:t>Cost of patient consultations and investigations for post</w:t>
      </w:r>
      <w:r w:rsidR="009924B3">
        <w:rPr>
          <w:rFonts w:ascii="Segoe UI" w:hAnsi="Segoe UI" w:cs="Segoe UI"/>
          <w:sz w:val="22"/>
          <w:szCs w:val="22"/>
        </w:rPr>
        <w:t>-</w:t>
      </w:r>
      <w:r w:rsidR="00763B77" w:rsidRPr="00763B77">
        <w:rPr>
          <w:rFonts w:ascii="Segoe UI" w:hAnsi="Segoe UI" w:cs="Segoe UI"/>
          <w:sz w:val="22"/>
          <w:szCs w:val="22"/>
        </w:rPr>
        <w:t>treatment monitoring</w:t>
      </w:r>
    </w:p>
    <w:p w14:paraId="36189B68" w14:textId="4839BFD8" w:rsidR="004C02B7" w:rsidRPr="001E1797" w:rsidRDefault="00E00CD3" w:rsidP="001E1797">
      <w:pPr>
        <w:pStyle w:val="Heading2"/>
      </w:pPr>
      <w:r>
        <w:t>O</w:t>
      </w:r>
      <w:r w:rsidR="00CB5480">
        <w:t>utcome description</w:t>
      </w:r>
      <w:r>
        <w:t xml:space="preserve"> – please include information about whether a change in patient management, or prognosis, occurs </w:t>
      </w:r>
      <w:proofErr w:type="gramStart"/>
      <w:r>
        <w:t>as a result of</w:t>
      </w:r>
      <w:proofErr w:type="gramEnd"/>
      <w:r>
        <w:t xml:space="preserve"> the test information</w:t>
      </w:r>
      <w:r w:rsidR="004C02B7">
        <w:t>:</w:t>
      </w:r>
    </w:p>
    <w:p w14:paraId="6611BA41" w14:textId="20086812" w:rsidR="00566CF9" w:rsidRDefault="009558BC" w:rsidP="001E1797">
      <w:r>
        <w:t>Not applicable. Yescarta is not a test used fo</w:t>
      </w:r>
      <w:r w:rsidR="001F0C89">
        <w:t xml:space="preserve">r </w:t>
      </w:r>
      <w:r>
        <w:t>diagnostic or risk assessment</w:t>
      </w:r>
      <w:r w:rsidR="001F0C89">
        <w:t xml:space="preserve"> purposes.</w:t>
      </w:r>
    </w:p>
    <w:p w14:paraId="16AA46BC" w14:textId="77777777" w:rsidR="00C566B5" w:rsidRDefault="00C566B5" w:rsidP="001E1797">
      <w:pPr>
        <w:pStyle w:val="Heading1"/>
      </w:pPr>
      <w:r>
        <w:lastRenderedPageBreak/>
        <w:t>Claims</w:t>
      </w:r>
    </w:p>
    <w:p w14:paraId="1D685677" w14:textId="77777777" w:rsidR="00C566B5" w:rsidRDefault="00C566B5" w:rsidP="001E1797">
      <w:pPr>
        <w:rPr>
          <w:bCs/>
        </w:rPr>
      </w:pPr>
      <w:r>
        <w:t xml:space="preserve">In terms of health outcomes (comparative benefits and harms), is the proposed technology claimed to be superior, non-inferior or inferior to the comparator(s)? </w:t>
      </w:r>
      <w:r w:rsidRPr="00B63A61">
        <w:rPr>
          <w:bCs/>
        </w:rPr>
        <w:t xml:space="preserve">(please </w:t>
      </w:r>
      <w:r>
        <w:rPr>
          <w:bCs/>
        </w:rPr>
        <w:t>select</w:t>
      </w:r>
      <w:r w:rsidRPr="00B63A61">
        <w:rPr>
          <w:bCs/>
        </w:rPr>
        <w:t xml:space="preserve"> your response)</w:t>
      </w:r>
    </w:p>
    <w:p w14:paraId="46C9E79A" w14:textId="37A1CAED" w:rsidR="00C566B5" w:rsidRPr="001E1797" w:rsidRDefault="009B0C29"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C566B5" w:rsidRPr="001E1797">
        <w:rPr>
          <w:rFonts w:ascii="Segoe UI" w:hAnsi="Segoe UI" w:cs="Segoe UI"/>
          <w:sz w:val="22"/>
          <w:szCs w:val="22"/>
        </w:rPr>
        <w:t xml:space="preserve"> Superior</w:t>
      </w:r>
    </w:p>
    <w:p w14:paraId="4AC6C6A7" w14:textId="3CB5B8D6" w:rsidR="00C566B5" w:rsidRPr="001E1797" w:rsidRDefault="00C00E1A"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C566B5" w:rsidRPr="001E1797">
        <w:rPr>
          <w:rFonts w:ascii="Segoe UI" w:hAnsi="Segoe UI" w:cs="Segoe UI"/>
          <w:sz w:val="22"/>
          <w:szCs w:val="22"/>
        </w:rPr>
        <w:t xml:space="preserve"> Non-inferior</w:t>
      </w:r>
    </w:p>
    <w:p w14:paraId="20F3AE75" w14:textId="54F2AE07" w:rsidR="00C566B5" w:rsidRPr="001E1797" w:rsidRDefault="00C566B5"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Inferior</w:t>
      </w:r>
    </w:p>
    <w:p w14:paraId="3F789280" w14:textId="4C0194CF" w:rsidR="00C566B5" w:rsidRPr="001E1797" w:rsidRDefault="00F47AFE" w:rsidP="001E1797">
      <w:pPr>
        <w:pStyle w:val="Heading2"/>
      </w:pPr>
      <w:r w:rsidRPr="0026282C">
        <w:t>Please state what the overall claim is, and provide a rationale</w:t>
      </w:r>
      <w:r w:rsidRPr="00B15CDF">
        <w:t>:</w:t>
      </w:r>
    </w:p>
    <w:p w14:paraId="7C30DE7E" w14:textId="22C978D0" w:rsidR="00C566B5" w:rsidRPr="001E1797" w:rsidRDefault="00B35782" w:rsidP="001E1797">
      <w:pPr>
        <w:rPr>
          <w:rFonts w:asciiTheme="minorHAnsi" w:eastAsia="Segoe UI" w:hAnsiTheme="minorHAnsi" w:cstheme="minorHAnsi"/>
          <w:color w:val="000000"/>
        </w:rPr>
      </w:pPr>
      <w:r>
        <w:t>The clinical claim is that Yescarta has superior efficacy and non-inferior safety compared with SoC</w:t>
      </w:r>
      <w:r w:rsidR="0013107D">
        <w:t xml:space="preserve">, </w:t>
      </w:r>
      <w:r w:rsidR="003722CF">
        <w:t xml:space="preserve">represented by a ‘basket’ of </w:t>
      </w:r>
      <w:r w:rsidR="000858AA" w:rsidRPr="000858AA">
        <w:t>anti CD20 monotherapy, anti CD20 therapy in combination with chemotherapy and chemotherapy regimens</w:t>
      </w:r>
      <w:r w:rsidR="003722CF">
        <w:t>.</w:t>
      </w:r>
    </w:p>
    <w:p w14:paraId="691277E8" w14:textId="41D2DA35" w:rsidR="00C566B5" w:rsidRPr="001E1797" w:rsidRDefault="00C566B5" w:rsidP="001E1797">
      <w:pPr>
        <w:pStyle w:val="Heading2"/>
      </w:pPr>
      <w:r>
        <w:t>Why would the requestor seek to use the proposed investigative technology rather than the comparator(s)?</w:t>
      </w:r>
    </w:p>
    <w:p w14:paraId="7C569071" w14:textId="2542ADE7" w:rsidR="00C566B5" w:rsidRPr="001E1797" w:rsidRDefault="00B7401D" w:rsidP="001E1797">
      <w:pPr>
        <w:rPr>
          <w:rFonts w:asciiTheme="minorHAnsi" w:eastAsia="Segoe UI" w:hAnsiTheme="minorHAnsi" w:cstheme="minorHAnsi"/>
          <w:color w:val="000000"/>
        </w:rPr>
      </w:pPr>
      <w:r>
        <w:t>Yescarta is associated with improvements in treatment response, progression free survival and overall survival compared with the comparator.</w:t>
      </w:r>
    </w:p>
    <w:p w14:paraId="5C44CE8D" w14:textId="08DD40C5" w:rsidR="00C566B5" w:rsidRPr="001E1797" w:rsidRDefault="00C566B5" w:rsidP="001E1797">
      <w:pPr>
        <w:pStyle w:val="Heading2"/>
      </w:pPr>
      <w:r w:rsidRPr="00B15CDF">
        <w:t>Identify how the proposed technology achieves the intended patient outcomes</w:t>
      </w:r>
      <w:r>
        <w:t>:</w:t>
      </w:r>
    </w:p>
    <w:p w14:paraId="75265D8E" w14:textId="5D7E6B4E" w:rsidR="00C566B5" w:rsidRPr="001E1797" w:rsidRDefault="007254F7" w:rsidP="001E1797">
      <w:pPr>
        <w:rPr>
          <w:rFonts w:asciiTheme="minorHAnsi" w:eastAsia="Segoe UI" w:hAnsiTheme="minorHAnsi" w:cstheme="minorHAnsi"/>
          <w:color w:val="000000"/>
        </w:rPr>
      </w:pPr>
      <w:r w:rsidRPr="00C556BB">
        <w:t>This question is duplicated from the ‘</w:t>
      </w:r>
      <w:r w:rsidR="00C556BB">
        <w:t>Intervention</w:t>
      </w:r>
      <w:r w:rsidRPr="00C556BB">
        <w:t>’ section</w:t>
      </w:r>
      <w:r w:rsidR="0032228B">
        <w:t xml:space="preserve"> above</w:t>
      </w:r>
      <w:r w:rsidRPr="00C556BB">
        <w:t xml:space="preserve">. Please refer to the response provided </w:t>
      </w:r>
      <w:r w:rsidR="0032228B">
        <w:t>previously</w:t>
      </w:r>
      <w:r w:rsidRPr="00C556BB">
        <w:t>.</w:t>
      </w:r>
    </w:p>
    <w:p w14:paraId="5BE00386" w14:textId="7D0B2AC4" w:rsidR="00C566B5" w:rsidRPr="00665487" w:rsidRDefault="00C566B5" w:rsidP="001E1797">
      <w:pPr>
        <w:pStyle w:val="Heading2"/>
      </w:pPr>
      <w:r>
        <w:t>For some people, compared with the comparator(s), does the test information result in:</w:t>
      </w:r>
    </w:p>
    <w:p w14:paraId="1F336692" w14:textId="6A88CE42" w:rsidR="00C566B5" w:rsidRPr="001E1797" w:rsidRDefault="00C566B5" w:rsidP="001E1797">
      <w:pPr>
        <w:rPr>
          <w:bCs/>
        </w:rPr>
      </w:pPr>
      <w:r w:rsidRPr="004A45BE">
        <w:t>A change in clinical management?</w:t>
      </w:r>
      <w:r>
        <w:rPr>
          <w:bCs/>
        </w:rPr>
        <w:tab/>
      </w:r>
      <w:r w:rsidRPr="00DF2D79">
        <w:rPr>
          <w:bCs/>
        </w:rPr>
        <w:t>Yes</w:t>
      </w:r>
      <w:r w:rsidR="001E1797">
        <w:rPr>
          <w:bCs/>
        </w:rPr>
        <w:t>/</w:t>
      </w:r>
      <w:r>
        <w:rPr>
          <w:bCs/>
        </w:rPr>
        <w:t>No</w:t>
      </w:r>
    </w:p>
    <w:p w14:paraId="28A701B5" w14:textId="2C01F352" w:rsidR="00C566B5" w:rsidRPr="001E1797" w:rsidRDefault="00C566B5" w:rsidP="001E1797">
      <w:pPr>
        <w:rPr>
          <w:bCs/>
        </w:rPr>
      </w:pPr>
      <w:r w:rsidRPr="004A45BE">
        <w:t xml:space="preserve">A change in </w:t>
      </w:r>
      <w:r>
        <w:t>health outcome</w:t>
      </w:r>
      <w:r w:rsidRPr="004A45BE">
        <w:t>?</w:t>
      </w:r>
      <w:r>
        <w:rPr>
          <w:bCs/>
        </w:rPr>
        <w:tab/>
      </w:r>
      <w:r>
        <w:rPr>
          <w:bCs/>
        </w:rPr>
        <w:tab/>
      </w:r>
      <w:r w:rsidRPr="00DF2D79">
        <w:rPr>
          <w:bCs/>
        </w:rPr>
        <w:t>Yes</w:t>
      </w:r>
      <w:r w:rsidR="001E1797">
        <w:rPr>
          <w:bCs/>
        </w:rPr>
        <w:t>/</w:t>
      </w:r>
      <w:r>
        <w:rPr>
          <w:bCs/>
        </w:rPr>
        <w:t>No</w:t>
      </w:r>
    </w:p>
    <w:p w14:paraId="5ABE7672" w14:textId="368054BA" w:rsidR="00C566B5" w:rsidRDefault="00C566B5" w:rsidP="001E1797">
      <w:pPr>
        <w:rPr>
          <w:bCs/>
        </w:rPr>
      </w:pPr>
      <w:r>
        <w:t>Other benefits</w:t>
      </w:r>
      <w:r w:rsidRPr="004A45BE">
        <w:t>?</w:t>
      </w:r>
      <w:r>
        <w:rPr>
          <w:bCs/>
        </w:rPr>
        <w:tab/>
      </w:r>
      <w:r>
        <w:rPr>
          <w:bCs/>
        </w:rPr>
        <w:tab/>
      </w:r>
      <w:r>
        <w:rPr>
          <w:bCs/>
        </w:rPr>
        <w:tab/>
      </w:r>
      <w:r w:rsidRPr="00DF2D79">
        <w:rPr>
          <w:bCs/>
        </w:rPr>
        <w:t>Yes</w:t>
      </w:r>
      <w:r w:rsidR="001E1797">
        <w:rPr>
          <w:bCs/>
        </w:rPr>
        <w:t>/</w:t>
      </w:r>
      <w:r>
        <w:rPr>
          <w:bCs/>
        </w:rPr>
        <w:t>No</w:t>
      </w:r>
    </w:p>
    <w:p w14:paraId="20E859D7" w14:textId="77777777" w:rsidR="007B3B41" w:rsidRDefault="007B3B41" w:rsidP="007B3B41">
      <w:r>
        <w:t>Not applicable. Yescarta is not a test used for diagnostic or risk assessment purposes.</w:t>
      </w:r>
    </w:p>
    <w:p w14:paraId="4E3E3B18" w14:textId="63EA81BE" w:rsidR="00C566B5" w:rsidRPr="001E1797" w:rsidRDefault="00C566B5" w:rsidP="001E1797">
      <w:pPr>
        <w:pStyle w:val="Heading2"/>
      </w:pPr>
      <w:r>
        <w:t>Please provide a rationale, and information on other benefits if relevant:</w:t>
      </w:r>
    </w:p>
    <w:p w14:paraId="46A0FA8D" w14:textId="2286DE97" w:rsidR="00C566B5" w:rsidRPr="001E1797" w:rsidRDefault="00094354" w:rsidP="001E1797">
      <w:pPr>
        <w:rPr>
          <w:rFonts w:asciiTheme="minorHAnsi" w:eastAsia="Segoe UI" w:hAnsiTheme="minorHAnsi" w:cstheme="minorHAnsi"/>
          <w:color w:val="000000"/>
        </w:rPr>
      </w:pPr>
      <w:r>
        <w:t xml:space="preserve">Not </w:t>
      </w:r>
      <w:r w:rsidR="00D84BC4">
        <w:t>applicable</w:t>
      </w:r>
    </w:p>
    <w:p w14:paraId="28B8D767" w14:textId="77777777" w:rsidR="00C566B5" w:rsidRDefault="00C566B5" w:rsidP="00490226">
      <w:pPr>
        <w:pStyle w:val="Heading2"/>
        <w:keepNext/>
        <w:keepLines/>
        <w:rPr>
          <w:bCs/>
        </w:rPr>
      </w:pPr>
      <w:r>
        <w:t xml:space="preserve">In terms of the immediate costs of the proposed technology (and immediate cost consequences, such as procedural costs, testing costs etc.), is the proposed technology claimed to be more costly, the same cost or less costly than the comparator? </w:t>
      </w:r>
      <w:r w:rsidRPr="00B63A61">
        <w:rPr>
          <w:bCs/>
        </w:rPr>
        <w:t xml:space="preserve">(please </w:t>
      </w:r>
      <w:r>
        <w:rPr>
          <w:bCs/>
        </w:rPr>
        <w:t>select</w:t>
      </w:r>
      <w:r w:rsidRPr="00B63A61">
        <w:rPr>
          <w:bCs/>
        </w:rPr>
        <w:t xml:space="preserve"> your response)</w:t>
      </w:r>
    </w:p>
    <w:p w14:paraId="562C5EA3" w14:textId="30749472" w:rsidR="00C566B5" w:rsidRPr="001E1797" w:rsidRDefault="00922BE8" w:rsidP="00490226">
      <w:pPr>
        <w:pStyle w:val="Tickboxes"/>
        <w:keepNext/>
        <w:keepLin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C566B5" w:rsidRPr="001E1797">
        <w:rPr>
          <w:rFonts w:ascii="Segoe UI" w:hAnsi="Segoe UI" w:cs="Segoe UI"/>
          <w:sz w:val="22"/>
          <w:szCs w:val="22"/>
        </w:rPr>
        <w:t xml:space="preserve"> More costly</w:t>
      </w:r>
    </w:p>
    <w:p w14:paraId="7F377358" w14:textId="77777777" w:rsidR="00C566B5" w:rsidRPr="001E1797" w:rsidRDefault="00C566B5" w:rsidP="00490226">
      <w:pPr>
        <w:pStyle w:val="Tickboxes"/>
        <w:keepNext/>
        <w:keepLin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Same cost</w:t>
      </w:r>
    </w:p>
    <w:p w14:paraId="0C1ACD10" w14:textId="036F9AFB" w:rsidR="00CC554B" w:rsidRPr="001E1797" w:rsidRDefault="00C566B5" w:rsidP="00490226">
      <w:pPr>
        <w:pStyle w:val="Tickboxes"/>
        <w:keepNext/>
        <w:keepLin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Less costly</w:t>
      </w:r>
    </w:p>
    <w:p w14:paraId="4D728741" w14:textId="0D02265B" w:rsidR="00C566B5" w:rsidRPr="001E1797" w:rsidRDefault="00C566B5" w:rsidP="001E1797">
      <w:pPr>
        <w:pStyle w:val="Heading2"/>
      </w:pPr>
      <w:r>
        <w:t>Provide a brief rationale for the claim:</w:t>
      </w:r>
    </w:p>
    <w:p w14:paraId="3DBB9E1B" w14:textId="0EB66543" w:rsidR="00C566B5" w:rsidRDefault="00922BE8" w:rsidP="001E1797">
      <w:r>
        <w:lastRenderedPageBreak/>
        <w:t xml:space="preserve">Treatment acquisition, administration and monitoring costs are higher for </w:t>
      </w:r>
      <w:proofErr w:type="spellStart"/>
      <w:r>
        <w:t>Yescarta</w:t>
      </w:r>
      <w:proofErr w:type="spellEnd"/>
      <w:r>
        <w:t xml:space="preserve"> compared with </w:t>
      </w:r>
      <w:proofErr w:type="spellStart"/>
      <w:r>
        <w:t>SoC</w:t>
      </w:r>
      <w:r w:rsidR="005F349D">
        <w:t>.</w:t>
      </w:r>
      <w:proofErr w:type="spellEnd"/>
      <w:r w:rsidR="00094354" w:rsidRPr="00094354">
        <w:t xml:space="preserve"> </w:t>
      </w:r>
      <w:r w:rsidR="00094354">
        <w:t xml:space="preserve">represented by a ‘basket’ </w:t>
      </w:r>
      <w:r w:rsidR="009D59D3">
        <w:t xml:space="preserve">of </w:t>
      </w:r>
      <w:r w:rsidR="009D59D3" w:rsidRPr="009D59D3">
        <w:t>anti CD20 monotherapy, anti CD20 therapy in combination with chemotherapy and chemotherapy regimens.</w:t>
      </w:r>
    </w:p>
    <w:p w14:paraId="321449D0" w14:textId="53188756" w:rsidR="005E1CFB" w:rsidRDefault="0090168B" w:rsidP="001E1797">
      <w:pPr>
        <w:pStyle w:val="Heading1"/>
      </w:pPr>
      <w:r>
        <w:t>Algorithms</w:t>
      </w:r>
    </w:p>
    <w:p w14:paraId="7EDD3EB5" w14:textId="0FB2261E" w:rsidR="0090168B" w:rsidRPr="001E1797" w:rsidRDefault="0090168B" w:rsidP="001E1797">
      <w:pPr>
        <w:pStyle w:val="Heading2"/>
        <w:rPr>
          <w:u w:val="single"/>
        </w:rPr>
      </w:pPr>
      <w:r w:rsidRPr="001E1797">
        <w:rPr>
          <w:u w:val="single"/>
        </w:rPr>
        <w:t>Preparation for using the health technology</w:t>
      </w:r>
    </w:p>
    <w:p w14:paraId="463FDC5D" w14:textId="53A1441B" w:rsidR="005E1CFB" w:rsidRPr="001E1797" w:rsidRDefault="0090168B" w:rsidP="001E1797">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A885566" w14:textId="6552F103" w:rsidR="00352A57" w:rsidRDefault="00352A57" w:rsidP="00352A57">
      <w:r>
        <w:t xml:space="preserve">As outlined previously, Yescarta would be considered as a treatment for patients with R/R </w:t>
      </w:r>
      <w:r w:rsidR="00703737">
        <w:t>FL</w:t>
      </w:r>
      <w:r>
        <w:t xml:space="preserve"> after </w:t>
      </w:r>
      <w:r w:rsidR="00E22C4A">
        <w:t>2</w:t>
      </w:r>
      <w:r>
        <w:t xml:space="preserve"> or more lines of therapy.</w:t>
      </w:r>
    </w:p>
    <w:p w14:paraId="70BBD100" w14:textId="01988E4B" w:rsidR="00654422" w:rsidRDefault="00CD4878" w:rsidP="00352A57">
      <w:r>
        <w:t>Test</w:t>
      </w:r>
      <w:r w:rsidR="00C60AA0">
        <w:t xml:space="preserve">s required </w:t>
      </w:r>
      <w:r w:rsidR="0029231B">
        <w:t xml:space="preserve">before patients would be eligible for Yescarta are not materially different to those currently performed as part of routine management of R/R </w:t>
      </w:r>
      <w:r w:rsidR="00703737">
        <w:t>FL</w:t>
      </w:r>
      <w:r w:rsidR="00E22381">
        <w:t xml:space="preserve">, notably </w:t>
      </w:r>
      <w:r w:rsidR="00E0194D">
        <w:t>physical examination and pathological assessments of blood samples, with and CT imaging performed if clinically indicated.</w:t>
      </w:r>
    </w:p>
    <w:p w14:paraId="4131E93D" w14:textId="6B99402F" w:rsidR="005E1CFB" w:rsidRDefault="0090168B" w:rsidP="001E1797">
      <w:pPr>
        <w:pStyle w:val="Heading2"/>
        <w:rPr>
          <w:bCs/>
        </w:rPr>
      </w:pPr>
      <w:r>
        <w:t xml:space="preserve">Is there any expectation that the clinical management algorithm </w:t>
      </w:r>
      <w:r w:rsidRPr="00B10A36">
        <w:rPr>
          <w:i/>
          <w:iCs/>
        </w:rPr>
        <w:t>before</w:t>
      </w:r>
      <w:r>
        <w:t xml:space="preserve"> the health technology is used will change due to the introduction of the </w:t>
      </w:r>
      <w:r w:rsidRPr="00DD0A06">
        <w:rPr>
          <w:u w:val="single"/>
        </w:rPr>
        <w:t>proposed health technology</w:t>
      </w:r>
      <w:r w:rsidR="005E1CFB">
        <w:t>?</w:t>
      </w:r>
    </w:p>
    <w:p w14:paraId="1546906F" w14:textId="65DDA15A" w:rsidR="005E1CFB" w:rsidRDefault="005E1CFB" w:rsidP="001E1797">
      <w:r>
        <w:t>No</w:t>
      </w:r>
    </w:p>
    <w:p w14:paraId="0EA69E70" w14:textId="197A83F7" w:rsidR="005E1CFB" w:rsidRPr="001E1797" w:rsidRDefault="0090168B" w:rsidP="001E1797">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6F3E419" w14:textId="3B4FF445" w:rsidR="00BE6B22" w:rsidRPr="001E1797" w:rsidRDefault="00C82C74" w:rsidP="001E1797">
      <w:pPr>
        <w:rPr>
          <w:rFonts w:asciiTheme="minorHAnsi" w:eastAsia="Segoe UI" w:hAnsiTheme="minorHAnsi" w:cstheme="minorHAnsi"/>
          <w:color w:val="000000"/>
        </w:rPr>
      </w:pPr>
      <w:r>
        <w:t>Not applicable</w:t>
      </w:r>
    </w:p>
    <w:p w14:paraId="2AEB8C28" w14:textId="120A4CD4" w:rsidR="00F16239" w:rsidRPr="001E1797" w:rsidRDefault="00F16239" w:rsidP="001E1797">
      <w:pPr>
        <w:pStyle w:val="Heading2"/>
        <w:rPr>
          <w:u w:val="single"/>
        </w:rPr>
      </w:pPr>
      <w:r w:rsidRPr="001E1797">
        <w:rPr>
          <w:u w:val="single"/>
        </w:rPr>
        <w:t>Use of the health technology</w:t>
      </w:r>
    </w:p>
    <w:p w14:paraId="7C130FEF" w14:textId="30322234" w:rsidR="0090168B" w:rsidRPr="001E1797" w:rsidRDefault="00F16239" w:rsidP="001E1797">
      <w:pPr>
        <w:pStyle w:val="Heading2"/>
      </w:pPr>
      <w:r>
        <w:t xml:space="preserve">Explain what other healthcare resources are used in conjunction with delivering the </w:t>
      </w:r>
      <w:r w:rsidRPr="00DD0A06">
        <w:rPr>
          <w:u w:val="single"/>
        </w:rPr>
        <w:t>proposed health technology</w:t>
      </w:r>
      <w:r w:rsidR="0090168B">
        <w:t>:</w:t>
      </w:r>
    </w:p>
    <w:p w14:paraId="2CDE65B5" w14:textId="745302CA" w:rsidR="00FD01CB" w:rsidRDefault="009E1EC8" w:rsidP="00FD01CB">
      <w:r>
        <w:t>P</w:t>
      </w:r>
      <w:r w:rsidR="00FD01CB" w:rsidRPr="006D7D7E">
        <w:t xml:space="preserve">atients are treated with </w:t>
      </w:r>
      <w:r w:rsidR="00F3385A" w:rsidRPr="006D7D7E">
        <w:t>low dose</w:t>
      </w:r>
      <w:r w:rsidR="00FD01CB" w:rsidRPr="006D7D7E">
        <w:t xml:space="preserve"> lymphodepleting chemotherapy</w:t>
      </w:r>
      <w:r>
        <w:t xml:space="preserve"> p</w:t>
      </w:r>
      <w:r w:rsidRPr="006D7D7E">
        <w:t>rior to infusion</w:t>
      </w:r>
      <w:r>
        <w:t xml:space="preserve"> with </w:t>
      </w:r>
      <w:proofErr w:type="spellStart"/>
      <w:r>
        <w:t>Yescarta</w:t>
      </w:r>
      <w:proofErr w:type="spellEnd"/>
      <w:r w:rsidR="003A2ED3">
        <w:t xml:space="preserve">. This regimen </w:t>
      </w:r>
      <w:r w:rsidR="00FD01CB" w:rsidRPr="006D7D7E">
        <w:t xml:space="preserve">consists of fludarabine (30 mg/m2/day) plus cyclophosphamide (500 mg/m2/day) for </w:t>
      </w:r>
      <w:r w:rsidR="00E22C4A">
        <w:t>3</w:t>
      </w:r>
      <w:r w:rsidR="00FD01CB" w:rsidRPr="006D7D7E">
        <w:t xml:space="preserve"> days (on the fifth, fourth, and third day before the infusion of </w:t>
      </w:r>
      <w:r w:rsidR="00FD01CB">
        <w:t>Yescarta</w:t>
      </w:r>
      <w:r w:rsidR="00FD01CB" w:rsidRPr="006D7D7E">
        <w:t xml:space="preserve"> at Day 0)</w:t>
      </w:r>
      <w:r w:rsidR="00FD01CB">
        <w:t>.</w:t>
      </w:r>
    </w:p>
    <w:p w14:paraId="2E2B63A2" w14:textId="323CE7AF" w:rsidR="00300F90" w:rsidRPr="006D7D7E" w:rsidRDefault="00AA4812" w:rsidP="00FD01CB">
      <w:r>
        <w:t>P</w:t>
      </w:r>
      <w:r w:rsidR="00F706AF">
        <w:t xml:space="preserve">atients would remain hospitalised </w:t>
      </w:r>
      <w:r w:rsidR="007E61CA">
        <w:t xml:space="preserve">for observation for </w:t>
      </w:r>
      <w:r w:rsidR="00A47DF5">
        <w:t>a minimum of 7 days</w:t>
      </w:r>
      <w:r>
        <w:t xml:space="preserve"> after infusion with Yescarta</w:t>
      </w:r>
      <w:r w:rsidR="00EA168E">
        <w:t>.</w:t>
      </w:r>
    </w:p>
    <w:p w14:paraId="38D2ADE7" w14:textId="3A9F5BCC" w:rsidR="0090168B" w:rsidRPr="001E1797" w:rsidRDefault="00F16239" w:rsidP="00490226">
      <w:pPr>
        <w:pStyle w:val="Heading2"/>
        <w:keepNext/>
        <w:keepLines/>
      </w:pPr>
      <w:r>
        <w:t xml:space="preserve">Explain what other healthcare resources are used in conjunction with the </w:t>
      </w:r>
      <w:r w:rsidRPr="00DD0A06">
        <w:rPr>
          <w:u w:val="single"/>
        </w:rPr>
        <w:t>comparator health technology</w:t>
      </w:r>
      <w:r w:rsidR="0090168B">
        <w:t>:</w:t>
      </w:r>
    </w:p>
    <w:p w14:paraId="4151B2DB" w14:textId="6F7585F4" w:rsidR="0090168B" w:rsidRPr="001E1797" w:rsidRDefault="00EE14D3" w:rsidP="00490226">
      <w:pPr>
        <w:keepNext/>
        <w:keepLines/>
        <w:rPr>
          <w:rFonts w:asciiTheme="minorHAnsi" w:eastAsia="Segoe UI" w:hAnsiTheme="minorHAnsi" w:cstheme="minorHAnsi"/>
          <w:color w:val="000000"/>
        </w:rPr>
      </w:pPr>
      <w:r>
        <w:t xml:space="preserve">SoC requires administration by intravenous infusion. This would </w:t>
      </w:r>
      <w:r w:rsidR="00455D3C">
        <w:t>take place in outpatient clinics</w:t>
      </w:r>
      <w:r w:rsidR="007D21DB">
        <w:t xml:space="preserve"> and is funded through MBS item </w:t>
      </w:r>
      <w:r w:rsidR="000366D3">
        <w:t>13950</w:t>
      </w:r>
      <w:r w:rsidR="00E44F28">
        <w:t>.</w:t>
      </w:r>
    </w:p>
    <w:p w14:paraId="378F78D9" w14:textId="7B2FB017" w:rsidR="00F16239" w:rsidRPr="001E1797" w:rsidRDefault="00F16239" w:rsidP="001E1797">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3A6ABB1C" w14:textId="77777777" w:rsidR="00643895" w:rsidRDefault="00EE73A2" w:rsidP="001E1797">
      <w:r>
        <w:t>The obje</w:t>
      </w:r>
      <w:r w:rsidR="003C67DA">
        <w:t xml:space="preserve">ctive of administering lymphodepleting chemotherapy is to create and optimal environment for the </w:t>
      </w:r>
      <w:r w:rsidR="00946B95">
        <w:t xml:space="preserve">in vivo expansion of </w:t>
      </w:r>
      <w:r w:rsidR="00643895">
        <w:t>anti-CD19 CAR-T cells.</w:t>
      </w:r>
    </w:p>
    <w:p w14:paraId="0FB4A2A4" w14:textId="2742894C" w:rsidR="00FA7BA1" w:rsidRDefault="00457A5C" w:rsidP="001E1797">
      <w:r>
        <w:lastRenderedPageBreak/>
        <w:t xml:space="preserve">CAR-T therapies (including Yescarta) are associated with increased risk of patients </w:t>
      </w:r>
      <w:r w:rsidR="00177195">
        <w:t>developing cytokine re</w:t>
      </w:r>
      <w:r w:rsidR="00A56E5F">
        <w:t>l</w:t>
      </w:r>
      <w:r w:rsidR="00177195">
        <w:t>ease syndrome and neurological events.</w:t>
      </w:r>
      <w:r w:rsidR="00C54CD8">
        <w:t xml:space="preserve"> These typically manifest themselves </w:t>
      </w:r>
      <w:r w:rsidR="009C17FB">
        <w:t xml:space="preserve">3-6 days following CAR-T cell infusion </w:t>
      </w:r>
      <w:r w:rsidR="00D504AA">
        <w:t>{</w:t>
      </w:r>
      <w:proofErr w:type="spellStart"/>
      <w:r w:rsidR="00D504AA">
        <w:t>Penack</w:t>
      </w:r>
      <w:proofErr w:type="spellEnd"/>
      <w:r w:rsidR="00D504AA">
        <w:t>, 2020 #1212}</w:t>
      </w:r>
      <w:r w:rsidR="00E71267">
        <w:t xml:space="preserve">. This </w:t>
      </w:r>
      <w:r w:rsidR="009C17FB">
        <w:t xml:space="preserve">is the </w:t>
      </w:r>
      <w:r w:rsidR="00780F3F">
        <w:t xml:space="preserve">basis the minimum </w:t>
      </w:r>
      <w:proofErr w:type="gramStart"/>
      <w:r w:rsidR="00780F3F">
        <w:t>7 day</w:t>
      </w:r>
      <w:proofErr w:type="gramEnd"/>
      <w:r w:rsidR="00780F3F">
        <w:t xml:space="preserve"> period of hospital administration </w:t>
      </w:r>
      <w:r w:rsidR="00FA7BA1">
        <w:t>following administration with Yescarta.</w:t>
      </w:r>
    </w:p>
    <w:p w14:paraId="119904D8" w14:textId="5DDD639A" w:rsidR="00FA7BA1" w:rsidRDefault="00FA7BA1" w:rsidP="001E1797">
      <w:r>
        <w:t xml:space="preserve">The difference in the mechanism of action between Yescarta (CAR-T therapy) and </w:t>
      </w:r>
      <w:r w:rsidR="00B0455B">
        <w:t xml:space="preserve">comparator treatment (systemic therapies with </w:t>
      </w:r>
      <w:r w:rsidR="00F3385A">
        <w:t>non-CAR</w:t>
      </w:r>
      <w:r w:rsidR="00B0455B">
        <w:t>-T mechanisms of action) is the reason wh</w:t>
      </w:r>
      <w:r w:rsidR="002767B5">
        <w:t xml:space="preserve">y </w:t>
      </w:r>
      <w:r w:rsidR="00BB5589">
        <w:t xml:space="preserve">for the </w:t>
      </w:r>
      <w:r w:rsidR="002767B5">
        <w:t>difference</w:t>
      </w:r>
      <w:r w:rsidR="00BB5589">
        <w:t xml:space="preserve"> </w:t>
      </w:r>
      <w:r w:rsidR="002767B5">
        <w:t>in healthcare resources using in conjunction with Yesc</w:t>
      </w:r>
      <w:r w:rsidR="00BB5589">
        <w:t>arta vs the comparator.</w:t>
      </w:r>
    </w:p>
    <w:p w14:paraId="2BE17ED5" w14:textId="6F834987" w:rsidR="00F16239" w:rsidRPr="001E1797" w:rsidRDefault="00DD0A06" w:rsidP="001E1797">
      <w:pPr>
        <w:pStyle w:val="Heading2"/>
        <w:rPr>
          <w:u w:val="single"/>
        </w:rPr>
      </w:pPr>
      <w:r w:rsidRPr="001E1797">
        <w:rPr>
          <w:u w:val="single"/>
        </w:rPr>
        <w:t>Clinical management after the use of</w:t>
      </w:r>
      <w:r w:rsidR="00F16239" w:rsidRPr="001E1797">
        <w:rPr>
          <w:u w:val="single"/>
        </w:rPr>
        <w:t xml:space="preserve"> health technology</w:t>
      </w:r>
    </w:p>
    <w:p w14:paraId="3017C87B" w14:textId="1AA8C4E5" w:rsidR="00F16239" w:rsidRPr="001E1797" w:rsidRDefault="00F16239" w:rsidP="001E1797">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35B78F9C" w14:textId="7EE9B7B8" w:rsidR="00352A57" w:rsidRDefault="00D82407" w:rsidP="007710DF">
      <w:r>
        <w:t xml:space="preserve">Following the administration of Yescarta and completion of the </w:t>
      </w:r>
      <w:r w:rsidR="005061ED">
        <w:t xml:space="preserve">minimum </w:t>
      </w:r>
      <w:proofErr w:type="gramStart"/>
      <w:r w:rsidR="005061ED">
        <w:t>7 day</w:t>
      </w:r>
      <w:proofErr w:type="gramEnd"/>
      <w:r w:rsidR="005061ED">
        <w:t xml:space="preserve"> period of hospitalisation for observation, patients would be discharged an</w:t>
      </w:r>
      <w:r w:rsidR="0074696F">
        <w:t>d</w:t>
      </w:r>
      <w:r w:rsidR="005061ED">
        <w:t xml:space="preserve"> </w:t>
      </w:r>
      <w:r w:rsidR="0074696F">
        <w:t xml:space="preserve">followed-up </w:t>
      </w:r>
      <w:r w:rsidR="008D2CC3">
        <w:t>in an outpatient setting.</w:t>
      </w:r>
    </w:p>
    <w:p w14:paraId="2C4A2C03" w14:textId="09D07683" w:rsidR="00601993" w:rsidRDefault="00B67E94" w:rsidP="00601993">
      <w:r>
        <w:t xml:space="preserve">Follow-up investigations include </w:t>
      </w:r>
      <w:r w:rsidR="00601993">
        <w:t>physical examination and pathological assessments of blood samples, with and CT imaging performed if clinically indicated.</w:t>
      </w:r>
    </w:p>
    <w:p w14:paraId="09165252" w14:textId="3953866E" w:rsidR="00F16239" w:rsidRPr="001E1797" w:rsidRDefault="00F16239" w:rsidP="001E1797">
      <w:pPr>
        <w:rPr>
          <w:rStyle w:val="Heading2Char"/>
        </w:rPr>
      </w:pPr>
      <w:r w:rsidRPr="001E1797">
        <w:rPr>
          <w:rStyle w:val="Heading2Char"/>
        </w:rPr>
        <w:t>Define and summarise the clinical management algorithm, including any required tests or healthcare resources, after the use of the comparator health technology:</w:t>
      </w:r>
    </w:p>
    <w:p w14:paraId="3D124729" w14:textId="73F59C53" w:rsidR="009A0EB4" w:rsidRDefault="009A0EB4" w:rsidP="009A0EB4">
      <w:r>
        <w:t xml:space="preserve">The management and healthcare resource use </w:t>
      </w:r>
      <w:r w:rsidR="00023C6B">
        <w:t xml:space="preserve">for </w:t>
      </w:r>
      <w:r>
        <w:t>patients being followed-up after treatment with the comparator is not materially different to those us</w:t>
      </w:r>
      <w:r w:rsidR="00A67D91">
        <w:t xml:space="preserve">ed after treatment with </w:t>
      </w:r>
      <w:r>
        <w:t>Yescarta.</w:t>
      </w:r>
      <w:r w:rsidR="00A67D91">
        <w:t xml:space="preserve"> That is, </w:t>
      </w:r>
      <w:r w:rsidR="00F378E6">
        <w:t>f</w:t>
      </w:r>
      <w:r>
        <w:t xml:space="preserve">ollow-up investigations </w:t>
      </w:r>
      <w:r w:rsidR="0076353F">
        <w:t>are</w:t>
      </w:r>
      <w:r>
        <w:t xml:space="preserve"> physical examination and pathological assessments of blood samples, with and CT imaging performed if clinically indicated.</w:t>
      </w:r>
    </w:p>
    <w:p w14:paraId="5C871695" w14:textId="77131435" w:rsidR="00F16239" w:rsidRPr="001E1797" w:rsidRDefault="00F16239" w:rsidP="001E1797">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1EE2B4EC" w14:textId="055ACD44" w:rsidR="0090168B" w:rsidRPr="001F6E45" w:rsidRDefault="00F378E6" w:rsidP="001E1797">
      <w:pPr>
        <w:rPr>
          <w:rFonts w:asciiTheme="minorHAnsi" w:eastAsia="Segoe UI" w:hAnsiTheme="minorHAnsi" w:cstheme="minorHAnsi"/>
          <w:color w:val="000000"/>
        </w:rPr>
      </w:pPr>
      <w:r>
        <w:t>No material differences</w:t>
      </w:r>
    </w:p>
    <w:p w14:paraId="0EB5EB03" w14:textId="425995E0" w:rsidR="005837E9" w:rsidRPr="001F6E45" w:rsidRDefault="00F47AFE" w:rsidP="001F6E45">
      <w:pPr>
        <w:pStyle w:val="Heading2"/>
      </w:pPr>
      <w:r>
        <w:t xml:space="preserve">Insert </w:t>
      </w:r>
      <w:r w:rsidR="00545A4C">
        <w:t>diagrams demonstrating the clinical management algorithm with and without the proposed health technology:</w:t>
      </w:r>
    </w:p>
    <w:p w14:paraId="27E22BC6" w14:textId="71404355" w:rsidR="00F16239" w:rsidRDefault="00C96E92" w:rsidP="001E1797">
      <w:r w:rsidRPr="001F6E45">
        <w:rPr>
          <w:b/>
          <w:i/>
          <w:iCs/>
        </w:rPr>
        <w:t>Note:</w:t>
      </w:r>
      <w:r w:rsidRPr="001F6E45">
        <w:rPr>
          <w:i/>
          <w:iCs/>
        </w:rPr>
        <w:t xml:space="preserve"> </w:t>
      </w:r>
      <w:r w:rsidR="00545A4C" w:rsidRPr="001F6E45">
        <w:rPr>
          <w:i/>
          <w:iCs/>
        </w:rPr>
        <w:t>Please ensure that the diagrams provided do not contain information under copyright</w:t>
      </w:r>
      <w:r w:rsidR="00545A4C">
        <w:t>.</w:t>
      </w:r>
    </w:p>
    <w:p w14:paraId="3C131F35" w14:textId="159A0FF9" w:rsidR="00772593" w:rsidRDefault="00DF6916" w:rsidP="00640DB8">
      <w:pPr>
        <w:pStyle w:val="Caption"/>
        <w:keepNext/>
        <w:keepLines/>
        <w:rPr>
          <w:b/>
          <w:bCs/>
          <w:i w:val="0"/>
          <w:iCs w:val="0"/>
          <w:color w:val="auto"/>
          <w:sz w:val="22"/>
          <w:szCs w:val="22"/>
        </w:rPr>
      </w:pPr>
      <w:r w:rsidRPr="00640DB8">
        <w:rPr>
          <w:b/>
          <w:bCs/>
          <w:i w:val="0"/>
          <w:iCs w:val="0"/>
          <w:color w:val="auto"/>
          <w:sz w:val="22"/>
          <w:szCs w:val="22"/>
        </w:rPr>
        <w:lastRenderedPageBreak/>
        <w:t xml:space="preserve">Figure </w:t>
      </w:r>
      <w:r w:rsidRPr="00640DB8">
        <w:rPr>
          <w:b/>
          <w:bCs/>
          <w:i w:val="0"/>
          <w:iCs w:val="0"/>
          <w:color w:val="auto"/>
          <w:sz w:val="22"/>
          <w:szCs w:val="22"/>
        </w:rPr>
        <w:fldChar w:fldCharType="begin"/>
      </w:r>
      <w:r w:rsidRPr="00640DB8">
        <w:rPr>
          <w:b/>
          <w:bCs/>
          <w:i w:val="0"/>
          <w:iCs w:val="0"/>
          <w:color w:val="auto"/>
          <w:sz w:val="22"/>
          <w:szCs w:val="22"/>
        </w:rPr>
        <w:instrText xml:space="preserve"> SEQ Figure \* ARABIC </w:instrText>
      </w:r>
      <w:r w:rsidRPr="00640DB8">
        <w:rPr>
          <w:b/>
          <w:bCs/>
          <w:i w:val="0"/>
          <w:iCs w:val="0"/>
          <w:color w:val="auto"/>
          <w:sz w:val="22"/>
          <w:szCs w:val="22"/>
        </w:rPr>
        <w:fldChar w:fldCharType="separate"/>
      </w:r>
      <w:r w:rsidR="008B21F4">
        <w:rPr>
          <w:b/>
          <w:bCs/>
          <w:i w:val="0"/>
          <w:iCs w:val="0"/>
          <w:noProof/>
          <w:color w:val="auto"/>
          <w:sz w:val="22"/>
          <w:szCs w:val="22"/>
        </w:rPr>
        <w:t>2</w:t>
      </w:r>
      <w:r w:rsidRPr="00640DB8">
        <w:rPr>
          <w:b/>
          <w:bCs/>
          <w:i w:val="0"/>
          <w:iCs w:val="0"/>
          <w:color w:val="auto"/>
          <w:sz w:val="22"/>
          <w:szCs w:val="22"/>
        </w:rPr>
        <w:fldChar w:fldCharType="end"/>
      </w:r>
      <w:r w:rsidRPr="00640DB8">
        <w:rPr>
          <w:b/>
          <w:bCs/>
          <w:i w:val="0"/>
          <w:iCs w:val="0"/>
          <w:color w:val="auto"/>
          <w:sz w:val="22"/>
          <w:szCs w:val="22"/>
        </w:rPr>
        <w:t>:</w:t>
      </w:r>
      <w:r w:rsidR="00772593" w:rsidRPr="00640DB8">
        <w:rPr>
          <w:b/>
          <w:bCs/>
          <w:i w:val="0"/>
          <w:iCs w:val="0"/>
          <w:color w:val="auto"/>
          <w:sz w:val="22"/>
          <w:szCs w:val="22"/>
        </w:rPr>
        <w:t xml:space="preserve"> Clinical management algorithm without Yescarta</w:t>
      </w:r>
    </w:p>
    <w:p w14:paraId="5090D58F" w14:textId="239C7ADC" w:rsidR="00E61FF1" w:rsidRPr="00E61FF1" w:rsidRDefault="00DC4F74" w:rsidP="00E61FF1">
      <w:r>
        <w:rPr>
          <w:noProof/>
        </w:rPr>
        <w:drawing>
          <wp:inline distT="0" distB="0" distL="0" distR="0" wp14:anchorId="66AE3562" wp14:editId="31947A7B">
            <wp:extent cx="5078153" cy="3600000"/>
            <wp:effectExtent l="0" t="0" r="8255" b="635"/>
            <wp:docPr id="680946272" name="Picture 1" descr="Figure 2: Clinical management algorithm without Yes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46272" name="Picture 1" descr="Figure 2: Clinical management algorithm without Yescar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8153" cy="3600000"/>
                    </a:xfrm>
                    <a:prstGeom prst="rect">
                      <a:avLst/>
                    </a:prstGeom>
                    <a:noFill/>
                    <a:ln>
                      <a:noFill/>
                    </a:ln>
                  </pic:spPr>
                </pic:pic>
              </a:graphicData>
            </a:graphic>
          </wp:inline>
        </w:drawing>
      </w:r>
    </w:p>
    <w:p w14:paraId="2904F25C" w14:textId="4F03640D" w:rsidR="00640DB8" w:rsidRDefault="00640DB8" w:rsidP="00640DB8">
      <w:pPr>
        <w:pStyle w:val="Caption"/>
        <w:keepNext/>
        <w:keepLines/>
        <w:rPr>
          <w:b/>
          <w:bCs/>
          <w:i w:val="0"/>
          <w:iCs w:val="0"/>
          <w:color w:val="auto"/>
          <w:sz w:val="22"/>
          <w:szCs w:val="22"/>
        </w:rPr>
      </w:pPr>
      <w:r w:rsidRPr="00640DB8">
        <w:rPr>
          <w:b/>
          <w:bCs/>
          <w:i w:val="0"/>
          <w:iCs w:val="0"/>
          <w:color w:val="auto"/>
          <w:sz w:val="22"/>
          <w:szCs w:val="22"/>
        </w:rPr>
        <w:t xml:space="preserve">Figure </w:t>
      </w:r>
      <w:r w:rsidRPr="00640DB8">
        <w:rPr>
          <w:b/>
          <w:bCs/>
          <w:i w:val="0"/>
          <w:iCs w:val="0"/>
          <w:color w:val="auto"/>
          <w:sz w:val="22"/>
          <w:szCs w:val="22"/>
        </w:rPr>
        <w:fldChar w:fldCharType="begin"/>
      </w:r>
      <w:r w:rsidRPr="00640DB8">
        <w:rPr>
          <w:b/>
          <w:bCs/>
          <w:i w:val="0"/>
          <w:iCs w:val="0"/>
          <w:color w:val="auto"/>
          <w:sz w:val="22"/>
          <w:szCs w:val="22"/>
        </w:rPr>
        <w:instrText xml:space="preserve"> SEQ Figure \* ARABIC </w:instrText>
      </w:r>
      <w:r w:rsidRPr="00640DB8">
        <w:rPr>
          <w:b/>
          <w:bCs/>
          <w:i w:val="0"/>
          <w:iCs w:val="0"/>
          <w:color w:val="auto"/>
          <w:sz w:val="22"/>
          <w:szCs w:val="22"/>
        </w:rPr>
        <w:fldChar w:fldCharType="separate"/>
      </w:r>
      <w:r w:rsidR="008B21F4">
        <w:rPr>
          <w:b/>
          <w:bCs/>
          <w:i w:val="0"/>
          <w:iCs w:val="0"/>
          <w:noProof/>
          <w:color w:val="auto"/>
          <w:sz w:val="22"/>
          <w:szCs w:val="22"/>
        </w:rPr>
        <w:t>3</w:t>
      </w:r>
      <w:r w:rsidRPr="00640DB8">
        <w:rPr>
          <w:b/>
          <w:bCs/>
          <w:i w:val="0"/>
          <w:iCs w:val="0"/>
          <w:color w:val="auto"/>
          <w:sz w:val="22"/>
          <w:szCs w:val="22"/>
        </w:rPr>
        <w:fldChar w:fldCharType="end"/>
      </w:r>
      <w:r w:rsidRPr="00640DB8">
        <w:rPr>
          <w:b/>
          <w:bCs/>
          <w:i w:val="0"/>
          <w:iCs w:val="0"/>
          <w:color w:val="auto"/>
          <w:sz w:val="22"/>
          <w:szCs w:val="22"/>
        </w:rPr>
        <w:t>: Clinical management algorithm with</w:t>
      </w:r>
      <w:r>
        <w:rPr>
          <w:b/>
          <w:bCs/>
          <w:i w:val="0"/>
          <w:iCs w:val="0"/>
          <w:color w:val="auto"/>
          <w:sz w:val="22"/>
          <w:szCs w:val="22"/>
        </w:rPr>
        <w:t xml:space="preserve"> </w:t>
      </w:r>
      <w:r w:rsidRPr="00640DB8">
        <w:rPr>
          <w:b/>
          <w:bCs/>
          <w:i w:val="0"/>
          <w:iCs w:val="0"/>
          <w:color w:val="auto"/>
          <w:sz w:val="22"/>
          <w:szCs w:val="22"/>
        </w:rPr>
        <w:t>Yescarta</w:t>
      </w:r>
    </w:p>
    <w:p w14:paraId="205796D9" w14:textId="6C0D7F15" w:rsidR="00DC4F74" w:rsidRPr="00DC4F74" w:rsidRDefault="00DC4F74" w:rsidP="00DC4F74">
      <w:r>
        <w:rPr>
          <w:noProof/>
        </w:rPr>
        <w:drawing>
          <wp:inline distT="0" distB="0" distL="0" distR="0" wp14:anchorId="1977C8DC" wp14:editId="4BE3E0C0">
            <wp:extent cx="5725073" cy="3600000"/>
            <wp:effectExtent l="0" t="0" r="9525" b="635"/>
            <wp:docPr id="357985213" name="Picture 2" descr="Figure 3: Clinical management algorithm with Yes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85213" name="Picture 2" descr="Figure 3: Clinical management algorithm with Yescart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073" cy="3600000"/>
                    </a:xfrm>
                    <a:prstGeom prst="rect">
                      <a:avLst/>
                    </a:prstGeom>
                    <a:noFill/>
                    <a:ln>
                      <a:noFill/>
                    </a:ln>
                  </pic:spPr>
                </pic:pic>
              </a:graphicData>
            </a:graphic>
          </wp:inline>
        </w:drawing>
      </w:r>
    </w:p>
    <w:p w14:paraId="7166C612" w14:textId="1D15EB17" w:rsidR="00C56E25" w:rsidRPr="00C56E25" w:rsidRDefault="00C56E25" w:rsidP="00C56E25"/>
    <w:p w14:paraId="788A9061" w14:textId="7ACF48DB" w:rsidR="001F6E45" w:rsidRDefault="001F6E45" w:rsidP="001E1797">
      <w:pPr>
        <w:rPr>
          <w:highlight w:val="lightGray"/>
        </w:rPr>
        <w:sectPr w:rsidR="001F6E45" w:rsidSect="00F24F33">
          <w:headerReference w:type="even" r:id="rId16"/>
          <w:headerReference w:type="default" r:id="rId17"/>
          <w:footerReference w:type="even" r:id="rId18"/>
          <w:footerReference w:type="default" r:id="rId19"/>
          <w:headerReference w:type="first" r:id="rId20"/>
          <w:footerReference w:type="first" r:id="rId21"/>
          <w:pgSz w:w="11906" w:h="16838"/>
          <w:pgMar w:top="1440" w:right="991" w:bottom="1135" w:left="1440" w:header="426" w:footer="252" w:gutter="0"/>
          <w:pgNumType w:start="0"/>
          <w:cols w:space="708"/>
          <w:titlePg/>
          <w:docGrid w:linePitch="360"/>
        </w:sectPr>
      </w:pPr>
    </w:p>
    <w:p w14:paraId="35748A2C" w14:textId="77777777" w:rsidR="00500DB6" w:rsidRPr="00B277DA" w:rsidRDefault="00500DB6" w:rsidP="00500DB6">
      <w:pPr>
        <w:rPr>
          <w:b/>
          <w:bCs/>
          <w:sz w:val="32"/>
          <w:szCs w:val="32"/>
        </w:rPr>
      </w:pPr>
      <w:r w:rsidRPr="00B277DA">
        <w:rPr>
          <w:b/>
          <w:bCs/>
          <w:sz w:val="32"/>
          <w:szCs w:val="32"/>
        </w:rPr>
        <w:lastRenderedPageBreak/>
        <w:t>Summary of Evidence</w:t>
      </w:r>
    </w:p>
    <w:p w14:paraId="52E59459" w14:textId="77777777" w:rsidR="00500DB6" w:rsidRPr="00B277DA" w:rsidRDefault="00500DB6" w:rsidP="00500DB6">
      <w:pPr>
        <w:rPr>
          <w:b/>
          <w:bCs/>
        </w:rPr>
      </w:pPr>
      <w:r w:rsidRPr="00B277DA">
        <w:rPr>
          <w:b/>
          <w:bCs/>
        </w:rPr>
        <w:t>Provide one or more recent (published) high quality clinical studies that support use of the proposed health service/technology.</w:t>
      </w:r>
    </w:p>
    <w:tbl>
      <w:tblPr>
        <w:tblStyle w:val="TableGrid"/>
        <w:tblW w:w="14408" w:type="dxa"/>
        <w:tblInd w:w="-5" w:type="dxa"/>
        <w:tblLayout w:type="fixed"/>
        <w:tblLook w:val="04A0" w:firstRow="1" w:lastRow="0" w:firstColumn="1" w:lastColumn="0" w:noHBand="0" w:noVBand="1"/>
        <w:tblCaption w:val="Summary of Evidence - Published"/>
        <w:tblDescription w:val="Recent (published) high quality clinical studies that support use of the proposed health service/technology"/>
      </w:tblPr>
      <w:tblGrid>
        <w:gridCol w:w="530"/>
        <w:gridCol w:w="2774"/>
        <w:gridCol w:w="2774"/>
        <w:gridCol w:w="3005"/>
        <w:gridCol w:w="2774"/>
        <w:gridCol w:w="2551"/>
      </w:tblGrid>
      <w:tr w:rsidR="00500DB6" w:rsidRPr="00D127A9" w14:paraId="610C0CB5" w14:textId="77777777" w:rsidTr="00425519">
        <w:trPr>
          <w:cantSplit/>
          <w:tblHeader/>
        </w:trPr>
        <w:tc>
          <w:tcPr>
            <w:tcW w:w="530" w:type="dxa"/>
          </w:tcPr>
          <w:p w14:paraId="4C78F66B" w14:textId="77777777" w:rsidR="00500DB6" w:rsidRPr="00D127A9" w:rsidRDefault="00500DB6" w:rsidP="00425519">
            <w:pPr>
              <w:spacing w:after="160" w:line="259" w:lineRule="auto"/>
              <w:rPr>
                <w:b/>
                <w:sz w:val="20"/>
                <w:szCs w:val="20"/>
              </w:rPr>
            </w:pPr>
          </w:p>
          <w:p w14:paraId="579249C6" w14:textId="77777777" w:rsidR="00500DB6" w:rsidRPr="00D127A9" w:rsidRDefault="00500DB6" w:rsidP="00425519">
            <w:pPr>
              <w:spacing w:after="160" w:line="259" w:lineRule="auto"/>
              <w:rPr>
                <w:sz w:val="20"/>
                <w:szCs w:val="20"/>
              </w:rPr>
            </w:pPr>
          </w:p>
        </w:tc>
        <w:tc>
          <w:tcPr>
            <w:tcW w:w="2774" w:type="dxa"/>
          </w:tcPr>
          <w:p w14:paraId="22252825" w14:textId="77777777" w:rsidR="00500DB6" w:rsidRPr="00D127A9" w:rsidRDefault="00500DB6" w:rsidP="00425519">
            <w:pPr>
              <w:spacing w:after="160" w:line="259" w:lineRule="auto"/>
              <w:rPr>
                <w:b/>
                <w:bCs/>
                <w:sz w:val="20"/>
                <w:szCs w:val="20"/>
              </w:rPr>
            </w:pPr>
            <w:r w:rsidRPr="00D127A9">
              <w:rPr>
                <w:b/>
                <w:bCs/>
                <w:sz w:val="20"/>
                <w:szCs w:val="20"/>
              </w:rPr>
              <w:t>Type of study design*</w:t>
            </w:r>
          </w:p>
        </w:tc>
        <w:tc>
          <w:tcPr>
            <w:tcW w:w="2774" w:type="dxa"/>
          </w:tcPr>
          <w:p w14:paraId="0681C68C" w14:textId="77777777" w:rsidR="00500DB6" w:rsidRPr="00D127A9" w:rsidRDefault="00500DB6" w:rsidP="00425519">
            <w:pPr>
              <w:spacing w:after="160" w:line="259" w:lineRule="auto"/>
              <w:rPr>
                <w:b/>
                <w:bCs/>
                <w:sz w:val="20"/>
                <w:szCs w:val="20"/>
              </w:rPr>
            </w:pPr>
            <w:r w:rsidRPr="00D127A9">
              <w:rPr>
                <w:b/>
                <w:bCs/>
                <w:sz w:val="20"/>
                <w:szCs w:val="20"/>
              </w:rPr>
              <w:t>Title of journal article or research project (including any trial identifier or study lead if relevant)</w:t>
            </w:r>
          </w:p>
        </w:tc>
        <w:tc>
          <w:tcPr>
            <w:tcW w:w="3005" w:type="dxa"/>
          </w:tcPr>
          <w:p w14:paraId="3BAA97B1" w14:textId="77777777" w:rsidR="00500DB6" w:rsidRPr="00D127A9" w:rsidRDefault="00500DB6" w:rsidP="00425519">
            <w:pPr>
              <w:spacing w:after="160" w:line="259" w:lineRule="auto"/>
              <w:rPr>
                <w:b/>
                <w:bCs/>
                <w:sz w:val="20"/>
                <w:szCs w:val="20"/>
              </w:rPr>
            </w:pPr>
            <w:r w:rsidRPr="00D127A9">
              <w:rPr>
                <w:b/>
                <w:bCs/>
                <w:sz w:val="20"/>
                <w:szCs w:val="20"/>
              </w:rPr>
              <w:t xml:space="preserve">Short description of research (max 50 </w:t>
            </w:r>
            <w:proofErr w:type="gramStart"/>
            <w:r w:rsidRPr="00D127A9">
              <w:rPr>
                <w:b/>
                <w:bCs/>
                <w:sz w:val="20"/>
                <w:szCs w:val="20"/>
              </w:rPr>
              <w:t>words)*</w:t>
            </w:r>
            <w:proofErr w:type="gramEnd"/>
            <w:r w:rsidRPr="00D127A9">
              <w:rPr>
                <w:b/>
                <w:bCs/>
                <w:sz w:val="20"/>
                <w:szCs w:val="20"/>
              </w:rPr>
              <w:t>*</w:t>
            </w:r>
          </w:p>
        </w:tc>
        <w:tc>
          <w:tcPr>
            <w:tcW w:w="2774" w:type="dxa"/>
          </w:tcPr>
          <w:p w14:paraId="1A8A28EF" w14:textId="77777777" w:rsidR="00500DB6" w:rsidRPr="00D127A9" w:rsidRDefault="00500DB6" w:rsidP="00425519">
            <w:pPr>
              <w:spacing w:after="160" w:line="259" w:lineRule="auto"/>
              <w:rPr>
                <w:b/>
                <w:bCs/>
                <w:sz w:val="20"/>
                <w:szCs w:val="20"/>
              </w:rPr>
            </w:pPr>
            <w:r w:rsidRPr="00D127A9">
              <w:rPr>
                <w:b/>
                <w:bCs/>
                <w:sz w:val="20"/>
                <w:szCs w:val="20"/>
              </w:rPr>
              <w:t>Website link to journal article or research (if available)</w:t>
            </w:r>
          </w:p>
        </w:tc>
        <w:tc>
          <w:tcPr>
            <w:tcW w:w="2551" w:type="dxa"/>
          </w:tcPr>
          <w:p w14:paraId="4151252D" w14:textId="77777777" w:rsidR="00500DB6" w:rsidRPr="00D127A9" w:rsidRDefault="00500DB6" w:rsidP="00425519">
            <w:pPr>
              <w:spacing w:after="160" w:line="259" w:lineRule="auto"/>
              <w:rPr>
                <w:b/>
                <w:bCs/>
                <w:sz w:val="20"/>
                <w:szCs w:val="20"/>
              </w:rPr>
            </w:pPr>
            <w:r w:rsidRPr="00D127A9">
              <w:rPr>
                <w:b/>
                <w:bCs/>
                <w:sz w:val="20"/>
                <w:szCs w:val="20"/>
              </w:rPr>
              <w:t>Date of publication***</w:t>
            </w:r>
          </w:p>
        </w:tc>
      </w:tr>
      <w:tr w:rsidR="00500DB6" w:rsidRPr="00D127A9" w14:paraId="5DD11AC8" w14:textId="77777777" w:rsidTr="00425519">
        <w:trPr>
          <w:cantSplit/>
        </w:trPr>
        <w:tc>
          <w:tcPr>
            <w:tcW w:w="530" w:type="dxa"/>
          </w:tcPr>
          <w:p w14:paraId="26506208" w14:textId="77777777" w:rsidR="00500DB6" w:rsidRPr="00D127A9" w:rsidRDefault="00500DB6" w:rsidP="00425519">
            <w:pPr>
              <w:spacing w:after="160" w:line="259" w:lineRule="auto"/>
              <w:rPr>
                <w:sz w:val="20"/>
                <w:szCs w:val="20"/>
              </w:rPr>
            </w:pPr>
            <w:r w:rsidRPr="00D127A9">
              <w:rPr>
                <w:sz w:val="20"/>
                <w:szCs w:val="20"/>
              </w:rPr>
              <w:t>1.</w:t>
            </w:r>
          </w:p>
        </w:tc>
        <w:tc>
          <w:tcPr>
            <w:tcW w:w="2774" w:type="dxa"/>
          </w:tcPr>
          <w:p w14:paraId="74CDA46B" w14:textId="77777777" w:rsidR="00500DB6" w:rsidRPr="00D127A9" w:rsidRDefault="00500DB6" w:rsidP="00425519">
            <w:pPr>
              <w:spacing w:after="160" w:line="259" w:lineRule="auto"/>
              <w:rPr>
                <w:sz w:val="20"/>
                <w:szCs w:val="20"/>
              </w:rPr>
            </w:pPr>
            <w:r w:rsidRPr="00D127A9">
              <w:rPr>
                <w:sz w:val="20"/>
                <w:szCs w:val="20"/>
              </w:rPr>
              <w:t>Pivotal study: ZUMA-5</w:t>
            </w:r>
          </w:p>
          <w:p w14:paraId="1029A312" w14:textId="77777777" w:rsidR="00500DB6" w:rsidRPr="00D127A9" w:rsidRDefault="00500DB6" w:rsidP="00425519">
            <w:pPr>
              <w:spacing w:after="160" w:line="259" w:lineRule="auto"/>
              <w:rPr>
                <w:b/>
                <w:sz w:val="20"/>
                <w:szCs w:val="20"/>
              </w:rPr>
            </w:pPr>
            <w:r w:rsidRPr="00D127A9">
              <w:rPr>
                <w:sz w:val="20"/>
                <w:szCs w:val="20"/>
              </w:rPr>
              <w:t>Non-randomised, single-arm, multicentre, Phase 2 trial</w:t>
            </w:r>
          </w:p>
        </w:tc>
        <w:tc>
          <w:tcPr>
            <w:tcW w:w="2774" w:type="dxa"/>
          </w:tcPr>
          <w:p w14:paraId="2861A94E" w14:textId="77777777" w:rsidR="00500DB6" w:rsidRPr="00D127A9" w:rsidRDefault="00500DB6" w:rsidP="00425519">
            <w:pPr>
              <w:spacing w:after="160" w:line="259" w:lineRule="auto"/>
              <w:rPr>
                <w:sz w:val="20"/>
                <w:szCs w:val="20"/>
              </w:rPr>
            </w:pPr>
            <w:r w:rsidRPr="00D127A9">
              <w:rPr>
                <w:sz w:val="20"/>
                <w:szCs w:val="20"/>
              </w:rPr>
              <w:t>Axicabtagene ciloleucel in relapsed or refractory indolent non-Hodgkin lymphoma (ZUMA-5): a single-arm, multicentre, phase 2 trial</w:t>
            </w:r>
          </w:p>
          <w:p w14:paraId="45A8DEEA" w14:textId="77777777" w:rsidR="00500DB6" w:rsidRPr="00D127A9" w:rsidRDefault="00500DB6" w:rsidP="00425519">
            <w:pPr>
              <w:spacing w:after="160" w:line="259" w:lineRule="auto"/>
              <w:rPr>
                <w:sz w:val="20"/>
                <w:szCs w:val="20"/>
              </w:rPr>
            </w:pPr>
          </w:p>
          <w:p w14:paraId="7A7C9F14" w14:textId="77777777" w:rsidR="00500DB6" w:rsidRPr="00D127A9" w:rsidRDefault="00500DB6" w:rsidP="00425519">
            <w:pPr>
              <w:spacing w:after="160" w:line="259" w:lineRule="auto"/>
              <w:rPr>
                <w:sz w:val="20"/>
                <w:szCs w:val="20"/>
              </w:rPr>
            </w:pPr>
            <w:r w:rsidRPr="00D127A9">
              <w:rPr>
                <w:sz w:val="20"/>
                <w:szCs w:val="20"/>
              </w:rPr>
              <w:t>NCT03105336</w:t>
            </w:r>
          </w:p>
        </w:tc>
        <w:tc>
          <w:tcPr>
            <w:tcW w:w="3005" w:type="dxa"/>
          </w:tcPr>
          <w:p w14:paraId="19EFCDEF" w14:textId="77777777" w:rsidR="00500DB6" w:rsidRPr="00D127A9" w:rsidRDefault="00500DB6" w:rsidP="00425519">
            <w:pPr>
              <w:spacing w:after="160" w:line="259" w:lineRule="auto"/>
              <w:rPr>
                <w:sz w:val="20"/>
                <w:szCs w:val="20"/>
              </w:rPr>
            </w:pPr>
            <w:r w:rsidRPr="00D127A9">
              <w:rPr>
                <w:sz w:val="20"/>
                <w:szCs w:val="20"/>
              </w:rPr>
              <w:t xml:space="preserve">This trial assessed the safety and efficacy of </w:t>
            </w:r>
            <w:proofErr w:type="spellStart"/>
            <w:r w:rsidRPr="00D127A9">
              <w:rPr>
                <w:sz w:val="20"/>
                <w:szCs w:val="20"/>
              </w:rPr>
              <w:t>Yescarta</w:t>
            </w:r>
            <w:proofErr w:type="spellEnd"/>
            <w:r w:rsidRPr="00D127A9">
              <w:rPr>
                <w:sz w:val="20"/>
                <w:szCs w:val="20"/>
              </w:rPr>
              <w:t xml:space="preserve"> as a treatment of indolent non-Hodgkin lymphoma R/R to at least 2 prior lines of therapy (population requested in this application).</w:t>
            </w:r>
          </w:p>
          <w:p w14:paraId="1FBC137B" w14:textId="77777777" w:rsidR="00500DB6" w:rsidRPr="00D127A9" w:rsidRDefault="00500DB6" w:rsidP="00425519">
            <w:pPr>
              <w:spacing w:after="160" w:line="259" w:lineRule="auto"/>
              <w:rPr>
                <w:sz w:val="20"/>
                <w:szCs w:val="20"/>
              </w:rPr>
            </w:pPr>
            <w:r w:rsidRPr="00D127A9">
              <w:rPr>
                <w:sz w:val="20"/>
                <w:szCs w:val="20"/>
              </w:rPr>
              <w:t xml:space="preserve">This article reports on the primary analysis of the ZUMA-5 trial with a </w:t>
            </w:r>
            <w:r w:rsidRPr="00D127A9">
              <w:rPr>
                <w:sz w:val="20"/>
                <w:szCs w:val="20"/>
                <w:u w:val="single"/>
              </w:rPr>
              <w:t>minimum follow-up of 12 months.</w:t>
            </w:r>
          </w:p>
          <w:p w14:paraId="0D441E5E" w14:textId="77777777" w:rsidR="00500DB6" w:rsidRPr="00D127A9" w:rsidRDefault="00500DB6" w:rsidP="00425519">
            <w:pPr>
              <w:spacing w:after="160" w:line="259" w:lineRule="auto"/>
              <w:rPr>
                <w:sz w:val="20"/>
                <w:szCs w:val="20"/>
              </w:rPr>
            </w:pPr>
            <w:r w:rsidRPr="00D127A9">
              <w:rPr>
                <w:sz w:val="20"/>
                <w:szCs w:val="20"/>
              </w:rPr>
              <w:t>The primary endpoint was overall response rate assessed by an independent review committee per Lugano criteria. In the subgroup of N=84 FL patients 96% had objective response and 79% had a complete response.</w:t>
            </w:r>
          </w:p>
        </w:tc>
        <w:tc>
          <w:tcPr>
            <w:tcW w:w="2774" w:type="dxa"/>
          </w:tcPr>
          <w:p w14:paraId="094DB6F9" w14:textId="77777777" w:rsidR="00500DB6" w:rsidRPr="00D127A9" w:rsidRDefault="00500DB6" w:rsidP="00425519">
            <w:pPr>
              <w:spacing w:after="160" w:line="259" w:lineRule="auto"/>
              <w:rPr>
                <w:sz w:val="20"/>
                <w:szCs w:val="20"/>
              </w:rPr>
            </w:pPr>
            <w:r w:rsidRPr="00D127A9">
              <w:rPr>
                <w:sz w:val="20"/>
                <w:szCs w:val="20"/>
              </w:rPr>
              <w:t>https://doi.org/10.1016/S1470-2045(21)00591-X</w:t>
            </w:r>
          </w:p>
        </w:tc>
        <w:tc>
          <w:tcPr>
            <w:tcW w:w="2551" w:type="dxa"/>
          </w:tcPr>
          <w:p w14:paraId="05711220" w14:textId="77777777" w:rsidR="00500DB6" w:rsidRPr="00D127A9" w:rsidRDefault="00500DB6" w:rsidP="00425519">
            <w:pPr>
              <w:spacing w:after="160" w:line="259" w:lineRule="auto"/>
              <w:rPr>
                <w:sz w:val="20"/>
                <w:szCs w:val="20"/>
              </w:rPr>
            </w:pPr>
            <w:r w:rsidRPr="00D127A9">
              <w:rPr>
                <w:sz w:val="20"/>
                <w:szCs w:val="20"/>
              </w:rPr>
              <w:t xml:space="preserve">2022: </w:t>
            </w:r>
            <w:r w:rsidRPr="00D127A9">
              <w:rPr>
                <w:sz w:val="20"/>
                <w:szCs w:val="20"/>
              </w:rPr>
              <w:fldChar w:fldCharType="begin"/>
            </w:r>
            <w:r w:rsidRPr="00D127A9">
              <w:rPr>
                <w:sz w:val="20"/>
                <w:szCs w:val="20"/>
              </w:rPr>
              <w:instrText xml:space="preserve"> ADDIN EN.CITE &lt;EndNote&gt;&lt;Cite&gt;&lt;Author&gt;Jacobson&lt;/Author&gt;&lt;Year&gt;2022&lt;/Year&gt;&lt;RecNum&gt;1209&lt;/RecNum&gt;&lt;DisplayText&gt;(Jacobson et al. 2022)&lt;/DisplayText&gt;&lt;record&gt;&lt;rec-number&gt;1209&lt;/rec-number&gt;&lt;foreign-keys&gt;&lt;key app="EN" db-id="ezvspvpphdrt93e9asepdx5etr9rf5rptvp0" timestamp="1699139098"&gt;1209&lt;/key&gt;&lt;/foreign-keys&gt;&lt;ref-type name="Journal Article"&gt;17&lt;/ref-type&gt;&lt;contributors&gt;&lt;authors&gt;&lt;author&gt;Jacobson, Caron A&lt;/author&gt;&lt;author&gt;Chavez, Julio C&lt;/author&gt;&lt;author&gt;Sehgal, Alison R&lt;/author&gt;&lt;author&gt;William, Basem M&lt;/author&gt;&lt;author&gt;Munoz, Javier&lt;/author&gt;&lt;author&gt;Salles, Gilles&lt;/author&gt;&lt;author&gt;</w:instrText>
            </w:r>
            <w:r w:rsidRPr="00D127A9">
              <w:rPr>
                <w:sz w:val="20"/>
                <w:szCs w:val="20"/>
              </w:rPr>
              <w:lastRenderedPageBreak/>
              <w:instrText>Munshi, Pashna N&lt;/author&gt;&lt;author&gt;Casulo, Carla&lt;/author&gt;&lt;author&gt;Maloney, David G&lt;/author&gt;&lt;author&gt;de Vos, Sven&lt;/author&gt;&lt;/authors&gt;&lt;/contributors&gt;&lt;titles&gt;&lt;title&gt;Axicabtagene ciloleucel in relapsed or refractory indolent non-Hodgkin lymphoma (ZUMA-5): a single-arm, multicentre, phase 2 trial&lt;/title&gt;&lt;secondary-title&gt;The lancet oncology&lt;/secondary-title&gt;&lt;/titles&gt;&lt;periodical&gt;&lt;full-title&gt;The Lancet Oncology&lt;/full-title&gt;&lt;/periodical&gt;&lt;pages&gt;91-103&lt;/pages&gt;&lt;volume&gt;23&lt;/volume&gt;&lt;number&gt;1&lt;/number&gt;&lt;dates&gt;&lt;year&gt;2022&lt;/year&gt;&lt;/dates&gt;&lt;isbn&gt;1470-2045&lt;/isbn&gt;&lt;urls&gt;&lt;/urls&gt;&lt;/record&gt;&lt;/Cite&gt;&lt;/EndNote&gt;</w:instrText>
            </w:r>
            <w:r w:rsidRPr="00D127A9">
              <w:rPr>
                <w:sz w:val="20"/>
                <w:szCs w:val="20"/>
              </w:rPr>
              <w:fldChar w:fldCharType="separate"/>
            </w:r>
            <w:r w:rsidRPr="00D127A9">
              <w:rPr>
                <w:sz w:val="20"/>
                <w:szCs w:val="20"/>
              </w:rPr>
              <w:t>(Jacobson et al. 2022)</w:t>
            </w:r>
            <w:r w:rsidRPr="00D127A9">
              <w:rPr>
                <w:sz w:val="20"/>
                <w:szCs w:val="20"/>
              </w:rPr>
              <w:fldChar w:fldCharType="end"/>
            </w:r>
          </w:p>
        </w:tc>
      </w:tr>
      <w:tr w:rsidR="00500DB6" w:rsidRPr="00D127A9" w14:paraId="4F25B962" w14:textId="77777777" w:rsidTr="00425519">
        <w:trPr>
          <w:cantSplit/>
        </w:trPr>
        <w:tc>
          <w:tcPr>
            <w:tcW w:w="530" w:type="dxa"/>
          </w:tcPr>
          <w:p w14:paraId="39FD5D99" w14:textId="77777777" w:rsidR="00500DB6" w:rsidRPr="00D127A9" w:rsidRDefault="00500DB6" w:rsidP="00425519">
            <w:pPr>
              <w:spacing w:after="160" w:line="259" w:lineRule="auto"/>
              <w:rPr>
                <w:sz w:val="20"/>
                <w:szCs w:val="20"/>
              </w:rPr>
            </w:pPr>
            <w:r w:rsidRPr="00D127A9">
              <w:rPr>
                <w:sz w:val="20"/>
                <w:szCs w:val="20"/>
              </w:rPr>
              <w:lastRenderedPageBreak/>
              <w:t>2.</w:t>
            </w:r>
          </w:p>
        </w:tc>
        <w:tc>
          <w:tcPr>
            <w:tcW w:w="2774" w:type="dxa"/>
          </w:tcPr>
          <w:p w14:paraId="47FC827C" w14:textId="77777777" w:rsidR="00500DB6" w:rsidRPr="00D127A9" w:rsidRDefault="00500DB6" w:rsidP="00425519">
            <w:pPr>
              <w:spacing w:after="160" w:line="259" w:lineRule="auto"/>
              <w:rPr>
                <w:sz w:val="20"/>
                <w:szCs w:val="20"/>
              </w:rPr>
            </w:pPr>
            <w:r w:rsidRPr="00D127A9">
              <w:rPr>
                <w:sz w:val="20"/>
                <w:szCs w:val="20"/>
              </w:rPr>
              <w:t>Pivotal study: ZUMA-5</w:t>
            </w:r>
          </w:p>
          <w:p w14:paraId="3D26A8F6" w14:textId="77777777" w:rsidR="00500DB6" w:rsidRPr="00D127A9" w:rsidRDefault="00500DB6" w:rsidP="00425519">
            <w:pPr>
              <w:spacing w:after="160" w:line="259" w:lineRule="auto"/>
              <w:rPr>
                <w:sz w:val="20"/>
                <w:szCs w:val="20"/>
              </w:rPr>
            </w:pPr>
            <w:r w:rsidRPr="00D127A9">
              <w:rPr>
                <w:sz w:val="20"/>
                <w:szCs w:val="20"/>
              </w:rPr>
              <w:t>Non-randomised, single-arm, multicentre, Phase 2 trial</w:t>
            </w:r>
          </w:p>
        </w:tc>
        <w:tc>
          <w:tcPr>
            <w:tcW w:w="2774" w:type="dxa"/>
          </w:tcPr>
          <w:p w14:paraId="0F2CBE03" w14:textId="77777777" w:rsidR="00500DB6" w:rsidRPr="00D127A9" w:rsidRDefault="00500DB6" w:rsidP="00425519">
            <w:pPr>
              <w:spacing w:after="160" w:line="259" w:lineRule="auto"/>
              <w:rPr>
                <w:sz w:val="20"/>
                <w:szCs w:val="20"/>
              </w:rPr>
            </w:pPr>
            <w:r w:rsidRPr="00D127A9">
              <w:rPr>
                <w:sz w:val="20"/>
                <w:szCs w:val="20"/>
              </w:rPr>
              <w:t>Three-year follow-up analysis of axicabtagene ciloleucel in relapsed/refractory indolent non-</w:t>
            </w:r>
            <w:proofErr w:type="spellStart"/>
            <w:r w:rsidRPr="00D127A9">
              <w:rPr>
                <w:sz w:val="20"/>
                <w:szCs w:val="20"/>
              </w:rPr>
              <w:t>hodgkin</w:t>
            </w:r>
            <w:proofErr w:type="spellEnd"/>
            <w:r w:rsidRPr="00D127A9">
              <w:rPr>
                <w:sz w:val="20"/>
                <w:szCs w:val="20"/>
              </w:rPr>
              <w:t xml:space="preserve"> lymphoma (ZUMA-5)</w:t>
            </w:r>
          </w:p>
          <w:p w14:paraId="428227FF" w14:textId="77777777" w:rsidR="00500DB6" w:rsidRPr="00D127A9" w:rsidRDefault="00500DB6" w:rsidP="00425519">
            <w:pPr>
              <w:spacing w:after="160" w:line="259" w:lineRule="auto"/>
              <w:rPr>
                <w:sz w:val="20"/>
                <w:szCs w:val="20"/>
              </w:rPr>
            </w:pPr>
          </w:p>
          <w:p w14:paraId="1645303D" w14:textId="77777777" w:rsidR="00500DB6" w:rsidRPr="00D127A9" w:rsidRDefault="00500DB6" w:rsidP="00425519">
            <w:pPr>
              <w:spacing w:after="160" w:line="259" w:lineRule="auto"/>
              <w:rPr>
                <w:sz w:val="20"/>
                <w:szCs w:val="20"/>
              </w:rPr>
            </w:pPr>
            <w:r w:rsidRPr="00D127A9">
              <w:rPr>
                <w:sz w:val="20"/>
                <w:szCs w:val="20"/>
              </w:rPr>
              <w:t>NCT03105336</w:t>
            </w:r>
          </w:p>
        </w:tc>
        <w:tc>
          <w:tcPr>
            <w:tcW w:w="3005" w:type="dxa"/>
          </w:tcPr>
          <w:p w14:paraId="77585C63" w14:textId="77777777" w:rsidR="00500DB6" w:rsidRPr="00D127A9" w:rsidRDefault="00500DB6" w:rsidP="00425519">
            <w:pPr>
              <w:spacing w:after="160" w:line="259" w:lineRule="auto"/>
              <w:rPr>
                <w:sz w:val="20"/>
                <w:szCs w:val="20"/>
                <w:u w:val="single"/>
              </w:rPr>
            </w:pPr>
            <w:r w:rsidRPr="00D127A9">
              <w:rPr>
                <w:sz w:val="20"/>
                <w:szCs w:val="20"/>
              </w:rPr>
              <w:t xml:space="preserve">This article reports on the outcomes of the ZUMA-5 trial with </w:t>
            </w:r>
            <w:r w:rsidRPr="00D127A9">
              <w:rPr>
                <w:sz w:val="20"/>
                <w:szCs w:val="20"/>
                <w:u w:val="single"/>
              </w:rPr>
              <w:t>minimum follow-up of 36 months.</w:t>
            </w:r>
          </w:p>
          <w:p w14:paraId="13DD4611" w14:textId="77777777" w:rsidR="00500DB6" w:rsidRPr="00D127A9" w:rsidRDefault="00500DB6" w:rsidP="00425519">
            <w:pPr>
              <w:spacing w:after="160" w:line="259" w:lineRule="auto"/>
              <w:rPr>
                <w:sz w:val="20"/>
                <w:szCs w:val="20"/>
              </w:rPr>
            </w:pPr>
            <w:r w:rsidRPr="00D127A9">
              <w:rPr>
                <w:sz w:val="20"/>
                <w:szCs w:val="20"/>
              </w:rPr>
              <w:t>At this updated analysis of patients in the subgroup 94% (96% at 12-month analysis) had objective response and 79% (79% at 12 months analysis) had a complete response</w:t>
            </w:r>
          </w:p>
          <w:p w14:paraId="2AD5B6A5" w14:textId="77777777" w:rsidR="00500DB6" w:rsidRPr="00D127A9" w:rsidRDefault="00500DB6" w:rsidP="00425519">
            <w:pPr>
              <w:spacing w:after="160" w:line="259" w:lineRule="auto"/>
              <w:rPr>
                <w:sz w:val="20"/>
                <w:szCs w:val="20"/>
              </w:rPr>
            </w:pPr>
            <w:r w:rsidRPr="00D127A9">
              <w:rPr>
                <w:sz w:val="20"/>
                <w:szCs w:val="20"/>
              </w:rPr>
              <w:t>Median PFS was 40.2 months (95% C: 28.9, NE).</w:t>
            </w:r>
          </w:p>
          <w:p w14:paraId="63CCA1D2" w14:textId="77777777" w:rsidR="00500DB6" w:rsidRPr="00D127A9" w:rsidRDefault="00500DB6" w:rsidP="00425519">
            <w:pPr>
              <w:spacing w:after="160" w:line="259" w:lineRule="auto"/>
              <w:rPr>
                <w:sz w:val="20"/>
                <w:szCs w:val="20"/>
              </w:rPr>
            </w:pPr>
            <w:r w:rsidRPr="00D127A9">
              <w:rPr>
                <w:sz w:val="20"/>
                <w:szCs w:val="20"/>
              </w:rPr>
              <w:t xml:space="preserve">At 36 months following administration of </w:t>
            </w:r>
            <w:proofErr w:type="spellStart"/>
            <w:r w:rsidRPr="00D127A9">
              <w:rPr>
                <w:sz w:val="20"/>
                <w:szCs w:val="20"/>
              </w:rPr>
              <w:t>Yescarta</w:t>
            </w:r>
            <w:proofErr w:type="spellEnd"/>
            <w:r w:rsidRPr="00D127A9">
              <w:rPr>
                <w:sz w:val="20"/>
                <w:szCs w:val="20"/>
              </w:rPr>
              <w:t>, 76% of patients remained alive.</w:t>
            </w:r>
          </w:p>
        </w:tc>
        <w:tc>
          <w:tcPr>
            <w:tcW w:w="2774" w:type="dxa"/>
          </w:tcPr>
          <w:p w14:paraId="3C68D2E0" w14:textId="77777777" w:rsidR="00500DB6" w:rsidRPr="00D127A9" w:rsidRDefault="00500DB6" w:rsidP="00425519">
            <w:pPr>
              <w:spacing w:after="160" w:line="259" w:lineRule="auto"/>
              <w:rPr>
                <w:sz w:val="20"/>
                <w:szCs w:val="20"/>
              </w:rPr>
            </w:pPr>
            <w:r w:rsidRPr="00D127A9">
              <w:rPr>
                <w:sz w:val="20"/>
                <w:szCs w:val="20"/>
              </w:rPr>
              <w:t>https://doi.org/10.1182/blood.2023021243</w:t>
            </w:r>
          </w:p>
        </w:tc>
        <w:tc>
          <w:tcPr>
            <w:tcW w:w="2551" w:type="dxa"/>
          </w:tcPr>
          <w:p w14:paraId="1C6EB032" w14:textId="77777777" w:rsidR="00500DB6" w:rsidRPr="00D127A9" w:rsidRDefault="00500DB6" w:rsidP="00425519">
            <w:pPr>
              <w:spacing w:after="160" w:line="259" w:lineRule="auto"/>
              <w:rPr>
                <w:sz w:val="20"/>
                <w:szCs w:val="20"/>
              </w:rPr>
            </w:pPr>
            <w:r w:rsidRPr="00D127A9">
              <w:rPr>
                <w:sz w:val="20"/>
                <w:szCs w:val="20"/>
              </w:rPr>
              <w:t xml:space="preserve">2023: </w:t>
            </w:r>
            <w:r w:rsidRPr="00D127A9">
              <w:rPr>
                <w:sz w:val="20"/>
                <w:szCs w:val="20"/>
              </w:rPr>
              <w:fldChar w:fldCharType="begin"/>
            </w:r>
            <w:r w:rsidRPr="00D127A9">
              <w:rPr>
                <w:sz w:val="20"/>
                <w:szCs w:val="20"/>
              </w:rPr>
              <w:instrText xml:space="preserve"> ADDIN EN.CITE &lt;EndNote&gt;&lt;Cite&gt;&lt;Author&gt;Neelapu&lt;/Author&gt;&lt;Year&gt;2023&lt;/Year&gt;&lt;RecNum&gt;1210&lt;/RecNum&gt;&lt;DisplayText&gt;(Neelapu et al. 2023)&lt;/DisplayText&gt;&lt;record&gt;&lt;rec-number&gt;1210&lt;/rec-number&gt;&lt;foreign-keys&gt;&lt;key app="EN" db-id="ezvspvpphdrt93e9asepdx5etr9rf5rptvp0" timestamp="1699141842"&gt;1210&lt;/key&gt;&lt;/foreign-keys&gt;&lt;ref-type name="Journal Article"&gt;17&lt;/ref-type&gt;&lt;contributors&gt;&lt;authors&gt;&lt;author&gt;Neelapu, Sattva S&lt;/author&gt;&lt;author&gt;Chavez, Julio C&lt;/author&gt;&lt;author&gt;Sehgal, Alison&lt;/author&gt;&lt;author&gt;Epperla, Narendranath&lt;/author&gt;&lt;author&gt;Ulrickson, Matthew L&lt;/author&gt;&lt;author&gt;Bachy, </w:instrText>
            </w:r>
            <w:r w:rsidRPr="00D127A9">
              <w:rPr>
                <w:sz w:val="20"/>
                <w:szCs w:val="20"/>
              </w:rPr>
              <w:lastRenderedPageBreak/>
              <w:instrText>Emmanuel&lt;/author&gt;&lt;author&gt;Munshi, Pashna&lt;/author&gt;&lt;author&gt;Casulo, Carla&lt;/author&gt;&lt;author&gt;Maloney, David G&lt;/author&gt;&lt;author&gt;de Vos, Sven&lt;/author&gt;&lt;/authors&gt;&lt;/contributors&gt;&lt;titles&gt;&lt;title&gt;Three-Year Follow-Up Analysis of Axicabtagene Ciloleucel in Relapsed/Refractory Indolent Non-Hodgkin Lymphoma (ZUMA-5)&lt;/title&gt;&lt;secondary-title&gt;Blood Journal&lt;/secondary-title&gt;&lt;/titles&gt;&lt;periodical&gt;&lt;full-title&gt;Blood Journal&lt;/full-title&gt;&lt;/periodical&gt;&lt;pages&gt;blood. 2023021243&lt;/pages&gt;&lt;dates&gt;&lt;year&gt;2023&lt;/year&gt;&lt;/dates&gt;&lt;isbn&gt;0006-4971&lt;/isbn&gt;&lt;urls&gt;&lt;/urls&gt;&lt;/record&gt;&lt;/Cite&gt;&lt;/EndNote&gt;</w:instrText>
            </w:r>
            <w:r w:rsidRPr="00D127A9">
              <w:rPr>
                <w:sz w:val="20"/>
                <w:szCs w:val="20"/>
              </w:rPr>
              <w:fldChar w:fldCharType="separate"/>
            </w:r>
            <w:r w:rsidRPr="00D127A9">
              <w:rPr>
                <w:sz w:val="20"/>
                <w:szCs w:val="20"/>
              </w:rPr>
              <w:t>(Neelapu et al. 2023)</w:t>
            </w:r>
            <w:r w:rsidRPr="00D127A9">
              <w:rPr>
                <w:sz w:val="20"/>
                <w:szCs w:val="20"/>
              </w:rPr>
              <w:fldChar w:fldCharType="end"/>
            </w:r>
          </w:p>
          <w:p w14:paraId="5D6A3951" w14:textId="77777777" w:rsidR="00500DB6" w:rsidRPr="00D127A9" w:rsidRDefault="00500DB6" w:rsidP="00425519">
            <w:pPr>
              <w:spacing w:after="160" w:line="259" w:lineRule="auto"/>
              <w:rPr>
                <w:sz w:val="20"/>
                <w:szCs w:val="20"/>
              </w:rPr>
            </w:pPr>
            <w:r w:rsidRPr="00D127A9">
              <w:rPr>
                <w:sz w:val="20"/>
                <w:szCs w:val="20"/>
              </w:rPr>
              <w:t xml:space="preserve">3-year follow-up to the primary analysis with </w:t>
            </w:r>
            <w:r w:rsidRPr="00D127A9">
              <w:rPr>
                <w:sz w:val="20"/>
                <w:szCs w:val="20"/>
              </w:rPr>
              <w:lastRenderedPageBreak/>
              <w:t xml:space="preserve">minimum of 12-months follow-up reported by </w:t>
            </w:r>
            <w:r w:rsidRPr="00D127A9">
              <w:rPr>
                <w:sz w:val="20"/>
                <w:szCs w:val="20"/>
              </w:rPr>
              <w:fldChar w:fldCharType="begin"/>
            </w:r>
            <w:r w:rsidRPr="00D127A9">
              <w:rPr>
                <w:sz w:val="20"/>
                <w:szCs w:val="20"/>
              </w:rPr>
              <w:instrText xml:space="preserve"> ADDIN EN.CITE &lt;EndNote&gt;&lt;Cite&gt;&lt;Author&gt;Jacobson&lt;/Author&gt;&lt;Year&gt;2022&lt;/Year&gt;&lt;RecNum&gt;1209&lt;/RecNum&gt;&lt;DisplayText&gt;(Jacobson et al. 2022)&lt;/DisplayText&gt;&lt;record&gt;&lt;rec-number&gt;1209&lt;/rec-number&gt;&lt;foreign-keys&gt;&lt;key app="EN" db-id="ezvspvpphdrt93e9asepdx5etr9rf5rptvp0" timestamp="1699139098"&gt;1209&lt;/key&gt;&lt;/foreign-keys&gt;&lt;ref-type name="Journal Article"&gt;17&lt;/ref-type&gt;&lt;contributors&gt;&lt;authors&gt;&lt;author&gt;Jacobson, Caron A&lt;/author&gt;&lt;author&gt;Chavez, Julio C&lt;/author&gt;&lt;author&gt;Sehgal, Alison R&lt;/author&gt;&lt;author&gt;William, Basem M&lt;/author&gt;&lt;author&gt;Munoz, Javier&lt;/author&gt;&lt;author&gt;</w:instrText>
            </w:r>
            <w:r w:rsidRPr="00D127A9">
              <w:rPr>
                <w:sz w:val="20"/>
                <w:szCs w:val="20"/>
              </w:rPr>
              <w:lastRenderedPageBreak/>
              <w:instrText>Salles, Gilles&lt;/author&gt;&lt;author&gt;Munshi, Pashna N&lt;/author&gt;&lt;author&gt;Casulo, Carla&lt;/author&gt;&lt;author&gt;Maloney, David G&lt;/author&gt;&lt;author&gt;de Vos, Sven&lt;/author&gt;&lt;/authors&gt;&lt;/contributors&gt;&lt;titles&gt;&lt;title&gt;Axicabtagene ciloleucel in relapsed or refractory indolent non-Hodgkin lymphoma (ZUMA-5): a single-arm, multicentre, phase 2 trial&lt;/title&gt;&lt;secondary-title&gt;The lancet oncology&lt;/secondary-title&gt;&lt;/titles&gt;&lt;periodical&gt;&lt;full-title&gt;The Lancet Oncology&lt;/full-title&gt;&lt;/periodical&gt;&lt;pages&gt;91-103&lt;/pages&gt;&lt;volume&gt;23&lt;/volume&gt;&lt;number&gt;1&lt;/number&gt;&lt;dates&gt;&lt;year&gt;2022&lt;/year&gt;&lt;/dates&gt;&lt;isbn&gt;1470-2045&lt;/isbn&gt;&lt;urls&gt;&lt;/urls</w:instrText>
            </w:r>
            <w:r w:rsidRPr="00D127A9">
              <w:rPr>
                <w:sz w:val="20"/>
                <w:szCs w:val="20"/>
              </w:rPr>
              <w:lastRenderedPageBreak/>
              <w:instrText>&gt;&lt;/record&gt;&lt;/Cite&gt;&lt;/EndNote&gt;</w:instrText>
            </w:r>
            <w:r w:rsidRPr="00D127A9">
              <w:rPr>
                <w:sz w:val="20"/>
                <w:szCs w:val="20"/>
              </w:rPr>
              <w:fldChar w:fldCharType="separate"/>
            </w:r>
            <w:r w:rsidRPr="00D127A9">
              <w:rPr>
                <w:sz w:val="20"/>
                <w:szCs w:val="20"/>
              </w:rPr>
              <w:t>(Jacobson et al. 2022)</w:t>
            </w:r>
            <w:r w:rsidRPr="00D127A9">
              <w:rPr>
                <w:sz w:val="20"/>
                <w:szCs w:val="20"/>
              </w:rPr>
              <w:fldChar w:fldCharType="end"/>
            </w:r>
          </w:p>
        </w:tc>
      </w:tr>
      <w:tr w:rsidR="00500DB6" w:rsidRPr="00D127A9" w14:paraId="280318B0" w14:textId="77777777" w:rsidTr="00425519">
        <w:trPr>
          <w:cantSplit/>
        </w:trPr>
        <w:tc>
          <w:tcPr>
            <w:tcW w:w="530" w:type="dxa"/>
          </w:tcPr>
          <w:p w14:paraId="7545C016" w14:textId="77777777" w:rsidR="00500DB6" w:rsidRPr="00D127A9" w:rsidRDefault="00500DB6" w:rsidP="00425519">
            <w:pPr>
              <w:spacing w:after="160" w:line="259" w:lineRule="auto"/>
              <w:rPr>
                <w:sz w:val="20"/>
                <w:szCs w:val="20"/>
              </w:rPr>
            </w:pPr>
            <w:r w:rsidRPr="00D127A9">
              <w:rPr>
                <w:sz w:val="20"/>
                <w:szCs w:val="20"/>
              </w:rPr>
              <w:lastRenderedPageBreak/>
              <w:t>3.</w:t>
            </w:r>
          </w:p>
        </w:tc>
        <w:tc>
          <w:tcPr>
            <w:tcW w:w="2774" w:type="dxa"/>
          </w:tcPr>
          <w:p w14:paraId="0FE703E1" w14:textId="77777777" w:rsidR="00500DB6" w:rsidRPr="00D127A9" w:rsidRDefault="00500DB6" w:rsidP="00425519">
            <w:pPr>
              <w:spacing w:after="160" w:line="259" w:lineRule="auto"/>
              <w:rPr>
                <w:sz w:val="20"/>
                <w:szCs w:val="20"/>
              </w:rPr>
            </w:pPr>
            <w:r w:rsidRPr="00D127A9">
              <w:rPr>
                <w:sz w:val="20"/>
                <w:szCs w:val="20"/>
              </w:rPr>
              <w:t>Supplementary study.</w:t>
            </w:r>
          </w:p>
          <w:p w14:paraId="2C8C9A31" w14:textId="77777777" w:rsidR="00500DB6" w:rsidRPr="00D127A9" w:rsidRDefault="00500DB6" w:rsidP="00425519">
            <w:pPr>
              <w:spacing w:after="160" w:line="259" w:lineRule="auto"/>
              <w:rPr>
                <w:sz w:val="20"/>
                <w:szCs w:val="20"/>
              </w:rPr>
            </w:pPr>
          </w:p>
          <w:p w14:paraId="29042045" w14:textId="77777777" w:rsidR="00500DB6" w:rsidRPr="00D127A9" w:rsidRDefault="00500DB6" w:rsidP="00425519">
            <w:pPr>
              <w:spacing w:after="160" w:line="259" w:lineRule="auto"/>
              <w:rPr>
                <w:sz w:val="20"/>
                <w:szCs w:val="20"/>
              </w:rPr>
            </w:pPr>
            <w:r w:rsidRPr="00D127A9">
              <w:rPr>
                <w:sz w:val="20"/>
                <w:szCs w:val="20"/>
              </w:rPr>
              <w:t>Simulated randomised controlled trail</w:t>
            </w:r>
          </w:p>
        </w:tc>
        <w:tc>
          <w:tcPr>
            <w:tcW w:w="2774" w:type="dxa"/>
          </w:tcPr>
          <w:p w14:paraId="1E56C212" w14:textId="77777777" w:rsidR="00500DB6" w:rsidRPr="00D127A9" w:rsidRDefault="00500DB6" w:rsidP="00425519">
            <w:pPr>
              <w:spacing w:after="160" w:line="259" w:lineRule="auto"/>
              <w:rPr>
                <w:sz w:val="20"/>
                <w:szCs w:val="20"/>
              </w:rPr>
            </w:pPr>
            <w:r w:rsidRPr="00D127A9">
              <w:rPr>
                <w:sz w:val="20"/>
                <w:szCs w:val="20"/>
              </w:rPr>
              <w:t>Comparative effectiveness of ZUMA-5 (</w:t>
            </w:r>
            <w:proofErr w:type="spellStart"/>
            <w:r w:rsidRPr="00D127A9">
              <w:rPr>
                <w:sz w:val="20"/>
                <w:szCs w:val="20"/>
              </w:rPr>
              <w:t>axi</w:t>
            </w:r>
            <w:proofErr w:type="spellEnd"/>
            <w:r w:rsidRPr="00D127A9">
              <w:rPr>
                <w:sz w:val="20"/>
                <w:szCs w:val="20"/>
              </w:rPr>
              <w:t>-cel) vs SCHOLAR-5 external control in relapsed/refractory follicular lymphoma</w:t>
            </w:r>
          </w:p>
        </w:tc>
        <w:tc>
          <w:tcPr>
            <w:tcW w:w="3005" w:type="dxa"/>
          </w:tcPr>
          <w:p w14:paraId="015FFF90" w14:textId="77777777" w:rsidR="00500DB6" w:rsidRPr="00D127A9" w:rsidRDefault="00500DB6" w:rsidP="00425519">
            <w:pPr>
              <w:spacing w:after="160" w:line="259" w:lineRule="auto"/>
              <w:rPr>
                <w:sz w:val="20"/>
                <w:szCs w:val="20"/>
              </w:rPr>
            </w:pPr>
            <w:r w:rsidRPr="00D127A9">
              <w:rPr>
                <w:sz w:val="20"/>
                <w:szCs w:val="20"/>
              </w:rPr>
              <w:t>Outcomes from the ZUMA-5 trial were compared with international SCHOLAR-5 cohort.</w:t>
            </w:r>
          </w:p>
          <w:p w14:paraId="5ADBF4AD" w14:textId="77777777" w:rsidR="00500DB6" w:rsidRPr="00D127A9" w:rsidRDefault="00500DB6" w:rsidP="00425519">
            <w:pPr>
              <w:spacing w:after="160" w:line="259" w:lineRule="auto"/>
              <w:rPr>
                <w:sz w:val="20"/>
                <w:szCs w:val="20"/>
              </w:rPr>
            </w:pPr>
            <w:r w:rsidRPr="00D127A9">
              <w:rPr>
                <w:sz w:val="20"/>
                <w:szCs w:val="20"/>
              </w:rPr>
              <w:t>Patient characteristics were balanced through propensity scoring on prespecified prognostic factors prior to analysis.</w:t>
            </w:r>
          </w:p>
          <w:p w14:paraId="434687FC" w14:textId="77777777" w:rsidR="00500DB6" w:rsidRPr="00D127A9" w:rsidRDefault="00500DB6" w:rsidP="00425519">
            <w:pPr>
              <w:spacing w:after="160" w:line="259" w:lineRule="auto"/>
              <w:rPr>
                <w:sz w:val="20"/>
                <w:szCs w:val="20"/>
              </w:rPr>
            </w:pPr>
            <w:r w:rsidRPr="00D127A9">
              <w:rPr>
                <w:sz w:val="20"/>
                <w:szCs w:val="20"/>
              </w:rPr>
              <w:t>Objective response in SCHOLAR-5 vs ZUMA-5 was 50% vs 94% respectively: OR 16.2 (95% CI: 5.6, 46.9)</w:t>
            </w:r>
          </w:p>
          <w:p w14:paraId="03DBAC83" w14:textId="77777777" w:rsidR="00500DB6" w:rsidRPr="00D127A9" w:rsidRDefault="00500DB6" w:rsidP="00425519">
            <w:pPr>
              <w:spacing w:after="160" w:line="259" w:lineRule="auto"/>
              <w:rPr>
                <w:sz w:val="20"/>
                <w:szCs w:val="20"/>
              </w:rPr>
            </w:pPr>
            <w:r w:rsidRPr="00D127A9">
              <w:rPr>
                <w:sz w:val="20"/>
                <w:szCs w:val="20"/>
              </w:rPr>
              <w:t>Hazard ratios for PFS and OS were 0.42 (95% CI: 0.21, 0.83) and 0.30 (95%: 0.18, 0.49) respectively.</w:t>
            </w:r>
          </w:p>
        </w:tc>
        <w:tc>
          <w:tcPr>
            <w:tcW w:w="2774" w:type="dxa"/>
          </w:tcPr>
          <w:p w14:paraId="1D75C887" w14:textId="77777777" w:rsidR="00500DB6" w:rsidRPr="00D127A9" w:rsidRDefault="00500DB6" w:rsidP="00425519">
            <w:pPr>
              <w:spacing w:after="160" w:line="259" w:lineRule="auto"/>
              <w:rPr>
                <w:sz w:val="20"/>
                <w:szCs w:val="20"/>
              </w:rPr>
            </w:pPr>
            <w:r w:rsidRPr="00D127A9">
              <w:rPr>
                <w:sz w:val="20"/>
                <w:szCs w:val="20"/>
              </w:rPr>
              <w:t>https://doi.org/10.1182/blood.2021014375</w:t>
            </w:r>
          </w:p>
        </w:tc>
        <w:tc>
          <w:tcPr>
            <w:tcW w:w="2551" w:type="dxa"/>
          </w:tcPr>
          <w:p w14:paraId="4A9A9997" w14:textId="77777777" w:rsidR="00500DB6" w:rsidRPr="00D127A9" w:rsidRDefault="00500DB6" w:rsidP="00425519">
            <w:pPr>
              <w:spacing w:after="160" w:line="259" w:lineRule="auto"/>
              <w:rPr>
                <w:sz w:val="20"/>
                <w:szCs w:val="20"/>
              </w:rPr>
            </w:pPr>
            <w:r w:rsidRPr="00D127A9">
              <w:rPr>
                <w:sz w:val="20"/>
                <w:szCs w:val="20"/>
              </w:rPr>
              <w:t xml:space="preserve">2022: </w:t>
            </w:r>
            <w:r w:rsidRPr="00D127A9">
              <w:rPr>
                <w:sz w:val="20"/>
                <w:szCs w:val="20"/>
              </w:rPr>
              <w:fldChar w:fldCharType="begin"/>
            </w:r>
            <w:r w:rsidRPr="00D127A9">
              <w:rPr>
                <w:sz w:val="20"/>
                <w:szCs w:val="20"/>
              </w:rPr>
              <w:instrText xml:space="preserve"> ADDIN EN.CITE &lt;EndNote&gt;&lt;Cite&gt;&lt;Author&gt;Ghione&lt;/Author&gt;&lt;Year&gt;2022&lt;/Year&gt;&lt;RecNum&gt;1211&lt;/RecNum&gt;&lt;DisplayText&gt;(Ghione et al. 2022)&lt;/DisplayText&gt;&lt;record&gt;&lt;rec-number&gt;1211&lt;/rec-number&gt;&lt;foreign-keys&gt;&lt;key app="EN" db-id="ezvspvpphdrt93e9asepdx5etr9rf5rptvp0" timestamp="1699142165"&gt;1211&lt;/key&gt;&lt;/foreign-keys&gt;&lt;ref-type name="Journal Article"&gt;17&lt;/ref-type&gt;&lt;contributors&gt;&lt;authors&gt;&lt;author&gt;Ghione, Paola&lt;/author&gt;&lt;author&gt;Palomba, M Lia&lt;/author&gt;&lt;author&gt;Patel, Anik R&lt;/author&gt;&lt;author&gt;Bobillo, Sabela&lt;/author&gt;&lt;author&gt;Deighton, Kevin&lt;/author&gt;&lt;author&gt;Jacobson, Caron A&lt;/author&gt;&lt;author&gt;Nahas, </w:instrText>
            </w:r>
            <w:r w:rsidRPr="00D127A9">
              <w:rPr>
                <w:sz w:val="20"/>
                <w:szCs w:val="20"/>
              </w:rPr>
              <w:lastRenderedPageBreak/>
              <w:instrText>Myrna&lt;/author&gt;&lt;author&gt;Hatswell, Anthony J&lt;/author&gt;&lt;author&gt;Jung, A Scott&lt;/author&gt;&lt;author&gt;Kanters, Steve&lt;/author&gt;&lt;/authors&gt;&lt;/contributors&gt;&lt;titles&gt;&lt;title&gt;Comparative effectiveness of ZUMA-5 (axi-cel) vs SCHOLAR-5 external control in relapsed/refractory follicular lymphoma&lt;/title&gt;&lt;secondary-title&gt;Blood, The Journal of the American Society of Hematology&lt;/secondary-title&gt;&lt;/titles&gt;&lt;periodical&gt;&lt;full-title&gt;Blood, The Journal of the American Society of Hematology&lt;/full-title&gt;&lt;/periodical&gt;&lt;pages&gt;851-860&lt;/pages&gt;&lt;volume&gt;140&lt;/volume&gt;&lt;number&gt;8&lt;/number&gt;&lt;dates&gt;&lt;year&gt;2022&lt;/year&gt;&lt;/dates&gt;&lt;isbn&gt;0006-4971&lt;/isbn&gt;&lt;urls&gt;&lt;/urls</w:instrText>
            </w:r>
            <w:r w:rsidRPr="00D127A9">
              <w:rPr>
                <w:sz w:val="20"/>
                <w:szCs w:val="20"/>
              </w:rPr>
              <w:lastRenderedPageBreak/>
              <w:instrText>&gt;&lt;/record&gt;&lt;/Cite&gt;&lt;/EndNote&gt;</w:instrText>
            </w:r>
            <w:r w:rsidRPr="00D127A9">
              <w:rPr>
                <w:sz w:val="20"/>
                <w:szCs w:val="20"/>
              </w:rPr>
              <w:fldChar w:fldCharType="separate"/>
            </w:r>
            <w:r w:rsidRPr="00D127A9">
              <w:rPr>
                <w:sz w:val="20"/>
                <w:szCs w:val="20"/>
              </w:rPr>
              <w:t>(Ghione et al. 2022)</w:t>
            </w:r>
            <w:r w:rsidRPr="00D127A9">
              <w:rPr>
                <w:sz w:val="20"/>
                <w:szCs w:val="20"/>
              </w:rPr>
              <w:fldChar w:fldCharType="end"/>
            </w:r>
          </w:p>
        </w:tc>
      </w:tr>
    </w:tbl>
    <w:p w14:paraId="19D6E1D2" w14:textId="77777777" w:rsidR="00500DB6" w:rsidRPr="00D127A9" w:rsidRDefault="00500DB6" w:rsidP="00500DB6">
      <w:pPr>
        <w:spacing w:after="160" w:line="259" w:lineRule="auto"/>
        <w:rPr>
          <w:i/>
          <w:iCs/>
          <w:sz w:val="20"/>
          <w:szCs w:val="20"/>
        </w:rPr>
      </w:pPr>
      <w:r w:rsidRPr="00D127A9">
        <w:rPr>
          <w:i/>
          <w:iCs/>
          <w:sz w:val="20"/>
          <w:szCs w:val="20"/>
        </w:rPr>
        <w:lastRenderedPageBreak/>
        <w:t>* Categorise study design, for example meta-analysis, randomised trials, non-randomised trial or observational study, study of diagnostic accuracy, etc.</w:t>
      </w:r>
    </w:p>
    <w:p w14:paraId="63A1EC82" w14:textId="77777777" w:rsidR="00500DB6" w:rsidRPr="00D127A9" w:rsidRDefault="00500DB6" w:rsidP="00500DB6">
      <w:pPr>
        <w:spacing w:after="160" w:line="259" w:lineRule="auto"/>
        <w:rPr>
          <w:i/>
          <w:iCs/>
          <w:sz w:val="20"/>
          <w:szCs w:val="20"/>
        </w:rPr>
      </w:pPr>
      <w:r w:rsidRPr="00D127A9">
        <w:rPr>
          <w:i/>
          <w:iCs/>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20C9B14D" w14:textId="19EC5499" w:rsidR="00500DB6" w:rsidRPr="00500DB6" w:rsidRDefault="00500DB6" w:rsidP="00500DB6">
      <w:pPr>
        <w:spacing w:after="160" w:line="259" w:lineRule="auto"/>
        <w:rPr>
          <w:i/>
          <w:iCs/>
          <w:sz w:val="20"/>
          <w:szCs w:val="20"/>
        </w:rPr>
      </w:pPr>
      <w:r w:rsidRPr="00D127A9">
        <w:rPr>
          <w:i/>
          <w:iCs/>
          <w:sz w:val="20"/>
          <w:szCs w:val="20"/>
        </w:rPr>
        <w:t>*** If the publication is a follow-up to an initial publication, please advise. For yet to be published research, include the date of when results will be made available (to the best of your knowledge).</w:t>
      </w:r>
      <w:r>
        <w:rPr>
          <w:b/>
        </w:rPr>
        <w:br w:type="page"/>
      </w:r>
    </w:p>
    <w:p w14:paraId="74A39190" w14:textId="77777777" w:rsidR="00500DB6" w:rsidRPr="00D127A9" w:rsidRDefault="00500DB6" w:rsidP="00500DB6">
      <w:pPr>
        <w:spacing w:after="160" w:line="259" w:lineRule="auto"/>
      </w:pPr>
      <w:r w:rsidRPr="00D127A9">
        <w:rPr>
          <w:b/>
        </w:rPr>
        <w:lastRenderedPageBreak/>
        <w:t xml:space="preserve">Identify yet-to-be-published research that may have results available </w:t>
      </w:r>
      <w:proofErr w:type="gramStart"/>
      <w:r w:rsidRPr="00D127A9">
        <w:rPr>
          <w:b/>
        </w:rPr>
        <w:t>in the near future</w:t>
      </w:r>
      <w:proofErr w:type="gramEnd"/>
      <w:r w:rsidRPr="00D127A9">
        <w:rPr>
          <w:b/>
        </w:rPr>
        <w:t xml:space="preserve"> (that could be relevant to your application).</w:t>
      </w:r>
    </w:p>
    <w:tbl>
      <w:tblPr>
        <w:tblStyle w:val="TableGrid"/>
        <w:tblW w:w="4973" w:type="pct"/>
        <w:tblInd w:w="-147" w:type="dxa"/>
        <w:tblLayout w:type="fixed"/>
        <w:tblLook w:val="04A0" w:firstRow="1" w:lastRow="0" w:firstColumn="1" w:lastColumn="0" w:noHBand="0" w:noVBand="1"/>
        <w:tblCaption w:val="Summary of Evidence - Published"/>
      </w:tblPr>
      <w:tblGrid>
        <w:gridCol w:w="534"/>
        <w:gridCol w:w="2777"/>
        <w:gridCol w:w="2773"/>
        <w:gridCol w:w="2781"/>
        <w:gridCol w:w="2773"/>
        <w:gridCol w:w="2538"/>
      </w:tblGrid>
      <w:tr w:rsidR="00500DB6" w:rsidRPr="00D127A9" w14:paraId="2ACB7471" w14:textId="77777777" w:rsidTr="00425519">
        <w:trPr>
          <w:cantSplit/>
          <w:tblHeader/>
        </w:trPr>
        <w:tc>
          <w:tcPr>
            <w:tcW w:w="188" w:type="pct"/>
          </w:tcPr>
          <w:p w14:paraId="4214432A" w14:textId="77777777" w:rsidR="00500DB6" w:rsidRPr="00D127A9" w:rsidRDefault="00500DB6" w:rsidP="00425519">
            <w:pPr>
              <w:spacing w:after="160" w:line="259" w:lineRule="auto"/>
              <w:rPr>
                <w:sz w:val="20"/>
                <w:szCs w:val="20"/>
              </w:rPr>
            </w:pPr>
          </w:p>
        </w:tc>
        <w:tc>
          <w:tcPr>
            <w:tcW w:w="979" w:type="pct"/>
          </w:tcPr>
          <w:p w14:paraId="1E6173DB" w14:textId="77777777" w:rsidR="00500DB6" w:rsidRPr="00D127A9" w:rsidRDefault="00500DB6" w:rsidP="00425519">
            <w:pPr>
              <w:spacing w:after="160" w:line="259" w:lineRule="auto"/>
              <w:rPr>
                <w:b/>
                <w:bCs/>
                <w:sz w:val="20"/>
                <w:szCs w:val="20"/>
              </w:rPr>
            </w:pPr>
            <w:r w:rsidRPr="00D127A9">
              <w:rPr>
                <w:b/>
                <w:bCs/>
                <w:sz w:val="20"/>
                <w:szCs w:val="20"/>
              </w:rPr>
              <w:t>Type of study design*</w:t>
            </w:r>
          </w:p>
        </w:tc>
        <w:tc>
          <w:tcPr>
            <w:tcW w:w="978" w:type="pct"/>
          </w:tcPr>
          <w:p w14:paraId="1BA66AFB" w14:textId="77777777" w:rsidR="00500DB6" w:rsidRPr="00D127A9" w:rsidRDefault="00500DB6" w:rsidP="00425519">
            <w:pPr>
              <w:spacing w:after="160" w:line="259" w:lineRule="auto"/>
              <w:rPr>
                <w:b/>
                <w:bCs/>
                <w:sz w:val="20"/>
                <w:szCs w:val="20"/>
              </w:rPr>
            </w:pPr>
            <w:r w:rsidRPr="00D127A9">
              <w:rPr>
                <w:b/>
                <w:bCs/>
                <w:sz w:val="20"/>
                <w:szCs w:val="20"/>
              </w:rPr>
              <w:t>Title of journal article or research project (including any trial identifier or study lead if relevant)</w:t>
            </w:r>
          </w:p>
        </w:tc>
        <w:tc>
          <w:tcPr>
            <w:tcW w:w="981" w:type="pct"/>
          </w:tcPr>
          <w:p w14:paraId="5A62F187" w14:textId="77777777" w:rsidR="00500DB6" w:rsidRPr="00D127A9" w:rsidRDefault="00500DB6" w:rsidP="00425519">
            <w:pPr>
              <w:spacing w:after="160" w:line="259" w:lineRule="auto"/>
              <w:rPr>
                <w:b/>
                <w:bCs/>
                <w:sz w:val="20"/>
                <w:szCs w:val="20"/>
              </w:rPr>
            </w:pPr>
            <w:r w:rsidRPr="00D127A9">
              <w:rPr>
                <w:b/>
                <w:bCs/>
                <w:sz w:val="20"/>
                <w:szCs w:val="20"/>
              </w:rPr>
              <w:t xml:space="preserve">Short description of research (max 50 </w:t>
            </w:r>
            <w:proofErr w:type="gramStart"/>
            <w:r w:rsidRPr="00D127A9">
              <w:rPr>
                <w:b/>
                <w:bCs/>
                <w:sz w:val="20"/>
                <w:szCs w:val="20"/>
              </w:rPr>
              <w:t>words)*</w:t>
            </w:r>
            <w:proofErr w:type="gramEnd"/>
            <w:r w:rsidRPr="00D127A9">
              <w:rPr>
                <w:b/>
                <w:bCs/>
                <w:sz w:val="20"/>
                <w:szCs w:val="20"/>
              </w:rPr>
              <w:t>*</w:t>
            </w:r>
          </w:p>
        </w:tc>
        <w:tc>
          <w:tcPr>
            <w:tcW w:w="978" w:type="pct"/>
          </w:tcPr>
          <w:p w14:paraId="20D8B9C9" w14:textId="77777777" w:rsidR="00500DB6" w:rsidRPr="00D127A9" w:rsidRDefault="00500DB6" w:rsidP="00425519">
            <w:pPr>
              <w:spacing w:after="160" w:line="259" w:lineRule="auto"/>
              <w:rPr>
                <w:b/>
                <w:bCs/>
                <w:sz w:val="20"/>
                <w:szCs w:val="20"/>
              </w:rPr>
            </w:pPr>
            <w:r w:rsidRPr="00D127A9">
              <w:rPr>
                <w:b/>
                <w:bCs/>
                <w:sz w:val="20"/>
                <w:szCs w:val="20"/>
              </w:rPr>
              <w:t>Website link to journal article or research (if available)</w:t>
            </w:r>
          </w:p>
        </w:tc>
        <w:tc>
          <w:tcPr>
            <w:tcW w:w="895" w:type="pct"/>
          </w:tcPr>
          <w:p w14:paraId="355C2385" w14:textId="77777777" w:rsidR="00500DB6" w:rsidRPr="00D127A9" w:rsidRDefault="00500DB6" w:rsidP="00425519">
            <w:pPr>
              <w:spacing w:after="160" w:line="259" w:lineRule="auto"/>
              <w:rPr>
                <w:b/>
                <w:bCs/>
                <w:sz w:val="20"/>
                <w:szCs w:val="20"/>
              </w:rPr>
            </w:pPr>
            <w:r w:rsidRPr="00D127A9">
              <w:rPr>
                <w:b/>
                <w:bCs/>
                <w:sz w:val="20"/>
                <w:szCs w:val="20"/>
              </w:rPr>
              <w:t>Date of publication***</w:t>
            </w:r>
          </w:p>
        </w:tc>
      </w:tr>
      <w:tr w:rsidR="00500DB6" w:rsidRPr="00D127A9" w14:paraId="53D3C2AB" w14:textId="77777777" w:rsidTr="00425519">
        <w:trPr>
          <w:cantSplit/>
        </w:trPr>
        <w:tc>
          <w:tcPr>
            <w:tcW w:w="188" w:type="pct"/>
          </w:tcPr>
          <w:p w14:paraId="5A3EE5B2" w14:textId="77777777" w:rsidR="00500DB6" w:rsidRPr="00D127A9" w:rsidRDefault="00500DB6" w:rsidP="00425519">
            <w:pPr>
              <w:spacing w:after="160" w:line="259" w:lineRule="auto"/>
              <w:rPr>
                <w:sz w:val="20"/>
                <w:szCs w:val="20"/>
              </w:rPr>
            </w:pPr>
            <w:r w:rsidRPr="00D127A9">
              <w:rPr>
                <w:sz w:val="20"/>
                <w:szCs w:val="20"/>
              </w:rPr>
              <w:t>1.</w:t>
            </w:r>
          </w:p>
        </w:tc>
        <w:tc>
          <w:tcPr>
            <w:tcW w:w="979" w:type="pct"/>
          </w:tcPr>
          <w:p w14:paraId="39FEC4EA" w14:textId="77777777" w:rsidR="00500DB6" w:rsidRPr="00D127A9" w:rsidRDefault="00500DB6" w:rsidP="00425519">
            <w:pPr>
              <w:spacing w:after="160" w:line="259" w:lineRule="auto"/>
              <w:rPr>
                <w:sz w:val="20"/>
                <w:szCs w:val="20"/>
              </w:rPr>
            </w:pPr>
            <w:r w:rsidRPr="00D127A9">
              <w:rPr>
                <w:sz w:val="20"/>
                <w:szCs w:val="20"/>
              </w:rPr>
              <w:t>Supplementary study.</w:t>
            </w:r>
          </w:p>
          <w:p w14:paraId="7DD52A62" w14:textId="77777777" w:rsidR="00500DB6" w:rsidRPr="00D127A9" w:rsidRDefault="00500DB6" w:rsidP="00425519">
            <w:pPr>
              <w:spacing w:after="160" w:line="259" w:lineRule="auto"/>
              <w:rPr>
                <w:sz w:val="20"/>
                <w:szCs w:val="20"/>
              </w:rPr>
            </w:pPr>
          </w:p>
          <w:p w14:paraId="75C7E896" w14:textId="77777777" w:rsidR="00500DB6" w:rsidRPr="00D127A9" w:rsidRDefault="00500DB6" w:rsidP="00425519">
            <w:pPr>
              <w:spacing w:after="160" w:line="259" w:lineRule="auto"/>
              <w:rPr>
                <w:b/>
                <w:sz w:val="20"/>
                <w:szCs w:val="20"/>
              </w:rPr>
            </w:pPr>
            <w:r w:rsidRPr="00D127A9">
              <w:rPr>
                <w:sz w:val="20"/>
                <w:szCs w:val="20"/>
              </w:rPr>
              <w:t>Simulated randomised controlled trail</w:t>
            </w:r>
          </w:p>
        </w:tc>
        <w:tc>
          <w:tcPr>
            <w:tcW w:w="978" w:type="pct"/>
          </w:tcPr>
          <w:p w14:paraId="1132AD6B" w14:textId="77777777" w:rsidR="00500DB6" w:rsidRPr="00D127A9" w:rsidRDefault="00500DB6" w:rsidP="00425519">
            <w:pPr>
              <w:spacing w:after="160" w:line="259" w:lineRule="auto"/>
              <w:rPr>
                <w:b/>
                <w:sz w:val="20"/>
                <w:szCs w:val="20"/>
              </w:rPr>
            </w:pPr>
            <w:r w:rsidRPr="00D127A9">
              <w:rPr>
                <w:sz w:val="20"/>
                <w:szCs w:val="20"/>
              </w:rPr>
              <w:t>Comparative effectiveness of axicabtagene ciloleucel vs historical standard-of-care in patients with relapsed or refractory follicular lymphoma: an analysis of CIBMTR and SCHOLAR-5 data</w:t>
            </w:r>
          </w:p>
        </w:tc>
        <w:tc>
          <w:tcPr>
            <w:tcW w:w="981" w:type="pct"/>
          </w:tcPr>
          <w:p w14:paraId="60339D23" w14:textId="77777777" w:rsidR="00500DB6" w:rsidRPr="00D127A9" w:rsidRDefault="00500DB6" w:rsidP="00425519">
            <w:pPr>
              <w:spacing w:after="160" w:line="259" w:lineRule="auto"/>
              <w:rPr>
                <w:sz w:val="20"/>
                <w:szCs w:val="20"/>
              </w:rPr>
            </w:pPr>
            <w:r w:rsidRPr="00D127A9">
              <w:rPr>
                <w:sz w:val="20"/>
                <w:szCs w:val="20"/>
              </w:rPr>
              <w:t xml:space="preserve">Outcomes from patients receiving </w:t>
            </w:r>
            <w:proofErr w:type="spellStart"/>
            <w:r w:rsidRPr="00D127A9">
              <w:rPr>
                <w:sz w:val="20"/>
                <w:szCs w:val="20"/>
              </w:rPr>
              <w:t>Yescarta</w:t>
            </w:r>
            <w:proofErr w:type="spellEnd"/>
            <w:r w:rsidRPr="00D127A9">
              <w:rPr>
                <w:sz w:val="20"/>
                <w:szCs w:val="20"/>
              </w:rPr>
              <w:t xml:space="preserve"> in a real-world setting were compared with the SCHOLAR-5 cohort.</w:t>
            </w:r>
          </w:p>
          <w:p w14:paraId="37203B8E" w14:textId="77777777" w:rsidR="00500DB6" w:rsidRPr="00D127A9" w:rsidRDefault="00500DB6" w:rsidP="00425519">
            <w:pPr>
              <w:spacing w:after="160" w:line="259" w:lineRule="auto"/>
              <w:rPr>
                <w:sz w:val="20"/>
                <w:szCs w:val="20"/>
              </w:rPr>
            </w:pPr>
            <w:r w:rsidRPr="00D127A9">
              <w:rPr>
                <w:sz w:val="20"/>
                <w:szCs w:val="20"/>
              </w:rPr>
              <w:t xml:space="preserve">Objective response in SCHOLAR-5 vs real-world </w:t>
            </w:r>
            <w:proofErr w:type="spellStart"/>
            <w:r w:rsidRPr="00D127A9">
              <w:rPr>
                <w:sz w:val="20"/>
                <w:szCs w:val="20"/>
              </w:rPr>
              <w:t>Yescarta</w:t>
            </w:r>
            <w:proofErr w:type="spellEnd"/>
            <w:r w:rsidRPr="00D127A9">
              <w:rPr>
                <w:sz w:val="20"/>
                <w:szCs w:val="20"/>
              </w:rPr>
              <w:t xml:space="preserve"> was 67% vs 92% respectively: OR 4.9 (95% CI: 2.4, 10.3)</w:t>
            </w:r>
          </w:p>
          <w:p w14:paraId="6A998961" w14:textId="77777777" w:rsidR="00500DB6" w:rsidRPr="00D127A9" w:rsidRDefault="00500DB6" w:rsidP="00425519">
            <w:pPr>
              <w:spacing w:after="160" w:line="259" w:lineRule="auto"/>
              <w:rPr>
                <w:b/>
                <w:sz w:val="20"/>
                <w:szCs w:val="20"/>
              </w:rPr>
            </w:pPr>
            <w:r w:rsidRPr="00D127A9">
              <w:rPr>
                <w:sz w:val="20"/>
                <w:szCs w:val="20"/>
              </w:rPr>
              <w:t>Hazard ratios for PFS and OS at 6-months were 0.41 (95% CI: 0.22, 0.77) and 0.15 (95%: 0.06, 0.34) respectively</w:t>
            </w:r>
          </w:p>
        </w:tc>
        <w:tc>
          <w:tcPr>
            <w:tcW w:w="978" w:type="pct"/>
          </w:tcPr>
          <w:p w14:paraId="1F38436E" w14:textId="77777777" w:rsidR="00500DB6" w:rsidRPr="00D127A9" w:rsidRDefault="00500DB6" w:rsidP="00425519">
            <w:pPr>
              <w:spacing w:after="160" w:line="259" w:lineRule="auto"/>
              <w:rPr>
                <w:b/>
                <w:sz w:val="20"/>
                <w:szCs w:val="20"/>
              </w:rPr>
            </w:pPr>
            <w:r w:rsidRPr="00D127A9">
              <w:rPr>
                <w:sz w:val="20"/>
                <w:szCs w:val="20"/>
              </w:rPr>
              <w:t>https://ash.confex.com/ash/2023/webprogram/Paper178629.html</w:t>
            </w:r>
          </w:p>
        </w:tc>
        <w:tc>
          <w:tcPr>
            <w:tcW w:w="895" w:type="pct"/>
          </w:tcPr>
          <w:p w14:paraId="4C7F89BC" w14:textId="77777777" w:rsidR="00500DB6" w:rsidRPr="00D127A9" w:rsidRDefault="00500DB6" w:rsidP="00425519">
            <w:pPr>
              <w:spacing w:after="160" w:line="259" w:lineRule="auto"/>
              <w:rPr>
                <w:b/>
                <w:sz w:val="20"/>
                <w:szCs w:val="20"/>
              </w:rPr>
            </w:pPr>
            <w:r w:rsidRPr="00D127A9">
              <w:rPr>
                <w:sz w:val="20"/>
                <w:szCs w:val="20"/>
              </w:rPr>
              <w:t>2023</w:t>
            </w:r>
          </w:p>
        </w:tc>
      </w:tr>
    </w:tbl>
    <w:p w14:paraId="7DDFFDFF" w14:textId="77777777" w:rsidR="00500DB6" w:rsidRPr="00D127A9" w:rsidRDefault="00500DB6" w:rsidP="00500DB6">
      <w:pPr>
        <w:spacing w:after="160" w:line="259" w:lineRule="auto"/>
        <w:rPr>
          <w:i/>
          <w:iCs/>
          <w:sz w:val="20"/>
          <w:szCs w:val="20"/>
        </w:rPr>
      </w:pPr>
      <w:r w:rsidRPr="00D127A9">
        <w:rPr>
          <w:i/>
          <w:iCs/>
          <w:sz w:val="20"/>
          <w:szCs w:val="20"/>
        </w:rPr>
        <w:t>* Categorise study design, for example meta-analysis, randomised trials, non-randomised trial or observational study, study of diagnostic accuracy, etc.</w:t>
      </w:r>
    </w:p>
    <w:p w14:paraId="152024B6" w14:textId="77777777" w:rsidR="00500DB6" w:rsidRPr="00D127A9" w:rsidRDefault="00500DB6" w:rsidP="00500DB6">
      <w:pPr>
        <w:spacing w:after="160" w:line="259" w:lineRule="auto"/>
        <w:rPr>
          <w:i/>
          <w:iCs/>
          <w:sz w:val="20"/>
          <w:szCs w:val="20"/>
        </w:rPr>
      </w:pPr>
      <w:r w:rsidRPr="00D127A9">
        <w:rPr>
          <w:i/>
          <w:iCs/>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0D2D2460" w14:textId="77777777" w:rsidR="00500DB6" w:rsidRPr="00500DB6" w:rsidRDefault="00500DB6" w:rsidP="00500DB6">
      <w:pPr>
        <w:rPr>
          <w:sz w:val="20"/>
          <w:szCs w:val="20"/>
        </w:rPr>
      </w:pPr>
      <w:r w:rsidRPr="00D127A9">
        <w:rPr>
          <w:i/>
          <w:iCs/>
          <w:sz w:val="20"/>
          <w:szCs w:val="20"/>
        </w:rPr>
        <w:t>*** If the publication is a follow-up to an initial publication, please advise. For yet to be published research, include the date of when results will be made available (to the best of your knowledge).</w:t>
      </w:r>
      <w:r w:rsidRPr="00500DB6">
        <w:rPr>
          <w:sz w:val="20"/>
          <w:szCs w:val="20"/>
        </w:rPr>
        <w:t xml:space="preserve"> </w:t>
      </w:r>
    </w:p>
    <w:p w14:paraId="01B4A581" w14:textId="77777777" w:rsidR="00500DB6" w:rsidRDefault="00500DB6" w:rsidP="00500DB6"/>
    <w:p w14:paraId="08DDB5E7" w14:textId="77777777" w:rsidR="00500DB6" w:rsidRDefault="00500DB6" w:rsidP="00500DB6">
      <w:pPr>
        <w:rPr>
          <w:i/>
          <w:iCs/>
          <w:sz w:val="20"/>
          <w:szCs w:val="20"/>
        </w:rPr>
      </w:pPr>
    </w:p>
    <w:p w14:paraId="1E6BEAF6" w14:textId="306BE083" w:rsidR="00500DB6" w:rsidRPr="00500DB6" w:rsidRDefault="00500DB6" w:rsidP="00500DB6">
      <w:pPr>
        <w:rPr>
          <w:sz w:val="20"/>
          <w:szCs w:val="20"/>
        </w:rPr>
        <w:sectPr w:rsidR="00500DB6" w:rsidRPr="00500DB6" w:rsidSect="002E623C">
          <w:pgSz w:w="16838" w:h="11906" w:orient="landscape"/>
          <w:pgMar w:top="1440" w:right="1440" w:bottom="991" w:left="1135" w:header="426" w:footer="252" w:gutter="0"/>
          <w:cols w:space="708"/>
          <w:docGrid w:linePitch="360"/>
        </w:sectPr>
      </w:pPr>
    </w:p>
    <w:p w14:paraId="539B270A" w14:textId="55F7438A" w:rsidR="00EF3C53" w:rsidRDefault="001F3D98" w:rsidP="001F3D98">
      <w:pPr>
        <w:pStyle w:val="Heading1"/>
      </w:pPr>
      <w:r>
        <w:lastRenderedPageBreak/>
        <w:t>References</w:t>
      </w:r>
    </w:p>
    <w:p w14:paraId="5D88D1A7" w14:textId="16DD9567" w:rsidR="003874E2" w:rsidRPr="003874E2" w:rsidRDefault="00EF3C53" w:rsidP="003874E2">
      <w:pPr>
        <w:pStyle w:val="EndNoteBibliography"/>
      </w:pPr>
      <w:r>
        <w:fldChar w:fldCharType="begin"/>
      </w:r>
      <w:r>
        <w:instrText xml:space="preserve"> ADDIN EN.REFLIST </w:instrText>
      </w:r>
      <w:r>
        <w:fldChar w:fldCharType="separate"/>
      </w:r>
      <w:r w:rsidR="003874E2" w:rsidRPr="003874E2">
        <w:t>Carbone, A, Roulland, S, et al. (2019). "</w:t>
      </w:r>
      <w:r w:rsidR="00DD7DC1" w:rsidRPr="00DD7DC1">
        <w:t>Follicular lymphoma</w:t>
      </w:r>
      <w:r w:rsidR="003874E2" w:rsidRPr="003874E2">
        <w:t xml:space="preserve">." </w:t>
      </w:r>
      <w:r w:rsidR="003874E2" w:rsidRPr="003874E2">
        <w:rPr>
          <w:u w:val="single"/>
        </w:rPr>
        <w:t>Nature reviews Disease primers</w:t>
      </w:r>
      <w:r w:rsidR="003874E2" w:rsidRPr="003874E2">
        <w:t xml:space="preserve"> </w:t>
      </w:r>
      <w:r w:rsidR="003874E2" w:rsidRPr="003874E2">
        <w:rPr>
          <w:b/>
        </w:rPr>
        <w:t>5</w:t>
      </w:r>
      <w:r w:rsidR="003874E2" w:rsidRPr="003874E2">
        <w:t>(1): 83.</w:t>
      </w:r>
    </w:p>
    <w:p w14:paraId="7DC9AD1F" w14:textId="77777777" w:rsidR="003874E2" w:rsidRPr="003874E2" w:rsidRDefault="003874E2" w:rsidP="003874E2">
      <w:pPr>
        <w:pStyle w:val="EndNoteBibliography"/>
        <w:spacing w:after="0"/>
      </w:pPr>
    </w:p>
    <w:p w14:paraId="05CBB6D3" w14:textId="77777777" w:rsidR="003874E2" w:rsidRPr="003874E2" w:rsidRDefault="003874E2" w:rsidP="003874E2">
      <w:pPr>
        <w:pStyle w:val="EndNoteBibliography"/>
      </w:pPr>
      <w:r w:rsidRPr="003874E2">
        <w:t xml:space="preserve">Cheson, BD, Fisher, RI, et al. (2014). "Recommendations for initial evaluation, staging, and response assessment of Hodgkin and non-Hodgkin lymphoma: the Lugano classification." </w:t>
      </w:r>
      <w:r w:rsidRPr="003874E2">
        <w:rPr>
          <w:u w:val="single"/>
        </w:rPr>
        <w:t>Journal of clinical oncology</w:t>
      </w:r>
      <w:r w:rsidRPr="003874E2">
        <w:t xml:space="preserve"> </w:t>
      </w:r>
      <w:r w:rsidRPr="003874E2">
        <w:rPr>
          <w:b/>
        </w:rPr>
        <w:t>32</w:t>
      </w:r>
      <w:r w:rsidRPr="003874E2">
        <w:t>(27): 3059.</w:t>
      </w:r>
    </w:p>
    <w:p w14:paraId="49C73DBF" w14:textId="77777777" w:rsidR="003874E2" w:rsidRPr="003874E2" w:rsidRDefault="003874E2" w:rsidP="003874E2">
      <w:pPr>
        <w:pStyle w:val="EndNoteBibliography"/>
        <w:spacing w:after="0"/>
      </w:pPr>
    </w:p>
    <w:p w14:paraId="376C8202" w14:textId="579C77CB" w:rsidR="003874E2" w:rsidRPr="003874E2" w:rsidRDefault="003874E2" w:rsidP="003874E2">
      <w:pPr>
        <w:pStyle w:val="EndNoteBibliography"/>
      </w:pPr>
      <w:r w:rsidRPr="003874E2">
        <w:t xml:space="preserve">Dreyling, M, Ghielmini, M, et al. (2021). "Newly diagnosed and relapsed </w:t>
      </w:r>
      <w:r w:rsidR="00DD7DC1" w:rsidRPr="00DD7DC1">
        <w:t>follicular lymphoma</w:t>
      </w:r>
      <w:r w:rsidRPr="003874E2">
        <w:t>: ESMO Clinical Practice Guidelines for diagnosis, treatment and follow-up†</w:t>
      </w:r>
      <w:r w:rsidRPr="003874E2">
        <w:rPr>
          <w:rFonts w:ascii="Segoe UI Symbol" w:hAnsi="Segoe UI Symbol" w:cs="Segoe UI Symbol"/>
        </w:rPr>
        <w:t>☆</w:t>
      </w:r>
      <w:r w:rsidRPr="003874E2">
        <w:t xml:space="preserve">." </w:t>
      </w:r>
      <w:r w:rsidRPr="003874E2">
        <w:rPr>
          <w:u w:val="single"/>
        </w:rPr>
        <w:t>Annals of Oncology</w:t>
      </w:r>
      <w:r w:rsidRPr="003874E2">
        <w:t xml:space="preserve"> </w:t>
      </w:r>
      <w:r w:rsidRPr="003874E2">
        <w:rPr>
          <w:b/>
        </w:rPr>
        <w:t>32</w:t>
      </w:r>
      <w:r w:rsidRPr="003874E2">
        <w:t>(3): 298-308.</w:t>
      </w:r>
    </w:p>
    <w:p w14:paraId="00211335" w14:textId="77777777" w:rsidR="003874E2" w:rsidRPr="003874E2" w:rsidRDefault="003874E2" w:rsidP="003874E2">
      <w:pPr>
        <w:pStyle w:val="EndNoteBibliography"/>
        <w:spacing w:after="0"/>
      </w:pPr>
    </w:p>
    <w:p w14:paraId="322ACBB0" w14:textId="77777777" w:rsidR="003874E2" w:rsidRPr="003874E2" w:rsidRDefault="003874E2" w:rsidP="003874E2">
      <w:pPr>
        <w:pStyle w:val="EndNoteBibliography"/>
      </w:pPr>
      <w:r w:rsidRPr="003874E2">
        <w:t xml:space="preserve">Finney, HM, Lawson, AD, et al. (1998). "Chimeric receptors providing both primary and costimulatory signaling in T cells from a single gene product." </w:t>
      </w:r>
      <w:r w:rsidRPr="003874E2">
        <w:rPr>
          <w:u w:val="single"/>
        </w:rPr>
        <w:t>The Journal of Immunology</w:t>
      </w:r>
      <w:r w:rsidRPr="003874E2">
        <w:t xml:space="preserve"> </w:t>
      </w:r>
      <w:r w:rsidRPr="003874E2">
        <w:rPr>
          <w:b/>
        </w:rPr>
        <w:t>161</w:t>
      </w:r>
      <w:r w:rsidRPr="003874E2">
        <w:t>(6): 2791-2797.</w:t>
      </w:r>
    </w:p>
    <w:p w14:paraId="3A9D2C6C" w14:textId="77777777" w:rsidR="003874E2" w:rsidRPr="003874E2" w:rsidRDefault="003874E2" w:rsidP="003874E2">
      <w:pPr>
        <w:pStyle w:val="EndNoteBibliography"/>
        <w:spacing w:after="0"/>
      </w:pPr>
    </w:p>
    <w:p w14:paraId="60FFA962" w14:textId="7E5A7A50" w:rsidR="003874E2" w:rsidRPr="003874E2" w:rsidRDefault="003874E2" w:rsidP="003874E2">
      <w:pPr>
        <w:pStyle w:val="EndNoteBibliography"/>
      </w:pPr>
      <w:r w:rsidRPr="003874E2">
        <w:t>Freedman, A and Jacobsen, E (2020). "</w:t>
      </w:r>
      <w:r w:rsidR="00DD7DC1" w:rsidRPr="00DD7DC1">
        <w:t>Follicular lymphoma</w:t>
      </w:r>
      <w:r w:rsidRPr="003874E2">
        <w:t xml:space="preserve">: 2020 update on diagnosis and management." </w:t>
      </w:r>
      <w:r w:rsidRPr="003874E2">
        <w:rPr>
          <w:u w:val="single"/>
        </w:rPr>
        <w:t>American Journal of Hematology</w:t>
      </w:r>
      <w:r w:rsidRPr="003874E2">
        <w:t xml:space="preserve"> </w:t>
      </w:r>
      <w:r w:rsidRPr="003874E2">
        <w:rPr>
          <w:b/>
        </w:rPr>
        <w:t>95</w:t>
      </w:r>
      <w:r w:rsidRPr="003874E2">
        <w:t>(3): 316-327.</w:t>
      </w:r>
    </w:p>
    <w:p w14:paraId="0F339A55" w14:textId="77777777" w:rsidR="003874E2" w:rsidRPr="003874E2" w:rsidRDefault="003874E2" w:rsidP="003874E2">
      <w:pPr>
        <w:pStyle w:val="EndNoteBibliography"/>
        <w:spacing w:after="0"/>
      </w:pPr>
    </w:p>
    <w:p w14:paraId="56F05146" w14:textId="30C62A96" w:rsidR="003874E2" w:rsidRPr="003874E2" w:rsidRDefault="003874E2" w:rsidP="003874E2">
      <w:pPr>
        <w:pStyle w:val="EndNoteBibliography"/>
      </w:pPr>
      <w:r w:rsidRPr="003874E2">
        <w:t xml:space="preserve">Ghione, P, Palomba, ML, et al. (2023). "Treatment patterns and outcomes in relapsed/refractory </w:t>
      </w:r>
      <w:r w:rsidR="00DD7DC1" w:rsidRPr="00DD7DC1">
        <w:t>follicular lymphoma</w:t>
      </w:r>
      <w:r w:rsidRPr="003874E2">
        <w:t xml:space="preserve">: results from the international SCHOLAR-5 study." </w:t>
      </w:r>
      <w:r w:rsidRPr="003874E2">
        <w:rPr>
          <w:u w:val="single"/>
        </w:rPr>
        <w:t>Haematologica</w:t>
      </w:r>
      <w:r w:rsidRPr="003874E2">
        <w:t xml:space="preserve"> </w:t>
      </w:r>
      <w:r w:rsidRPr="003874E2">
        <w:rPr>
          <w:b/>
        </w:rPr>
        <w:t>108</w:t>
      </w:r>
      <w:r w:rsidRPr="003874E2">
        <w:t>(3): 822.</w:t>
      </w:r>
    </w:p>
    <w:p w14:paraId="05DEA96B" w14:textId="77777777" w:rsidR="003874E2" w:rsidRPr="003874E2" w:rsidRDefault="003874E2" w:rsidP="003874E2">
      <w:pPr>
        <w:pStyle w:val="EndNoteBibliography"/>
        <w:spacing w:after="0"/>
      </w:pPr>
    </w:p>
    <w:p w14:paraId="2203DBDF" w14:textId="24DA82B9" w:rsidR="003874E2" w:rsidRPr="003874E2" w:rsidRDefault="003874E2" w:rsidP="003874E2">
      <w:pPr>
        <w:pStyle w:val="EndNoteBibliography"/>
      </w:pPr>
      <w:r w:rsidRPr="003874E2">
        <w:t xml:space="preserve">Ghione, P, Palomba, ML, et al. (2022). "Comparative effectiveness of ZUMA-5 (axi-cel) vs SCHOLAR-5 external control in relapsed/refractory </w:t>
      </w:r>
      <w:r w:rsidR="00DD7DC1" w:rsidRPr="00DD7DC1">
        <w:t>follicular lymphoma</w:t>
      </w:r>
      <w:r w:rsidRPr="003874E2">
        <w:t xml:space="preserve">." </w:t>
      </w:r>
      <w:r w:rsidRPr="003874E2">
        <w:rPr>
          <w:u w:val="single"/>
        </w:rPr>
        <w:t>Blood, The Journal of the American Society of Hematology</w:t>
      </w:r>
      <w:r w:rsidRPr="003874E2">
        <w:t xml:space="preserve"> </w:t>
      </w:r>
      <w:r w:rsidRPr="003874E2">
        <w:rPr>
          <w:b/>
        </w:rPr>
        <w:t>140</w:t>
      </w:r>
      <w:r w:rsidRPr="003874E2">
        <w:t>(8): 851-860.</w:t>
      </w:r>
    </w:p>
    <w:p w14:paraId="479FB3D9" w14:textId="77777777" w:rsidR="003874E2" w:rsidRPr="003874E2" w:rsidRDefault="003874E2" w:rsidP="003874E2">
      <w:pPr>
        <w:pStyle w:val="EndNoteBibliography"/>
        <w:spacing w:after="0"/>
      </w:pPr>
    </w:p>
    <w:p w14:paraId="663773A1" w14:textId="77777777" w:rsidR="003874E2" w:rsidRPr="003874E2" w:rsidRDefault="003874E2" w:rsidP="003874E2">
      <w:pPr>
        <w:pStyle w:val="EndNoteBibliography"/>
      </w:pPr>
      <w:r w:rsidRPr="003874E2">
        <w:t xml:space="preserve">Jacobson, CA, Chavez, JC, et al. (2022). "Axicabtagene ciloleucel in relapsed or refractory indolent non-Hodgkin lymphoma (ZUMA-5): a single-arm, multicentre, phase 2 trial." </w:t>
      </w:r>
      <w:r w:rsidRPr="003874E2">
        <w:rPr>
          <w:u w:val="single"/>
        </w:rPr>
        <w:t>The lancet oncology</w:t>
      </w:r>
      <w:r w:rsidRPr="003874E2">
        <w:t xml:space="preserve"> </w:t>
      </w:r>
      <w:r w:rsidRPr="003874E2">
        <w:rPr>
          <w:b/>
        </w:rPr>
        <w:t>23</w:t>
      </w:r>
      <w:r w:rsidRPr="003874E2">
        <w:t>(1): 91-103.</w:t>
      </w:r>
    </w:p>
    <w:p w14:paraId="770B3788" w14:textId="77777777" w:rsidR="003874E2" w:rsidRPr="003874E2" w:rsidRDefault="003874E2" w:rsidP="003874E2">
      <w:pPr>
        <w:pStyle w:val="EndNoteBibliography"/>
        <w:spacing w:after="0"/>
      </w:pPr>
    </w:p>
    <w:p w14:paraId="1498334C" w14:textId="77777777" w:rsidR="003874E2" w:rsidRPr="003874E2" w:rsidRDefault="003874E2" w:rsidP="003874E2">
      <w:pPr>
        <w:pStyle w:val="EndNoteBibliography"/>
      </w:pPr>
      <w:r w:rsidRPr="003874E2">
        <w:t xml:space="preserve">Neelapu, SS, Chavez, JC, et al. (2023). "Three-Year Follow-Up Analysis of Axicabtagene Ciloleucel in Relapsed/Refractory Indolent Non-Hodgkin Lymphoma (ZUMA-5)." </w:t>
      </w:r>
      <w:r w:rsidRPr="003874E2">
        <w:rPr>
          <w:u w:val="single"/>
        </w:rPr>
        <w:t>Blood Journal</w:t>
      </w:r>
      <w:r w:rsidRPr="003874E2">
        <w:t>: blood. 2023021243.</w:t>
      </w:r>
    </w:p>
    <w:p w14:paraId="1C0B478C" w14:textId="77777777" w:rsidR="003874E2" w:rsidRPr="003874E2" w:rsidRDefault="003874E2" w:rsidP="003874E2">
      <w:pPr>
        <w:pStyle w:val="EndNoteBibliography"/>
        <w:spacing w:after="0"/>
      </w:pPr>
    </w:p>
    <w:p w14:paraId="278AFBBE" w14:textId="77777777" w:rsidR="003874E2" w:rsidRPr="003874E2" w:rsidRDefault="003874E2" w:rsidP="003874E2">
      <w:pPr>
        <w:pStyle w:val="EndNoteBibliography"/>
      </w:pPr>
      <w:r w:rsidRPr="003874E2">
        <w:t xml:space="preserve">Restifo, NP, Dudley, ME, et al. (2012). "Adoptive immunotherapy for cancer: harnessing the T cell response." </w:t>
      </w:r>
      <w:r w:rsidRPr="003874E2">
        <w:rPr>
          <w:u w:val="single"/>
        </w:rPr>
        <w:t>Nature Reviews Immunology</w:t>
      </w:r>
      <w:r w:rsidRPr="003874E2">
        <w:t xml:space="preserve"> </w:t>
      </w:r>
      <w:r w:rsidRPr="003874E2">
        <w:rPr>
          <w:b/>
        </w:rPr>
        <w:t>12</w:t>
      </w:r>
      <w:r w:rsidRPr="003874E2">
        <w:t>(4): 269-281.</w:t>
      </w:r>
    </w:p>
    <w:p w14:paraId="02B4A78C" w14:textId="77777777" w:rsidR="003874E2" w:rsidRPr="003874E2" w:rsidRDefault="003874E2" w:rsidP="003874E2">
      <w:pPr>
        <w:pStyle w:val="EndNoteBibliography"/>
        <w:spacing w:after="0"/>
      </w:pPr>
    </w:p>
    <w:p w14:paraId="0C498112" w14:textId="3D2562AC" w:rsidR="003874E2" w:rsidRPr="003874E2" w:rsidRDefault="003874E2" w:rsidP="003874E2">
      <w:pPr>
        <w:pStyle w:val="EndNoteBibliography"/>
      </w:pPr>
      <w:r w:rsidRPr="003874E2">
        <w:t xml:space="preserve">Trotman, J, Cheah, CY, et al. (2019). "Front‐line management of non‐Hodgkin lymphoma in Australia. Part 1: </w:t>
      </w:r>
      <w:r w:rsidR="00DD7DC1" w:rsidRPr="00DD7DC1">
        <w:t>follicular lymphoma</w:t>
      </w:r>
      <w:r w:rsidRPr="003874E2">
        <w:t xml:space="preserve">." </w:t>
      </w:r>
      <w:r w:rsidRPr="003874E2">
        <w:rPr>
          <w:u w:val="single"/>
        </w:rPr>
        <w:t>Internal Medicine Journal</w:t>
      </w:r>
      <w:r w:rsidRPr="003874E2">
        <w:t xml:space="preserve"> </w:t>
      </w:r>
      <w:r w:rsidRPr="003874E2">
        <w:rPr>
          <w:b/>
        </w:rPr>
        <w:t>49</w:t>
      </w:r>
      <w:r w:rsidRPr="003874E2">
        <w:t>(4): 422-433.</w:t>
      </w:r>
    </w:p>
    <w:p w14:paraId="60AE8E48" w14:textId="77777777" w:rsidR="003874E2" w:rsidRPr="003874E2" w:rsidRDefault="003874E2" w:rsidP="003874E2">
      <w:pPr>
        <w:pStyle w:val="EndNoteBibliography"/>
      </w:pPr>
    </w:p>
    <w:p w14:paraId="3A3ED3FC" w14:textId="7AE93BF8" w:rsidR="00DB2D53" w:rsidRDefault="00EF3C53" w:rsidP="001E1797">
      <w:r>
        <w:fldChar w:fldCharType="end"/>
      </w:r>
    </w:p>
    <w:sectPr w:rsidR="00DB2D53" w:rsidSect="001F3D98">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B066" w14:textId="77777777" w:rsidR="006F54EE" w:rsidRDefault="006F54EE" w:rsidP="001E1797">
      <w:r>
        <w:separator/>
      </w:r>
    </w:p>
  </w:endnote>
  <w:endnote w:type="continuationSeparator" w:id="0">
    <w:p w14:paraId="3557D95A" w14:textId="77777777" w:rsidR="006F54EE" w:rsidRDefault="006F54EE" w:rsidP="001E1797">
      <w:r>
        <w:continuationSeparator/>
      </w:r>
    </w:p>
  </w:endnote>
  <w:endnote w:type="continuationNotice" w:id="1">
    <w:p w14:paraId="004EBC53" w14:textId="77777777" w:rsidR="006F54EE" w:rsidRDefault="006F54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8C25" w14:textId="77777777" w:rsidR="00FA3B5C" w:rsidRDefault="00FA3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349185"/>
      <w:docPartObj>
        <w:docPartGallery w:val="Page Numbers (Bottom of Page)"/>
        <w:docPartUnique/>
      </w:docPartObj>
    </w:sdtPr>
    <w:sdtEndPr>
      <w:rPr>
        <w:noProof/>
      </w:rPr>
    </w:sdtEndPr>
    <w:sdtContent>
      <w:p w14:paraId="786C54A5" w14:textId="6C968C1C" w:rsidR="006A0B1B" w:rsidRDefault="006A0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73B52F" w14:textId="77777777" w:rsidR="007C4F9D" w:rsidRDefault="007C4F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2818" w14:textId="77777777" w:rsidR="00FA3B5C" w:rsidRDefault="00FA3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7915E" w14:textId="77777777" w:rsidR="006F54EE" w:rsidRDefault="006F54EE" w:rsidP="001E1797">
      <w:r>
        <w:separator/>
      </w:r>
    </w:p>
  </w:footnote>
  <w:footnote w:type="continuationSeparator" w:id="0">
    <w:p w14:paraId="4F0F4CE3" w14:textId="77777777" w:rsidR="006F54EE" w:rsidRDefault="006F54EE" w:rsidP="001E1797">
      <w:r>
        <w:continuationSeparator/>
      </w:r>
    </w:p>
  </w:footnote>
  <w:footnote w:type="continuationNotice" w:id="1">
    <w:p w14:paraId="04EC5496" w14:textId="77777777" w:rsidR="006F54EE" w:rsidRDefault="006F54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3B1C" w14:textId="77777777" w:rsidR="00FA3B5C" w:rsidRDefault="00FA3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27D8" w14:textId="46980A52" w:rsidR="00F24F33" w:rsidRDefault="00F24F33">
    <w:pPr>
      <w:pStyle w:val="Header"/>
    </w:pPr>
    <w:r w:rsidRPr="0044151D">
      <w:t xml:space="preserve">Axicabtagene ciloleucel therapy for patients with relapsed or refractory follicular lymphoma </w:t>
    </w:r>
    <w:r>
      <w:t>– PICO Set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1DD0" w14:textId="77777777" w:rsidR="00FA3B5C" w:rsidRDefault="00FA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5C2"/>
    <w:multiLevelType w:val="hybridMultilevel"/>
    <w:tmpl w:val="D3785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3A42A8"/>
    <w:multiLevelType w:val="hybridMultilevel"/>
    <w:tmpl w:val="E8F82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A40632"/>
    <w:multiLevelType w:val="hybridMultilevel"/>
    <w:tmpl w:val="A7C4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4216A0"/>
    <w:multiLevelType w:val="hybridMultilevel"/>
    <w:tmpl w:val="4A983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D034F4A"/>
    <w:multiLevelType w:val="hybridMultilevel"/>
    <w:tmpl w:val="46024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4874DF"/>
    <w:multiLevelType w:val="hybridMultilevel"/>
    <w:tmpl w:val="D84C9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3876954">
    <w:abstractNumId w:val="0"/>
  </w:num>
  <w:num w:numId="2" w16cid:durableId="156121342">
    <w:abstractNumId w:val="1"/>
  </w:num>
  <w:num w:numId="3" w16cid:durableId="145585796">
    <w:abstractNumId w:val="4"/>
  </w:num>
  <w:num w:numId="4" w16cid:durableId="55708081">
    <w:abstractNumId w:val="5"/>
  </w:num>
  <w:num w:numId="5" w16cid:durableId="877939185">
    <w:abstractNumId w:val="2"/>
  </w:num>
  <w:num w:numId="6" w16cid:durableId="908081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 TG Edit&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vspvpphdrt93e9asepdx5etr9rf5rptvp0&quot;&gt;HTAccess EndNote Library June 2023&lt;record-ids&gt;&lt;item&gt;1197&lt;/item&gt;&lt;item&gt;1199&lt;/item&gt;&lt;item&gt;1200&lt;/item&gt;&lt;item&gt;1202&lt;/item&gt;&lt;item&gt;1203&lt;/item&gt;&lt;item&gt;1204&lt;/item&gt;&lt;item&gt;1205&lt;/item&gt;&lt;item&gt;1206&lt;/item&gt;&lt;item&gt;1209&lt;/item&gt;&lt;item&gt;1210&lt;/item&gt;&lt;item&gt;1211&lt;/item&gt;&lt;/record-ids&gt;&lt;/item&gt;&lt;/Libraries&gt;"/>
  </w:docVars>
  <w:rsids>
    <w:rsidRoot w:val="00BE6B22"/>
    <w:rsid w:val="0000187C"/>
    <w:rsid w:val="00003889"/>
    <w:rsid w:val="00004AF2"/>
    <w:rsid w:val="00006968"/>
    <w:rsid w:val="00007743"/>
    <w:rsid w:val="00011ED2"/>
    <w:rsid w:val="00016C59"/>
    <w:rsid w:val="00017640"/>
    <w:rsid w:val="00017F8D"/>
    <w:rsid w:val="000237A9"/>
    <w:rsid w:val="00023C6B"/>
    <w:rsid w:val="00025540"/>
    <w:rsid w:val="00025969"/>
    <w:rsid w:val="00030CB6"/>
    <w:rsid w:val="00033220"/>
    <w:rsid w:val="000345E0"/>
    <w:rsid w:val="000366D3"/>
    <w:rsid w:val="000446E8"/>
    <w:rsid w:val="00046370"/>
    <w:rsid w:val="00046D9C"/>
    <w:rsid w:val="000475A4"/>
    <w:rsid w:val="000509F6"/>
    <w:rsid w:val="000515CF"/>
    <w:rsid w:val="00051843"/>
    <w:rsid w:val="000535C2"/>
    <w:rsid w:val="0005470C"/>
    <w:rsid w:val="0005534E"/>
    <w:rsid w:val="000627EF"/>
    <w:rsid w:val="000723C6"/>
    <w:rsid w:val="000823DF"/>
    <w:rsid w:val="000833B1"/>
    <w:rsid w:val="000858AA"/>
    <w:rsid w:val="0009097A"/>
    <w:rsid w:val="000934AF"/>
    <w:rsid w:val="000942A8"/>
    <w:rsid w:val="00094354"/>
    <w:rsid w:val="00094D1C"/>
    <w:rsid w:val="000A0EC3"/>
    <w:rsid w:val="000A1AB4"/>
    <w:rsid w:val="000A328F"/>
    <w:rsid w:val="000A3343"/>
    <w:rsid w:val="000A55D5"/>
    <w:rsid w:val="000B1491"/>
    <w:rsid w:val="000B3A33"/>
    <w:rsid w:val="000B3C60"/>
    <w:rsid w:val="000B5BC5"/>
    <w:rsid w:val="000B5C1E"/>
    <w:rsid w:val="000C0959"/>
    <w:rsid w:val="000C151A"/>
    <w:rsid w:val="000C1E3B"/>
    <w:rsid w:val="000C1EA6"/>
    <w:rsid w:val="000C46A9"/>
    <w:rsid w:val="000D1F3E"/>
    <w:rsid w:val="000D4AAC"/>
    <w:rsid w:val="000D5217"/>
    <w:rsid w:val="000E5ADC"/>
    <w:rsid w:val="000E6D0D"/>
    <w:rsid w:val="000F0036"/>
    <w:rsid w:val="000F1D80"/>
    <w:rsid w:val="000F28F7"/>
    <w:rsid w:val="000F3F21"/>
    <w:rsid w:val="000F65C5"/>
    <w:rsid w:val="000F79C2"/>
    <w:rsid w:val="000F7C91"/>
    <w:rsid w:val="0011197C"/>
    <w:rsid w:val="001124F7"/>
    <w:rsid w:val="001134B0"/>
    <w:rsid w:val="001136E0"/>
    <w:rsid w:val="001158C1"/>
    <w:rsid w:val="00120242"/>
    <w:rsid w:val="001209B7"/>
    <w:rsid w:val="00125CB8"/>
    <w:rsid w:val="001309A3"/>
    <w:rsid w:val="00130A79"/>
    <w:rsid w:val="0013107D"/>
    <w:rsid w:val="00136926"/>
    <w:rsid w:val="001422DB"/>
    <w:rsid w:val="00151B43"/>
    <w:rsid w:val="00152083"/>
    <w:rsid w:val="0016065A"/>
    <w:rsid w:val="001701C5"/>
    <w:rsid w:val="00170A68"/>
    <w:rsid w:val="00171E18"/>
    <w:rsid w:val="00177195"/>
    <w:rsid w:val="001810F2"/>
    <w:rsid w:val="00182DB9"/>
    <w:rsid w:val="001840E1"/>
    <w:rsid w:val="001842B5"/>
    <w:rsid w:val="0018626A"/>
    <w:rsid w:val="00186739"/>
    <w:rsid w:val="001914CF"/>
    <w:rsid w:val="00192E98"/>
    <w:rsid w:val="00193FEB"/>
    <w:rsid w:val="001953B7"/>
    <w:rsid w:val="001B4185"/>
    <w:rsid w:val="001C2574"/>
    <w:rsid w:val="001C6CB6"/>
    <w:rsid w:val="001D035F"/>
    <w:rsid w:val="001D3FBB"/>
    <w:rsid w:val="001D4947"/>
    <w:rsid w:val="001E1797"/>
    <w:rsid w:val="001E2C38"/>
    <w:rsid w:val="001E50FB"/>
    <w:rsid w:val="001F0C89"/>
    <w:rsid w:val="001F107E"/>
    <w:rsid w:val="001F1522"/>
    <w:rsid w:val="001F3D98"/>
    <w:rsid w:val="001F67C5"/>
    <w:rsid w:val="001F6E45"/>
    <w:rsid w:val="00201968"/>
    <w:rsid w:val="002066C6"/>
    <w:rsid w:val="0021102A"/>
    <w:rsid w:val="00213BEE"/>
    <w:rsid w:val="002146E7"/>
    <w:rsid w:val="00222250"/>
    <w:rsid w:val="00223147"/>
    <w:rsid w:val="00231416"/>
    <w:rsid w:val="002359DD"/>
    <w:rsid w:val="00237B97"/>
    <w:rsid w:val="00241785"/>
    <w:rsid w:val="00245858"/>
    <w:rsid w:val="00251FF2"/>
    <w:rsid w:val="002539F6"/>
    <w:rsid w:val="00254526"/>
    <w:rsid w:val="00254A36"/>
    <w:rsid w:val="002552F4"/>
    <w:rsid w:val="002631F8"/>
    <w:rsid w:val="00271624"/>
    <w:rsid w:val="00273E60"/>
    <w:rsid w:val="00273EC4"/>
    <w:rsid w:val="00275D17"/>
    <w:rsid w:val="002767B5"/>
    <w:rsid w:val="00277650"/>
    <w:rsid w:val="00280050"/>
    <w:rsid w:val="00281C8C"/>
    <w:rsid w:val="00283479"/>
    <w:rsid w:val="00283AFE"/>
    <w:rsid w:val="0029231B"/>
    <w:rsid w:val="002933B3"/>
    <w:rsid w:val="0029533E"/>
    <w:rsid w:val="00296DA3"/>
    <w:rsid w:val="002A4BC2"/>
    <w:rsid w:val="002A4EEC"/>
    <w:rsid w:val="002A56A2"/>
    <w:rsid w:val="002A729C"/>
    <w:rsid w:val="002B316F"/>
    <w:rsid w:val="002B3D20"/>
    <w:rsid w:val="002B4BB3"/>
    <w:rsid w:val="002B7B2B"/>
    <w:rsid w:val="002C29AB"/>
    <w:rsid w:val="002D36FF"/>
    <w:rsid w:val="002D46AD"/>
    <w:rsid w:val="002D676A"/>
    <w:rsid w:val="002D7216"/>
    <w:rsid w:val="002E357C"/>
    <w:rsid w:val="002E3A8F"/>
    <w:rsid w:val="002E623C"/>
    <w:rsid w:val="002F0626"/>
    <w:rsid w:val="002F4E1A"/>
    <w:rsid w:val="002F56E0"/>
    <w:rsid w:val="002F6353"/>
    <w:rsid w:val="002F6945"/>
    <w:rsid w:val="00300C2D"/>
    <w:rsid w:val="00300F90"/>
    <w:rsid w:val="00303EA5"/>
    <w:rsid w:val="00307761"/>
    <w:rsid w:val="00311057"/>
    <w:rsid w:val="00312E25"/>
    <w:rsid w:val="0032228B"/>
    <w:rsid w:val="003261CC"/>
    <w:rsid w:val="00330100"/>
    <w:rsid w:val="003367EB"/>
    <w:rsid w:val="00337EC4"/>
    <w:rsid w:val="00342463"/>
    <w:rsid w:val="0034317F"/>
    <w:rsid w:val="0034350E"/>
    <w:rsid w:val="0034721B"/>
    <w:rsid w:val="00351AAF"/>
    <w:rsid w:val="00352749"/>
    <w:rsid w:val="00352898"/>
    <w:rsid w:val="00352A57"/>
    <w:rsid w:val="003554B7"/>
    <w:rsid w:val="00357E33"/>
    <w:rsid w:val="003663FD"/>
    <w:rsid w:val="003668E5"/>
    <w:rsid w:val="00366D09"/>
    <w:rsid w:val="003673F9"/>
    <w:rsid w:val="003722CF"/>
    <w:rsid w:val="0037345E"/>
    <w:rsid w:val="00373975"/>
    <w:rsid w:val="00380C41"/>
    <w:rsid w:val="003818F9"/>
    <w:rsid w:val="00382493"/>
    <w:rsid w:val="003869DB"/>
    <w:rsid w:val="003874E2"/>
    <w:rsid w:val="003917E3"/>
    <w:rsid w:val="00391872"/>
    <w:rsid w:val="00393E99"/>
    <w:rsid w:val="0039430A"/>
    <w:rsid w:val="003A16D1"/>
    <w:rsid w:val="003A24F9"/>
    <w:rsid w:val="003A2ED3"/>
    <w:rsid w:val="003A3F11"/>
    <w:rsid w:val="003A56A8"/>
    <w:rsid w:val="003B0527"/>
    <w:rsid w:val="003B26C4"/>
    <w:rsid w:val="003C0D99"/>
    <w:rsid w:val="003C67DA"/>
    <w:rsid w:val="003D1002"/>
    <w:rsid w:val="003D36CB"/>
    <w:rsid w:val="003E75DB"/>
    <w:rsid w:val="003F26A3"/>
    <w:rsid w:val="003F271A"/>
    <w:rsid w:val="003F39D1"/>
    <w:rsid w:val="003F7059"/>
    <w:rsid w:val="00400A2F"/>
    <w:rsid w:val="00403AF4"/>
    <w:rsid w:val="00403BBE"/>
    <w:rsid w:val="00404887"/>
    <w:rsid w:val="004050AE"/>
    <w:rsid w:val="00406EA8"/>
    <w:rsid w:val="00412FC7"/>
    <w:rsid w:val="00413E01"/>
    <w:rsid w:val="00415740"/>
    <w:rsid w:val="0041626E"/>
    <w:rsid w:val="004206E3"/>
    <w:rsid w:val="004209FC"/>
    <w:rsid w:val="0042180F"/>
    <w:rsid w:val="004221E9"/>
    <w:rsid w:val="00422206"/>
    <w:rsid w:val="00425D83"/>
    <w:rsid w:val="00427BEB"/>
    <w:rsid w:val="00431047"/>
    <w:rsid w:val="00431C69"/>
    <w:rsid w:val="00434C68"/>
    <w:rsid w:val="0044151D"/>
    <w:rsid w:val="004419AF"/>
    <w:rsid w:val="00442C51"/>
    <w:rsid w:val="00447BA2"/>
    <w:rsid w:val="00452657"/>
    <w:rsid w:val="00452A45"/>
    <w:rsid w:val="00452E76"/>
    <w:rsid w:val="00455D3C"/>
    <w:rsid w:val="00457A5C"/>
    <w:rsid w:val="00457F6E"/>
    <w:rsid w:val="00460561"/>
    <w:rsid w:val="00460A44"/>
    <w:rsid w:val="00464444"/>
    <w:rsid w:val="00466BC9"/>
    <w:rsid w:val="00473CB6"/>
    <w:rsid w:val="0047658B"/>
    <w:rsid w:val="00481A0B"/>
    <w:rsid w:val="004874BC"/>
    <w:rsid w:val="00487873"/>
    <w:rsid w:val="00490226"/>
    <w:rsid w:val="00492B3D"/>
    <w:rsid w:val="004A45BE"/>
    <w:rsid w:val="004A5772"/>
    <w:rsid w:val="004B3286"/>
    <w:rsid w:val="004B46AD"/>
    <w:rsid w:val="004B6BA3"/>
    <w:rsid w:val="004C02B7"/>
    <w:rsid w:val="004C0AC1"/>
    <w:rsid w:val="004C4560"/>
    <w:rsid w:val="004C4B86"/>
    <w:rsid w:val="004D0327"/>
    <w:rsid w:val="004D5573"/>
    <w:rsid w:val="004E0D36"/>
    <w:rsid w:val="004F03B8"/>
    <w:rsid w:val="004F2849"/>
    <w:rsid w:val="004F28A1"/>
    <w:rsid w:val="004F7E13"/>
    <w:rsid w:val="0050062A"/>
    <w:rsid w:val="00500DB6"/>
    <w:rsid w:val="0050192F"/>
    <w:rsid w:val="00502094"/>
    <w:rsid w:val="00502628"/>
    <w:rsid w:val="00504F53"/>
    <w:rsid w:val="005061ED"/>
    <w:rsid w:val="005110D4"/>
    <w:rsid w:val="00513706"/>
    <w:rsid w:val="005215DC"/>
    <w:rsid w:val="00522725"/>
    <w:rsid w:val="0052274F"/>
    <w:rsid w:val="00522F07"/>
    <w:rsid w:val="0052335D"/>
    <w:rsid w:val="00526248"/>
    <w:rsid w:val="00526F91"/>
    <w:rsid w:val="005458FF"/>
    <w:rsid w:val="00545A4C"/>
    <w:rsid w:val="005515C9"/>
    <w:rsid w:val="00555F0C"/>
    <w:rsid w:val="0055647F"/>
    <w:rsid w:val="0055790A"/>
    <w:rsid w:val="00561819"/>
    <w:rsid w:val="00561F5E"/>
    <w:rsid w:val="0056422F"/>
    <w:rsid w:val="0056548F"/>
    <w:rsid w:val="005664D7"/>
    <w:rsid w:val="00566CF9"/>
    <w:rsid w:val="0057228B"/>
    <w:rsid w:val="0057261B"/>
    <w:rsid w:val="005738D2"/>
    <w:rsid w:val="00574B3E"/>
    <w:rsid w:val="00576EE5"/>
    <w:rsid w:val="00581292"/>
    <w:rsid w:val="005826A6"/>
    <w:rsid w:val="00582B02"/>
    <w:rsid w:val="005837E9"/>
    <w:rsid w:val="00593A5B"/>
    <w:rsid w:val="005947F2"/>
    <w:rsid w:val="005971F1"/>
    <w:rsid w:val="0059729A"/>
    <w:rsid w:val="00597E09"/>
    <w:rsid w:val="005A1140"/>
    <w:rsid w:val="005A12C1"/>
    <w:rsid w:val="005A3966"/>
    <w:rsid w:val="005B1B17"/>
    <w:rsid w:val="005B5A58"/>
    <w:rsid w:val="005B7AF5"/>
    <w:rsid w:val="005C0C3D"/>
    <w:rsid w:val="005C7BD7"/>
    <w:rsid w:val="005C7CBF"/>
    <w:rsid w:val="005D46EA"/>
    <w:rsid w:val="005E0D55"/>
    <w:rsid w:val="005E1CFB"/>
    <w:rsid w:val="005E24FF"/>
    <w:rsid w:val="005E2C6B"/>
    <w:rsid w:val="005E58AD"/>
    <w:rsid w:val="005F349D"/>
    <w:rsid w:val="005F3D7F"/>
    <w:rsid w:val="006002AF"/>
    <w:rsid w:val="00601993"/>
    <w:rsid w:val="00604EE1"/>
    <w:rsid w:val="006128A7"/>
    <w:rsid w:val="0062032B"/>
    <w:rsid w:val="00622329"/>
    <w:rsid w:val="006227EF"/>
    <w:rsid w:val="00623428"/>
    <w:rsid w:val="006258B9"/>
    <w:rsid w:val="00626480"/>
    <w:rsid w:val="0063019A"/>
    <w:rsid w:val="00634E9C"/>
    <w:rsid w:val="006361B6"/>
    <w:rsid w:val="0063687D"/>
    <w:rsid w:val="00640DB8"/>
    <w:rsid w:val="00641FCD"/>
    <w:rsid w:val="006429A1"/>
    <w:rsid w:val="006437E6"/>
    <w:rsid w:val="00643895"/>
    <w:rsid w:val="00645617"/>
    <w:rsid w:val="00652907"/>
    <w:rsid w:val="006535D8"/>
    <w:rsid w:val="00654422"/>
    <w:rsid w:val="00655589"/>
    <w:rsid w:val="006561B8"/>
    <w:rsid w:val="0065661D"/>
    <w:rsid w:val="00656BA8"/>
    <w:rsid w:val="0066157D"/>
    <w:rsid w:val="00661E77"/>
    <w:rsid w:val="00665487"/>
    <w:rsid w:val="00671ED6"/>
    <w:rsid w:val="00681C37"/>
    <w:rsid w:val="00682D3C"/>
    <w:rsid w:val="006856D0"/>
    <w:rsid w:val="0068593C"/>
    <w:rsid w:val="006875D5"/>
    <w:rsid w:val="00687CB1"/>
    <w:rsid w:val="00690DD5"/>
    <w:rsid w:val="006912ED"/>
    <w:rsid w:val="0069234E"/>
    <w:rsid w:val="00692F54"/>
    <w:rsid w:val="00694AC8"/>
    <w:rsid w:val="00696CE2"/>
    <w:rsid w:val="006975FE"/>
    <w:rsid w:val="006978B9"/>
    <w:rsid w:val="006A0B1B"/>
    <w:rsid w:val="006B07E2"/>
    <w:rsid w:val="006B16DA"/>
    <w:rsid w:val="006B6805"/>
    <w:rsid w:val="006C4FC4"/>
    <w:rsid w:val="006C6143"/>
    <w:rsid w:val="006C68ED"/>
    <w:rsid w:val="006D56F3"/>
    <w:rsid w:val="006D6921"/>
    <w:rsid w:val="006D75C8"/>
    <w:rsid w:val="006F25DC"/>
    <w:rsid w:val="006F4442"/>
    <w:rsid w:val="006F54EE"/>
    <w:rsid w:val="006F5806"/>
    <w:rsid w:val="00701C82"/>
    <w:rsid w:val="00703202"/>
    <w:rsid w:val="00703737"/>
    <w:rsid w:val="00707412"/>
    <w:rsid w:val="00714168"/>
    <w:rsid w:val="00717A73"/>
    <w:rsid w:val="00723B90"/>
    <w:rsid w:val="007254F7"/>
    <w:rsid w:val="0073046E"/>
    <w:rsid w:val="00733654"/>
    <w:rsid w:val="00743733"/>
    <w:rsid w:val="0074696F"/>
    <w:rsid w:val="00746E1A"/>
    <w:rsid w:val="00753C77"/>
    <w:rsid w:val="00753D64"/>
    <w:rsid w:val="007559E4"/>
    <w:rsid w:val="007566A0"/>
    <w:rsid w:val="00761D1A"/>
    <w:rsid w:val="0076353F"/>
    <w:rsid w:val="00763B77"/>
    <w:rsid w:val="00767409"/>
    <w:rsid w:val="0077021D"/>
    <w:rsid w:val="00770FA6"/>
    <w:rsid w:val="007710DF"/>
    <w:rsid w:val="00772593"/>
    <w:rsid w:val="007729BF"/>
    <w:rsid w:val="00775329"/>
    <w:rsid w:val="00780F3F"/>
    <w:rsid w:val="00782E3E"/>
    <w:rsid w:val="007943BF"/>
    <w:rsid w:val="007A0EF2"/>
    <w:rsid w:val="007A368F"/>
    <w:rsid w:val="007A6FC4"/>
    <w:rsid w:val="007B0AB4"/>
    <w:rsid w:val="007B2DD4"/>
    <w:rsid w:val="007B31D8"/>
    <w:rsid w:val="007B3B41"/>
    <w:rsid w:val="007B3E2C"/>
    <w:rsid w:val="007C287E"/>
    <w:rsid w:val="007C49A2"/>
    <w:rsid w:val="007C4F9D"/>
    <w:rsid w:val="007D19B1"/>
    <w:rsid w:val="007D1A79"/>
    <w:rsid w:val="007D21DB"/>
    <w:rsid w:val="007E405B"/>
    <w:rsid w:val="007E61CA"/>
    <w:rsid w:val="007E7D1A"/>
    <w:rsid w:val="007F17C2"/>
    <w:rsid w:val="007F1912"/>
    <w:rsid w:val="007F7932"/>
    <w:rsid w:val="00801309"/>
    <w:rsid w:val="00802437"/>
    <w:rsid w:val="00802AB8"/>
    <w:rsid w:val="008032A6"/>
    <w:rsid w:val="0080402D"/>
    <w:rsid w:val="00804EA9"/>
    <w:rsid w:val="008067CA"/>
    <w:rsid w:val="00807785"/>
    <w:rsid w:val="00807F27"/>
    <w:rsid w:val="00810A5A"/>
    <w:rsid w:val="00814637"/>
    <w:rsid w:val="0081480E"/>
    <w:rsid w:val="008228DC"/>
    <w:rsid w:val="00823ADE"/>
    <w:rsid w:val="00833DD5"/>
    <w:rsid w:val="00836126"/>
    <w:rsid w:val="00836A15"/>
    <w:rsid w:val="00840DBB"/>
    <w:rsid w:val="00847930"/>
    <w:rsid w:val="00860AEA"/>
    <w:rsid w:val="00864D4A"/>
    <w:rsid w:val="00871473"/>
    <w:rsid w:val="008748EA"/>
    <w:rsid w:val="0087656D"/>
    <w:rsid w:val="00877BA3"/>
    <w:rsid w:val="008805E5"/>
    <w:rsid w:val="008824A5"/>
    <w:rsid w:val="00884F92"/>
    <w:rsid w:val="00885D17"/>
    <w:rsid w:val="00890E04"/>
    <w:rsid w:val="00891ADF"/>
    <w:rsid w:val="00893F40"/>
    <w:rsid w:val="00894E65"/>
    <w:rsid w:val="00895A37"/>
    <w:rsid w:val="008A4149"/>
    <w:rsid w:val="008B20F8"/>
    <w:rsid w:val="008B21F4"/>
    <w:rsid w:val="008B547A"/>
    <w:rsid w:val="008B5490"/>
    <w:rsid w:val="008B76EF"/>
    <w:rsid w:val="008C356E"/>
    <w:rsid w:val="008C36B2"/>
    <w:rsid w:val="008C379D"/>
    <w:rsid w:val="008C413C"/>
    <w:rsid w:val="008C4ADE"/>
    <w:rsid w:val="008C5124"/>
    <w:rsid w:val="008C6A86"/>
    <w:rsid w:val="008D0282"/>
    <w:rsid w:val="008D2CC3"/>
    <w:rsid w:val="008D5122"/>
    <w:rsid w:val="008E7E98"/>
    <w:rsid w:val="008F107A"/>
    <w:rsid w:val="008F50DC"/>
    <w:rsid w:val="009014B8"/>
    <w:rsid w:val="009015AD"/>
    <w:rsid w:val="0090168B"/>
    <w:rsid w:val="00902819"/>
    <w:rsid w:val="0090689F"/>
    <w:rsid w:val="009121D3"/>
    <w:rsid w:val="00922BE8"/>
    <w:rsid w:val="00924F30"/>
    <w:rsid w:val="00930344"/>
    <w:rsid w:val="00933688"/>
    <w:rsid w:val="00943E10"/>
    <w:rsid w:val="009440A6"/>
    <w:rsid w:val="00946B95"/>
    <w:rsid w:val="00946BF3"/>
    <w:rsid w:val="009503F2"/>
    <w:rsid w:val="00954F77"/>
    <w:rsid w:val="009558BC"/>
    <w:rsid w:val="00955904"/>
    <w:rsid w:val="0096062C"/>
    <w:rsid w:val="009616C9"/>
    <w:rsid w:val="00962A68"/>
    <w:rsid w:val="00962D03"/>
    <w:rsid w:val="00971D67"/>
    <w:rsid w:val="00974CA6"/>
    <w:rsid w:val="00975B6D"/>
    <w:rsid w:val="009767D8"/>
    <w:rsid w:val="00977DA4"/>
    <w:rsid w:val="00980475"/>
    <w:rsid w:val="009804B6"/>
    <w:rsid w:val="00982916"/>
    <w:rsid w:val="00982D6A"/>
    <w:rsid w:val="0098302C"/>
    <w:rsid w:val="009868DE"/>
    <w:rsid w:val="009870BC"/>
    <w:rsid w:val="009914B7"/>
    <w:rsid w:val="009924B3"/>
    <w:rsid w:val="00992C7D"/>
    <w:rsid w:val="009A0B23"/>
    <w:rsid w:val="009A0EB4"/>
    <w:rsid w:val="009A7599"/>
    <w:rsid w:val="009B0C29"/>
    <w:rsid w:val="009B4DC3"/>
    <w:rsid w:val="009B7501"/>
    <w:rsid w:val="009B7563"/>
    <w:rsid w:val="009C0554"/>
    <w:rsid w:val="009C17FB"/>
    <w:rsid w:val="009C1C4A"/>
    <w:rsid w:val="009C2185"/>
    <w:rsid w:val="009C2B97"/>
    <w:rsid w:val="009C3F9E"/>
    <w:rsid w:val="009C57D3"/>
    <w:rsid w:val="009C6954"/>
    <w:rsid w:val="009D347D"/>
    <w:rsid w:val="009D59D3"/>
    <w:rsid w:val="009D5C5A"/>
    <w:rsid w:val="009D5D20"/>
    <w:rsid w:val="009D7FC0"/>
    <w:rsid w:val="009E1809"/>
    <w:rsid w:val="009E1EC8"/>
    <w:rsid w:val="009E308D"/>
    <w:rsid w:val="009E55E4"/>
    <w:rsid w:val="009E5E28"/>
    <w:rsid w:val="009F0C58"/>
    <w:rsid w:val="009F1A51"/>
    <w:rsid w:val="009F450B"/>
    <w:rsid w:val="00A01164"/>
    <w:rsid w:val="00A073A2"/>
    <w:rsid w:val="00A0748B"/>
    <w:rsid w:val="00A131C5"/>
    <w:rsid w:val="00A1519D"/>
    <w:rsid w:val="00A20753"/>
    <w:rsid w:val="00A2361A"/>
    <w:rsid w:val="00A27B66"/>
    <w:rsid w:val="00A319C0"/>
    <w:rsid w:val="00A33E7C"/>
    <w:rsid w:val="00A34E0B"/>
    <w:rsid w:val="00A35641"/>
    <w:rsid w:val="00A4256A"/>
    <w:rsid w:val="00A427F0"/>
    <w:rsid w:val="00A435D2"/>
    <w:rsid w:val="00A4435F"/>
    <w:rsid w:val="00A4731C"/>
    <w:rsid w:val="00A479B1"/>
    <w:rsid w:val="00A47DF5"/>
    <w:rsid w:val="00A47FB6"/>
    <w:rsid w:val="00A500FA"/>
    <w:rsid w:val="00A51F49"/>
    <w:rsid w:val="00A56E5F"/>
    <w:rsid w:val="00A57CEB"/>
    <w:rsid w:val="00A62A8E"/>
    <w:rsid w:val="00A6304B"/>
    <w:rsid w:val="00A64019"/>
    <w:rsid w:val="00A67D91"/>
    <w:rsid w:val="00A73AE6"/>
    <w:rsid w:val="00A73E5E"/>
    <w:rsid w:val="00A75AF2"/>
    <w:rsid w:val="00A75F5E"/>
    <w:rsid w:val="00A81CCB"/>
    <w:rsid w:val="00A85733"/>
    <w:rsid w:val="00A8682A"/>
    <w:rsid w:val="00A87E6D"/>
    <w:rsid w:val="00A9507C"/>
    <w:rsid w:val="00A950E9"/>
    <w:rsid w:val="00A95F85"/>
    <w:rsid w:val="00AA1D2B"/>
    <w:rsid w:val="00AA2174"/>
    <w:rsid w:val="00AA2F93"/>
    <w:rsid w:val="00AA4812"/>
    <w:rsid w:val="00AB3B69"/>
    <w:rsid w:val="00AB3DDD"/>
    <w:rsid w:val="00AB4F6E"/>
    <w:rsid w:val="00AB7008"/>
    <w:rsid w:val="00AC03A6"/>
    <w:rsid w:val="00AD4C1E"/>
    <w:rsid w:val="00AE49C7"/>
    <w:rsid w:val="00AE6CB4"/>
    <w:rsid w:val="00AE781D"/>
    <w:rsid w:val="00AF07A7"/>
    <w:rsid w:val="00AF144C"/>
    <w:rsid w:val="00AF1B31"/>
    <w:rsid w:val="00AF4CD7"/>
    <w:rsid w:val="00AF5108"/>
    <w:rsid w:val="00AF73A8"/>
    <w:rsid w:val="00AF75E0"/>
    <w:rsid w:val="00B032B8"/>
    <w:rsid w:val="00B037AC"/>
    <w:rsid w:val="00B03DDB"/>
    <w:rsid w:val="00B0455B"/>
    <w:rsid w:val="00B05DC5"/>
    <w:rsid w:val="00B1098A"/>
    <w:rsid w:val="00B10A36"/>
    <w:rsid w:val="00B11512"/>
    <w:rsid w:val="00B11DB5"/>
    <w:rsid w:val="00B142DB"/>
    <w:rsid w:val="00B1683E"/>
    <w:rsid w:val="00B16CAE"/>
    <w:rsid w:val="00B22C8A"/>
    <w:rsid w:val="00B24226"/>
    <w:rsid w:val="00B2465F"/>
    <w:rsid w:val="00B2474D"/>
    <w:rsid w:val="00B35782"/>
    <w:rsid w:val="00B37EF9"/>
    <w:rsid w:val="00B4155B"/>
    <w:rsid w:val="00B45D6B"/>
    <w:rsid w:val="00B47E3B"/>
    <w:rsid w:val="00B54E0D"/>
    <w:rsid w:val="00B557F3"/>
    <w:rsid w:val="00B5762E"/>
    <w:rsid w:val="00B578E9"/>
    <w:rsid w:val="00B60A2A"/>
    <w:rsid w:val="00B67D7F"/>
    <w:rsid w:val="00B67E94"/>
    <w:rsid w:val="00B725A0"/>
    <w:rsid w:val="00B73F83"/>
    <w:rsid w:val="00B7401D"/>
    <w:rsid w:val="00B759D1"/>
    <w:rsid w:val="00B7679F"/>
    <w:rsid w:val="00B80D0A"/>
    <w:rsid w:val="00B8188D"/>
    <w:rsid w:val="00B82D41"/>
    <w:rsid w:val="00B856BF"/>
    <w:rsid w:val="00B9272D"/>
    <w:rsid w:val="00B936AF"/>
    <w:rsid w:val="00B94C99"/>
    <w:rsid w:val="00B96AED"/>
    <w:rsid w:val="00BA00EC"/>
    <w:rsid w:val="00BA0CC5"/>
    <w:rsid w:val="00BA13EC"/>
    <w:rsid w:val="00BA251D"/>
    <w:rsid w:val="00BA4F9E"/>
    <w:rsid w:val="00BA5BD2"/>
    <w:rsid w:val="00BB0A02"/>
    <w:rsid w:val="00BB138C"/>
    <w:rsid w:val="00BB494A"/>
    <w:rsid w:val="00BB5589"/>
    <w:rsid w:val="00BB6643"/>
    <w:rsid w:val="00BB6DE7"/>
    <w:rsid w:val="00BC219B"/>
    <w:rsid w:val="00BC4CC5"/>
    <w:rsid w:val="00BC5548"/>
    <w:rsid w:val="00BC6D3F"/>
    <w:rsid w:val="00BD1FB2"/>
    <w:rsid w:val="00BD3559"/>
    <w:rsid w:val="00BD715D"/>
    <w:rsid w:val="00BE0612"/>
    <w:rsid w:val="00BE417B"/>
    <w:rsid w:val="00BE55C1"/>
    <w:rsid w:val="00BE625F"/>
    <w:rsid w:val="00BE6B22"/>
    <w:rsid w:val="00BE7F2D"/>
    <w:rsid w:val="00C00E1A"/>
    <w:rsid w:val="00C06896"/>
    <w:rsid w:val="00C0787C"/>
    <w:rsid w:val="00C13580"/>
    <w:rsid w:val="00C24907"/>
    <w:rsid w:val="00C32B22"/>
    <w:rsid w:val="00C33628"/>
    <w:rsid w:val="00C33D05"/>
    <w:rsid w:val="00C33D5C"/>
    <w:rsid w:val="00C352AE"/>
    <w:rsid w:val="00C400F0"/>
    <w:rsid w:val="00C4441F"/>
    <w:rsid w:val="00C47A0C"/>
    <w:rsid w:val="00C51247"/>
    <w:rsid w:val="00C51707"/>
    <w:rsid w:val="00C51BA8"/>
    <w:rsid w:val="00C53396"/>
    <w:rsid w:val="00C54CD8"/>
    <w:rsid w:val="00C54E7E"/>
    <w:rsid w:val="00C556BB"/>
    <w:rsid w:val="00C561C6"/>
    <w:rsid w:val="00C566B5"/>
    <w:rsid w:val="00C56E25"/>
    <w:rsid w:val="00C57631"/>
    <w:rsid w:val="00C576DA"/>
    <w:rsid w:val="00C60AA0"/>
    <w:rsid w:val="00C62E84"/>
    <w:rsid w:val="00C63504"/>
    <w:rsid w:val="00C70524"/>
    <w:rsid w:val="00C70D64"/>
    <w:rsid w:val="00C713DC"/>
    <w:rsid w:val="00C72C72"/>
    <w:rsid w:val="00C82778"/>
    <w:rsid w:val="00C82AF6"/>
    <w:rsid w:val="00C82C74"/>
    <w:rsid w:val="00C83A89"/>
    <w:rsid w:val="00C9002B"/>
    <w:rsid w:val="00C951C6"/>
    <w:rsid w:val="00C96E92"/>
    <w:rsid w:val="00CA0235"/>
    <w:rsid w:val="00CA28C0"/>
    <w:rsid w:val="00CA6523"/>
    <w:rsid w:val="00CB276A"/>
    <w:rsid w:val="00CB415B"/>
    <w:rsid w:val="00CB5480"/>
    <w:rsid w:val="00CC0FC2"/>
    <w:rsid w:val="00CC1FBB"/>
    <w:rsid w:val="00CC2166"/>
    <w:rsid w:val="00CC2682"/>
    <w:rsid w:val="00CC2B9C"/>
    <w:rsid w:val="00CC554B"/>
    <w:rsid w:val="00CD3583"/>
    <w:rsid w:val="00CD4878"/>
    <w:rsid w:val="00CD57FC"/>
    <w:rsid w:val="00CE0B81"/>
    <w:rsid w:val="00CE56B0"/>
    <w:rsid w:val="00CE7B05"/>
    <w:rsid w:val="00CF2F49"/>
    <w:rsid w:val="00CF31D7"/>
    <w:rsid w:val="00CF65A7"/>
    <w:rsid w:val="00D01559"/>
    <w:rsid w:val="00D019AD"/>
    <w:rsid w:val="00D01F83"/>
    <w:rsid w:val="00D03D55"/>
    <w:rsid w:val="00D05974"/>
    <w:rsid w:val="00D06035"/>
    <w:rsid w:val="00D07EBF"/>
    <w:rsid w:val="00D126F8"/>
    <w:rsid w:val="00D16793"/>
    <w:rsid w:val="00D22034"/>
    <w:rsid w:val="00D23DF8"/>
    <w:rsid w:val="00D32DD1"/>
    <w:rsid w:val="00D3434A"/>
    <w:rsid w:val="00D40F3B"/>
    <w:rsid w:val="00D42274"/>
    <w:rsid w:val="00D42BAE"/>
    <w:rsid w:val="00D504AA"/>
    <w:rsid w:val="00D5157C"/>
    <w:rsid w:val="00D53C94"/>
    <w:rsid w:val="00D54D37"/>
    <w:rsid w:val="00D6264C"/>
    <w:rsid w:val="00D64980"/>
    <w:rsid w:val="00D65C43"/>
    <w:rsid w:val="00D666EA"/>
    <w:rsid w:val="00D67F4D"/>
    <w:rsid w:val="00D722E6"/>
    <w:rsid w:val="00D73F45"/>
    <w:rsid w:val="00D7502C"/>
    <w:rsid w:val="00D750A0"/>
    <w:rsid w:val="00D761E4"/>
    <w:rsid w:val="00D7627D"/>
    <w:rsid w:val="00D804DF"/>
    <w:rsid w:val="00D8108C"/>
    <w:rsid w:val="00D81673"/>
    <w:rsid w:val="00D82407"/>
    <w:rsid w:val="00D82621"/>
    <w:rsid w:val="00D84BC4"/>
    <w:rsid w:val="00D8544C"/>
    <w:rsid w:val="00D8587A"/>
    <w:rsid w:val="00D918B2"/>
    <w:rsid w:val="00D91BC4"/>
    <w:rsid w:val="00DA1363"/>
    <w:rsid w:val="00DA51EC"/>
    <w:rsid w:val="00DA77C7"/>
    <w:rsid w:val="00DB2980"/>
    <w:rsid w:val="00DB2D53"/>
    <w:rsid w:val="00DB334E"/>
    <w:rsid w:val="00DB39F0"/>
    <w:rsid w:val="00DB3E3E"/>
    <w:rsid w:val="00DB6034"/>
    <w:rsid w:val="00DB69A6"/>
    <w:rsid w:val="00DB7500"/>
    <w:rsid w:val="00DC4586"/>
    <w:rsid w:val="00DC4F74"/>
    <w:rsid w:val="00DD08A9"/>
    <w:rsid w:val="00DD0A06"/>
    <w:rsid w:val="00DD5BE9"/>
    <w:rsid w:val="00DD7DC1"/>
    <w:rsid w:val="00DD7F97"/>
    <w:rsid w:val="00DE2364"/>
    <w:rsid w:val="00DE5172"/>
    <w:rsid w:val="00DE770E"/>
    <w:rsid w:val="00DF2BE3"/>
    <w:rsid w:val="00DF6916"/>
    <w:rsid w:val="00E00CD3"/>
    <w:rsid w:val="00E01345"/>
    <w:rsid w:val="00E0194D"/>
    <w:rsid w:val="00E02A30"/>
    <w:rsid w:val="00E06440"/>
    <w:rsid w:val="00E07441"/>
    <w:rsid w:val="00E076E2"/>
    <w:rsid w:val="00E10520"/>
    <w:rsid w:val="00E11222"/>
    <w:rsid w:val="00E2237C"/>
    <w:rsid w:val="00E22381"/>
    <w:rsid w:val="00E22C4A"/>
    <w:rsid w:val="00E23F90"/>
    <w:rsid w:val="00E24298"/>
    <w:rsid w:val="00E25BDB"/>
    <w:rsid w:val="00E27859"/>
    <w:rsid w:val="00E27A59"/>
    <w:rsid w:val="00E30035"/>
    <w:rsid w:val="00E3072B"/>
    <w:rsid w:val="00E33C5C"/>
    <w:rsid w:val="00E34E10"/>
    <w:rsid w:val="00E3647C"/>
    <w:rsid w:val="00E41EE5"/>
    <w:rsid w:val="00E44F28"/>
    <w:rsid w:val="00E473FF"/>
    <w:rsid w:val="00E60381"/>
    <w:rsid w:val="00E6172C"/>
    <w:rsid w:val="00E61FF1"/>
    <w:rsid w:val="00E62035"/>
    <w:rsid w:val="00E67498"/>
    <w:rsid w:val="00E67F0C"/>
    <w:rsid w:val="00E71267"/>
    <w:rsid w:val="00E845A5"/>
    <w:rsid w:val="00E84D89"/>
    <w:rsid w:val="00E86EFC"/>
    <w:rsid w:val="00E935B6"/>
    <w:rsid w:val="00E95D1A"/>
    <w:rsid w:val="00E96B4A"/>
    <w:rsid w:val="00E978D5"/>
    <w:rsid w:val="00EA168E"/>
    <w:rsid w:val="00EA7B42"/>
    <w:rsid w:val="00EC22E8"/>
    <w:rsid w:val="00EC296A"/>
    <w:rsid w:val="00EC4E13"/>
    <w:rsid w:val="00EC5265"/>
    <w:rsid w:val="00ED216D"/>
    <w:rsid w:val="00ED7FCE"/>
    <w:rsid w:val="00EE14D3"/>
    <w:rsid w:val="00EE38B3"/>
    <w:rsid w:val="00EE5BD7"/>
    <w:rsid w:val="00EE66B1"/>
    <w:rsid w:val="00EE6B3C"/>
    <w:rsid w:val="00EE73A2"/>
    <w:rsid w:val="00EF1A90"/>
    <w:rsid w:val="00EF2B06"/>
    <w:rsid w:val="00EF3C53"/>
    <w:rsid w:val="00EF7ACD"/>
    <w:rsid w:val="00F00C98"/>
    <w:rsid w:val="00F05934"/>
    <w:rsid w:val="00F05FAF"/>
    <w:rsid w:val="00F06364"/>
    <w:rsid w:val="00F1145F"/>
    <w:rsid w:val="00F13F93"/>
    <w:rsid w:val="00F14D6C"/>
    <w:rsid w:val="00F16239"/>
    <w:rsid w:val="00F1754E"/>
    <w:rsid w:val="00F17936"/>
    <w:rsid w:val="00F20AC9"/>
    <w:rsid w:val="00F22F32"/>
    <w:rsid w:val="00F24106"/>
    <w:rsid w:val="00F24F33"/>
    <w:rsid w:val="00F27056"/>
    <w:rsid w:val="00F325F5"/>
    <w:rsid w:val="00F32DEF"/>
    <w:rsid w:val="00F330D5"/>
    <w:rsid w:val="00F3385A"/>
    <w:rsid w:val="00F37795"/>
    <w:rsid w:val="00F378E6"/>
    <w:rsid w:val="00F43645"/>
    <w:rsid w:val="00F437B5"/>
    <w:rsid w:val="00F443D3"/>
    <w:rsid w:val="00F47AFE"/>
    <w:rsid w:val="00F5725C"/>
    <w:rsid w:val="00F6486A"/>
    <w:rsid w:val="00F64AC9"/>
    <w:rsid w:val="00F66EA0"/>
    <w:rsid w:val="00F706AF"/>
    <w:rsid w:val="00F71130"/>
    <w:rsid w:val="00F72E33"/>
    <w:rsid w:val="00F72FC9"/>
    <w:rsid w:val="00F767F5"/>
    <w:rsid w:val="00F8349C"/>
    <w:rsid w:val="00F85A19"/>
    <w:rsid w:val="00F861F9"/>
    <w:rsid w:val="00F90631"/>
    <w:rsid w:val="00F95ECA"/>
    <w:rsid w:val="00F96AFA"/>
    <w:rsid w:val="00FA0C3E"/>
    <w:rsid w:val="00FA0FAC"/>
    <w:rsid w:val="00FA0FB4"/>
    <w:rsid w:val="00FA15A6"/>
    <w:rsid w:val="00FA3B5C"/>
    <w:rsid w:val="00FA7BA1"/>
    <w:rsid w:val="00FB0CAC"/>
    <w:rsid w:val="00FC60AF"/>
    <w:rsid w:val="00FC75CA"/>
    <w:rsid w:val="00FD01CB"/>
    <w:rsid w:val="00FD1237"/>
    <w:rsid w:val="00FD1796"/>
    <w:rsid w:val="00FD21AB"/>
    <w:rsid w:val="00FD6126"/>
    <w:rsid w:val="00FE1301"/>
    <w:rsid w:val="00FE257E"/>
    <w:rsid w:val="00FE5FC1"/>
    <w:rsid w:val="00FE7FFA"/>
    <w:rsid w:val="00FF160F"/>
    <w:rsid w:val="00FF6A54"/>
    <w:rsid w:val="00FF7A01"/>
    <w:rsid w:val="00FF7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9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1E1797"/>
    <w:pPr>
      <w:spacing w:before="240"/>
      <w:outlineLvl w:val="0"/>
    </w:pPr>
    <w:rPr>
      <w:rFonts w:eastAsia="Segoe UI"/>
      <w:b/>
      <w:color w:val="000000"/>
      <w:sz w:val="32"/>
    </w:rPr>
  </w:style>
  <w:style w:type="paragraph" w:styleId="Heading2">
    <w:name w:val="heading 2"/>
    <w:basedOn w:val="Normal"/>
    <w:next w:val="Normal"/>
    <w:link w:val="Heading2Char"/>
    <w:uiPriority w:val="9"/>
    <w:unhideWhenUsed/>
    <w:qFormat/>
    <w:rsid w:val="00BE55C1"/>
    <w:pPr>
      <w:spacing w:before="240" w:after="240"/>
      <w:outlineLvl w:val="1"/>
    </w:pPr>
    <w:rPr>
      <w:rFonts w:eastAsia="Segoe UI"/>
      <w:b/>
      <w:color w:val="000000"/>
    </w:rPr>
  </w:style>
  <w:style w:type="paragraph" w:styleId="Heading3">
    <w:name w:val="heading 3"/>
    <w:basedOn w:val="Normal"/>
    <w:next w:val="Normal"/>
    <w:link w:val="Heading3Char"/>
    <w:uiPriority w:val="9"/>
    <w:semiHidden/>
    <w:unhideWhenUsed/>
    <w:qFormat/>
    <w:rsid w:val="00B47E3B"/>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47E3B"/>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B47E3B"/>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B47E3B"/>
    <w:pPr>
      <w:tabs>
        <w:tab w:val="num" w:pos="4320"/>
      </w:tabs>
      <w:spacing w:before="240" w:after="60"/>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47E3B"/>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B47E3B"/>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B47E3B"/>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39430A"/>
    <w:rPr>
      <w:sz w:val="16"/>
      <w:szCs w:val="16"/>
    </w:rPr>
  </w:style>
  <w:style w:type="paragraph" w:styleId="CommentText">
    <w:name w:val="annotation text"/>
    <w:basedOn w:val="Normal"/>
    <w:link w:val="CommentTextChar"/>
    <w:uiPriority w:val="99"/>
    <w:unhideWhenUsed/>
    <w:rsid w:val="0039430A"/>
    <w:rPr>
      <w:sz w:val="20"/>
      <w:szCs w:val="20"/>
    </w:rPr>
  </w:style>
  <w:style w:type="character" w:customStyle="1" w:styleId="CommentTextChar">
    <w:name w:val="Comment Text Char"/>
    <w:basedOn w:val="DefaultParagraphFont"/>
    <w:link w:val="CommentText"/>
    <w:uiPriority w:val="99"/>
    <w:rsid w:val="0039430A"/>
    <w:rPr>
      <w:sz w:val="20"/>
      <w:szCs w:val="20"/>
    </w:rPr>
  </w:style>
  <w:style w:type="paragraph" w:styleId="CommentSubject">
    <w:name w:val="annotation subject"/>
    <w:basedOn w:val="CommentText"/>
    <w:next w:val="CommentText"/>
    <w:link w:val="CommentSubjectChar"/>
    <w:uiPriority w:val="99"/>
    <w:semiHidden/>
    <w:unhideWhenUsed/>
    <w:rsid w:val="0039430A"/>
    <w:rPr>
      <w:b/>
      <w:bCs/>
    </w:rPr>
  </w:style>
  <w:style w:type="character" w:customStyle="1" w:styleId="CommentSubjectChar">
    <w:name w:val="Comment Subject Char"/>
    <w:basedOn w:val="CommentTextChar"/>
    <w:link w:val="CommentSubject"/>
    <w:uiPriority w:val="99"/>
    <w:semiHidden/>
    <w:rsid w:val="0039430A"/>
    <w:rPr>
      <w:b/>
      <w:bCs/>
      <w:sz w:val="20"/>
      <w:szCs w:val="20"/>
    </w:rPr>
  </w:style>
  <w:style w:type="character" w:customStyle="1" w:styleId="Heading1Char">
    <w:name w:val="Heading 1 Char"/>
    <w:basedOn w:val="DefaultParagraphFont"/>
    <w:link w:val="Heading1"/>
    <w:uiPriority w:val="9"/>
    <w:rsid w:val="001E1797"/>
    <w:rPr>
      <w:rFonts w:ascii="Segoe UI" w:eastAsia="Segoe UI" w:hAnsi="Segoe UI"/>
      <w:b/>
      <w:color w:val="000000"/>
      <w:sz w:val="32"/>
    </w:rPr>
  </w:style>
  <w:style w:type="character" w:customStyle="1" w:styleId="Heading2Char">
    <w:name w:val="Heading 2 Char"/>
    <w:basedOn w:val="DefaultParagraphFont"/>
    <w:link w:val="Heading2"/>
    <w:uiPriority w:val="9"/>
    <w:rsid w:val="00BE55C1"/>
    <w:rPr>
      <w:rFonts w:ascii="Segoe UI" w:eastAsia="Segoe UI" w:hAnsi="Segoe UI" w:cs="Segoe UI"/>
      <w:b/>
      <w:color w:val="000000"/>
      <w:sz w:val="22"/>
      <w:szCs w:val="22"/>
    </w:rPr>
  </w:style>
  <w:style w:type="paragraph" w:customStyle="1" w:styleId="EndNoteBibliographyTitle">
    <w:name w:val="EndNote Bibliography Title"/>
    <w:basedOn w:val="Normal"/>
    <w:link w:val="EndNoteBibliographyTitleChar"/>
    <w:rsid w:val="00EF3C53"/>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F3C53"/>
    <w:rPr>
      <w:rFonts w:ascii="Segoe UI" w:hAnsi="Segoe UI" w:cs="Segoe UI"/>
      <w:noProof/>
      <w:sz w:val="22"/>
      <w:szCs w:val="22"/>
      <w:lang w:val="en-US"/>
    </w:rPr>
  </w:style>
  <w:style w:type="paragraph" w:customStyle="1" w:styleId="EndNoteBibliography">
    <w:name w:val="EndNote Bibliography"/>
    <w:basedOn w:val="Normal"/>
    <w:link w:val="EndNoteBibliographyChar"/>
    <w:rsid w:val="00EF3C53"/>
    <w:rPr>
      <w:noProof/>
      <w:lang w:val="en-US"/>
    </w:rPr>
  </w:style>
  <w:style w:type="character" w:customStyle="1" w:styleId="EndNoteBibliographyChar">
    <w:name w:val="EndNote Bibliography Char"/>
    <w:basedOn w:val="DefaultParagraphFont"/>
    <w:link w:val="EndNoteBibliography"/>
    <w:rsid w:val="00EF3C53"/>
    <w:rPr>
      <w:rFonts w:ascii="Segoe UI" w:hAnsi="Segoe UI" w:cs="Segoe UI"/>
      <w:noProof/>
      <w:sz w:val="22"/>
      <w:szCs w:val="22"/>
      <w:lang w:val="en-US"/>
    </w:rPr>
  </w:style>
  <w:style w:type="paragraph" w:styleId="Caption">
    <w:name w:val="caption"/>
    <w:basedOn w:val="Normal"/>
    <w:next w:val="Normal"/>
    <w:uiPriority w:val="35"/>
    <w:unhideWhenUsed/>
    <w:qFormat/>
    <w:rsid w:val="009A7599"/>
    <w:pPr>
      <w:spacing w:after="200"/>
    </w:pPr>
    <w:rPr>
      <w:i/>
      <w:iCs/>
      <w:color w:val="44546A" w:themeColor="text2"/>
      <w:sz w:val="18"/>
      <w:szCs w:val="18"/>
    </w:rPr>
  </w:style>
  <w:style w:type="paragraph" w:styleId="ListParagraph">
    <w:name w:val="List Paragraph"/>
    <w:basedOn w:val="Normal"/>
    <w:uiPriority w:val="34"/>
    <w:qFormat/>
    <w:rsid w:val="00C33628"/>
    <w:pPr>
      <w:ind w:left="720"/>
      <w:contextualSpacing/>
    </w:pPr>
  </w:style>
  <w:style w:type="character" w:customStyle="1" w:styleId="Heading3Char">
    <w:name w:val="Heading 3 Char"/>
    <w:basedOn w:val="DefaultParagraphFont"/>
    <w:link w:val="Heading3"/>
    <w:uiPriority w:val="9"/>
    <w:semiHidden/>
    <w:rsid w:val="00B47E3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47E3B"/>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B47E3B"/>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B47E3B"/>
    <w:rPr>
      <w:rFonts w:eastAsia="Times New Roman"/>
      <w:b/>
      <w:bCs/>
      <w:sz w:val="22"/>
      <w:szCs w:val="22"/>
      <w:lang w:val="en-US"/>
    </w:rPr>
  </w:style>
  <w:style w:type="character" w:customStyle="1" w:styleId="Heading7Char">
    <w:name w:val="Heading 7 Char"/>
    <w:basedOn w:val="DefaultParagraphFont"/>
    <w:link w:val="Heading7"/>
    <w:uiPriority w:val="9"/>
    <w:semiHidden/>
    <w:rsid w:val="00B47E3B"/>
    <w:rPr>
      <w:rFonts w:asciiTheme="minorHAnsi" w:eastAsiaTheme="minorEastAsia" w:hAnsiTheme="minorHAnsi" w:cstheme="minorBidi"/>
      <w:lang w:val="en-US"/>
    </w:rPr>
  </w:style>
  <w:style w:type="character" w:customStyle="1" w:styleId="Heading8Char">
    <w:name w:val="Heading 8 Char"/>
    <w:basedOn w:val="DefaultParagraphFont"/>
    <w:link w:val="Heading8"/>
    <w:uiPriority w:val="9"/>
    <w:semiHidden/>
    <w:rsid w:val="00B47E3B"/>
    <w:rPr>
      <w:rFonts w:asciiTheme="minorHAnsi" w:eastAsiaTheme="minorEastAsia" w:hAnsiTheme="minorHAnsi" w:cstheme="minorBidi"/>
      <w:i/>
      <w:iCs/>
      <w:lang w:val="en-US"/>
    </w:rPr>
  </w:style>
  <w:style w:type="character" w:customStyle="1" w:styleId="Heading9Char">
    <w:name w:val="Heading 9 Char"/>
    <w:basedOn w:val="DefaultParagraphFont"/>
    <w:link w:val="Heading9"/>
    <w:uiPriority w:val="9"/>
    <w:semiHidden/>
    <w:rsid w:val="00B47E3B"/>
    <w:rPr>
      <w:rFonts w:asciiTheme="majorHAnsi" w:eastAsiaTheme="majorEastAsia" w:hAnsiTheme="majorHAnsi" w:cstheme="majorBidi"/>
      <w:sz w:val="22"/>
      <w:szCs w:val="22"/>
      <w:lang w:val="en-US"/>
    </w:rPr>
  </w:style>
  <w:style w:type="character" w:customStyle="1" w:styleId="cf01">
    <w:name w:val="cf01"/>
    <w:basedOn w:val="DefaultParagraphFont"/>
    <w:rsid w:val="00622329"/>
    <w:rPr>
      <w:rFonts w:ascii="Segoe UI" w:hAnsi="Segoe UI" w:cs="Segoe UI" w:hint="default"/>
      <w:sz w:val="18"/>
      <w:szCs w:val="18"/>
    </w:rPr>
  </w:style>
  <w:style w:type="paragraph" w:styleId="Revision">
    <w:name w:val="Revision"/>
    <w:hidden/>
    <w:uiPriority w:val="99"/>
    <w:semiHidden/>
    <w:rsid w:val="002F56E0"/>
    <w:pPr>
      <w:spacing w:after="0" w:line="240" w:lineRule="auto"/>
    </w:pPr>
    <w:rPr>
      <w:rFonts w:ascii="Segoe UI" w:hAnsi="Segoe UI" w:cs="Segoe UI"/>
      <w:sz w:val="22"/>
      <w:szCs w:val="22"/>
    </w:rPr>
  </w:style>
  <w:style w:type="paragraph" w:styleId="Title">
    <w:name w:val="Title"/>
    <w:basedOn w:val="Normal"/>
    <w:next w:val="Normal"/>
    <w:link w:val="TitleChar"/>
    <w:uiPriority w:val="10"/>
    <w:qFormat/>
    <w:rsid w:val="00AB3B6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3B6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B3B6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3B69"/>
    <w:rPr>
      <w:rFonts w:asciiTheme="minorHAnsi" w:eastAsiaTheme="majorEastAsia" w:hAnsiTheme="minorHAnsi" w:cstheme="majorBidi"/>
      <w:color w:val="595959" w:themeColor="text1" w:themeTint="A6"/>
      <w:spacing w:val="15"/>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0661">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767841826">
      <w:bodyDiv w:val="1"/>
      <w:marLeft w:val="0"/>
      <w:marRight w:val="0"/>
      <w:marTop w:val="0"/>
      <w:marBottom w:val="0"/>
      <w:divBdr>
        <w:top w:val="none" w:sz="0" w:space="0" w:color="auto"/>
        <w:left w:val="none" w:sz="0" w:space="0" w:color="auto"/>
        <w:bottom w:val="none" w:sz="0" w:space="0" w:color="auto"/>
        <w:right w:val="none" w:sz="0" w:space="0" w:color="auto"/>
      </w:divBdr>
      <w:divsChild>
        <w:div w:id="269165960">
          <w:marLeft w:val="0"/>
          <w:marRight w:val="0"/>
          <w:marTop w:val="0"/>
          <w:marBottom w:val="0"/>
          <w:divBdr>
            <w:top w:val="none" w:sz="0" w:space="0" w:color="auto"/>
            <w:left w:val="none" w:sz="0" w:space="0" w:color="auto"/>
            <w:bottom w:val="none" w:sz="0" w:space="0" w:color="auto"/>
            <w:right w:val="none" w:sz="0" w:space="0" w:color="auto"/>
          </w:divBdr>
          <w:divsChild>
            <w:div w:id="13219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D2DE-39C5-401D-9785-68455DE9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8338</Words>
  <Characters>47531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2025-02-18T00:47:00Z</dcterms:created>
  <dcterms:modified xsi:type="dcterms:W3CDTF">2025-02-18T00:50:00Z</dcterms:modified>
</cp:coreProperties>
</file>