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6B6C" w14:textId="226CEC04" w:rsidR="006478E7" w:rsidRPr="00490FBB" w:rsidRDefault="00CF34D2" w:rsidP="006478E7">
      <w:pPr>
        <w:spacing w:before="120" w:after="120" w:line="312" w:lineRule="auto"/>
        <w:jc w:val="center"/>
      </w:pPr>
      <w:r>
        <w:t xml:space="preserve">  </w:t>
      </w:r>
    </w:p>
    <w:p w14:paraId="50B6D781" w14:textId="6DD2F967"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BB37BD">
        <w:rPr>
          <w:sz w:val="48"/>
          <w:szCs w:val="48"/>
        </w:rPr>
        <w:t>1787</w:t>
      </w:r>
    </w:p>
    <w:p w14:paraId="4357AA14" w14:textId="4CA85D3A" w:rsidR="004B73B9" w:rsidRDefault="004B73B9" w:rsidP="00477EE1">
      <w:pPr>
        <w:pStyle w:val="Heading10"/>
        <w:jc w:val="center"/>
        <w:rPr>
          <w:rFonts w:ascii="Arial" w:hAnsi="Arial" w:cs="Arial"/>
          <w:color w:val="0070C0"/>
          <w:sz w:val="52"/>
          <w:szCs w:val="52"/>
        </w:rPr>
      </w:pPr>
      <w:r>
        <w:rPr>
          <w:rFonts w:ascii="Arial" w:hAnsi="Arial" w:cs="Arial"/>
          <w:color w:val="0070C0"/>
          <w:sz w:val="52"/>
          <w:szCs w:val="52"/>
        </w:rPr>
        <w:t xml:space="preserve">Immunohistochemistry testing of solid tumour tissue to determine folate receptor alpha (FRα) expression status in adults with </w:t>
      </w:r>
      <w:r w:rsidR="00FE05CC">
        <w:rPr>
          <w:rFonts w:ascii="Arial" w:hAnsi="Arial" w:cs="Arial"/>
          <w:color w:val="0070C0"/>
          <w:sz w:val="52"/>
          <w:szCs w:val="52"/>
        </w:rPr>
        <w:t xml:space="preserve">platinum </w:t>
      </w:r>
      <w:r>
        <w:rPr>
          <w:rFonts w:ascii="Arial" w:hAnsi="Arial" w:cs="Arial"/>
          <w:color w:val="0070C0"/>
          <w:sz w:val="52"/>
          <w:szCs w:val="52"/>
        </w:rPr>
        <w:t xml:space="preserve">resistant ovarian cancer, </w:t>
      </w:r>
      <w:r w:rsidR="00A40184">
        <w:rPr>
          <w:rFonts w:ascii="Arial" w:hAnsi="Arial" w:cs="Arial"/>
          <w:color w:val="0070C0"/>
          <w:sz w:val="52"/>
          <w:szCs w:val="52"/>
        </w:rPr>
        <w:t>to determine eligibility for treatment with PBS subsidi</w:t>
      </w:r>
      <w:r w:rsidR="00272E56">
        <w:rPr>
          <w:rFonts w:ascii="Arial" w:hAnsi="Arial" w:cs="Arial"/>
          <w:color w:val="0070C0"/>
          <w:sz w:val="52"/>
          <w:szCs w:val="52"/>
        </w:rPr>
        <w:t>s</w:t>
      </w:r>
      <w:r w:rsidR="00A40184">
        <w:rPr>
          <w:rFonts w:ascii="Arial" w:hAnsi="Arial" w:cs="Arial"/>
          <w:color w:val="0070C0"/>
          <w:sz w:val="52"/>
          <w:szCs w:val="52"/>
        </w:rPr>
        <w:t>ed mirvetuximab soravtansine</w:t>
      </w:r>
    </w:p>
    <w:p w14:paraId="1E7CA3C5" w14:textId="77777777" w:rsidR="004C74EC" w:rsidRDefault="004C74EC" w:rsidP="00477EE1">
      <w:pPr>
        <w:pStyle w:val="Heading10"/>
        <w:jc w:val="center"/>
        <w:rPr>
          <w:rFonts w:ascii="Arial" w:hAnsi="Arial" w:cs="Arial"/>
          <w:color w:val="0070C0"/>
          <w:sz w:val="52"/>
          <w:szCs w:val="52"/>
        </w:rPr>
      </w:pPr>
    </w:p>
    <w:p w14:paraId="44FD303D" w14:textId="720D473E" w:rsidR="00477EE1" w:rsidRPr="00A774F9" w:rsidRDefault="00272E56" w:rsidP="00477EE1">
      <w:pPr>
        <w:pStyle w:val="Heading10"/>
        <w:jc w:val="center"/>
        <w:rPr>
          <w:rFonts w:ascii="Arial" w:hAnsi="Arial" w:cs="Arial"/>
          <w:i/>
          <w:iCs/>
          <w:color w:val="0070C0"/>
        </w:rPr>
      </w:pPr>
      <w:r w:rsidRPr="00A774F9">
        <w:rPr>
          <w:rFonts w:ascii="Arial" w:hAnsi="Arial" w:cs="Arial"/>
          <w:color w:val="0070C0"/>
        </w:rPr>
        <w:t xml:space="preserve">Applicant: </w:t>
      </w:r>
      <w:r w:rsidR="000E27D3" w:rsidRPr="00A774F9">
        <w:rPr>
          <w:rFonts w:ascii="Arial" w:hAnsi="Arial" w:cs="Arial"/>
          <w:color w:val="0070C0"/>
        </w:rPr>
        <w:t xml:space="preserve">AbbVie </w:t>
      </w:r>
      <w:r w:rsidR="00E03CB5" w:rsidRPr="00A774F9">
        <w:rPr>
          <w:rFonts w:ascii="Arial" w:hAnsi="Arial" w:cs="Arial"/>
          <w:color w:val="0070C0"/>
        </w:rPr>
        <w:t>Pty Ltd</w:t>
      </w:r>
    </w:p>
    <w:p w14:paraId="2C94429C" w14:textId="690FBA69" w:rsidR="00C43CF5" w:rsidRDefault="006478E7" w:rsidP="00BB0FFB">
      <w:pPr>
        <w:pStyle w:val="Heading1"/>
      </w:pPr>
      <w:r w:rsidRPr="00490FBB">
        <w:t>PICO Confirmation</w:t>
      </w:r>
    </w:p>
    <w:p w14:paraId="23900CA0" w14:textId="06C77305" w:rsidR="006478E7" w:rsidRPr="00490FBB" w:rsidRDefault="006478E7" w:rsidP="00FA4235">
      <w:pPr>
        <w:pStyle w:val="Heading1"/>
        <w:jc w:val="left"/>
      </w:pPr>
      <w:r w:rsidRPr="00490FBB">
        <w:br w:type="page"/>
      </w:r>
    </w:p>
    <w:p w14:paraId="219312C8" w14:textId="77777777" w:rsidR="006478E7" w:rsidRPr="00D52956" w:rsidRDefault="006478E7" w:rsidP="00BB0FFB">
      <w:pPr>
        <w:pStyle w:val="Heading2"/>
      </w:pPr>
      <w:r w:rsidRPr="00D52956">
        <w:lastRenderedPageBreak/>
        <w:t>Summary of PI</w:t>
      </w:r>
      <w:r w:rsidR="00235B21">
        <w:t xml:space="preserve">CO/PPICO criteria to define </w:t>
      </w:r>
      <w:r w:rsidRPr="00D52956">
        <w:t>question(s) to be addressed in an Assessment Report to the Medical Services Advisory Committee (MSAC)</w:t>
      </w:r>
    </w:p>
    <w:p w14:paraId="224459F3" w14:textId="7E1C3CFF" w:rsidR="00D52956" w:rsidRDefault="00D52956" w:rsidP="0088555E">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3B43AD">
        <w:rPr>
          <w:noProof/>
        </w:rPr>
        <w:t>1</w:t>
      </w:r>
      <w:r>
        <w:fldChar w:fldCharType="end"/>
      </w:r>
      <w:bookmarkEnd w:id="0"/>
      <w:r>
        <w:tab/>
      </w:r>
      <w:r w:rsidRPr="00B7720C">
        <w:t xml:space="preserve">PICO for </w:t>
      </w:r>
      <w:r w:rsidR="00557B18" w:rsidRPr="00B7720C">
        <w:t>folate receptor alpha (FRα) expression</w:t>
      </w:r>
      <w:r w:rsidR="00F76703" w:rsidRPr="00B7720C">
        <w:t xml:space="preserve"> status</w:t>
      </w:r>
      <w:r w:rsidR="00557B18" w:rsidRPr="00B7720C">
        <w:t xml:space="preserve"> </w:t>
      </w:r>
      <w:r w:rsidRPr="00B7720C">
        <w:t xml:space="preserve">in </w:t>
      </w:r>
      <w:r w:rsidR="00F76703" w:rsidRPr="00B7720C">
        <w:t xml:space="preserve">adult patients diagnosed with </w:t>
      </w:r>
      <w:r w:rsidR="00FE05CC" w:rsidRPr="00B7720C">
        <w:t xml:space="preserve">platinum </w:t>
      </w:r>
      <w:r w:rsidR="00F76703" w:rsidRPr="00B7720C">
        <w:t xml:space="preserve">resistant </w:t>
      </w:r>
      <w:r w:rsidR="00F76703" w:rsidRPr="00FA4235">
        <w:t>high-grade</w:t>
      </w:r>
      <w:r w:rsidR="00F76703" w:rsidRPr="00B7720C">
        <w:t xml:space="preserve"> serous epithelial ovarian, </w:t>
      </w:r>
      <w:r w:rsidR="00F76703" w:rsidRPr="00FA4235">
        <w:t>fallopian tube, or primary peritoneal</w:t>
      </w:r>
      <w:r w:rsidR="00F76703" w:rsidRPr="00B7720C">
        <w:t xml:space="preserve"> cancer</w:t>
      </w:r>
      <w:r>
        <w:t xml:space="preserve"> </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A619EE" w:rsidRPr="00490FBB" w14:paraId="36410069" w14:textId="77777777" w:rsidTr="1FF75A62">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DA0D420" w14:textId="77777777" w:rsidR="00A619EE" w:rsidRPr="00490FBB" w:rsidRDefault="00A619EE" w:rsidP="004216CF">
            <w:pPr>
              <w:spacing w:before="20" w:after="20" w:line="240" w:lineRule="auto"/>
              <w:rPr>
                <w:b/>
              </w:rPr>
            </w:pPr>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68B0B" w14:textId="77777777" w:rsidR="00A619EE" w:rsidRPr="00490FBB" w:rsidRDefault="00A619EE" w:rsidP="004216CF">
            <w:pPr>
              <w:spacing w:before="20" w:after="20" w:line="240" w:lineRule="auto"/>
              <w:rPr>
                <w:b/>
              </w:rPr>
            </w:pPr>
            <w:r w:rsidRPr="00490FBB">
              <w:rPr>
                <w:b/>
              </w:rPr>
              <w:t>Description</w:t>
            </w:r>
          </w:p>
        </w:tc>
      </w:tr>
      <w:tr w:rsidR="00A619EE" w:rsidRPr="00490FBB" w14:paraId="042DFA31" w14:textId="77777777" w:rsidTr="004216CF">
        <w:tc>
          <w:tcPr>
            <w:tcW w:w="1005" w:type="pct"/>
            <w:tcBorders>
              <w:top w:val="single" w:sz="8" w:space="0" w:color="auto"/>
              <w:left w:val="single" w:sz="8" w:space="0" w:color="auto"/>
              <w:bottom w:val="single" w:sz="4" w:space="0" w:color="auto"/>
              <w:right w:val="single" w:sz="4" w:space="0" w:color="auto"/>
            </w:tcBorders>
            <w:hideMark/>
          </w:tcPr>
          <w:p w14:paraId="76B986B2" w14:textId="77777777" w:rsidR="00A619EE" w:rsidRPr="00490FBB" w:rsidRDefault="00A619EE" w:rsidP="004216CF">
            <w:pPr>
              <w:spacing w:before="120" w:after="120" w:line="240" w:lineRule="auto"/>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06689997" w14:textId="77777777" w:rsidR="00A619EE" w:rsidRDefault="00A619EE" w:rsidP="00A619EE">
            <w:pPr>
              <w:spacing w:before="120" w:after="120" w:line="240" w:lineRule="auto"/>
              <w:rPr>
                <w:u w:val="single"/>
              </w:rPr>
            </w:pPr>
            <w:r w:rsidRPr="00A619EE">
              <w:rPr>
                <w:u w:val="single"/>
              </w:rPr>
              <w:t>Test</w:t>
            </w:r>
          </w:p>
          <w:p w14:paraId="07903DAD" w14:textId="2EF33E0C" w:rsidR="00842266" w:rsidRPr="001353E8" w:rsidRDefault="00842266" w:rsidP="00A619EE">
            <w:pPr>
              <w:spacing w:before="120" w:after="120" w:line="240" w:lineRule="auto"/>
              <w:rPr>
                <w:i/>
              </w:rPr>
            </w:pPr>
            <w:r w:rsidRPr="001353E8">
              <w:rPr>
                <w:i/>
              </w:rPr>
              <w:t>If performed at confirmation of platinum resistance:</w:t>
            </w:r>
          </w:p>
          <w:p w14:paraId="3F916C59" w14:textId="44A01BDD" w:rsidR="00A619EE" w:rsidRDefault="006F7CD6" w:rsidP="00A619EE">
            <w:pPr>
              <w:spacing w:before="120" w:after="120" w:line="240" w:lineRule="auto"/>
              <w:rPr>
                <w:i/>
                <w:iCs/>
              </w:rPr>
            </w:pPr>
            <w:r>
              <w:t xml:space="preserve">Adult patients </w:t>
            </w:r>
            <w:r w:rsidR="0014690F">
              <w:t xml:space="preserve">with </w:t>
            </w:r>
            <w:r w:rsidR="00EA2315">
              <w:t>p</w:t>
            </w:r>
            <w:r w:rsidR="00A619EE" w:rsidRPr="00A619EE">
              <w:t>latinum</w:t>
            </w:r>
            <w:r w:rsidR="00AC071C">
              <w:t xml:space="preserve"> </w:t>
            </w:r>
            <w:r w:rsidR="00A619EE" w:rsidRPr="00A619EE">
              <w:t xml:space="preserve">resistant </w:t>
            </w:r>
            <w:r w:rsidR="00A619EE" w:rsidRPr="00B7720C">
              <w:t>high-grade serous</w:t>
            </w:r>
            <w:r w:rsidR="00A619EE" w:rsidRPr="00A619EE">
              <w:t xml:space="preserve"> epithelial ovarian, </w:t>
            </w:r>
            <w:r w:rsidR="00A619EE" w:rsidRPr="00B7720C">
              <w:t>fallopian tube or primary peritoneal cancer.</w:t>
            </w:r>
          </w:p>
          <w:p w14:paraId="07854F0F" w14:textId="28D711F1" w:rsidR="00842266" w:rsidRPr="001353E8" w:rsidRDefault="00842266" w:rsidP="00A619EE">
            <w:pPr>
              <w:spacing w:before="120" w:after="120" w:line="240" w:lineRule="auto"/>
              <w:rPr>
                <w:i/>
              </w:rPr>
            </w:pPr>
            <w:r w:rsidRPr="001353E8">
              <w:rPr>
                <w:i/>
              </w:rPr>
              <w:t>If performed at primary diagnosis of ovarian cancer:</w:t>
            </w:r>
          </w:p>
          <w:p w14:paraId="486F4CFF" w14:textId="43EE108F" w:rsidR="00842266" w:rsidRDefault="00EA2315" w:rsidP="00A619EE">
            <w:pPr>
              <w:spacing w:before="120" w:after="120" w:line="240" w:lineRule="auto"/>
            </w:pPr>
            <w:r>
              <w:t>Adult patients with h</w:t>
            </w:r>
            <w:r w:rsidR="00842266" w:rsidRPr="00B7720C">
              <w:t>igh-grade serous epithelial ovarian, fallopian tube</w:t>
            </w:r>
            <w:r w:rsidR="00E930E8">
              <w:t>,</w:t>
            </w:r>
            <w:r w:rsidR="00842266" w:rsidRPr="00B7720C">
              <w:t xml:space="preserve"> </w:t>
            </w:r>
            <w:r w:rsidR="00F10AC9" w:rsidRPr="00F10AC9">
              <w:t>primary peritoneal</w:t>
            </w:r>
            <w:r w:rsidR="00F10AC9">
              <w:t>,</w:t>
            </w:r>
            <w:r w:rsidR="00842266" w:rsidRPr="00B7720C">
              <w:t xml:space="preserve"> high-grade </w:t>
            </w:r>
            <w:r w:rsidR="006B192B" w:rsidRPr="00B7720C">
              <w:t>endometri</w:t>
            </w:r>
            <w:r w:rsidR="006B192B">
              <w:t>oid</w:t>
            </w:r>
            <w:r w:rsidR="00842266" w:rsidRPr="00B7720C">
              <w:t xml:space="preserve">, or undifferentiated epithelial </w:t>
            </w:r>
            <w:r w:rsidR="009D3DAB">
              <w:t xml:space="preserve">ovarian </w:t>
            </w:r>
            <w:r w:rsidR="00842266" w:rsidRPr="00B7720C">
              <w:t>cancer.</w:t>
            </w:r>
          </w:p>
          <w:p w14:paraId="6D97681B" w14:textId="0510499A" w:rsidR="00A619EE" w:rsidRDefault="00EA2315" w:rsidP="00A619EE">
            <w:pPr>
              <w:spacing w:before="120" w:after="120" w:line="240" w:lineRule="auto"/>
              <w:rPr>
                <w:u w:val="single"/>
              </w:rPr>
            </w:pPr>
            <w:r>
              <w:rPr>
                <w:u w:val="single"/>
              </w:rPr>
              <w:t>Treatment</w:t>
            </w:r>
          </w:p>
          <w:p w14:paraId="4671509A" w14:textId="7C5B278D" w:rsidR="00DF6C32" w:rsidRPr="00842266" w:rsidRDefault="00842266" w:rsidP="00A619EE">
            <w:pPr>
              <w:spacing w:before="120" w:after="120" w:line="240" w:lineRule="auto"/>
            </w:pPr>
            <w:r>
              <w:t>P</w:t>
            </w:r>
            <w:r w:rsidRPr="00842266">
              <w:t>latinum</w:t>
            </w:r>
            <w:r>
              <w:t xml:space="preserve"> </w:t>
            </w:r>
            <w:r w:rsidRPr="00842266">
              <w:t xml:space="preserve">resistant </w:t>
            </w:r>
            <w:r w:rsidRPr="00B7720C">
              <w:t>high-grade serous</w:t>
            </w:r>
            <w:r w:rsidRPr="00842266">
              <w:t xml:space="preserve"> epithelial ovarian, fallopian tube, or </w:t>
            </w:r>
            <w:r w:rsidR="00F10AC9" w:rsidRPr="00F10AC9">
              <w:t>primary peritoneal cancer</w:t>
            </w:r>
            <w:r w:rsidRPr="00842266">
              <w:t xml:space="preserve"> whose tumour have a high level of </w:t>
            </w:r>
            <w:r w:rsidR="00733AED" w:rsidRPr="00733AED">
              <w:t xml:space="preserve">folate receptor alpha </w:t>
            </w:r>
            <w:r w:rsidR="00733AED">
              <w:t>(</w:t>
            </w:r>
            <w:r w:rsidRPr="00842266">
              <w:t>FRα</w:t>
            </w:r>
            <w:r w:rsidR="00733AED">
              <w:t>)</w:t>
            </w:r>
            <w:r w:rsidRPr="00842266">
              <w:t xml:space="preserve"> expression </w:t>
            </w:r>
            <w:r w:rsidR="00572F15" w:rsidRPr="00B7720C">
              <w:t>according to the PS2+ scoring method (i.e.</w:t>
            </w:r>
            <w:r w:rsidR="00572F15">
              <w:t>,</w:t>
            </w:r>
            <w:r w:rsidR="00572F15" w:rsidRPr="00B7720C">
              <w:t xml:space="preserve"> ≥75% of viable tumour cells with moderate [2+] or strong [3+] staining) </w:t>
            </w:r>
            <w:r w:rsidRPr="00B7720C">
              <w:t xml:space="preserve">as determined by a validated immunohistochemistry (IHC) assay </w:t>
            </w:r>
            <w:r w:rsidR="00960941">
              <w:t xml:space="preserve">and </w:t>
            </w:r>
            <w:r w:rsidR="0057525B">
              <w:t xml:space="preserve">which has been treated </w:t>
            </w:r>
            <w:r w:rsidRPr="00B7720C">
              <w:t>with no more than three lines of previous systemic therapy</w:t>
            </w:r>
            <w:r w:rsidRPr="00842266">
              <w:t>.</w:t>
            </w:r>
          </w:p>
        </w:tc>
      </w:tr>
      <w:tr w:rsidR="00A619EE" w:rsidRPr="00490FBB" w14:paraId="53B42EDE" w14:textId="77777777" w:rsidTr="004216CF">
        <w:tc>
          <w:tcPr>
            <w:tcW w:w="1005" w:type="pct"/>
            <w:tcBorders>
              <w:top w:val="single" w:sz="8" w:space="0" w:color="auto"/>
              <w:left w:val="single" w:sz="8" w:space="0" w:color="auto"/>
              <w:bottom w:val="single" w:sz="4" w:space="0" w:color="auto"/>
              <w:right w:val="single" w:sz="4" w:space="0" w:color="auto"/>
            </w:tcBorders>
            <w:hideMark/>
          </w:tcPr>
          <w:p w14:paraId="72E3DFE5" w14:textId="11ED7BDB" w:rsidR="00A619EE" w:rsidRPr="00490FBB" w:rsidRDefault="00A619EE" w:rsidP="004216CF">
            <w:pPr>
              <w:spacing w:before="120" w:after="120" w:line="240" w:lineRule="auto"/>
              <w:rPr>
                <w:rFonts w:cs="Arial"/>
              </w:rPr>
            </w:pPr>
            <w:r w:rsidRPr="00490FBB">
              <w:rPr>
                <w:rFonts w:cs="Arial"/>
              </w:rPr>
              <w:t>Prior tests</w:t>
            </w:r>
            <w:r>
              <w:rPr>
                <w:rFonts w:cs="Arial"/>
              </w:rPr>
              <w:t xml:space="preserve"> </w:t>
            </w:r>
          </w:p>
        </w:tc>
        <w:tc>
          <w:tcPr>
            <w:tcW w:w="3995" w:type="pct"/>
            <w:tcBorders>
              <w:top w:val="single" w:sz="4" w:space="0" w:color="auto"/>
              <w:left w:val="single" w:sz="4" w:space="0" w:color="auto"/>
              <w:bottom w:val="single" w:sz="4" w:space="0" w:color="auto"/>
              <w:right w:val="single" w:sz="4" w:space="0" w:color="auto"/>
            </w:tcBorders>
            <w:hideMark/>
          </w:tcPr>
          <w:p w14:paraId="06030F73" w14:textId="77777777" w:rsidR="00A619EE" w:rsidRDefault="00E930E8" w:rsidP="00A619EE">
            <w:pPr>
              <w:spacing w:before="120" w:after="120" w:line="240" w:lineRule="auto"/>
            </w:pPr>
            <w:r w:rsidRPr="00B16D22">
              <w:t>If performed at confirmation of platinum resistance:</w:t>
            </w:r>
            <w:r>
              <w:t xml:space="preserve"> </w:t>
            </w:r>
            <w:r w:rsidR="00A619EE" w:rsidRPr="00B7720C">
              <w:t>Test</w:t>
            </w:r>
            <w:r>
              <w:t>(s)</w:t>
            </w:r>
            <w:r w:rsidR="00A619EE" w:rsidRPr="00B7720C">
              <w:t xml:space="preserve"> to confirm </w:t>
            </w:r>
            <w:r w:rsidR="00A619EE" w:rsidRPr="00FA4235">
              <w:t xml:space="preserve">high-grade </w:t>
            </w:r>
            <w:r w:rsidR="00A619EE" w:rsidRPr="00FA4235">
              <w:rPr>
                <w:rFonts w:cs="Arial"/>
              </w:rPr>
              <w:t>serous</w:t>
            </w:r>
            <w:r w:rsidR="00A619EE" w:rsidRPr="00B7720C">
              <w:t xml:space="preserve"> epithelial ovarian, </w:t>
            </w:r>
            <w:r w:rsidR="00A619EE" w:rsidRPr="00FA4235">
              <w:t>fallopian tube or primary peritoneal cancer</w:t>
            </w:r>
            <w:r w:rsidR="00A619EE">
              <w:t>.</w:t>
            </w:r>
          </w:p>
          <w:p w14:paraId="2B1159F1" w14:textId="130148F9" w:rsidR="00E930E8" w:rsidRPr="00D52956" w:rsidRDefault="00E930E8" w:rsidP="00E930E8">
            <w:pPr>
              <w:spacing w:before="120" w:after="120" w:line="240" w:lineRule="auto"/>
            </w:pPr>
            <w:r w:rsidRPr="00B16D22">
              <w:t>If performed at primary diagnosis of ovarian cancer:</w:t>
            </w:r>
            <w:r>
              <w:t xml:space="preserve"> Test(s) to confirm diagnosis of h</w:t>
            </w:r>
            <w:r w:rsidRPr="00B7720C">
              <w:t>igh-grade serous epithelial ovarian, fallopian tube</w:t>
            </w:r>
            <w:r>
              <w:t xml:space="preserve">, </w:t>
            </w:r>
            <w:r w:rsidRPr="00F10AC9">
              <w:t>primary peritoneal</w:t>
            </w:r>
            <w:r>
              <w:t>,</w:t>
            </w:r>
            <w:r w:rsidRPr="00B7720C">
              <w:t xml:space="preserve"> high-grade endometri</w:t>
            </w:r>
            <w:r>
              <w:t>oid</w:t>
            </w:r>
            <w:r w:rsidRPr="00B7720C">
              <w:t xml:space="preserve">, or undifferentiated epithelial </w:t>
            </w:r>
            <w:r>
              <w:t xml:space="preserve">ovarian </w:t>
            </w:r>
            <w:r w:rsidRPr="00B7720C">
              <w:t>cancer</w:t>
            </w:r>
            <w:r>
              <w:t>.</w:t>
            </w:r>
          </w:p>
        </w:tc>
      </w:tr>
      <w:tr w:rsidR="00A619EE" w:rsidRPr="00490FBB" w14:paraId="675969A9" w14:textId="77777777" w:rsidTr="004216CF">
        <w:tc>
          <w:tcPr>
            <w:tcW w:w="1005" w:type="pct"/>
            <w:tcBorders>
              <w:top w:val="single" w:sz="4" w:space="0" w:color="auto"/>
              <w:left w:val="single" w:sz="8" w:space="0" w:color="auto"/>
              <w:bottom w:val="single" w:sz="4" w:space="0" w:color="auto"/>
              <w:right w:val="single" w:sz="4" w:space="0" w:color="auto"/>
            </w:tcBorders>
            <w:hideMark/>
          </w:tcPr>
          <w:p w14:paraId="4276DCF4" w14:textId="77777777" w:rsidR="00A619EE" w:rsidRPr="00490FBB" w:rsidRDefault="00A619EE" w:rsidP="004216CF">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4B925F37" w14:textId="77777777" w:rsidR="00A619EE" w:rsidRDefault="00A619EE" w:rsidP="00A619EE">
            <w:pPr>
              <w:spacing w:before="120" w:after="120" w:line="240" w:lineRule="auto"/>
              <w:rPr>
                <w:u w:val="single"/>
              </w:rPr>
            </w:pPr>
            <w:r w:rsidRPr="00A619EE">
              <w:rPr>
                <w:u w:val="single"/>
              </w:rPr>
              <w:t>Test</w:t>
            </w:r>
          </w:p>
          <w:p w14:paraId="495B8DEE" w14:textId="07F16B30" w:rsidR="00A619EE" w:rsidRPr="00842266" w:rsidRDefault="6337DE15" w:rsidP="00A619EE">
            <w:pPr>
              <w:spacing w:before="120" w:after="120" w:line="240" w:lineRule="auto"/>
            </w:pPr>
            <w:r>
              <w:t xml:space="preserve">IHC </w:t>
            </w:r>
            <w:r w:rsidR="00842266" w:rsidRPr="00842266">
              <w:t>test</w:t>
            </w:r>
            <w:r w:rsidR="00AF5C53">
              <w:t>ing on solid tumour tissue</w:t>
            </w:r>
            <w:r w:rsidR="00842266" w:rsidRPr="00842266">
              <w:t xml:space="preserve"> to </w:t>
            </w:r>
            <w:r w:rsidR="00842266">
              <w:t>determine FR</w:t>
            </w:r>
            <w:r w:rsidR="00842266">
              <w:rPr>
                <w:rFonts w:cs="Calibri"/>
              </w:rPr>
              <w:t>α</w:t>
            </w:r>
            <w:r w:rsidR="00842266">
              <w:t xml:space="preserve"> expression </w:t>
            </w:r>
            <w:r w:rsidR="001426B0">
              <w:t xml:space="preserve">based on </w:t>
            </w:r>
            <w:r w:rsidR="009A10D6">
              <w:t xml:space="preserve">prevalence in terms of percentage of </w:t>
            </w:r>
            <w:r w:rsidR="00D44B58">
              <w:t xml:space="preserve">viable </w:t>
            </w:r>
            <w:r w:rsidR="009A10D6">
              <w:t>tumour cells and level in terms of intensity of staining</w:t>
            </w:r>
            <w:r w:rsidR="00842266">
              <w:t>.</w:t>
            </w:r>
          </w:p>
          <w:p w14:paraId="5860D234" w14:textId="3EE86D07" w:rsidR="00A619EE" w:rsidRDefault="007E0CC2" w:rsidP="00A619EE">
            <w:pPr>
              <w:spacing w:before="120" w:after="120" w:line="240" w:lineRule="auto"/>
              <w:rPr>
                <w:u w:val="single"/>
              </w:rPr>
            </w:pPr>
            <w:r>
              <w:rPr>
                <w:u w:val="single"/>
              </w:rPr>
              <w:t>Treatment</w:t>
            </w:r>
          </w:p>
          <w:p w14:paraId="65076277" w14:textId="4FCAAB47" w:rsidR="00A619EE" w:rsidRPr="00D52956" w:rsidRDefault="00A619EE" w:rsidP="00A619EE">
            <w:r>
              <w:t>M</w:t>
            </w:r>
            <w:r w:rsidRPr="00A619EE">
              <w:t>irvetuximab soravtansine</w:t>
            </w:r>
            <w:r w:rsidR="00842266">
              <w:t xml:space="preserve">. </w:t>
            </w:r>
          </w:p>
        </w:tc>
      </w:tr>
      <w:tr w:rsidR="00842266" w:rsidRPr="00490FBB" w14:paraId="48840128" w14:textId="77777777" w:rsidTr="004216CF">
        <w:tc>
          <w:tcPr>
            <w:tcW w:w="1005" w:type="pct"/>
            <w:tcBorders>
              <w:top w:val="single" w:sz="4" w:space="0" w:color="auto"/>
              <w:left w:val="single" w:sz="8" w:space="0" w:color="auto"/>
              <w:bottom w:val="single" w:sz="4" w:space="0" w:color="auto"/>
              <w:right w:val="single" w:sz="4" w:space="0" w:color="auto"/>
            </w:tcBorders>
            <w:hideMark/>
          </w:tcPr>
          <w:p w14:paraId="6C3770F4" w14:textId="77777777" w:rsidR="00842266" w:rsidRPr="00490FBB" w:rsidRDefault="00842266" w:rsidP="00842266">
            <w:pPr>
              <w:spacing w:before="120" w:after="120" w:line="240" w:lineRule="auto"/>
              <w:rPr>
                <w:rFonts w:cs="Arial"/>
              </w:rPr>
            </w:pPr>
            <w:r w:rsidRPr="00490FBB">
              <w:rPr>
                <w:rFonts w:cs="Arial"/>
              </w:rPr>
              <w:t>Comparator</w:t>
            </w:r>
            <w:r>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7F8A0145" w14:textId="77777777" w:rsidR="00842266" w:rsidRPr="00842266" w:rsidRDefault="00842266" w:rsidP="00842266">
            <w:pPr>
              <w:spacing w:before="120" w:after="120" w:line="240" w:lineRule="auto"/>
              <w:rPr>
                <w:u w:val="single"/>
              </w:rPr>
            </w:pPr>
            <w:r w:rsidRPr="00842266">
              <w:rPr>
                <w:u w:val="single"/>
              </w:rPr>
              <w:t>Test</w:t>
            </w:r>
          </w:p>
          <w:p w14:paraId="7214448B" w14:textId="7BF88395" w:rsidR="00842266" w:rsidRPr="00842266" w:rsidRDefault="00842266" w:rsidP="00842266">
            <w:pPr>
              <w:spacing w:before="120" w:after="120" w:line="240" w:lineRule="auto"/>
            </w:pPr>
            <w:r w:rsidRPr="00842266">
              <w:t>No testing</w:t>
            </w:r>
            <w:r w:rsidR="00C66C66">
              <w:t xml:space="preserve"> for FR</w:t>
            </w:r>
            <w:r w:rsidR="00C66C66" w:rsidRPr="001112DB">
              <w:rPr>
                <w:rFonts w:cs="Arial"/>
              </w:rPr>
              <w:t>α</w:t>
            </w:r>
            <w:r w:rsidR="00C66C66">
              <w:rPr>
                <w:rFonts w:cs="Arial"/>
              </w:rPr>
              <w:t xml:space="preserve"> expression</w:t>
            </w:r>
            <w:r w:rsidR="003579A5">
              <w:rPr>
                <w:rFonts w:cs="Arial"/>
              </w:rPr>
              <w:t xml:space="preserve"> levels</w:t>
            </w:r>
            <w:r w:rsidR="005B01F0">
              <w:rPr>
                <w:rFonts w:cs="Arial"/>
              </w:rPr>
              <w:t>.</w:t>
            </w:r>
          </w:p>
          <w:p w14:paraId="688996B6" w14:textId="7A871887" w:rsidR="00842266" w:rsidRDefault="007E0CC2" w:rsidP="00842266">
            <w:pPr>
              <w:pStyle w:val="Instructionaltext"/>
              <w:spacing w:after="120" w:line="240" w:lineRule="auto"/>
              <w:rPr>
                <w:rFonts w:eastAsia="Calibri" w:cs="Times New Roman"/>
                <w:color w:val="auto"/>
                <w:u w:val="single"/>
              </w:rPr>
            </w:pPr>
            <w:r>
              <w:rPr>
                <w:rFonts w:eastAsia="Calibri" w:cs="Times New Roman"/>
                <w:color w:val="auto"/>
                <w:u w:val="single"/>
              </w:rPr>
              <w:t>Treatment</w:t>
            </w:r>
          </w:p>
          <w:p w14:paraId="25F52472" w14:textId="47011F8A" w:rsidR="00842266" w:rsidRPr="00842266" w:rsidRDefault="00800524" w:rsidP="001112DB">
            <w:pPr>
              <w:pStyle w:val="Instructionaltext"/>
              <w:spacing w:after="120" w:line="240" w:lineRule="auto"/>
              <w:rPr>
                <w:rFonts w:eastAsia="Calibri" w:cs="Times New Roman"/>
                <w:color w:val="auto"/>
                <w:u w:val="single"/>
              </w:rPr>
            </w:pPr>
            <w:r>
              <w:rPr>
                <w:rFonts w:eastAsia="Calibri" w:cs="Times New Roman"/>
                <w:color w:val="auto"/>
              </w:rPr>
              <w:t>Standard of care</w:t>
            </w:r>
            <w:r w:rsidR="00842ED8">
              <w:rPr>
                <w:rFonts w:eastAsia="Calibri" w:cs="Times New Roman"/>
                <w:color w:val="auto"/>
              </w:rPr>
              <w:t>:</w:t>
            </w:r>
            <w:r w:rsidR="007C3A0A">
              <w:rPr>
                <w:rFonts w:eastAsia="Calibri" w:cs="Times New Roman"/>
                <w:color w:val="auto"/>
              </w:rPr>
              <w:t xml:space="preserve"> n</w:t>
            </w:r>
            <w:r w:rsidR="00842266" w:rsidRPr="00842266">
              <w:rPr>
                <w:rFonts w:eastAsia="Calibri" w:cs="Times New Roman"/>
                <w:color w:val="auto"/>
              </w:rPr>
              <w:t>on-platinum treatment (paclitaxel, topotecan, or pegylated liposomal doxorubicin)</w:t>
            </w:r>
            <w:r w:rsidR="00842ED8">
              <w:rPr>
                <w:rFonts w:eastAsia="Calibri" w:cs="Times New Roman"/>
                <w:color w:val="auto"/>
              </w:rPr>
              <w:t xml:space="preserve"> and supportive care</w:t>
            </w:r>
            <w:r w:rsidR="00842266" w:rsidRPr="00842266">
              <w:rPr>
                <w:rFonts w:eastAsia="Calibri" w:cs="Times New Roman"/>
                <w:color w:val="auto"/>
              </w:rPr>
              <w:t xml:space="preserve"> </w:t>
            </w:r>
            <w:r w:rsidR="00842266" w:rsidRPr="00B7720C">
              <w:rPr>
                <w:rFonts w:eastAsia="Calibri" w:cs="Times New Roman"/>
                <w:color w:val="auto"/>
              </w:rPr>
              <w:t>with or without bevacizumab</w:t>
            </w:r>
            <w:r w:rsidR="001112DB">
              <w:rPr>
                <w:rFonts w:eastAsia="Calibri" w:cs="Times New Roman"/>
                <w:color w:val="auto"/>
              </w:rPr>
              <w:t xml:space="preserve">. </w:t>
            </w:r>
          </w:p>
        </w:tc>
      </w:tr>
      <w:tr w:rsidR="00842266" w:rsidRPr="00490FBB" w14:paraId="41864E31" w14:textId="77777777" w:rsidTr="004216CF">
        <w:tc>
          <w:tcPr>
            <w:tcW w:w="1005" w:type="pct"/>
            <w:tcBorders>
              <w:top w:val="single" w:sz="4" w:space="0" w:color="auto"/>
              <w:left w:val="single" w:sz="8" w:space="0" w:color="auto"/>
              <w:bottom w:val="single" w:sz="4" w:space="0" w:color="auto"/>
              <w:right w:val="single" w:sz="4" w:space="0" w:color="auto"/>
            </w:tcBorders>
          </w:tcPr>
          <w:p w14:paraId="0B2D29E9" w14:textId="190AB059" w:rsidR="00842266" w:rsidRPr="00490FBB" w:rsidRDefault="00842266" w:rsidP="00842266">
            <w:pPr>
              <w:spacing w:before="120" w:after="120" w:line="240" w:lineRule="auto"/>
              <w:rPr>
                <w:rFonts w:cs="Arial"/>
              </w:rPr>
            </w:pPr>
            <w:r w:rsidRPr="00490FBB">
              <w:rPr>
                <w:rFonts w:cs="Arial"/>
              </w:rPr>
              <w:lastRenderedPageBreak/>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5EAD82F8" w14:textId="0E387DEB" w:rsidR="00842266" w:rsidRPr="00D52956" w:rsidRDefault="001112DB" w:rsidP="001112DB">
            <w:pPr>
              <w:spacing w:before="120" w:after="120" w:line="240" w:lineRule="auto"/>
            </w:pPr>
            <w:r w:rsidRPr="001112DB">
              <w:rPr>
                <w:rFonts w:cs="Arial"/>
              </w:rPr>
              <w:t>None</w:t>
            </w:r>
            <w:r>
              <w:rPr>
                <w:rFonts w:cs="Arial"/>
              </w:rPr>
              <w:t>.</w:t>
            </w:r>
            <w:r>
              <w:t xml:space="preserve"> </w:t>
            </w:r>
          </w:p>
        </w:tc>
      </w:tr>
      <w:tr w:rsidR="00A619EE" w:rsidRPr="00490FBB" w14:paraId="09DC2546" w14:textId="77777777" w:rsidTr="004216CF">
        <w:tc>
          <w:tcPr>
            <w:tcW w:w="1005" w:type="pct"/>
            <w:tcBorders>
              <w:top w:val="single" w:sz="4" w:space="0" w:color="auto"/>
              <w:left w:val="single" w:sz="8" w:space="0" w:color="auto"/>
              <w:bottom w:val="single" w:sz="4" w:space="0" w:color="auto"/>
              <w:right w:val="single" w:sz="4" w:space="0" w:color="auto"/>
            </w:tcBorders>
          </w:tcPr>
          <w:p w14:paraId="58728F6E" w14:textId="28D62D9C" w:rsidR="00A619EE" w:rsidRPr="00490FBB" w:rsidRDefault="00A619EE" w:rsidP="004216CF">
            <w:pPr>
              <w:spacing w:before="120" w:after="120" w:line="240" w:lineRule="auto"/>
              <w:rPr>
                <w:rFonts w:cs="Arial"/>
              </w:rPr>
            </w:pPr>
            <w:r w:rsidRPr="001112DB">
              <w:rPr>
                <w:rFonts w:cs="Arial"/>
              </w:rPr>
              <w:t>Clinical</w:t>
            </w:r>
            <w:r w:rsidRPr="00490FBB">
              <w:rPr>
                <w:rFonts w:cs="Arial"/>
              </w:rPr>
              <w:t xml:space="preserve"> utility standard </w:t>
            </w:r>
          </w:p>
        </w:tc>
        <w:tc>
          <w:tcPr>
            <w:tcW w:w="3995" w:type="pct"/>
            <w:tcBorders>
              <w:top w:val="single" w:sz="4" w:space="0" w:color="auto"/>
              <w:left w:val="single" w:sz="4" w:space="0" w:color="auto"/>
              <w:bottom w:val="single" w:sz="4" w:space="0" w:color="auto"/>
              <w:right w:val="single" w:sz="4" w:space="0" w:color="auto"/>
            </w:tcBorders>
          </w:tcPr>
          <w:p w14:paraId="3DF562CD" w14:textId="732F2F2E" w:rsidR="00A619EE" w:rsidRPr="00D52956" w:rsidRDefault="001112DB" w:rsidP="001112DB">
            <w:pPr>
              <w:spacing w:before="120" w:after="120" w:line="240" w:lineRule="auto"/>
            </w:pPr>
            <w:r w:rsidRPr="001112DB">
              <w:rPr>
                <w:rFonts w:cs="Arial"/>
              </w:rPr>
              <w:t>VENTANA FOLR1 (FOLR1-2.1) RxDx Assay</w:t>
            </w:r>
            <w:r w:rsidR="00842ED8">
              <w:rPr>
                <w:rFonts w:cs="Arial"/>
              </w:rPr>
              <w:t xml:space="preserve"> to determine </w:t>
            </w:r>
            <w:r w:rsidR="00842ED8" w:rsidRPr="001112DB">
              <w:rPr>
                <w:rFonts w:cs="Arial"/>
              </w:rPr>
              <w:t>FRα expression levels</w:t>
            </w:r>
            <w:r w:rsidRPr="001112DB" w:rsidDel="00ED5376">
              <w:rPr>
                <w:rFonts w:cs="Arial"/>
              </w:rPr>
              <w:t>.</w:t>
            </w:r>
          </w:p>
        </w:tc>
      </w:tr>
      <w:tr w:rsidR="00A619EE" w:rsidRPr="00490FBB" w14:paraId="01AA630E" w14:textId="77777777" w:rsidTr="004216CF">
        <w:tc>
          <w:tcPr>
            <w:tcW w:w="1005" w:type="pct"/>
            <w:tcBorders>
              <w:top w:val="single" w:sz="4" w:space="0" w:color="auto"/>
              <w:left w:val="single" w:sz="8" w:space="0" w:color="auto"/>
              <w:bottom w:val="single" w:sz="4" w:space="0" w:color="auto"/>
              <w:right w:val="single" w:sz="4" w:space="0" w:color="auto"/>
            </w:tcBorders>
            <w:hideMark/>
          </w:tcPr>
          <w:p w14:paraId="5D8E96E4" w14:textId="77777777" w:rsidR="00A619EE" w:rsidRPr="00490FBB" w:rsidRDefault="00A619EE" w:rsidP="004216CF">
            <w:pPr>
              <w:spacing w:before="120" w:after="12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7C9288FF" w14:textId="43E88841" w:rsidR="001112DB" w:rsidRPr="001112DB" w:rsidRDefault="001112DB" w:rsidP="001112DB">
            <w:pPr>
              <w:spacing w:before="120" w:after="120" w:line="240" w:lineRule="auto"/>
              <w:rPr>
                <w:rFonts w:cs="Arial"/>
                <w:u w:val="single"/>
              </w:rPr>
            </w:pPr>
            <w:r w:rsidRPr="001112DB">
              <w:rPr>
                <w:rFonts w:cs="Arial"/>
                <w:u w:val="single"/>
              </w:rPr>
              <w:t>Test</w:t>
            </w:r>
          </w:p>
          <w:p w14:paraId="1DA44AA8" w14:textId="619B268B" w:rsidR="00B7720C" w:rsidRPr="00A74972" w:rsidRDefault="00B7720C" w:rsidP="00B7720C">
            <w:pPr>
              <w:ind w:left="-20" w:right="-20"/>
            </w:pPr>
            <w:r w:rsidRPr="00F85D84">
              <w:rPr>
                <w:rFonts w:cs="Calibri"/>
                <w:b/>
                <w:bCs/>
              </w:rPr>
              <w:t>Safety outcomes</w:t>
            </w:r>
            <w:r w:rsidRPr="00A74972">
              <w:rPr>
                <w:rFonts w:cs="Calibri"/>
              </w:rPr>
              <w:t xml:space="preserve">: adverse events associated with </w:t>
            </w:r>
            <w:r>
              <w:rPr>
                <w:rFonts w:cs="Calibri"/>
              </w:rPr>
              <w:t>biopsy/</w:t>
            </w:r>
            <w:r w:rsidRPr="00A74972">
              <w:rPr>
                <w:rFonts w:cs="Calibri"/>
              </w:rPr>
              <w:t>re-biopsy for patients with inadequate tissue for tumour testing.</w:t>
            </w:r>
            <w:r>
              <w:rPr>
                <w:rFonts w:cs="Calibri"/>
              </w:rPr>
              <w:t xml:space="preserve"> </w:t>
            </w:r>
          </w:p>
          <w:p w14:paraId="6299E917" w14:textId="6D45E3B2" w:rsidR="00B7720C" w:rsidRPr="00A74972" w:rsidRDefault="00B7720C" w:rsidP="00FA4235">
            <w:pPr>
              <w:ind w:right="-20"/>
            </w:pPr>
            <w:r w:rsidRPr="00F85D84" w:rsidDel="00DE4FF4">
              <w:rPr>
                <w:b/>
                <w:bCs/>
              </w:rPr>
              <w:t xml:space="preserve">Diagnostic </w:t>
            </w:r>
            <w:r w:rsidRPr="00F85D84">
              <w:rPr>
                <w:b/>
                <w:bCs/>
              </w:rPr>
              <w:t>performance</w:t>
            </w:r>
            <w:r w:rsidRPr="00A74972" w:rsidDel="009A38CB">
              <w:t>:</w:t>
            </w:r>
            <w:r w:rsidRPr="00A74972">
              <w:t xml:space="preserve"> </w:t>
            </w:r>
            <w:r>
              <w:t xml:space="preserve">intra- and inter-reader variability; </w:t>
            </w:r>
            <w:r w:rsidRPr="00A74972">
              <w:t>test failure rate</w:t>
            </w:r>
            <w:r>
              <w:t xml:space="preserve">; </w:t>
            </w:r>
            <w:r w:rsidRPr="00A74972">
              <w:t>evidence of stability of proteins in archival tissue</w:t>
            </w:r>
            <w:r>
              <w:t xml:space="preserve">; </w:t>
            </w:r>
            <w:r w:rsidRPr="005B01F0">
              <w:rPr>
                <w:rFonts w:asciiTheme="minorHAnsi" w:eastAsiaTheme="minorEastAsia" w:hAnsiTheme="minorHAnsi" w:cstheme="minorBidi"/>
              </w:rPr>
              <w:t xml:space="preserve">heterogeneity within </w:t>
            </w:r>
            <w:r w:rsidR="005B01F0" w:rsidRPr="004C2E8B">
              <w:rPr>
                <w:rFonts w:asciiTheme="minorHAnsi" w:eastAsiaTheme="minorEastAsia" w:hAnsiTheme="minorHAnsi" w:cstheme="minorBidi"/>
              </w:rPr>
              <w:t xml:space="preserve">the same </w:t>
            </w:r>
            <w:r w:rsidRPr="005B01F0">
              <w:rPr>
                <w:rFonts w:asciiTheme="minorHAnsi" w:eastAsiaTheme="minorEastAsia" w:hAnsiTheme="minorHAnsi" w:cstheme="minorBidi"/>
              </w:rPr>
              <w:t xml:space="preserve">tissue sample; </w:t>
            </w:r>
            <w:r w:rsidRPr="005B01F0">
              <w:t>evidence of stability in FR</w:t>
            </w:r>
            <w:r w:rsidRPr="005B01F0">
              <w:rPr>
                <w:rFonts w:cs="Calibri"/>
              </w:rPr>
              <w:t>α</w:t>
            </w:r>
            <w:r w:rsidRPr="005B01F0">
              <w:t xml:space="preserve"> status over time</w:t>
            </w:r>
            <w:r w:rsidR="00275956">
              <w:t xml:space="preserve"> with treatment</w:t>
            </w:r>
            <w:r w:rsidR="00F22A93">
              <w:t xml:space="preserve"> and/or progression of disease</w:t>
            </w:r>
            <w:r w:rsidRPr="005B01F0">
              <w:t>;</w:t>
            </w:r>
            <w:r>
              <w:t xml:space="preserve"> </w:t>
            </w:r>
            <w:r w:rsidRPr="00A74972">
              <w:rPr>
                <w:rFonts w:asciiTheme="minorHAnsi" w:eastAsiaTheme="minorEastAsia" w:hAnsiTheme="minorHAnsi" w:cstheme="minorBidi"/>
              </w:rPr>
              <w:t>test-retest reliability.</w:t>
            </w:r>
          </w:p>
          <w:p w14:paraId="3E3BDBCD" w14:textId="77777777" w:rsidR="00B7720C" w:rsidRDefault="00B7720C" w:rsidP="004C2E8B">
            <w:pPr>
              <w:ind w:right="-20"/>
              <w:rPr>
                <w:rFonts w:cs="Calibri"/>
              </w:rPr>
            </w:pPr>
            <w:r w:rsidRPr="00F85D84">
              <w:rPr>
                <w:rFonts w:cs="Calibri"/>
                <w:b/>
                <w:bCs/>
              </w:rPr>
              <w:t>Clinical utility of the test</w:t>
            </w:r>
            <w:r w:rsidRPr="00A74972">
              <w:rPr>
                <w:rFonts w:cs="Calibri"/>
              </w:rPr>
              <w:t xml:space="preserve">: determine whether testing for </w:t>
            </w:r>
            <w:r>
              <w:rPr>
                <w:rFonts w:cs="Calibri"/>
              </w:rPr>
              <w:t>FRα</w:t>
            </w:r>
            <w:r w:rsidRPr="00A74972">
              <w:rPr>
                <w:rFonts w:cs="Calibri"/>
              </w:rPr>
              <w:t xml:space="preserve"> predicts variation in the treatment effect of </w:t>
            </w:r>
            <w:r w:rsidRPr="002D2555">
              <w:rPr>
                <w:rFonts w:eastAsiaTheme="minorHAnsi" w:cstheme="minorBidi"/>
              </w:rPr>
              <w:t xml:space="preserve">mirvetuximab soravtansine </w:t>
            </w:r>
            <w:r w:rsidRPr="00A74972">
              <w:rPr>
                <w:rFonts w:cs="Calibri"/>
              </w:rPr>
              <w:t>in terms of health outcomes for patients.</w:t>
            </w:r>
          </w:p>
          <w:p w14:paraId="5BF0A169" w14:textId="726FCBB8" w:rsidR="00404298" w:rsidRPr="00486257" w:rsidRDefault="00404298" w:rsidP="004C2E8B">
            <w:pPr>
              <w:ind w:right="-20"/>
            </w:pPr>
            <w:r>
              <w:rPr>
                <w:rFonts w:cs="Calibri"/>
              </w:rPr>
              <w:t>Qualitative assessment of</w:t>
            </w:r>
            <w:r w:rsidRPr="00486257">
              <w:rPr>
                <w:rFonts w:cs="Calibri"/>
              </w:rPr>
              <w:t xml:space="preserve"> potential risks associated with an incorrect test result or incorrect interpretation of results. Failure of the </w:t>
            </w:r>
            <w:r>
              <w:rPr>
                <w:rFonts w:cs="Calibri"/>
              </w:rPr>
              <w:t>test</w:t>
            </w:r>
            <w:r w:rsidRPr="00486257">
              <w:rPr>
                <w:rFonts w:cs="Calibri"/>
              </w:rPr>
              <w:t xml:space="preserve"> to perform as expected or failure to correctly interpret test results may lead to improper patient management decisions</w:t>
            </w:r>
            <w:r>
              <w:rPr>
                <w:rFonts w:cs="Calibri"/>
              </w:rPr>
              <w:t>.</w:t>
            </w:r>
          </w:p>
          <w:p w14:paraId="29A42DFF" w14:textId="578EBB10" w:rsidR="001112DB" w:rsidRPr="001112DB" w:rsidRDefault="001112DB" w:rsidP="001112DB">
            <w:pPr>
              <w:spacing w:before="120" w:after="120" w:line="240" w:lineRule="auto"/>
              <w:rPr>
                <w:rFonts w:cs="Arial"/>
                <w:u w:val="single"/>
              </w:rPr>
            </w:pPr>
            <w:r w:rsidRPr="001112DB">
              <w:rPr>
                <w:rFonts w:cs="Arial"/>
                <w:u w:val="single"/>
              </w:rPr>
              <w:t>Drug</w:t>
            </w:r>
          </w:p>
          <w:p w14:paraId="31FED789" w14:textId="77777777" w:rsidR="00326D0E" w:rsidRDefault="00326D0E" w:rsidP="00326D0E">
            <w:pPr>
              <w:ind w:left="-20" w:right="-20"/>
              <w:rPr>
                <w:rFonts w:cs="Calibri"/>
              </w:rPr>
            </w:pPr>
            <w:r w:rsidRPr="00A74972">
              <w:rPr>
                <w:rFonts w:cs="Calibri"/>
              </w:rPr>
              <w:t xml:space="preserve">Safety outcomes: Safety and tolerability of treatment with </w:t>
            </w:r>
            <w:r w:rsidRPr="001112DB">
              <w:rPr>
                <w:color w:val="000000" w:themeColor="text1"/>
              </w:rPr>
              <w:t>mirvetuximab soravtansi</w:t>
            </w:r>
            <w:r>
              <w:rPr>
                <w:color w:val="000000" w:themeColor="text1"/>
              </w:rPr>
              <w:t>ne</w:t>
            </w:r>
            <w:r w:rsidRPr="00A74972">
              <w:rPr>
                <w:rFonts w:cs="Calibri"/>
              </w:rPr>
              <w:t xml:space="preserve"> </w:t>
            </w:r>
            <w:r>
              <w:rPr>
                <w:rFonts w:cs="Calibri"/>
              </w:rPr>
              <w:t>compared to alternative treatments</w:t>
            </w:r>
            <w:r w:rsidRPr="00A74972">
              <w:rPr>
                <w:rFonts w:cs="Calibri"/>
              </w:rPr>
              <w:t xml:space="preserve"> </w:t>
            </w:r>
            <w:r>
              <w:rPr>
                <w:rFonts w:cs="Calibri"/>
              </w:rPr>
              <w:t xml:space="preserve">assessed by </w:t>
            </w:r>
            <w:r w:rsidRPr="00A74972">
              <w:rPr>
                <w:rFonts w:cs="Calibri"/>
              </w:rPr>
              <w:t xml:space="preserve">adverse events, physical examination, laboratory findings and vital signs. </w:t>
            </w:r>
          </w:p>
          <w:p w14:paraId="0C63C5C8" w14:textId="34761B37" w:rsidR="00326D0E" w:rsidRPr="0006300D" w:rsidRDefault="00326D0E" w:rsidP="00326D0E">
            <w:pPr>
              <w:ind w:left="-20" w:right="-20"/>
            </w:pPr>
            <w:r>
              <w:rPr>
                <w:rFonts w:cs="Calibri"/>
              </w:rPr>
              <w:t xml:space="preserve">Clinical effectiveness outcomes: </w:t>
            </w:r>
          </w:p>
          <w:p w14:paraId="6AA73D5B" w14:textId="77777777" w:rsidR="00326D0E" w:rsidRPr="00A74972" w:rsidRDefault="00326D0E" w:rsidP="00842ED8">
            <w:pPr>
              <w:pStyle w:val="ListParagraph"/>
              <w:numPr>
                <w:ilvl w:val="0"/>
                <w:numId w:val="12"/>
              </w:numPr>
              <w:ind w:right="-20"/>
            </w:pPr>
            <w:r w:rsidRPr="00A74972">
              <w:t>objective response rate (ORR)</w:t>
            </w:r>
          </w:p>
          <w:p w14:paraId="2CE9B2A3" w14:textId="77777777" w:rsidR="00326D0E" w:rsidRPr="00A74972" w:rsidRDefault="00326D0E" w:rsidP="00842ED8">
            <w:pPr>
              <w:pStyle w:val="ListParagraph"/>
              <w:numPr>
                <w:ilvl w:val="0"/>
                <w:numId w:val="12"/>
              </w:numPr>
              <w:ind w:right="-20"/>
            </w:pPr>
            <w:r w:rsidRPr="00A74972">
              <w:t>overall survival (OS)</w:t>
            </w:r>
          </w:p>
          <w:p w14:paraId="1C76E43E" w14:textId="77777777" w:rsidR="00326D0E" w:rsidRPr="00A74972" w:rsidRDefault="00326D0E" w:rsidP="00842ED8">
            <w:pPr>
              <w:pStyle w:val="ListParagraph"/>
              <w:numPr>
                <w:ilvl w:val="0"/>
                <w:numId w:val="12"/>
              </w:numPr>
              <w:ind w:right="-20"/>
            </w:pPr>
            <w:r w:rsidRPr="00A74972">
              <w:t xml:space="preserve">progression-free survival (PFS) </w:t>
            </w:r>
          </w:p>
          <w:p w14:paraId="181EEDE0" w14:textId="77777777" w:rsidR="00326D0E" w:rsidRDefault="00326D0E" w:rsidP="00842ED8">
            <w:pPr>
              <w:pStyle w:val="ListParagraph"/>
              <w:numPr>
                <w:ilvl w:val="0"/>
                <w:numId w:val="12"/>
              </w:numPr>
              <w:ind w:right="-20"/>
            </w:pPr>
            <w:r w:rsidRPr="00A74972">
              <w:t>health-related quality of life (HRQoL).</w:t>
            </w:r>
          </w:p>
          <w:p w14:paraId="75986B8F" w14:textId="77777777" w:rsidR="00326D0E" w:rsidRPr="00A74972" w:rsidRDefault="00326D0E" w:rsidP="00326D0E">
            <w:pPr>
              <w:ind w:left="-20" w:right="-20"/>
            </w:pPr>
            <w:r w:rsidRPr="00A74972">
              <w:rPr>
                <w:rFonts w:cs="Calibri"/>
              </w:rPr>
              <w:t xml:space="preserve">Healthcare system outcomes: </w:t>
            </w:r>
          </w:p>
          <w:p w14:paraId="73634E33" w14:textId="3AA7AD46" w:rsidR="00326D0E" w:rsidRPr="00A74972" w:rsidRDefault="00326D0E" w:rsidP="00842ED8">
            <w:pPr>
              <w:pStyle w:val="ListParagraph"/>
              <w:numPr>
                <w:ilvl w:val="0"/>
                <w:numId w:val="13"/>
              </w:numPr>
            </w:pPr>
            <w:r w:rsidRPr="00A74972">
              <w:t>cost of testing per patient</w:t>
            </w:r>
            <w:r w:rsidR="0062262A">
              <w:t xml:space="preserve"> and cost</w:t>
            </w:r>
            <w:r w:rsidRPr="00A74972">
              <w:t xml:space="preserve"> associated</w:t>
            </w:r>
            <w:r w:rsidR="0062262A">
              <w:t xml:space="preserve"> with</w:t>
            </w:r>
            <w:r w:rsidRPr="00A74972">
              <w:t xml:space="preserve"> re-biopsies (e.g.: early-stage disease that has relapsed</w:t>
            </w:r>
            <w:r>
              <w:t xml:space="preserve">, </w:t>
            </w:r>
            <w:r w:rsidRPr="00A74972">
              <w:t>test failure, inadequate sampling)</w:t>
            </w:r>
          </w:p>
          <w:p w14:paraId="370EB4EF" w14:textId="504CA08D" w:rsidR="0062262A" w:rsidRPr="00A74972" w:rsidRDefault="00326D0E" w:rsidP="00842ED8">
            <w:pPr>
              <w:pStyle w:val="ListParagraph"/>
              <w:numPr>
                <w:ilvl w:val="0"/>
                <w:numId w:val="13"/>
              </w:numPr>
            </w:pPr>
            <w:r w:rsidRPr="00A74972">
              <w:t>cost of treatment and cost of treating adverse events</w:t>
            </w:r>
          </w:p>
          <w:p w14:paraId="0C99C1BF" w14:textId="7AB21BD2" w:rsidR="00A619EE" w:rsidRPr="00D52956" w:rsidRDefault="00326D0E" w:rsidP="007B0E17">
            <w:pPr>
              <w:pStyle w:val="ListParagraph"/>
              <w:numPr>
                <w:ilvl w:val="0"/>
                <w:numId w:val="13"/>
              </w:numPr>
            </w:pPr>
            <w:r w:rsidRPr="00A74972">
              <w:t>financial implications: number of patients tested; number of patients treated.</w:t>
            </w:r>
          </w:p>
        </w:tc>
      </w:tr>
      <w:tr w:rsidR="00A619EE" w:rsidRPr="00490FBB" w14:paraId="11BBC671" w14:textId="77777777" w:rsidTr="004216CF">
        <w:tc>
          <w:tcPr>
            <w:tcW w:w="1005" w:type="pct"/>
            <w:tcBorders>
              <w:top w:val="single" w:sz="4" w:space="0" w:color="auto"/>
              <w:left w:val="single" w:sz="8" w:space="0" w:color="auto"/>
              <w:bottom w:val="single" w:sz="8" w:space="0" w:color="auto"/>
              <w:right w:val="single" w:sz="4" w:space="0" w:color="auto"/>
            </w:tcBorders>
          </w:tcPr>
          <w:p w14:paraId="00A6D012" w14:textId="77777777" w:rsidR="00A619EE" w:rsidRPr="00490FBB" w:rsidRDefault="00A619EE" w:rsidP="004216CF">
            <w:pPr>
              <w:spacing w:before="120" w:after="120" w:line="240" w:lineRule="auto"/>
              <w:rPr>
                <w:rFonts w:cs="Arial"/>
              </w:rPr>
            </w:pPr>
            <w:r w:rsidRPr="00490FBB">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72598A51" w14:textId="3D6C3254" w:rsidR="001112DB" w:rsidRDefault="00A619EE" w:rsidP="004216CF">
            <w:pPr>
              <w:spacing w:before="120" w:after="120" w:line="240" w:lineRule="auto"/>
            </w:pPr>
            <w:r w:rsidRPr="00FD4C65">
              <w:rPr>
                <w:color w:val="000000" w:themeColor="text1"/>
              </w:rPr>
              <w:t>What</w:t>
            </w:r>
            <w:r w:rsidRPr="00490FBB">
              <w:rPr>
                <w:color w:val="000000" w:themeColor="text1"/>
              </w:rPr>
              <w:t xml:space="preserve"> is the safety, effectiveness</w:t>
            </w:r>
            <w:r w:rsidR="006216B5">
              <w:rPr>
                <w:color w:val="000000" w:themeColor="text1"/>
              </w:rPr>
              <w:t xml:space="preserve">, </w:t>
            </w:r>
            <w:r w:rsidRPr="00490FBB">
              <w:rPr>
                <w:color w:val="000000" w:themeColor="text1"/>
              </w:rPr>
              <w:t>cost-effectiveness</w:t>
            </w:r>
            <w:r w:rsidR="006216B5">
              <w:rPr>
                <w:color w:val="000000" w:themeColor="text1"/>
              </w:rPr>
              <w:t xml:space="preserve"> and total costs</w:t>
            </w:r>
            <w:r w:rsidRPr="00490FBB">
              <w:rPr>
                <w:color w:val="000000" w:themeColor="text1"/>
              </w:rPr>
              <w:t xml:space="preserve"> of </w:t>
            </w:r>
            <w:r w:rsidR="001112DB">
              <w:rPr>
                <w:color w:val="000000" w:themeColor="text1"/>
              </w:rPr>
              <w:t>FR</w:t>
            </w:r>
            <w:r w:rsidR="001112DB">
              <w:rPr>
                <w:rFonts w:cs="Calibri"/>
                <w:color w:val="000000" w:themeColor="text1"/>
              </w:rPr>
              <w:t>α</w:t>
            </w:r>
            <w:r w:rsidR="001112DB">
              <w:rPr>
                <w:color w:val="000000" w:themeColor="text1"/>
              </w:rPr>
              <w:t xml:space="preserve"> expression </w:t>
            </w:r>
            <w:r w:rsidR="001A73E6">
              <w:rPr>
                <w:color w:val="000000" w:themeColor="text1"/>
              </w:rPr>
              <w:t>level</w:t>
            </w:r>
            <w:r w:rsidR="001112DB">
              <w:rPr>
                <w:color w:val="000000" w:themeColor="text1"/>
              </w:rPr>
              <w:t xml:space="preserve"> testing </w:t>
            </w:r>
            <w:r w:rsidR="0063397C">
              <w:rPr>
                <w:color w:val="000000" w:themeColor="text1"/>
              </w:rPr>
              <w:t>and</w:t>
            </w:r>
            <w:r w:rsidR="001112DB">
              <w:rPr>
                <w:color w:val="000000" w:themeColor="text1"/>
              </w:rPr>
              <w:t xml:space="preserve"> </w:t>
            </w:r>
            <w:r w:rsidR="00326D0E">
              <w:rPr>
                <w:color w:val="000000" w:themeColor="text1"/>
              </w:rPr>
              <w:t xml:space="preserve">treatment with </w:t>
            </w:r>
            <w:r w:rsidR="001112DB" w:rsidRPr="001112DB">
              <w:rPr>
                <w:color w:val="000000" w:themeColor="text1"/>
              </w:rPr>
              <w:t>mirvetuximab soravtansine versus</w:t>
            </w:r>
            <w:r w:rsidR="001112DB">
              <w:rPr>
                <w:color w:val="000000" w:themeColor="text1"/>
              </w:rPr>
              <w:t xml:space="preserve"> no testing </w:t>
            </w:r>
            <w:r w:rsidR="0063397C">
              <w:rPr>
                <w:color w:val="000000" w:themeColor="text1"/>
              </w:rPr>
              <w:t>and</w:t>
            </w:r>
            <w:r w:rsidR="001112DB">
              <w:rPr>
                <w:color w:val="000000" w:themeColor="text1"/>
              </w:rPr>
              <w:t xml:space="preserve"> standard of care</w:t>
            </w:r>
            <w:r w:rsidR="006710D4">
              <w:rPr>
                <w:color w:val="000000" w:themeColor="text1"/>
              </w:rPr>
              <w:t>,</w:t>
            </w:r>
            <w:r w:rsidR="001112DB">
              <w:rPr>
                <w:color w:val="000000" w:themeColor="text1"/>
              </w:rPr>
              <w:t xml:space="preserve"> in platinum resistant </w:t>
            </w:r>
            <w:r w:rsidR="001112DB" w:rsidRPr="00FA4235">
              <w:t>high-grade serous</w:t>
            </w:r>
            <w:r w:rsidR="001112DB" w:rsidRPr="00326D0E">
              <w:t xml:space="preserve"> epithelial ovarian, </w:t>
            </w:r>
            <w:r w:rsidR="001112DB" w:rsidRPr="00FA4235">
              <w:t>fallopian tube or primary peritoneal cancer?</w:t>
            </w:r>
          </w:p>
          <w:p w14:paraId="0EBBF4DF" w14:textId="77777777" w:rsidR="00326D0E" w:rsidRDefault="00326D0E" w:rsidP="004216CF">
            <w:pPr>
              <w:spacing w:before="120" w:after="120" w:line="240" w:lineRule="auto"/>
              <w:rPr>
                <w:color w:val="000000" w:themeColor="text1"/>
              </w:rPr>
            </w:pPr>
            <w:r>
              <w:t xml:space="preserve">Does testing for </w:t>
            </w:r>
            <w:r>
              <w:rPr>
                <w:color w:val="000000" w:themeColor="text1"/>
              </w:rPr>
              <w:t>FR</w:t>
            </w:r>
            <w:r>
              <w:rPr>
                <w:rFonts w:cs="Calibri"/>
                <w:color w:val="000000" w:themeColor="text1"/>
              </w:rPr>
              <w:t xml:space="preserve">α predict a treatment effect modification with </w:t>
            </w:r>
            <w:r w:rsidRPr="001112DB">
              <w:rPr>
                <w:color w:val="000000" w:themeColor="text1"/>
              </w:rPr>
              <w:t>mirvetuximab soravtansine</w:t>
            </w:r>
            <w:r>
              <w:rPr>
                <w:color w:val="000000" w:themeColor="text1"/>
              </w:rPr>
              <w:t>?</w:t>
            </w:r>
          </w:p>
          <w:p w14:paraId="1A88EB68" w14:textId="69B870C0" w:rsidR="00C23B23" w:rsidRPr="00FA4235" w:rsidRDefault="00326D0E" w:rsidP="004216CF">
            <w:pPr>
              <w:spacing w:before="120" w:after="120" w:line="240" w:lineRule="auto"/>
            </w:pPr>
            <w:r>
              <w:rPr>
                <w:color w:val="000000" w:themeColor="text1"/>
              </w:rPr>
              <w:t>What are the potential costs and cost offsets associated with disease management arising from the listing of FR</w:t>
            </w:r>
            <w:r>
              <w:rPr>
                <w:rFonts w:cs="Calibri"/>
                <w:color w:val="000000" w:themeColor="text1"/>
              </w:rPr>
              <w:t>α</w:t>
            </w:r>
            <w:r>
              <w:rPr>
                <w:color w:val="000000" w:themeColor="text1"/>
              </w:rPr>
              <w:t xml:space="preserve"> testing?</w:t>
            </w:r>
          </w:p>
        </w:tc>
      </w:tr>
    </w:tbl>
    <w:p w14:paraId="5D5376EF" w14:textId="37D4EE64" w:rsidR="006478E7" w:rsidRPr="00490FBB" w:rsidRDefault="006478E7" w:rsidP="00E01349">
      <w:r w:rsidRPr="00490FBB">
        <w:br w:type="page"/>
      </w:r>
    </w:p>
    <w:p w14:paraId="53297713" w14:textId="0DA7B658" w:rsidR="00912660" w:rsidRDefault="00912660" w:rsidP="00713728">
      <w:pPr>
        <w:pStyle w:val="Heading2"/>
      </w:pPr>
      <w:r>
        <w:lastRenderedPageBreak/>
        <w:t>Purpose of application</w:t>
      </w:r>
    </w:p>
    <w:p w14:paraId="5D7BE914" w14:textId="77777777" w:rsidR="004C2C5E" w:rsidRPr="009A3778" w:rsidRDefault="004C2C5E" w:rsidP="00B3173F">
      <w:pPr>
        <w:rPr>
          <w:iCs/>
          <w:szCs w:val="24"/>
        </w:rPr>
      </w:pPr>
      <w:r w:rsidRPr="009A3778">
        <w:rPr>
          <w:iCs/>
          <w:szCs w:val="24"/>
        </w:rPr>
        <w:t>The codependent application requested:</w:t>
      </w:r>
    </w:p>
    <w:p w14:paraId="75A97C9A" w14:textId="78299996" w:rsidR="004C2C5E" w:rsidRPr="008E738C" w:rsidRDefault="004C2C5E" w:rsidP="00842ED8">
      <w:pPr>
        <w:pStyle w:val="ListParagraph"/>
        <w:numPr>
          <w:ilvl w:val="0"/>
          <w:numId w:val="2"/>
        </w:numPr>
        <w:ind w:left="284" w:hanging="284"/>
        <w:contextualSpacing w:val="0"/>
        <w:rPr>
          <w:iCs/>
          <w:szCs w:val="24"/>
        </w:rPr>
      </w:pPr>
      <w:r w:rsidRPr="008E738C">
        <w:rPr>
          <w:iCs/>
          <w:szCs w:val="24"/>
        </w:rPr>
        <w:t xml:space="preserve">Medicare Benefits Schedule (MBS) listing of </w:t>
      </w:r>
      <w:r w:rsidR="00D14C3C" w:rsidRPr="008E738C">
        <w:rPr>
          <w:iCs/>
          <w:szCs w:val="24"/>
        </w:rPr>
        <w:t xml:space="preserve">a test for </w:t>
      </w:r>
      <w:r w:rsidR="006F17E7" w:rsidRPr="008E738C">
        <w:rPr>
          <w:iCs/>
          <w:szCs w:val="24"/>
        </w:rPr>
        <w:t>folate receptor alpha (</w:t>
      </w:r>
      <w:r w:rsidR="00063769" w:rsidRPr="008E738C">
        <w:rPr>
          <w:iCs/>
        </w:rPr>
        <w:t>FRα</w:t>
      </w:r>
      <w:r w:rsidR="00D14C3C" w:rsidRPr="008E738C">
        <w:rPr>
          <w:iCs/>
        </w:rPr>
        <w:t>)</w:t>
      </w:r>
      <w:r w:rsidR="00063769" w:rsidRPr="008E738C">
        <w:rPr>
          <w:iCs/>
        </w:rPr>
        <w:t xml:space="preserve"> expression status </w:t>
      </w:r>
      <w:r w:rsidR="00D14C3C" w:rsidRPr="008E738C">
        <w:rPr>
          <w:iCs/>
        </w:rPr>
        <w:t xml:space="preserve">in patients with platinum resistant ovarian cancer </w:t>
      </w:r>
      <w:r w:rsidR="00AB7C11">
        <w:rPr>
          <w:iCs/>
        </w:rPr>
        <w:t xml:space="preserve">(PROC) </w:t>
      </w:r>
      <w:r w:rsidRPr="008E738C">
        <w:rPr>
          <w:iCs/>
          <w:szCs w:val="24"/>
        </w:rPr>
        <w:t xml:space="preserve">for the determination of patient eligibility </w:t>
      </w:r>
      <w:r w:rsidR="002F3756" w:rsidRPr="008E738C">
        <w:rPr>
          <w:iCs/>
          <w:szCs w:val="24"/>
        </w:rPr>
        <w:t xml:space="preserve">for </w:t>
      </w:r>
      <w:r w:rsidR="0042015A" w:rsidRPr="008E738C">
        <w:rPr>
          <w:iCs/>
        </w:rPr>
        <w:t>mirvetuximab soravtansine</w:t>
      </w:r>
      <w:r w:rsidR="00D14C3C" w:rsidRPr="008E738C">
        <w:rPr>
          <w:iCs/>
        </w:rPr>
        <w:t xml:space="preserve">. </w:t>
      </w:r>
    </w:p>
    <w:p w14:paraId="4936579C" w14:textId="383ECD95" w:rsidR="00DE762F" w:rsidRDefault="004C2C5E" w:rsidP="00842ED8">
      <w:pPr>
        <w:pStyle w:val="ListParagraph"/>
        <w:numPr>
          <w:ilvl w:val="0"/>
          <w:numId w:val="2"/>
        </w:numPr>
        <w:ind w:left="284" w:hanging="284"/>
      </w:pPr>
      <w:r w:rsidRPr="002F3756">
        <w:rPr>
          <w:iCs/>
          <w:szCs w:val="24"/>
        </w:rPr>
        <w:t xml:space="preserve">Pharmaceutical Benefits Scheme (PBS) Authority Required listing of </w:t>
      </w:r>
      <w:r w:rsidR="002F3756" w:rsidRPr="00DE21A9">
        <w:t xml:space="preserve">mirvetuximab soravtansine </w:t>
      </w:r>
      <w:r w:rsidR="006F17E7">
        <w:t xml:space="preserve">for patients with platinum resistant </w:t>
      </w:r>
      <w:r w:rsidR="00D14C3C">
        <w:t xml:space="preserve">epithelial ovarian, </w:t>
      </w:r>
      <w:r w:rsidR="00D14C3C" w:rsidRPr="00D14C3C">
        <w:t>fallopian tube or primary peritoneal cancer</w:t>
      </w:r>
      <w:r w:rsidR="00D14C3C" w:rsidRPr="008E738C">
        <w:t xml:space="preserve">. </w:t>
      </w:r>
    </w:p>
    <w:p w14:paraId="16DD793D" w14:textId="229690EC" w:rsidR="00EA7C0F" w:rsidRDefault="00EA7C0F" w:rsidP="00E27669">
      <w:r>
        <w:t>Clinical claim:</w:t>
      </w:r>
    </w:p>
    <w:p w14:paraId="74EEAF77" w14:textId="1556CC68" w:rsidR="00BB4070" w:rsidRPr="00330A0A" w:rsidRDefault="00BB4070" w:rsidP="00E27669">
      <w:r w:rsidRPr="006D7FD6">
        <w:t xml:space="preserve">The </w:t>
      </w:r>
      <w:r w:rsidR="00DE21A9" w:rsidRPr="006D7FD6">
        <w:t>a</w:t>
      </w:r>
      <w:r w:rsidRPr="006D7FD6">
        <w:t xml:space="preserve">pplication </w:t>
      </w:r>
      <w:r w:rsidR="003642AF" w:rsidRPr="006D7FD6">
        <w:t xml:space="preserve">claims </w:t>
      </w:r>
      <w:r w:rsidR="0031686F">
        <w:t xml:space="preserve">that </w:t>
      </w:r>
      <w:r w:rsidR="00A8223E" w:rsidRPr="006D7FD6">
        <w:t xml:space="preserve">FRα </w:t>
      </w:r>
      <w:r w:rsidR="00194EEC" w:rsidRPr="006D7FD6">
        <w:t>expression status</w:t>
      </w:r>
      <w:r w:rsidR="00A120EE" w:rsidRPr="006D7FD6">
        <w:t xml:space="preserve"> test</w:t>
      </w:r>
      <w:r w:rsidR="0031686F">
        <w:t>ing</w:t>
      </w:r>
      <w:r w:rsidR="00F44ED0" w:rsidRPr="006D7FD6">
        <w:t xml:space="preserve"> </w:t>
      </w:r>
      <w:r w:rsidR="0091013B">
        <w:t>and</w:t>
      </w:r>
      <w:r w:rsidR="00DE21A9" w:rsidRPr="006D7FD6">
        <w:t xml:space="preserve"> mirvetuximab soravtansine</w:t>
      </w:r>
      <w:r w:rsidR="0031686F">
        <w:t xml:space="preserve"> results in superior health outcomes compared to</w:t>
      </w:r>
      <w:r w:rsidR="00B70D83" w:rsidRPr="006D7FD6">
        <w:t xml:space="preserve"> </w:t>
      </w:r>
      <w:r w:rsidR="00F42394" w:rsidRPr="006D7FD6">
        <w:t>n</w:t>
      </w:r>
      <w:r w:rsidR="003642AF" w:rsidRPr="006D7FD6">
        <w:t xml:space="preserve">o testing </w:t>
      </w:r>
      <w:r w:rsidR="0091013B">
        <w:t>and</w:t>
      </w:r>
      <w:r w:rsidR="003642AF" w:rsidRPr="006D7FD6">
        <w:t xml:space="preserve"> standard of care therapy (</w:t>
      </w:r>
      <w:r w:rsidR="00F42394" w:rsidRPr="006D7FD6">
        <w:t xml:space="preserve">non-platinum </w:t>
      </w:r>
      <w:r w:rsidR="003642AF" w:rsidRPr="006D7FD6">
        <w:t xml:space="preserve">chemotherapy). </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553F1B2B" w14:textId="7844D8F5" w:rsidR="00436620" w:rsidRDefault="007D6B83" w:rsidP="00436620">
      <w:pPr>
        <w:pStyle w:val="Heading3"/>
      </w:pPr>
      <w:r w:rsidRPr="00713728">
        <w:t>Population</w:t>
      </w:r>
    </w:p>
    <w:p w14:paraId="51D5CD1A" w14:textId="33B67A1A" w:rsidR="003923CC" w:rsidRDefault="003923CC" w:rsidP="00FA4235">
      <w:pPr>
        <w:pStyle w:val="Heading4"/>
        <w:spacing w:after="120"/>
      </w:pPr>
      <w:r>
        <w:t>Test population</w:t>
      </w:r>
    </w:p>
    <w:p w14:paraId="0B9A710B" w14:textId="4C41A304" w:rsidR="000E17C6" w:rsidRDefault="003923CC" w:rsidP="003923CC">
      <w:pPr>
        <w:rPr>
          <w:iCs/>
        </w:rPr>
      </w:pPr>
      <w:r>
        <w:t xml:space="preserve">The population for testing </w:t>
      </w:r>
      <w:r w:rsidRPr="008E738C">
        <w:rPr>
          <w:iCs/>
        </w:rPr>
        <w:t>FRα</w:t>
      </w:r>
      <w:r>
        <w:rPr>
          <w:iCs/>
        </w:rPr>
        <w:t xml:space="preserve"> expression in the item descriptor proposed in the PICO Set Document </w:t>
      </w:r>
      <w:r w:rsidR="000E17C6">
        <w:rPr>
          <w:iCs/>
        </w:rPr>
        <w:t>(pp</w:t>
      </w:r>
      <w:r w:rsidR="001F44B2">
        <w:rPr>
          <w:iCs/>
        </w:rPr>
        <w:t>.</w:t>
      </w:r>
      <w:r w:rsidR="000E17C6">
        <w:rPr>
          <w:iCs/>
        </w:rPr>
        <w:t xml:space="preserve">7-8) </w:t>
      </w:r>
      <w:r w:rsidR="000E2F36">
        <w:rPr>
          <w:iCs/>
        </w:rPr>
        <w:t>is</w:t>
      </w:r>
      <w:r>
        <w:rPr>
          <w:iCs/>
        </w:rPr>
        <w:t xml:space="preserve"> patients with </w:t>
      </w:r>
      <w:r w:rsidR="00AB7C11">
        <w:rPr>
          <w:iCs/>
        </w:rPr>
        <w:t>PROC</w:t>
      </w:r>
      <w:r>
        <w:rPr>
          <w:iCs/>
        </w:rPr>
        <w:t xml:space="preserve">. </w:t>
      </w:r>
    </w:p>
    <w:p w14:paraId="36A737E9" w14:textId="18170D0B" w:rsidR="00F02EDE" w:rsidRPr="000E2F36" w:rsidRDefault="00217BE0" w:rsidP="003923CC">
      <w:pPr>
        <w:rPr>
          <w:iCs/>
        </w:rPr>
      </w:pPr>
      <w:r>
        <w:rPr>
          <w:iCs/>
        </w:rPr>
        <w:t>Two</w:t>
      </w:r>
      <w:r w:rsidR="000E2F36">
        <w:rPr>
          <w:iCs/>
        </w:rPr>
        <w:t xml:space="preserve"> key </w:t>
      </w:r>
      <w:r w:rsidR="00D77913">
        <w:rPr>
          <w:iCs/>
        </w:rPr>
        <w:t>P</w:t>
      </w:r>
      <w:r w:rsidR="000E17C6">
        <w:rPr>
          <w:iCs/>
        </w:rPr>
        <w:t xml:space="preserve">hase </w:t>
      </w:r>
      <w:r w:rsidR="00D77913">
        <w:rPr>
          <w:iCs/>
        </w:rPr>
        <w:t xml:space="preserve">3 </w:t>
      </w:r>
      <w:r w:rsidR="000E2F36">
        <w:rPr>
          <w:iCs/>
        </w:rPr>
        <w:t>trial</w:t>
      </w:r>
      <w:r>
        <w:rPr>
          <w:iCs/>
        </w:rPr>
        <w:t>s</w:t>
      </w:r>
      <w:r w:rsidR="000E2F36">
        <w:rPr>
          <w:iCs/>
        </w:rPr>
        <w:t xml:space="preserve"> (MIRASOL</w:t>
      </w:r>
      <w:r>
        <w:rPr>
          <w:iCs/>
        </w:rPr>
        <w:t>, FORWARD I</w:t>
      </w:r>
      <w:r w:rsidR="000E2F36">
        <w:rPr>
          <w:iCs/>
        </w:rPr>
        <w:t xml:space="preserve">) and </w:t>
      </w:r>
      <w:r>
        <w:rPr>
          <w:iCs/>
        </w:rPr>
        <w:t>one</w:t>
      </w:r>
      <w:r w:rsidR="000E2F36">
        <w:rPr>
          <w:iCs/>
        </w:rPr>
        <w:t xml:space="preserve"> key </w:t>
      </w:r>
      <w:r w:rsidR="00D77913">
        <w:rPr>
          <w:iCs/>
        </w:rPr>
        <w:t>P</w:t>
      </w:r>
      <w:r w:rsidR="000E17C6">
        <w:rPr>
          <w:iCs/>
        </w:rPr>
        <w:t xml:space="preserve">hase </w:t>
      </w:r>
      <w:r w:rsidR="00D77913">
        <w:rPr>
          <w:iCs/>
        </w:rPr>
        <w:t xml:space="preserve">2 </w:t>
      </w:r>
      <w:r w:rsidR="000E2F36">
        <w:rPr>
          <w:iCs/>
        </w:rPr>
        <w:t>stud</w:t>
      </w:r>
      <w:r>
        <w:rPr>
          <w:iCs/>
        </w:rPr>
        <w:t>y</w:t>
      </w:r>
      <w:r w:rsidR="000E2F36">
        <w:rPr>
          <w:iCs/>
        </w:rPr>
        <w:t xml:space="preserve"> (SORAYA) were identified. P</w:t>
      </w:r>
      <w:r w:rsidR="004416BE">
        <w:rPr>
          <w:iCs/>
        </w:rPr>
        <w:t>atients with ovarian cancer (including fallopian and primary peritoneal cancer)</w:t>
      </w:r>
      <w:r w:rsidR="000E2F36">
        <w:rPr>
          <w:iCs/>
        </w:rPr>
        <w:t xml:space="preserve"> were enrolled in </w:t>
      </w:r>
      <w:r w:rsidR="000E17C6">
        <w:rPr>
          <w:iCs/>
        </w:rPr>
        <w:t xml:space="preserve">all studies with most patients enrolled in MIRASOL and SORAYA additionally having </w:t>
      </w:r>
      <w:r w:rsidR="00900ABE">
        <w:rPr>
          <w:iCs/>
        </w:rPr>
        <w:t xml:space="preserve">high grade serous epithelial and </w:t>
      </w:r>
      <w:r w:rsidR="000E17C6" w:rsidRPr="0006300D">
        <w:rPr>
          <w:iCs/>
        </w:rPr>
        <w:t>advanced disease (at least Stage III)</w:t>
      </w:r>
      <w:r w:rsidR="000E2F36">
        <w:rPr>
          <w:iCs/>
        </w:rPr>
        <w:t xml:space="preserve">. </w:t>
      </w:r>
      <w:r w:rsidR="000E17C6">
        <w:rPr>
          <w:iCs/>
        </w:rPr>
        <w:t>All</w:t>
      </w:r>
      <w:r w:rsidR="000E2F36" w:rsidRPr="00FA4235">
        <w:rPr>
          <w:iCs/>
        </w:rPr>
        <w:t xml:space="preserve"> patients</w:t>
      </w:r>
      <w:r w:rsidR="007A1A80">
        <w:rPr>
          <w:iCs/>
        </w:rPr>
        <w:t xml:space="preserve"> in the three studies </w:t>
      </w:r>
      <w:r w:rsidR="000E2F36" w:rsidRPr="00FA4235">
        <w:rPr>
          <w:iCs/>
        </w:rPr>
        <w:t xml:space="preserve">had </w:t>
      </w:r>
      <w:r w:rsidR="000E2F36">
        <w:rPr>
          <w:iCs/>
        </w:rPr>
        <w:t>no more than three lines of prior therapy</w:t>
      </w:r>
      <w:r w:rsidR="00783580">
        <w:rPr>
          <w:iCs/>
        </w:rPr>
        <w:t xml:space="preserve">, likely based on the results of </w:t>
      </w:r>
      <w:r w:rsidR="00783580" w:rsidRPr="00783580">
        <w:rPr>
          <w:iCs/>
        </w:rPr>
        <w:t>an</w:t>
      </w:r>
      <w:r w:rsidR="004C0DBA" w:rsidRPr="00783580">
        <w:t xml:space="preserve"> early mirvetuximab soravtansine </w:t>
      </w:r>
      <w:r w:rsidR="00D77913">
        <w:t>P</w:t>
      </w:r>
      <w:r w:rsidR="00783580" w:rsidRPr="00FA4235">
        <w:t xml:space="preserve">hase </w:t>
      </w:r>
      <w:r w:rsidR="00D77913">
        <w:t>1</w:t>
      </w:r>
      <w:r w:rsidR="00D77913" w:rsidRPr="00FA4235">
        <w:t xml:space="preserve"> </w:t>
      </w:r>
      <w:r w:rsidR="00783580" w:rsidRPr="00FA4235">
        <w:t xml:space="preserve">expansion </w:t>
      </w:r>
      <w:r w:rsidR="004C0DBA" w:rsidRPr="00783580">
        <w:t>stud</w:t>
      </w:r>
      <w:r w:rsidR="00783580" w:rsidRPr="00FA4235">
        <w:t>y (</w:t>
      </w:r>
      <w:r w:rsidR="00783580" w:rsidRPr="00783580">
        <w:t>IMGN853 (N=46)</w:t>
      </w:r>
      <w:r w:rsidR="001F44B2">
        <w:t>)</w:t>
      </w:r>
      <w:r w:rsidR="00783580" w:rsidRPr="00783580">
        <w:t xml:space="preserve"> that</w:t>
      </w:r>
      <w:r w:rsidR="004C0DBA" w:rsidRPr="00783580">
        <w:t xml:space="preserve"> </w:t>
      </w:r>
      <w:r w:rsidR="00783580" w:rsidRPr="00FA4235">
        <w:t>assessed</w:t>
      </w:r>
      <w:r w:rsidR="004C0DBA" w:rsidRPr="00783580">
        <w:t xml:space="preserve"> the number of previous lines of treatment </w:t>
      </w:r>
      <w:r w:rsidR="00783580" w:rsidRPr="00FA4235">
        <w:t>on mirvetuximab soravtansine efficacy (Moore, 2017)</w:t>
      </w:r>
      <w:r w:rsidR="004C0DBA" w:rsidRPr="00783580">
        <w:t xml:space="preserve">. The subset of individuals enrolled </w:t>
      </w:r>
      <w:r w:rsidR="001F7E6E">
        <w:t xml:space="preserve">in IMGN853 </w:t>
      </w:r>
      <w:r w:rsidR="004C0DBA" w:rsidRPr="00783580">
        <w:t xml:space="preserve">with one to three prior lines of therapy (n=23) demonstrated an objective response rate (ORR) of 39% and median progression free survival (PFS) of 6.7 months (compared with 13% and 3.9 months for patients with four or more prior lines, n=23) (Moore, 2017). These efficacy measures for mirvetuximab soravtansine monotherapy were comparable to those observed in the </w:t>
      </w:r>
      <w:r w:rsidR="004C0DBA" w:rsidRPr="00783580">
        <w:rPr>
          <w:rFonts w:asciiTheme="minorHAnsi" w:hAnsiTheme="minorHAnsi" w:cstheme="minorHAnsi"/>
        </w:rPr>
        <w:t xml:space="preserve">Avastin Use in Platinum Resistant Epithelial Ovarian Cancer (AURELIA; </w:t>
      </w:r>
      <w:r w:rsidR="004C0DBA" w:rsidRPr="00783580">
        <w:t xml:space="preserve">bevacizumab) trial (ORR: 31% and median PFS = 6.7 months) that led to the U.S. Food and Drug Administration (FDA) approval of bevacizumab for use alongside chemotherapy in patients with platinum resistant </w:t>
      </w:r>
      <w:r w:rsidR="001F44B2">
        <w:t>epithelial ovarian cancer (</w:t>
      </w:r>
      <w:r w:rsidR="004C0DBA" w:rsidRPr="00783580">
        <w:t>EOC</w:t>
      </w:r>
      <w:r w:rsidR="001F44B2">
        <w:t>)</w:t>
      </w:r>
      <w:r w:rsidR="004C0DBA" w:rsidRPr="00783580">
        <w:t xml:space="preserve"> who have received no more than two prior therapeutic regimens (Moore, 2018). </w:t>
      </w:r>
    </w:p>
    <w:p w14:paraId="4ED822AF" w14:textId="15768E39" w:rsidR="00900ABE" w:rsidRDefault="00900ABE" w:rsidP="00900ABE">
      <w:pPr>
        <w:rPr>
          <w:iCs/>
        </w:rPr>
      </w:pPr>
      <w:r>
        <w:rPr>
          <w:iCs/>
        </w:rPr>
        <w:t>The PICO Set Document (p</w:t>
      </w:r>
      <w:r w:rsidR="001F44B2">
        <w:rPr>
          <w:iCs/>
        </w:rPr>
        <w:t>.</w:t>
      </w:r>
      <w:r>
        <w:rPr>
          <w:iCs/>
        </w:rPr>
        <w:t>11) proposes</w:t>
      </w:r>
      <w:r w:rsidRPr="00900ABE">
        <w:rPr>
          <w:iCs/>
        </w:rPr>
        <w:t xml:space="preserve"> that FRα status testing is undertaken in patients with resistance to platinum chemotherapy</w:t>
      </w:r>
      <w:r>
        <w:rPr>
          <w:iCs/>
        </w:rPr>
        <w:t>.</w:t>
      </w:r>
    </w:p>
    <w:p w14:paraId="5D2CEE12" w14:textId="47CE496F" w:rsidR="00753769" w:rsidRPr="0006300D" w:rsidRDefault="00C21CEC" w:rsidP="00753769">
      <w:r w:rsidRPr="0006300D">
        <w:lastRenderedPageBreak/>
        <w:t xml:space="preserve">Presently there are no PBS/MBS items with a precise definition for platinum resistance. </w:t>
      </w:r>
      <w:r w:rsidR="00753769">
        <w:t>A</w:t>
      </w:r>
      <w:r w:rsidR="00753769" w:rsidRPr="0006300D">
        <w:t xml:space="preserve"> simplistic definition of</w:t>
      </w:r>
      <w:r w:rsidR="00753769">
        <w:t xml:space="preserve"> platinum resistance may be obtained from how</w:t>
      </w:r>
      <w:r w:rsidR="00753769" w:rsidRPr="0006300D">
        <w:t xml:space="preserve"> recurrent ovarian cancer </w:t>
      </w:r>
      <w:r w:rsidR="00753769">
        <w:t>can be categorised</w:t>
      </w:r>
      <w:r w:rsidR="00753769" w:rsidRPr="0006300D">
        <w:t xml:space="preserve"> (Lokadasan, 2016): </w:t>
      </w:r>
    </w:p>
    <w:p w14:paraId="1FB60ED2" w14:textId="77777777" w:rsidR="00753769" w:rsidRPr="0006300D" w:rsidRDefault="00753769" w:rsidP="00842ED8">
      <w:pPr>
        <w:pStyle w:val="ListParagraph"/>
        <w:numPr>
          <w:ilvl w:val="0"/>
          <w:numId w:val="5"/>
        </w:numPr>
        <w:ind w:left="426" w:hanging="426"/>
      </w:pPr>
      <w:r w:rsidRPr="0006300D">
        <w:t xml:space="preserve">platinum sensitive that includes those that recur after six months of completion of treatment; and </w:t>
      </w:r>
    </w:p>
    <w:p w14:paraId="26633F72" w14:textId="77777777" w:rsidR="00753769" w:rsidRPr="0006300D" w:rsidRDefault="00753769" w:rsidP="00842ED8">
      <w:pPr>
        <w:pStyle w:val="ListParagraph"/>
        <w:numPr>
          <w:ilvl w:val="0"/>
          <w:numId w:val="5"/>
        </w:numPr>
        <w:ind w:left="426" w:hanging="426"/>
      </w:pPr>
      <w:r w:rsidRPr="0006300D">
        <w:t xml:space="preserve">platinum refractory and resistant that includes those that progress during or recur within six months of treatment. </w:t>
      </w:r>
    </w:p>
    <w:p w14:paraId="105EBCA6" w14:textId="1B95FA7A" w:rsidR="00C21CEC" w:rsidRDefault="00C21CEC" w:rsidP="00900ABE">
      <w:r>
        <w:t>Platinum resistance was defined based on the number of prior lines of platinum therapy in the MIRASOL trial and SORAYA study:</w:t>
      </w:r>
    </w:p>
    <w:p w14:paraId="115E7DD3" w14:textId="77777777" w:rsidR="00C21CEC" w:rsidRPr="0006300D" w:rsidRDefault="00C21CEC" w:rsidP="00842ED8">
      <w:pPr>
        <w:pStyle w:val="ListParagraph"/>
        <w:numPr>
          <w:ilvl w:val="0"/>
          <w:numId w:val="4"/>
        </w:numPr>
        <w:ind w:left="284" w:hanging="284"/>
      </w:pPr>
      <w:r w:rsidRPr="0006300D">
        <w:t xml:space="preserve">One line of platinum therapy: </w:t>
      </w:r>
    </w:p>
    <w:p w14:paraId="710DBB0D" w14:textId="31FC6E46" w:rsidR="00C21CEC" w:rsidRPr="0006300D" w:rsidRDefault="00C21CEC" w:rsidP="00C21CEC">
      <w:pPr>
        <w:pStyle w:val="ListParagraph"/>
        <w:ind w:left="284"/>
      </w:pPr>
      <w:r w:rsidRPr="0006300D">
        <w:t xml:space="preserve">Must have received at least four cycles of initial platinum containing regimen, had a response (complete or partial), and then had disease progression between </w:t>
      </w:r>
      <w:r>
        <w:t>three</w:t>
      </w:r>
      <w:r w:rsidRPr="0006300D">
        <w:t xml:space="preserve"> and </w:t>
      </w:r>
      <w:r>
        <w:t xml:space="preserve">six </w:t>
      </w:r>
      <w:r w:rsidRPr="0006300D">
        <w:t>months after the</w:t>
      </w:r>
      <w:r>
        <w:t xml:space="preserve"> </w:t>
      </w:r>
      <w:r w:rsidRPr="0006300D">
        <w:t>last dose.</w:t>
      </w:r>
    </w:p>
    <w:p w14:paraId="36CDD2CA" w14:textId="77777777" w:rsidR="00C21CEC" w:rsidRPr="0006300D" w:rsidRDefault="00C21CEC" w:rsidP="00842ED8">
      <w:pPr>
        <w:pStyle w:val="ListParagraph"/>
        <w:numPr>
          <w:ilvl w:val="0"/>
          <w:numId w:val="4"/>
        </w:numPr>
        <w:ind w:left="284" w:hanging="284"/>
      </w:pPr>
      <w:r w:rsidRPr="0006300D">
        <w:t>Two to three lines of platinum therapy:</w:t>
      </w:r>
    </w:p>
    <w:p w14:paraId="111C6CF9" w14:textId="06138A3C" w:rsidR="00C21CEC" w:rsidRPr="0006300D" w:rsidRDefault="00C21CEC" w:rsidP="00C21CEC">
      <w:pPr>
        <w:pStyle w:val="ListParagraph"/>
        <w:ind w:left="284"/>
      </w:pPr>
      <w:r w:rsidRPr="0006300D">
        <w:t xml:space="preserve">Must have had disease progression while receiving therapy or within </w:t>
      </w:r>
      <w:r w:rsidR="008C13BF">
        <w:t>six</w:t>
      </w:r>
      <w:r w:rsidRPr="0006300D">
        <w:t xml:space="preserve"> months after the last dose.</w:t>
      </w:r>
    </w:p>
    <w:p w14:paraId="240AAFBC" w14:textId="0D0D5D7B" w:rsidR="00C21CEC" w:rsidRDefault="00C21CEC" w:rsidP="00900ABE">
      <w:r>
        <w:t xml:space="preserve">Platinum resistance in the FORWARD I </w:t>
      </w:r>
      <w:r w:rsidR="00217BE0">
        <w:t>trial</w:t>
      </w:r>
      <w:r>
        <w:t xml:space="preserve"> was defined as progression </w:t>
      </w:r>
      <w:r w:rsidRPr="00C21CEC">
        <w:t xml:space="preserve">within </w:t>
      </w:r>
      <w:r>
        <w:t>six</w:t>
      </w:r>
      <w:r w:rsidRPr="00C21CEC">
        <w:t xml:space="preserve"> months of completion of a minimum </w:t>
      </w:r>
      <w:r>
        <w:t>four</w:t>
      </w:r>
      <w:r w:rsidRPr="00C21CEC">
        <w:t xml:space="preserve"> cycles platinum-containing therapy.</w:t>
      </w:r>
    </w:p>
    <w:p w14:paraId="10416A4D" w14:textId="31CDF6FB" w:rsidR="005A0DE3" w:rsidRDefault="00C21CEC" w:rsidP="00900ABE">
      <w:r w:rsidRPr="0006300D">
        <w:t>The definition of platinum</w:t>
      </w:r>
      <w:r w:rsidR="00AC071C">
        <w:t xml:space="preserve"> </w:t>
      </w:r>
      <w:r w:rsidRPr="0006300D">
        <w:t xml:space="preserve">resistant disease </w:t>
      </w:r>
      <w:r w:rsidR="00753769">
        <w:t xml:space="preserve">also </w:t>
      </w:r>
      <w:r>
        <w:t xml:space="preserve">varies </w:t>
      </w:r>
      <w:r w:rsidRPr="0006300D">
        <w:t>in the literature and continue</w:t>
      </w:r>
      <w:r w:rsidR="00C1307B">
        <w:t>s</w:t>
      </w:r>
      <w:r w:rsidRPr="0006300D">
        <w:t xml:space="preserve"> to evolve.</w:t>
      </w:r>
      <w:r w:rsidR="00C1307B">
        <w:t xml:space="preserve"> </w:t>
      </w:r>
      <w:r w:rsidR="00066D0F">
        <w:t>At the fifth Ovarian Cancer Consensus Conference (OCCC), it was noted that</w:t>
      </w:r>
      <w:r w:rsidR="000F72B0" w:rsidRPr="0006300D">
        <w:t xml:space="preserve"> </w:t>
      </w:r>
      <w:r w:rsidR="00066D0F">
        <w:t xml:space="preserve">platinum-free interval </w:t>
      </w:r>
      <w:r w:rsidR="008D4CB2">
        <w:t xml:space="preserve">(PFI; defined as </w:t>
      </w:r>
      <w:r w:rsidR="008D4CB2" w:rsidRPr="008D4CB2">
        <w:t>the interval between the date of the last platinum dose and the date of relapse</w:t>
      </w:r>
      <w:r w:rsidR="008D4CB2">
        <w:t xml:space="preserve">) </w:t>
      </w:r>
      <w:r w:rsidR="00066D0F">
        <w:t xml:space="preserve">has been the most widely accepted and used clinical surrogate for predicting response to treatment and prognosis and has been used to select and stratify patients in trials </w:t>
      </w:r>
      <w:r w:rsidR="000F72B0">
        <w:t>(Wilson, 2017)</w:t>
      </w:r>
      <w:r w:rsidR="00066D0F">
        <w:t xml:space="preserve">. However, there was </w:t>
      </w:r>
      <w:r w:rsidR="00753769">
        <w:t xml:space="preserve">also </w:t>
      </w:r>
      <w:r w:rsidR="00066D0F">
        <w:t>recognition that diagnosis of relapse was influenced by the type and frequency of monitoring in trials (e</w:t>
      </w:r>
      <w:r w:rsidR="00AC071C">
        <w:t>.</w:t>
      </w:r>
      <w:r w:rsidR="00066D0F">
        <w:t>g</w:t>
      </w:r>
      <w:r w:rsidR="00AC071C">
        <w:t>.</w:t>
      </w:r>
      <w:r w:rsidR="003A186C">
        <w:t>,</w:t>
      </w:r>
      <w:r w:rsidR="00066D0F">
        <w:t xml:space="preserve"> </w:t>
      </w:r>
      <w:r w:rsidR="00AB7C11">
        <w:t>cancer antigen</w:t>
      </w:r>
      <w:r w:rsidR="00066D0F">
        <w:t xml:space="preserve">-125, </w:t>
      </w:r>
      <w:r w:rsidR="00AB7C11">
        <w:t>computed tomography</w:t>
      </w:r>
      <w:r w:rsidR="00066D0F">
        <w:t xml:space="preserve">- or </w:t>
      </w:r>
      <w:r w:rsidR="00AB7C11">
        <w:t>positron emission tomography</w:t>
      </w:r>
      <w:r w:rsidR="00066D0F">
        <w:t>-scan and/or clinical) that impacts on patients being categorised as ‘platinum</w:t>
      </w:r>
      <w:r w:rsidR="00AC071C">
        <w:t xml:space="preserve"> </w:t>
      </w:r>
      <w:r w:rsidR="00066D0F">
        <w:t>sensitive’ or ‘platinum</w:t>
      </w:r>
      <w:r w:rsidR="00AC071C">
        <w:t xml:space="preserve"> </w:t>
      </w:r>
      <w:r w:rsidR="00066D0F">
        <w:t>resistant’</w:t>
      </w:r>
      <w:r w:rsidR="005A0DE3">
        <w:t xml:space="preserve"> (Wilson, 2017).</w:t>
      </w:r>
    </w:p>
    <w:p w14:paraId="54863192" w14:textId="0A3464EA" w:rsidR="005A0DE3" w:rsidRDefault="005A0DE3" w:rsidP="00900ABE">
      <w:r>
        <w:t xml:space="preserve">Wilson (2017) noted there was agreement </w:t>
      </w:r>
      <w:r w:rsidR="00753769">
        <w:t xml:space="preserve">among participants </w:t>
      </w:r>
      <w:r w:rsidR="001F44B2">
        <w:t xml:space="preserve">of the OCCC </w:t>
      </w:r>
      <w:r>
        <w:t xml:space="preserve">that response to platinum is a continuum and consensus was reached that categorisation of patients into trials be based on four subsets of PFI duration of </w:t>
      </w:r>
      <w:r w:rsidR="001F7E6E">
        <w:t xml:space="preserve">(i) </w:t>
      </w:r>
      <w:r w:rsidR="00772316">
        <w:t>less than one</w:t>
      </w:r>
      <w:r>
        <w:t xml:space="preserve"> month, </w:t>
      </w:r>
      <w:r w:rsidR="001F7E6E">
        <w:t xml:space="preserve">(ii) </w:t>
      </w:r>
      <w:r w:rsidR="00772316">
        <w:t>one to six</w:t>
      </w:r>
      <w:r>
        <w:t xml:space="preserve"> months, </w:t>
      </w:r>
      <w:r w:rsidR="001F7E6E">
        <w:t xml:space="preserve">(iii) </w:t>
      </w:r>
      <w:r w:rsidR="00772316">
        <w:t xml:space="preserve">six to </w:t>
      </w:r>
      <w:r>
        <w:t xml:space="preserve">12 months and </w:t>
      </w:r>
      <w:r w:rsidR="001F7E6E">
        <w:t xml:space="preserve">(iv) </w:t>
      </w:r>
      <w:r w:rsidR="00772316">
        <w:t xml:space="preserve">greater than </w:t>
      </w:r>
      <w:r>
        <w:t xml:space="preserve">12 months rather than </w:t>
      </w:r>
      <w:r w:rsidR="00772316">
        <w:t>the corresponding categories of</w:t>
      </w:r>
      <w:r>
        <w:t xml:space="preserve"> platinum-refractory, platinum</w:t>
      </w:r>
      <w:r w:rsidR="00AC071C">
        <w:t xml:space="preserve"> </w:t>
      </w:r>
      <w:r>
        <w:t>resistant, partially platinum</w:t>
      </w:r>
      <w:r w:rsidR="00AC071C">
        <w:t xml:space="preserve"> </w:t>
      </w:r>
      <w:r>
        <w:t>sensitive and fully platinum</w:t>
      </w:r>
      <w:r w:rsidR="00AC071C">
        <w:t xml:space="preserve"> </w:t>
      </w:r>
      <w:r>
        <w:t>sensitive</w:t>
      </w:r>
      <w:r w:rsidR="00772316">
        <w:t xml:space="preserve"> to avoid a judgement on whether a patient would respond to platinum therapy or not</w:t>
      </w:r>
      <w:r>
        <w:t xml:space="preserve">. </w:t>
      </w:r>
      <w:r w:rsidR="00772316">
        <w:t>It was also agreed that where trials use PFI, that the method of diagnosing recurrence be specified (Wilson, 2017). It was also at this meeting, in recognition of increasing use of non-platinum and biological agents</w:t>
      </w:r>
      <w:r w:rsidR="007A0A75">
        <w:t>,</w:t>
      </w:r>
      <w:r w:rsidR="00772316">
        <w:t xml:space="preserve"> that a broader term of treatment-free interval (TFI) be adopted where TFI is the TFI from last platinum dose. </w:t>
      </w:r>
    </w:p>
    <w:p w14:paraId="06E0D368" w14:textId="3E768F8C" w:rsidR="007A0A75" w:rsidRDefault="000F72B0" w:rsidP="007A0A75">
      <w:r>
        <w:t xml:space="preserve">Discussions at the </w:t>
      </w:r>
      <w:r w:rsidR="001F7E6E">
        <w:t>s</w:t>
      </w:r>
      <w:r w:rsidRPr="0006300D">
        <w:t>ixth OCCC</w:t>
      </w:r>
      <w:r w:rsidR="007A0A75">
        <w:t xml:space="preserve"> (V</w:t>
      </w:r>
      <w:r w:rsidR="00A05571" w:rsidRPr="0006300D">
        <w:t>ergote, 2022</w:t>
      </w:r>
      <w:r w:rsidRPr="0006300D">
        <w:t>)</w:t>
      </w:r>
      <w:r>
        <w:t xml:space="preserve"> suggested that </w:t>
      </w:r>
      <w:r w:rsidRPr="0006300D">
        <w:t xml:space="preserve">it was reasonable that </w:t>
      </w:r>
      <w:r>
        <w:t xml:space="preserve">the next line of therapy for </w:t>
      </w:r>
      <w:r w:rsidRPr="0006300D">
        <w:t>patients with relapse within 12 weeks might be without platinum</w:t>
      </w:r>
      <w:r w:rsidR="007A0A75">
        <w:t xml:space="preserve">, suggesting that those with progression between three and six months may still be treated and possibly respond to platinum therapy. </w:t>
      </w:r>
      <w:r w:rsidR="007A0A75" w:rsidRPr="00FA4235">
        <w:t xml:space="preserve">There is at least one ongoing mirvetuximab soravtansine trial (MIROVA) </w:t>
      </w:r>
      <w:r w:rsidR="00D50BAC">
        <w:t>comparing</w:t>
      </w:r>
      <w:r w:rsidR="007A0A75" w:rsidRPr="00FA4235">
        <w:t xml:space="preserve"> </w:t>
      </w:r>
      <w:r w:rsidR="00D50BAC" w:rsidRPr="0006300D">
        <w:t xml:space="preserve">mirvetuximab </w:t>
      </w:r>
      <w:r w:rsidR="00D50BAC" w:rsidRPr="0006300D">
        <w:lastRenderedPageBreak/>
        <w:t xml:space="preserve">soravtansine </w:t>
      </w:r>
      <w:r w:rsidR="00D50BAC">
        <w:t xml:space="preserve">plus carboplatin versus </w:t>
      </w:r>
      <w:r w:rsidR="007A0A75" w:rsidRPr="00FA4235">
        <w:t>platinum</w:t>
      </w:r>
      <w:r w:rsidR="00753769">
        <w:t>-</w:t>
      </w:r>
      <w:r w:rsidR="007A0A75" w:rsidRPr="00FA4235">
        <w:t xml:space="preserve">based chemotherapy that </w:t>
      </w:r>
      <w:r w:rsidR="00D50BAC">
        <w:t xml:space="preserve">has </w:t>
      </w:r>
      <w:r w:rsidR="007A0A75" w:rsidRPr="00FA4235">
        <w:t xml:space="preserve">adopted </w:t>
      </w:r>
      <w:r w:rsidR="00D50BAC" w:rsidRPr="0006300D">
        <w:t>th</w:t>
      </w:r>
      <w:r w:rsidR="00D50BAC">
        <w:t xml:space="preserve">is </w:t>
      </w:r>
      <w:r w:rsidR="00D50BAC" w:rsidRPr="0006300D">
        <w:t>12</w:t>
      </w:r>
      <w:r w:rsidR="00D50BAC">
        <w:t>-</w:t>
      </w:r>
      <w:r w:rsidR="00D50BAC" w:rsidRPr="0006300D">
        <w:t xml:space="preserve">week </w:t>
      </w:r>
      <w:r w:rsidR="007A0A75" w:rsidRPr="00FA4235">
        <w:t>platinum</w:t>
      </w:r>
      <w:r w:rsidR="00AC071C">
        <w:t xml:space="preserve"> </w:t>
      </w:r>
      <w:r w:rsidR="007A0A75" w:rsidRPr="00FA4235">
        <w:t>sensitive definition (Vergote, 2022).</w:t>
      </w:r>
    </w:p>
    <w:p w14:paraId="72A846D3" w14:textId="061AA8D6" w:rsidR="001F7E6E" w:rsidRDefault="001F7E6E" w:rsidP="007A0A75">
      <w:r w:rsidRPr="0006300D">
        <w:t xml:space="preserve">During the </w:t>
      </w:r>
      <w:r>
        <w:t>p</w:t>
      </w:r>
      <w:r w:rsidRPr="0006300D">
        <w:t xml:space="preserve">re-PASC teleconference, the applicant’s </w:t>
      </w:r>
      <w:r>
        <w:t xml:space="preserve">clinical </w:t>
      </w:r>
      <w:r w:rsidRPr="0006300D">
        <w:t xml:space="preserve">experts suggested that testing at primary diagnosis would be a preferred alternative; the applicant advised that they would support FRα testing being accessible for patients upon primary ovarian cancer diagnosis. The applicant’s </w:t>
      </w:r>
      <w:r>
        <w:t xml:space="preserve">clinical </w:t>
      </w:r>
      <w:r w:rsidRPr="0006300D">
        <w:t xml:space="preserve">experts suggested </w:t>
      </w:r>
      <w:r w:rsidR="002D4CA5">
        <w:t>that if testing is conducted at primary diagnosis</w:t>
      </w:r>
      <w:r w:rsidR="002E0DEE">
        <w:t>,</w:t>
      </w:r>
      <w:r w:rsidR="002D4CA5">
        <w:t xml:space="preserve"> </w:t>
      </w:r>
      <w:r w:rsidR="008C13BF">
        <w:t xml:space="preserve">testing </w:t>
      </w:r>
      <w:r w:rsidR="002D4CA5">
        <w:t xml:space="preserve">should be conducted in </w:t>
      </w:r>
      <w:r w:rsidR="008C13BF">
        <w:t xml:space="preserve">patients with </w:t>
      </w:r>
      <w:r w:rsidR="008C13BF" w:rsidRPr="008C13BF">
        <w:t xml:space="preserve">high-grade serous epithelial ovarian, fallopian tube or primary peritoneal, high-grade </w:t>
      </w:r>
      <w:r w:rsidR="006B192B" w:rsidRPr="008C13BF">
        <w:t>endometri</w:t>
      </w:r>
      <w:r w:rsidR="006B192B">
        <w:t>oid</w:t>
      </w:r>
      <w:r w:rsidR="008C13BF" w:rsidRPr="008C13BF">
        <w:t xml:space="preserve">, or undifferentiated epithelial </w:t>
      </w:r>
      <w:r w:rsidR="009D3DAB">
        <w:t xml:space="preserve">ovarian </w:t>
      </w:r>
      <w:r w:rsidR="008C13BF" w:rsidRPr="008C13BF">
        <w:t>cancer</w:t>
      </w:r>
      <w:r w:rsidR="008C13BF">
        <w:t xml:space="preserve"> </w:t>
      </w:r>
      <w:r w:rsidR="008C13BF" w:rsidRPr="008C13BF">
        <w:t>as these histotypes can be difficult to distinguish</w:t>
      </w:r>
      <w:r w:rsidR="008C13BF">
        <w:t>.</w:t>
      </w:r>
    </w:p>
    <w:p w14:paraId="3A67CC10" w14:textId="6CC7BEE7" w:rsidR="008C13BF" w:rsidRDefault="008C13BF" w:rsidP="007A0A75">
      <w:r>
        <w:t>The applicant’s clinical experts indicated the following advantages of testing FR</w:t>
      </w:r>
      <w:r>
        <w:rPr>
          <w:rFonts w:cs="Calibri"/>
        </w:rPr>
        <w:t>α</w:t>
      </w:r>
      <w:r>
        <w:t xml:space="preserve"> at diagnosis:</w:t>
      </w:r>
    </w:p>
    <w:p w14:paraId="74F33F0B" w14:textId="3B3B1550" w:rsidR="008C13BF" w:rsidRPr="008C13BF" w:rsidRDefault="008C13BF" w:rsidP="00842ED8">
      <w:pPr>
        <w:pStyle w:val="ListParagraph"/>
        <w:numPr>
          <w:ilvl w:val="0"/>
          <w:numId w:val="4"/>
        </w:numPr>
        <w:ind w:left="284" w:hanging="284"/>
        <w:rPr>
          <w:bCs/>
        </w:rPr>
      </w:pPr>
      <w:r>
        <w:rPr>
          <w:bCs/>
        </w:rPr>
        <w:t>Most ovarian cancers require some immunohistochemistry (IHC) at diagnosis and FR</w:t>
      </w:r>
      <w:r>
        <w:rPr>
          <w:rFonts w:cs="Calibri"/>
          <w:bCs/>
        </w:rPr>
        <w:t>α</w:t>
      </w:r>
      <w:r>
        <w:rPr>
          <w:bCs/>
        </w:rPr>
        <w:t xml:space="preserve"> could be added </w:t>
      </w:r>
      <w:r w:rsidR="00F42565">
        <w:rPr>
          <w:bCs/>
        </w:rPr>
        <w:t xml:space="preserve">as a reflex test </w:t>
      </w:r>
      <w:r>
        <w:rPr>
          <w:bCs/>
        </w:rPr>
        <w:t xml:space="preserve">(like human epidermal </w:t>
      </w:r>
      <w:r w:rsidRPr="00861788">
        <w:t xml:space="preserve">growth factor receptor </w:t>
      </w:r>
      <w:r>
        <w:t>(HER2)</w:t>
      </w:r>
      <w:r w:rsidRPr="00861788">
        <w:t xml:space="preserve"> was added to estrogen receptor/progesterone receptor</w:t>
      </w:r>
      <w:r>
        <w:t xml:space="preserve"> testing for breast cancer</w:t>
      </w:r>
      <w:r w:rsidR="002D4CA5">
        <w:t>)</w:t>
      </w:r>
      <w:r>
        <w:t>.</w:t>
      </w:r>
    </w:p>
    <w:p w14:paraId="1329C947" w14:textId="181EEEED" w:rsidR="008C13BF" w:rsidRPr="00F42565" w:rsidRDefault="00F42565" w:rsidP="00842ED8">
      <w:pPr>
        <w:pStyle w:val="ListParagraph"/>
        <w:numPr>
          <w:ilvl w:val="0"/>
          <w:numId w:val="4"/>
        </w:numPr>
        <w:ind w:left="284" w:hanging="284"/>
        <w:rPr>
          <w:bCs/>
        </w:rPr>
      </w:pPr>
      <w:r>
        <w:t>T</w:t>
      </w:r>
      <w:r w:rsidR="001F44B2">
        <w:t>he t</w:t>
      </w:r>
      <w:r>
        <w:t>est would be performed or sent away for testing by the laboratory that holds the tissue samples.</w:t>
      </w:r>
    </w:p>
    <w:p w14:paraId="769E0BB1" w14:textId="28EE04FC" w:rsidR="00F42565" w:rsidRPr="00861788" w:rsidRDefault="001F44B2" w:rsidP="00842ED8">
      <w:pPr>
        <w:pStyle w:val="ListParagraph"/>
        <w:numPr>
          <w:ilvl w:val="0"/>
          <w:numId w:val="4"/>
        </w:numPr>
        <w:ind w:left="284" w:hanging="284"/>
      </w:pPr>
      <w:r>
        <w:t>The test would l</w:t>
      </w:r>
      <w:r w:rsidR="00F42565" w:rsidRPr="00861788">
        <w:t xml:space="preserve">ikely be performed on resection or debulking sample with low failure rate and </w:t>
      </w:r>
      <w:r w:rsidR="000A08F3">
        <w:t xml:space="preserve">greater </w:t>
      </w:r>
      <w:r w:rsidR="00F42565" w:rsidRPr="00861788">
        <w:t>ability to assess heterogeneity</w:t>
      </w:r>
      <w:r w:rsidR="000A08F3">
        <w:t xml:space="preserve"> in </w:t>
      </w:r>
      <w:r w:rsidR="000A08F3">
        <w:rPr>
          <w:bCs/>
        </w:rPr>
        <w:t>FR</w:t>
      </w:r>
      <w:r w:rsidR="000A08F3">
        <w:rPr>
          <w:rFonts w:cs="Calibri"/>
          <w:bCs/>
        </w:rPr>
        <w:t>α</w:t>
      </w:r>
      <w:r w:rsidR="000A08F3">
        <w:t xml:space="preserve"> expression levels</w:t>
      </w:r>
      <w:r w:rsidR="00F42565">
        <w:t>.</w:t>
      </w:r>
    </w:p>
    <w:p w14:paraId="28337372" w14:textId="7706AD53" w:rsidR="00F42565" w:rsidRPr="00861788" w:rsidRDefault="001F44B2" w:rsidP="00842ED8">
      <w:pPr>
        <w:pStyle w:val="ListParagraph"/>
        <w:numPr>
          <w:ilvl w:val="0"/>
          <w:numId w:val="4"/>
        </w:numPr>
        <w:ind w:left="284" w:hanging="284"/>
      </w:pPr>
      <w:r>
        <w:t>The test would be c</w:t>
      </w:r>
      <w:r w:rsidR="00F42565">
        <w:t>onducted</w:t>
      </w:r>
      <w:r w:rsidR="00F42565" w:rsidRPr="00861788">
        <w:t xml:space="preserve"> while the case is being reported and ha</w:t>
      </w:r>
      <w:r w:rsidR="00F42565">
        <w:t>s</w:t>
      </w:r>
      <w:r w:rsidR="00F42565" w:rsidRPr="00861788">
        <w:t xml:space="preserve"> the attention of the pathologists to deliver a quick turnaround time.</w:t>
      </w:r>
    </w:p>
    <w:p w14:paraId="58E0B6DA" w14:textId="1EB24021" w:rsidR="00F42565" w:rsidRPr="00861788" w:rsidRDefault="001F44B2" w:rsidP="00842ED8">
      <w:pPr>
        <w:pStyle w:val="ListParagraph"/>
        <w:numPr>
          <w:ilvl w:val="0"/>
          <w:numId w:val="4"/>
        </w:numPr>
        <w:ind w:left="284" w:hanging="284"/>
      </w:pPr>
      <w:r>
        <w:t>Potential to</w:t>
      </w:r>
      <w:r w:rsidR="00F42565" w:rsidRPr="00861788">
        <w:t xml:space="preserve"> test poorly differentiated tumours as some will later prove to be </w:t>
      </w:r>
      <w:r>
        <w:t>high grade serous ovarian cancer (</w:t>
      </w:r>
      <w:r w:rsidR="00F42565" w:rsidRPr="00861788">
        <w:t>HGSOC</w:t>
      </w:r>
      <w:r>
        <w:t>)</w:t>
      </w:r>
      <w:r w:rsidR="00F42565">
        <w:t>.</w:t>
      </w:r>
    </w:p>
    <w:p w14:paraId="3FD3AC40" w14:textId="3C87AE89" w:rsidR="00F42565" w:rsidRPr="00861788" w:rsidRDefault="001F44B2" w:rsidP="00842ED8">
      <w:pPr>
        <w:pStyle w:val="ListParagraph"/>
        <w:numPr>
          <w:ilvl w:val="0"/>
          <w:numId w:val="4"/>
        </w:numPr>
        <w:ind w:left="284" w:hanging="284"/>
      </w:pPr>
      <w:r>
        <w:t>The r</w:t>
      </w:r>
      <w:r w:rsidR="00F42565" w:rsidRPr="00861788">
        <w:t xml:space="preserve">esult </w:t>
      </w:r>
      <w:r>
        <w:t>would</w:t>
      </w:r>
      <w:r w:rsidR="00F42565" w:rsidRPr="00861788">
        <w:t xml:space="preserve"> be in </w:t>
      </w:r>
      <w:r w:rsidR="002E0DEE">
        <w:t xml:space="preserve">the </w:t>
      </w:r>
      <w:r w:rsidR="00F42565" w:rsidRPr="00861788">
        <w:t>patient</w:t>
      </w:r>
      <w:r w:rsidR="002E0DEE">
        <w:t>’</w:t>
      </w:r>
      <w:r w:rsidR="00F42565" w:rsidRPr="00861788">
        <w:t xml:space="preserve">s file and be available to </w:t>
      </w:r>
      <w:r w:rsidR="002B4BF3">
        <w:t xml:space="preserve">the </w:t>
      </w:r>
      <w:r w:rsidR="00F42565" w:rsidRPr="00861788">
        <w:t xml:space="preserve">clinician when </w:t>
      </w:r>
      <w:r w:rsidR="002B4BF3">
        <w:t xml:space="preserve">the </w:t>
      </w:r>
      <w:r w:rsidR="00F42565" w:rsidRPr="00861788">
        <w:t>patient progresses.</w:t>
      </w:r>
    </w:p>
    <w:p w14:paraId="3683F209" w14:textId="0DA5EE95" w:rsidR="00F42565" w:rsidRPr="00861788" w:rsidRDefault="00F42565" w:rsidP="00842ED8">
      <w:pPr>
        <w:pStyle w:val="ListParagraph"/>
        <w:numPr>
          <w:ilvl w:val="0"/>
          <w:numId w:val="4"/>
        </w:numPr>
        <w:ind w:left="284" w:hanging="284"/>
      </w:pPr>
      <w:r w:rsidRPr="00861788">
        <w:t xml:space="preserve">Avoids </w:t>
      </w:r>
      <w:r w:rsidR="001F44B2">
        <w:t xml:space="preserve">the </w:t>
      </w:r>
      <w:r w:rsidRPr="00861788">
        <w:t>need to specifically order the test (usually made to the oncologist</w:t>
      </w:r>
      <w:r>
        <w:t>’</w:t>
      </w:r>
      <w:r w:rsidRPr="00861788">
        <w:t>s local lab</w:t>
      </w:r>
      <w:r>
        <w:t>oratory,</w:t>
      </w:r>
      <w:r w:rsidRPr="00861788">
        <w:t xml:space="preserve"> which has to retrieve the sample from the reporting lab</w:t>
      </w:r>
      <w:r>
        <w:t>oratory</w:t>
      </w:r>
      <w:r w:rsidRPr="00861788">
        <w:t xml:space="preserve">) resulting in delays and additional MBS sample retrieval and review costs. </w:t>
      </w:r>
    </w:p>
    <w:p w14:paraId="7EE9147D" w14:textId="78E8A5CE" w:rsidR="00F42565" w:rsidRPr="00861788" w:rsidRDefault="001F44B2" w:rsidP="00842ED8">
      <w:pPr>
        <w:pStyle w:val="ListParagraph"/>
        <w:numPr>
          <w:ilvl w:val="0"/>
          <w:numId w:val="4"/>
        </w:numPr>
        <w:ind w:left="284" w:hanging="284"/>
      </w:pPr>
      <w:r>
        <w:t>Could</w:t>
      </w:r>
      <w:r w:rsidR="00F42565">
        <w:t xml:space="preserve"> identify</w:t>
      </w:r>
      <w:r w:rsidR="00F42565" w:rsidRPr="00861788">
        <w:t xml:space="preserve"> if the sample is unsuitable and c</w:t>
      </w:r>
      <w:r>
        <w:t>ould</w:t>
      </w:r>
      <w:r w:rsidR="00F42565" w:rsidRPr="00861788">
        <w:t xml:space="preserve"> order a retest early</w:t>
      </w:r>
      <w:r w:rsidR="00F42565">
        <w:t>,</w:t>
      </w:r>
      <w:r w:rsidR="00F42565" w:rsidRPr="00861788">
        <w:t xml:space="preserve"> prior to progression. </w:t>
      </w:r>
    </w:p>
    <w:p w14:paraId="4EC3FBB7" w14:textId="447B177D" w:rsidR="00F42565" w:rsidRDefault="00F42565" w:rsidP="00842ED8">
      <w:pPr>
        <w:pStyle w:val="ListParagraph"/>
        <w:numPr>
          <w:ilvl w:val="0"/>
          <w:numId w:val="4"/>
        </w:numPr>
        <w:ind w:left="284" w:hanging="284"/>
      </w:pPr>
      <w:r w:rsidRPr="00861788">
        <w:t xml:space="preserve">Testing can be </w:t>
      </w:r>
      <w:r w:rsidR="001F44B2">
        <w:t xml:space="preserve">conducted </w:t>
      </w:r>
      <w:r w:rsidRPr="00861788">
        <w:t>without knowledge of patient’s response to platinum.</w:t>
      </w:r>
    </w:p>
    <w:p w14:paraId="1AD580EC" w14:textId="1846D23E" w:rsidR="00F42565" w:rsidRDefault="7B86ED42" w:rsidP="00FA4235">
      <w:r>
        <w:t xml:space="preserve"> </w:t>
      </w:r>
      <w:r w:rsidR="00F42565">
        <w:t>The applicant’s clinical experts indicated the following disadvantages of testing FR</w:t>
      </w:r>
      <w:r w:rsidR="00F42565" w:rsidRPr="00F42565">
        <w:rPr>
          <w:rFonts w:cs="Calibri"/>
        </w:rPr>
        <w:t>α</w:t>
      </w:r>
      <w:r w:rsidR="00F42565">
        <w:t xml:space="preserve"> at diagnosis:</w:t>
      </w:r>
    </w:p>
    <w:p w14:paraId="424785B3" w14:textId="77777777" w:rsidR="00F42565" w:rsidRPr="00861788" w:rsidRDefault="00F42565" w:rsidP="00842ED8">
      <w:pPr>
        <w:pStyle w:val="ListParagraph"/>
        <w:numPr>
          <w:ilvl w:val="0"/>
          <w:numId w:val="4"/>
        </w:numPr>
        <w:ind w:left="284" w:hanging="284"/>
      </w:pPr>
      <w:r w:rsidRPr="00861788">
        <w:t>Could result in over testing of patients who are not HGSOC or who would not eventually progress.</w:t>
      </w:r>
    </w:p>
    <w:p w14:paraId="4CE10103" w14:textId="2B8465A6" w:rsidR="00F42565" w:rsidRPr="00861788" w:rsidRDefault="00F42565" w:rsidP="00842ED8">
      <w:pPr>
        <w:pStyle w:val="ListParagraph"/>
        <w:numPr>
          <w:ilvl w:val="0"/>
          <w:numId w:val="4"/>
        </w:numPr>
        <w:ind w:left="284" w:hanging="284"/>
      </w:pPr>
      <w:r w:rsidRPr="00861788">
        <w:t>FRα status may change during chemotherapy.</w:t>
      </w:r>
    </w:p>
    <w:p w14:paraId="6EF0B9E3" w14:textId="77777777" w:rsidR="00F42565" w:rsidRPr="00861788" w:rsidRDefault="00F42565" w:rsidP="00F42565">
      <w:r w:rsidRPr="00C00939">
        <w:t>Considerations for testing at disease progression</w:t>
      </w:r>
      <w:r w:rsidRPr="00861788">
        <w:t>:</w:t>
      </w:r>
    </w:p>
    <w:p w14:paraId="24182597" w14:textId="5D9EC249" w:rsidR="00F42565" w:rsidRPr="005901A7" w:rsidRDefault="00F42565" w:rsidP="00842ED8">
      <w:pPr>
        <w:pStyle w:val="ListParagraph"/>
        <w:numPr>
          <w:ilvl w:val="0"/>
          <w:numId w:val="4"/>
        </w:numPr>
        <w:ind w:left="284" w:hanging="284"/>
      </w:pPr>
      <w:r w:rsidRPr="005901A7">
        <w:t>W</w:t>
      </w:r>
      <w:r w:rsidR="001F44B2">
        <w:t>ould</w:t>
      </w:r>
      <w:r w:rsidRPr="005901A7">
        <w:t xml:space="preserve"> still need to be ordered (on diagnostic sample) for patients with current disease who were not tested at diagnosis prior to listing.</w:t>
      </w:r>
    </w:p>
    <w:p w14:paraId="4D66C987" w14:textId="650C96C6" w:rsidR="00F42565" w:rsidRPr="005901A7" w:rsidRDefault="00F42565" w:rsidP="00842ED8">
      <w:pPr>
        <w:pStyle w:val="ListParagraph"/>
        <w:numPr>
          <w:ilvl w:val="0"/>
          <w:numId w:val="4"/>
        </w:numPr>
        <w:ind w:left="284" w:hanging="284"/>
      </w:pPr>
      <w:r w:rsidRPr="005901A7">
        <w:t>Helpful to perform retest at progression on a new biopsy to learn if expression changes on chemotherapy</w:t>
      </w:r>
      <w:r w:rsidR="001F44B2">
        <w:t>.</w:t>
      </w:r>
      <w:r w:rsidRPr="005901A7">
        <w:t xml:space="preserve"> </w:t>
      </w:r>
    </w:p>
    <w:p w14:paraId="7B4E184E" w14:textId="0B3114C8" w:rsidR="00F42565" w:rsidRPr="00FA4235" w:rsidRDefault="00F42565" w:rsidP="00F42565">
      <w:r w:rsidRPr="00FA4235">
        <w:t xml:space="preserve">The applicant’s clinical experts suggested that although a proportion of EOC patients would be unnecessarily tested as they would not be eligible for mirvetuximab soravtansine, the associated costs of testing at primary diagnosis would still be justified by eliminating potential delays in delivering the best treatment option for eligible patients as soon as possible. Results of the FRα expression reflex test </w:t>
      </w:r>
      <w:r w:rsidRPr="00FA4235">
        <w:lastRenderedPageBreak/>
        <w:t xml:space="preserve">conducted up-front, would be a part of the patients’ record available exactly when a clinical decision about the next line of treatment is made. This suggestion takes into consideration the ever-evolving understanding of the nature of platinum resistance. </w:t>
      </w:r>
    </w:p>
    <w:p w14:paraId="7BD05712" w14:textId="4110FE67" w:rsidR="0055735D" w:rsidRDefault="00594927" w:rsidP="003F3593">
      <w:r w:rsidRPr="0006300D">
        <w:t xml:space="preserve">Another advantage discussed at the </w:t>
      </w:r>
      <w:r>
        <w:t>p</w:t>
      </w:r>
      <w:r w:rsidRPr="0006300D">
        <w:t xml:space="preserve">re-PASC teleconference </w:t>
      </w:r>
      <w:r>
        <w:t>for</w:t>
      </w:r>
      <w:r w:rsidRPr="0006300D">
        <w:t xml:space="preserve"> the predictive biomarker test being conducted at EOC diagnosis is that its results may inform decision making about the appropriateness of mirvetuximab soravtansine treatment as patients progress through the stages of the disease. The</w:t>
      </w:r>
      <w:r>
        <w:t xml:space="preserve"> applicant’s clinical</w:t>
      </w:r>
      <w:r w:rsidRPr="0006300D">
        <w:t xml:space="preserve"> experts suggested that listing of the next generation drugs for FRα-positive EOC would involve a broader population, potentially including platinum</w:t>
      </w:r>
      <w:r w:rsidR="00AC071C">
        <w:t xml:space="preserve"> </w:t>
      </w:r>
      <w:r w:rsidRPr="0006300D">
        <w:t>sensitive</w:t>
      </w:r>
      <w:r w:rsidR="004C2E8B">
        <w:t xml:space="preserve"> </w:t>
      </w:r>
      <w:r w:rsidRPr="0006300D">
        <w:t xml:space="preserve">EOC cancers. </w:t>
      </w:r>
      <w:r>
        <w:t>T</w:t>
      </w:r>
      <w:r w:rsidR="00F42565" w:rsidRPr="003F3593">
        <w:t xml:space="preserve">esting at primary diagnosis </w:t>
      </w:r>
      <w:r>
        <w:t>may</w:t>
      </w:r>
      <w:r w:rsidR="00F42565" w:rsidRPr="003F3593">
        <w:t xml:space="preserve"> future-proof the MBS listing</w:t>
      </w:r>
      <w:r w:rsidR="003F3593">
        <w:t xml:space="preserve"> as several</w:t>
      </w:r>
      <w:r w:rsidR="003F3593" w:rsidRPr="00FA4235">
        <w:t xml:space="preserve"> </w:t>
      </w:r>
      <w:r w:rsidR="003F3593" w:rsidRPr="003F3593">
        <w:t>completed and ongoing trials of mirvetuximab soravtansine in combination with platinum</w:t>
      </w:r>
      <w:r w:rsidR="003F3593">
        <w:t>-</w:t>
      </w:r>
      <w:r w:rsidR="003F3593" w:rsidRPr="003F3593">
        <w:t>based chemotherapy or bevacizumab for other population subgroups, e.g.</w:t>
      </w:r>
      <w:r w:rsidR="003A186C">
        <w:t>,</w:t>
      </w:r>
      <w:r w:rsidR="003F3593" w:rsidRPr="003F3593">
        <w:t xml:space="preserve"> platinum</w:t>
      </w:r>
      <w:r w:rsidR="00AC071C">
        <w:t xml:space="preserve"> </w:t>
      </w:r>
      <w:r w:rsidR="003F3593" w:rsidRPr="003F3593">
        <w:t xml:space="preserve">sensitive </w:t>
      </w:r>
      <w:r w:rsidR="003F3593">
        <w:t>(PICCOLO</w:t>
      </w:r>
      <w:r w:rsidR="003F3593">
        <w:rPr>
          <w:rStyle w:val="FootnoteReference"/>
        </w:rPr>
        <w:footnoteReference w:id="2"/>
      </w:r>
      <w:r w:rsidR="003F3593">
        <w:t>, MIROVA</w:t>
      </w:r>
      <w:r w:rsidR="008B446B">
        <w:rPr>
          <w:rStyle w:val="FootnoteReference"/>
        </w:rPr>
        <w:footnoteReference w:id="3"/>
      </w:r>
      <w:r w:rsidR="003F3593">
        <w:t>, Study-420</w:t>
      </w:r>
      <w:r w:rsidR="008B446B">
        <w:rPr>
          <w:rStyle w:val="FootnoteReference"/>
        </w:rPr>
        <w:footnoteReference w:id="4"/>
      </w:r>
      <w:r w:rsidR="003F3593">
        <w:t>, GLORIOSA</w:t>
      </w:r>
      <w:r w:rsidR="008B446B">
        <w:rPr>
          <w:rStyle w:val="FootnoteReference"/>
        </w:rPr>
        <w:footnoteReference w:id="5"/>
      </w:r>
      <w:r w:rsidR="003F3593">
        <w:t xml:space="preserve">) </w:t>
      </w:r>
      <w:r w:rsidR="003F3593" w:rsidRPr="003F3593">
        <w:t>or platinum</w:t>
      </w:r>
      <w:r w:rsidR="003F3593">
        <w:t>-</w:t>
      </w:r>
      <w:r w:rsidR="003F3593" w:rsidRPr="003F3593">
        <w:t xml:space="preserve">agnostic </w:t>
      </w:r>
      <w:r w:rsidR="003F3593">
        <w:t>(FORWARD II</w:t>
      </w:r>
      <w:r w:rsidR="008B446B">
        <w:rPr>
          <w:rStyle w:val="FootnoteReference"/>
        </w:rPr>
        <w:footnoteReference w:id="6"/>
      </w:r>
      <w:r w:rsidR="003F3593">
        <w:t xml:space="preserve">) </w:t>
      </w:r>
      <w:r w:rsidR="003F3593" w:rsidRPr="003F3593">
        <w:t>EOC</w:t>
      </w:r>
      <w:r w:rsidR="003F3593">
        <w:t xml:space="preserve"> have been reported (Bogani, 2024).</w:t>
      </w:r>
    </w:p>
    <w:p w14:paraId="0EDEC5E3" w14:textId="77777777" w:rsidR="002E0DEE" w:rsidRPr="004C2E8B" w:rsidRDefault="002E0DEE" w:rsidP="004C2E8B">
      <w:pPr>
        <w:autoSpaceDE w:val="0"/>
        <w:autoSpaceDN w:val="0"/>
        <w:adjustRightInd w:val="0"/>
        <w:rPr>
          <w:i/>
        </w:rPr>
      </w:pPr>
      <w:r w:rsidRPr="004C2E8B">
        <w:rPr>
          <w:rFonts w:asciiTheme="minorHAnsi" w:hAnsiTheme="minorHAnsi" w:cstheme="minorHAnsi"/>
          <w:i/>
        </w:rPr>
        <w:t xml:space="preserve">PASC discussed the </w:t>
      </w:r>
      <w:r w:rsidRPr="004C2E8B">
        <w:rPr>
          <w:i/>
        </w:rPr>
        <w:t xml:space="preserve">advantages and disadvantages of testing at either cancer diagnosis or at platinum resistance. </w:t>
      </w:r>
    </w:p>
    <w:p w14:paraId="135A541C" w14:textId="77777777" w:rsidR="002E0DEE" w:rsidRPr="004C2E8B" w:rsidRDefault="002E0DEE" w:rsidP="004C2E8B">
      <w:pPr>
        <w:autoSpaceDE w:val="0"/>
        <w:autoSpaceDN w:val="0"/>
        <w:adjustRightInd w:val="0"/>
        <w:contextualSpacing/>
        <w:rPr>
          <w:i/>
          <w:iCs/>
        </w:rPr>
      </w:pPr>
      <w:r w:rsidRPr="004C2E8B">
        <w:rPr>
          <w:i/>
          <w:iCs/>
        </w:rPr>
        <w:t xml:space="preserve">PASC noted that testing at cancer diagnosis is associated with the following benefits: </w:t>
      </w:r>
    </w:p>
    <w:p w14:paraId="0B5963F5" w14:textId="77777777" w:rsidR="002E0DEE" w:rsidRPr="004C2E8B" w:rsidRDefault="002E0DEE" w:rsidP="004C2E8B">
      <w:pPr>
        <w:pStyle w:val="ListParagraph"/>
        <w:numPr>
          <w:ilvl w:val="0"/>
          <w:numId w:val="21"/>
        </w:numPr>
        <w:autoSpaceDE w:val="0"/>
        <w:autoSpaceDN w:val="0"/>
        <w:adjustRightInd w:val="0"/>
        <w:ind w:left="284" w:hanging="284"/>
        <w:rPr>
          <w:i/>
          <w:iCs/>
        </w:rPr>
      </w:pPr>
      <w:r w:rsidRPr="004C2E8B">
        <w:rPr>
          <w:i/>
          <w:iCs/>
        </w:rPr>
        <w:t>Lower test failure rates, as generally more tissue is available at initial resection.</w:t>
      </w:r>
    </w:p>
    <w:p w14:paraId="7F5C60CD" w14:textId="77777777" w:rsidR="002E0DEE" w:rsidRPr="004C2E8B" w:rsidRDefault="002E0DEE" w:rsidP="004C2E8B">
      <w:pPr>
        <w:pStyle w:val="ListParagraph"/>
        <w:numPr>
          <w:ilvl w:val="0"/>
          <w:numId w:val="21"/>
        </w:numPr>
        <w:autoSpaceDE w:val="0"/>
        <w:autoSpaceDN w:val="0"/>
        <w:adjustRightInd w:val="0"/>
        <w:ind w:left="284" w:hanging="284"/>
        <w:rPr>
          <w:i/>
          <w:iCs/>
        </w:rPr>
      </w:pPr>
      <w:r w:rsidRPr="004C2E8B">
        <w:rPr>
          <w:i/>
          <w:iCs/>
        </w:rPr>
        <w:t xml:space="preserve">An opportunity for rapid re-test of failed samples. </w:t>
      </w:r>
    </w:p>
    <w:p w14:paraId="15FA9E86" w14:textId="144F09DF" w:rsidR="002E0DEE" w:rsidRPr="004C2E8B" w:rsidRDefault="00986A68" w:rsidP="004C2E8B">
      <w:pPr>
        <w:pStyle w:val="ListParagraph"/>
        <w:numPr>
          <w:ilvl w:val="0"/>
          <w:numId w:val="21"/>
        </w:numPr>
        <w:autoSpaceDE w:val="0"/>
        <w:autoSpaceDN w:val="0"/>
        <w:adjustRightInd w:val="0"/>
        <w:ind w:left="284" w:hanging="284"/>
        <w:rPr>
          <w:i/>
          <w:iCs/>
        </w:rPr>
      </w:pPr>
      <w:r w:rsidRPr="004C2E8B">
        <w:rPr>
          <w:i/>
          <w:iCs/>
        </w:rPr>
        <w:t xml:space="preserve">Testing the tissue sample obtained from primary tumour is in alignment with the majority of the cases of the key SORAYA </w:t>
      </w:r>
      <w:r>
        <w:rPr>
          <w:i/>
          <w:iCs/>
        </w:rPr>
        <w:t>study</w:t>
      </w:r>
      <w:r w:rsidRPr="004C2E8B">
        <w:rPr>
          <w:i/>
          <w:iCs/>
        </w:rPr>
        <w:t>.</w:t>
      </w:r>
    </w:p>
    <w:p w14:paraId="4AA02C82" w14:textId="77777777" w:rsidR="002E0DEE" w:rsidRPr="004C2E8B" w:rsidRDefault="002E0DEE" w:rsidP="004C2E8B">
      <w:pPr>
        <w:pStyle w:val="ListParagraph"/>
        <w:numPr>
          <w:ilvl w:val="0"/>
          <w:numId w:val="21"/>
        </w:numPr>
        <w:ind w:left="284" w:hanging="284"/>
        <w:rPr>
          <w:i/>
          <w:iCs/>
        </w:rPr>
      </w:pPr>
      <w:r w:rsidRPr="004C2E8B">
        <w:rPr>
          <w:i/>
          <w:iCs/>
        </w:rPr>
        <w:t>Future-proof of item descriptor, considering the number of forthcoming clinical trials that may potentially expand the EOC population eligible for mirvetuximab soravtansine treatment. Use of the proposed item to encompass trials still underway would be restricted by the wording of the PBS restriction for the therapy.</w:t>
      </w:r>
    </w:p>
    <w:p w14:paraId="7DD8490B" w14:textId="77777777" w:rsidR="002E0DEE" w:rsidRPr="004C2E8B" w:rsidRDefault="002E0DEE" w:rsidP="004C2E8B">
      <w:pPr>
        <w:pStyle w:val="ListParagraph"/>
        <w:numPr>
          <w:ilvl w:val="0"/>
          <w:numId w:val="21"/>
        </w:numPr>
        <w:ind w:left="284" w:hanging="284"/>
        <w:rPr>
          <w:i/>
          <w:iCs/>
        </w:rPr>
      </w:pPr>
      <w:r w:rsidRPr="004C2E8B">
        <w:rPr>
          <w:i/>
          <w:iCs/>
        </w:rPr>
        <w:t xml:space="preserve">Minimise intratumour variability of FRα expression markers through multiple slice testing of larger tissue specimens obtained at diagnosis. </w:t>
      </w:r>
    </w:p>
    <w:p w14:paraId="6D7738AF" w14:textId="2A8FF1FA" w:rsidR="002E0DEE" w:rsidRPr="004C2E8B" w:rsidRDefault="002E0DEE" w:rsidP="004C2E8B">
      <w:pPr>
        <w:pStyle w:val="ListParagraph"/>
        <w:numPr>
          <w:ilvl w:val="0"/>
          <w:numId w:val="21"/>
        </w:numPr>
        <w:ind w:left="284" w:hanging="284"/>
        <w:rPr>
          <w:i/>
          <w:iCs/>
        </w:rPr>
      </w:pPr>
      <w:r w:rsidRPr="004C2E8B">
        <w:rPr>
          <w:i/>
          <w:iCs/>
        </w:rPr>
        <w:t xml:space="preserve">While testing for FRα expression does not take </w:t>
      </w:r>
      <w:r w:rsidR="00BE43EE">
        <w:rPr>
          <w:i/>
          <w:iCs/>
        </w:rPr>
        <w:t xml:space="preserve">a </w:t>
      </w:r>
      <w:r w:rsidRPr="004C2E8B">
        <w:rPr>
          <w:i/>
          <w:iCs/>
        </w:rPr>
        <w:t>significant amount of time (typically a day), it can take weeks to retrieve tissue samples from a laboratory. Testing at initial diagnosis may prevent delay of starting</w:t>
      </w:r>
      <w:r w:rsidR="00A7531A">
        <w:rPr>
          <w:i/>
          <w:iCs/>
        </w:rPr>
        <w:t xml:space="preserve"> appropriate therapy </w:t>
      </w:r>
      <w:r w:rsidRPr="004C2E8B">
        <w:rPr>
          <w:i/>
          <w:iCs/>
        </w:rPr>
        <w:t xml:space="preserve">as results are already known (for those with FRα expression that meets the PBS restriction). </w:t>
      </w:r>
    </w:p>
    <w:p w14:paraId="11C67E00" w14:textId="64E309D6" w:rsidR="002E0DEE" w:rsidRPr="004C2E8B" w:rsidRDefault="002E0DEE" w:rsidP="24130D6A">
      <w:pPr>
        <w:autoSpaceDE w:val="0"/>
        <w:autoSpaceDN w:val="0"/>
        <w:adjustRightInd w:val="0"/>
        <w:contextualSpacing/>
        <w:rPr>
          <w:i/>
          <w:iCs/>
        </w:rPr>
      </w:pPr>
      <w:r w:rsidRPr="24130D6A">
        <w:rPr>
          <w:i/>
          <w:iCs/>
        </w:rPr>
        <w:t>PASC</w:t>
      </w:r>
      <w:r w:rsidRPr="24130D6A" w:rsidDel="002E0DEE">
        <w:rPr>
          <w:i/>
          <w:iCs/>
        </w:rPr>
        <w:t xml:space="preserve"> </w:t>
      </w:r>
      <w:r w:rsidRPr="24130D6A">
        <w:rPr>
          <w:i/>
          <w:iCs/>
        </w:rPr>
        <w:t>identified the following concerns with testing at cancer diagnosis:</w:t>
      </w:r>
    </w:p>
    <w:p w14:paraId="06DC7330" w14:textId="77777777" w:rsidR="002E0DEE" w:rsidRPr="004C2E8B" w:rsidRDefault="002E0DEE" w:rsidP="004C2E8B">
      <w:pPr>
        <w:pStyle w:val="ListParagraph"/>
        <w:numPr>
          <w:ilvl w:val="0"/>
          <w:numId w:val="21"/>
        </w:numPr>
        <w:autoSpaceDE w:val="0"/>
        <w:autoSpaceDN w:val="0"/>
        <w:adjustRightInd w:val="0"/>
        <w:ind w:left="284" w:hanging="284"/>
        <w:rPr>
          <w:i/>
          <w:iCs/>
        </w:rPr>
      </w:pPr>
      <w:r w:rsidRPr="004C2E8B">
        <w:rPr>
          <w:i/>
          <w:iCs/>
        </w:rPr>
        <w:t xml:space="preserve">There is limited evidence available for the stability of FRα protein over time, taking into account the stages of disease and the effects of chemotherapy. There is evidence of discordance in primary tumour specimens versus metastatic lesions indicating temporal heterogeneity of tumour (Deutschman, the </w:t>
      </w:r>
      <w:r w:rsidRPr="004C2E8B">
        <w:rPr>
          <w:i/>
          <w:iCs/>
        </w:rPr>
        <w:lastRenderedPageBreak/>
        <w:t xml:space="preserve">2024 European Congress of Pathology poster). This may place additional uncertainty on whether a re-biopsy at platinum resistance is required. </w:t>
      </w:r>
    </w:p>
    <w:p w14:paraId="523B99DB" w14:textId="77777777" w:rsidR="002E0DEE" w:rsidRPr="004C2E8B" w:rsidRDefault="002E0DEE" w:rsidP="004C2E8B">
      <w:pPr>
        <w:pStyle w:val="ListParagraph"/>
        <w:numPr>
          <w:ilvl w:val="0"/>
          <w:numId w:val="21"/>
        </w:numPr>
        <w:autoSpaceDE w:val="0"/>
        <w:autoSpaceDN w:val="0"/>
        <w:adjustRightInd w:val="0"/>
        <w:ind w:left="284" w:hanging="284"/>
        <w:rPr>
          <w:i/>
          <w:iCs/>
        </w:rPr>
      </w:pPr>
      <w:r w:rsidRPr="004C2E8B">
        <w:rPr>
          <w:i/>
          <w:iCs/>
        </w:rPr>
        <w:t>A larger number of patients will be tested at diagnosis compared to if testing were done at platinum resistance. This has cost implications.</w:t>
      </w:r>
    </w:p>
    <w:p w14:paraId="538A40D9" w14:textId="394F648F" w:rsidR="002E0DEE" w:rsidRPr="004C2E8B" w:rsidRDefault="2ACC88CF" w:rsidP="24130D6A">
      <w:pPr>
        <w:pStyle w:val="ListParagraph"/>
        <w:numPr>
          <w:ilvl w:val="0"/>
          <w:numId w:val="21"/>
        </w:numPr>
        <w:autoSpaceDE w:val="0"/>
        <w:autoSpaceDN w:val="0"/>
        <w:adjustRightInd w:val="0"/>
        <w:ind w:left="284" w:hanging="284"/>
        <w:rPr>
          <w:i/>
          <w:iCs/>
        </w:rPr>
      </w:pPr>
      <w:r w:rsidRPr="24130D6A">
        <w:rPr>
          <w:i/>
          <w:iCs/>
        </w:rPr>
        <w:t>A</w:t>
      </w:r>
      <w:r w:rsidR="002E0DEE" w:rsidRPr="24130D6A" w:rsidDel="002E0DEE">
        <w:rPr>
          <w:i/>
          <w:iCs/>
        </w:rPr>
        <w:t xml:space="preserve"> </w:t>
      </w:r>
      <w:r w:rsidR="002E0DEE" w:rsidRPr="24130D6A">
        <w:rPr>
          <w:i/>
          <w:iCs/>
        </w:rPr>
        <w:t>patient population who</w:t>
      </w:r>
      <w:r w:rsidR="442794ED" w:rsidRPr="24130D6A">
        <w:rPr>
          <w:i/>
          <w:iCs/>
        </w:rPr>
        <w:t xml:space="preserve"> have a non-informative test at initial diagnosis</w:t>
      </w:r>
      <w:r w:rsidR="36E5C9C8" w:rsidRPr="24130D6A">
        <w:rPr>
          <w:i/>
          <w:iCs/>
        </w:rPr>
        <w:t xml:space="preserve">, or whose </w:t>
      </w:r>
      <w:r w:rsidR="36E5C9C8">
        <w:t xml:space="preserve">FRα </w:t>
      </w:r>
      <w:r w:rsidR="36E5C9C8" w:rsidRPr="002E63D9">
        <w:rPr>
          <w:i/>
        </w:rPr>
        <w:t xml:space="preserve">expression status changes following </w:t>
      </w:r>
      <w:r w:rsidR="7C4CA687" w:rsidRPr="002E63D9">
        <w:rPr>
          <w:i/>
        </w:rPr>
        <w:t>treatment</w:t>
      </w:r>
      <w:r w:rsidR="003632D0" w:rsidRPr="002E63D9">
        <w:rPr>
          <w:i/>
          <w:iCs/>
        </w:rPr>
        <w:t>, or the current prevalent patient population who have</w:t>
      </w:r>
      <w:r w:rsidR="002E0DEE" w:rsidRPr="24130D6A" w:rsidDel="002E0DEE">
        <w:rPr>
          <w:i/>
          <w:iCs/>
        </w:rPr>
        <w:t xml:space="preserve"> not undergone </w:t>
      </w:r>
      <w:r w:rsidR="003632D0" w:rsidRPr="002E63D9">
        <w:rPr>
          <w:i/>
          <w:iCs/>
        </w:rPr>
        <w:t>testing</w:t>
      </w:r>
      <w:r w:rsidR="442794ED" w:rsidRPr="24130D6A">
        <w:rPr>
          <w:i/>
          <w:iCs/>
        </w:rPr>
        <w:t xml:space="preserve"> will</w:t>
      </w:r>
      <w:r w:rsidR="002E0DEE" w:rsidRPr="24130D6A">
        <w:rPr>
          <w:i/>
          <w:iCs/>
        </w:rPr>
        <w:t xml:space="preserve"> </w:t>
      </w:r>
      <w:r w:rsidR="6A3A26A9" w:rsidRPr="24130D6A">
        <w:rPr>
          <w:i/>
          <w:iCs/>
        </w:rPr>
        <w:t xml:space="preserve">require </w:t>
      </w:r>
      <w:r w:rsidR="002E0DEE" w:rsidRPr="24130D6A">
        <w:rPr>
          <w:i/>
          <w:iCs/>
        </w:rPr>
        <w:t>FR</w:t>
      </w:r>
      <w:r w:rsidR="002E0DEE" w:rsidRPr="24130D6A">
        <w:rPr>
          <w:rFonts w:cs="Calibri"/>
          <w:i/>
          <w:iCs/>
        </w:rPr>
        <w:t>α</w:t>
      </w:r>
      <w:r w:rsidR="002E0DEE" w:rsidRPr="24130D6A">
        <w:rPr>
          <w:i/>
          <w:iCs/>
        </w:rPr>
        <w:t xml:space="preserve"> testing </w:t>
      </w:r>
      <w:r w:rsidR="66C3B194" w:rsidRPr="24130D6A">
        <w:rPr>
          <w:i/>
          <w:iCs/>
        </w:rPr>
        <w:t>after developing platinum resistance</w:t>
      </w:r>
      <w:r w:rsidR="00051B5E">
        <w:rPr>
          <w:i/>
          <w:iCs/>
        </w:rPr>
        <w:t>. T</w:t>
      </w:r>
      <w:r w:rsidR="6EE09AA7" w:rsidRPr="24130D6A">
        <w:rPr>
          <w:i/>
          <w:iCs/>
        </w:rPr>
        <w:t>hey</w:t>
      </w:r>
      <w:r w:rsidR="66C3B194" w:rsidRPr="24130D6A">
        <w:rPr>
          <w:i/>
          <w:iCs/>
        </w:rPr>
        <w:t xml:space="preserve"> </w:t>
      </w:r>
      <w:r w:rsidR="002E0DEE" w:rsidRPr="24130D6A">
        <w:rPr>
          <w:i/>
          <w:iCs/>
        </w:rPr>
        <w:t xml:space="preserve">will not be able to access the test if testing is restricted to </w:t>
      </w:r>
      <w:r w:rsidR="31B147EE" w:rsidRPr="24130D6A">
        <w:rPr>
          <w:i/>
          <w:iCs/>
        </w:rPr>
        <w:t xml:space="preserve">the </w:t>
      </w:r>
      <w:r w:rsidR="5862E2CC" w:rsidRPr="24130D6A">
        <w:rPr>
          <w:i/>
          <w:iCs/>
        </w:rPr>
        <w:t>episode</w:t>
      </w:r>
      <w:r w:rsidR="31B147EE" w:rsidRPr="24130D6A">
        <w:rPr>
          <w:i/>
          <w:iCs/>
        </w:rPr>
        <w:t xml:space="preserve"> of </w:t>
      </w:r>
      <w:r w:rsidR="002E0DEE" w:rsidRPr="24130D6A">
        <w:rPr>
          <w:i/>
          <w:iCs/>
        </w:rPr>
        <w:t>cancer diagnosis.</w:t>
      </w:r>
    </w:p>
    <w:p w14:paraId="79E699F3" w14:textId="77777777" w:rsidR="002E0DEE" w:rsidRPr="004C2E8B" w:rsidRDefault="002E0DEE" w:rsidP="004C2E8B">
      <w:pPr>
        <w:spacing w:before="120" w:after="120"/>
        <w:rPr>
          <w:i/>
          <w:iCs/>
        </w:rPr>
      </w:pPr>
      <w:r w:rsidRPr="004C2E8B">
        <w:rPr>
          <w:i/>
          <w:iCs/>
        </w:rPr>
        <w:t>PASC considered the relative risks and benefits of both the alternative testing populations (based on timing of the test, i.e., at cancer diagnosis or at platinum resistance) should be explored in the integrated codependent submission. PASC noted that the prevalent patient population should not be excluded from accessing the test if testing is restricted to be performed at cancer diagnosis.</w:t>
      </w:r>
    </w:p>
    <w:p w14:paraId="4A2D8DCA" w14:textId="35D1A455" w:rsidR="002E0DEE" w:rsidRPr="002E0DEE" w:rsidRDefault="002E0DEE" w:rsidP="004C2E8B">
      <w:pPr>
        <w:contextualSpacing/>
      </w:pPr>
      <w:r w:rsidRPr="24130D6A">
        <w:rPr>
          <w:i/>
          <w:iCs/>
        </w:rPr>
        <w:t>PASC also noted that in order to capture all patients who may potentially benefit from the drug</w:t>
      </w:r>
      <w:r w:rsidR="3C1EE1A2" w:rsidRPr="24130D6A">
        <w:rPr>
          <w:i/>
          <w:iCs/>
        </w:rPr>
        <w:t xml:space="preserve"> and the reported diagnostic yield</w:t>
      </w:r>
      <w:r w:rsidR="2A9DC5E5" w:rsidRPr="24130D6A">
        <w:rPr>
          <w:i/>
          <w:iCs/>
        </w:rPr>
        <w:t xml:space="preserve"> of testing</w:t>
      </w:r>
      <w:r w:rsidRPr="24130D6A">
        <w:rPr>
          <w:i/>
          <w:iCs/>
        </w:rPr>
        <w:t xml:space="preserve">, the population eligible for a biomarker test </w:t>
      </w:r>
      <w:r w:rsidR="665B72F3" w:rsidRPr="24130D6A">
        <w:rPr>
          <w:i/>
          <w:iCs/>
        </w:rPr>
        <w:t>will be larger</w:t>
      </w:r>
      <w:r w:rsidRPr="24130D6A">
        <w:rPr>
          <w:i/>
          <w:iCs/>
        </w:rPr>
        <w:t xml:space="preserve"> than the population that becomes eligible for the treatment.</w:t>
      </w:r>
    </w:p>
    <w:p w14:paraId="1FBCB7B1" w14:textId="38BA7952" w:rsidR="00F02EDE" w:rsidRPr="00F02EDE" w:rsidRDefault="00F02EDE" w:rsidP="00FA4235">
      <w:pPr>
        <w:pStyle w:val="Heading4"/>
        <w:spacing w:after="120"/>
      </w:pPr>
      <w:r>
        <w:t xml:space="preserve">Drug population </w:t>
      </w:r>
    </w:p>
    <w:p w14:paraId="507971D9" w14:textId="31DB4773" w:rsidR="003923CC" w:rsidRDefault="00F02EDE" w:rsidP="003923CC">
      <w:r>
        <w:rPr>
          <w:iCs/>
        </w:rPr>
        <w:t>T</w:t>
      </w:r>
      <w:r w:rsidR="003923CC">
        <w:rPr>
          <w:iCs/>
        </w:rPr>
        <w:t xml:space="preserve">he proposed eligible population for </w:t>
      </w:r>
      <w:r w:rsidR="003923CC" w:rsidRPr="008E738C">
        <w:rPr>
          <w:iCs/>
        </w:rPr>
        <w:t>mirvetuximab soravtansine</w:t>
      </w:r>
      <w:r w:rsidR="003923CC">
        <w:rPr>
          <w:iCs/>
        </w:rPr>
        <w:t xml:space="preserve"> is described as ‘</w:t>
      </w:r>
      <w:r>
        <w:rPr>
          <w:iCs/>
        </w:rPr>
        <w:t xml:space="preserve">adult patients with </w:t>
      </w:r>
      <w:r w:rsidR="003923CC" w:rsidRPr="003923CC">
        <w:rPr>
          <w:iCs/>
        </w:rPr>
        <w:t>platinum</w:t>
      </w:r>
      <w:r w:rsidR="00AC071C">
        <w:rPr>
          <w:iCs/>
        </w:rPr>
        <w:t xml:space="preserve"> </w:t>
      </w:r>
      <w:r w:rsidR="003923CC" w:rsidRPr="003923CC">
        <w:rPr>
          <w:iCs/>
        </w:rPr>
        <w:t>resistant epithelial ovarian, fallopian tube, or primary peritoneal cancer</w:t>
      </w:r>
      <w:r>
        <w:rPr>
          <w:iCs/>
        </w:rPr>
        <w:t xml:space="preserve"> </w:t>
      </w:r>
      <w:r w:rsidRPr="00F02EDE">
        <w:rPr>
          <w:iCs/>
        </w:rPr>
        <w:t>whose tumours are FRα-positive</w:t>
      </w:r>
      <w:r w:rsidR="003923CC">
        <w:rPr>
          <w:iCs/>
        </w:rPr>
        <w:t>’.</w:t>
      </w:r>
      <w:r w:rsidR="00D50BAC">
        <w:rPr>
          <w:iCs/>
        </w:rPr>
        <w:t xml:space="preserve"> </w:t>
      </w:r>
      <w:r w:rsidR="00D50BAC" w:rsidRPr="008E738C">
        <w:t xml:space="preserve">Details of the intended eligible PBS population were not provided in the application or PICO Set Document, however the applicant has indicated that patient eligibility will be based on the eligibility criteria of the MIRASOL trial that included patients with </w:t>
      </w:r>
      <w:r w:rsidR="00875612">
        <w:t xml:space="preserve">high grade serous </w:t>
      </w:r>
      <w:r w:rsidR="00875612" w:rsidRPr="003923CC">
        <w:rPr>
          <w:iCs/>
        </w:rPr>
        <w:t>epithelial ovarian, fallopian tube, or primary peritoneal cancer</w:t>
      </w:r>
      <w:r w:rsidR="00875612">
        <w:rPr>
          <w:iCs/>
        </w:rPr>
        <w:t xml:space="preserve"> with </w:t>
      </w:r>
      <w:r w:rsidR="00D50BAC" w:rsidRPr="008E738C">
        <w:t xml:space="preserve">FRα expression in </w:t>
      </w:r>
      <w:r w:rsidR="00D50BAC" w:rsidRPr="008E738C">
        <w:rPr>
          <w:rFonts w:cs="Calibri"/>
        </w:rPr>
        <w:t>≥</w:t>
      </w:r>
      <w:r w:rsidR="00D50BAC" w:rsidRPr="008E738C">
        <w:t xml:space="preserve">75% of viable tumour cells </w:t>
      </w:r>
      <w:r w:rsidR="00875612">
        <w:t xml:space="preserve">(TCs) </w:t>
      </w:r>
      <w:r w:rsidR="00D50BAC" w:rsidRPr="008E738C">
        <w:t xml:space="preserve">and membrane staining at moderate and/or strong intensity levels, referred to as PS2+.   </w:t>
      </w:r>
      <w:r w:rsidR="00D50BAC" w:rsidRPr="008E738C" w:rsidDel="006F17E7">
        <w:t xml:space="preserve"> </w:t>
      </w:r>
    </w:p>
    <w:p w14:paraId="6E7B73A7" w14:textId="615D321C" w:rsidR="006A7C37" w:rsidRPr="006A7C37" w:rsidRDefault="006A7C37" w:rsidP="00D974C2">
      <w:pPr>
        <w:autoSpaceDE w:val="0"/>
        <w:autoSpaceDN w:val="0"/>
        <w:adjustRightInd w:val="0"/>
        <w:rPr>
          <w:iCs/>
        </w:rPr>
      </w:pPr>
      <w:r w:rsidRPr="00D974C2">
        <w:rPr>
          <w:i/>
          <w:iCs/>
        </w:rPr>
        <w:t>PASC noted that the proposed treatment population</w:t>
      </w:r>
      <w:r w:rsidR="00C55300">
        <w:rPr>
          <w:i/>
          <w:iCs/>
        </w:rPr>
        <w:t xml:space="preserve"> of patients with platinum resistance</w:t>
      </w:r>
      <w:r w:rsidRPr="00D974C2">
        <w:rPr>
          <w:i/>
          <w:iCs/>
        </w:rPr>
        <w:t xml:space="preserve"> is in alignment with the key MIRASOL trial. PASC noted that for treatment eligibility</w:t>
      </w:r>
      <w:r w:rsidR="000116AE">
        <w:rPr>
          <w:i/>
          <w:iCs/>
        </w:rPr>
        <w:t xml:space="preserve"> within the trial,</w:t>
      </w:r>
      <w:r w:rsidRPr="00D974C2">
        <w:rPr>
          <w:i/>
          <w:iCs/>
        </w:rPr>
        <w:t xml:space="preserve"> patients had to have high FRα expression (defined as </w:t>
      </w:r>
      <w:r w:rsidRPr="00D974C2">
        <w:rPr>
          <w:rFonts w:cs="Calibri"/>
          <w:i/>
          <w:iCs/>
        </w:rPr>
        <w:t>≥</w:t>
      </w:r>
      <w:r w:rsidRPr="00D974C2">
        <w:rPr>
          <w:i/>
          <w:iCs/>
        </w:rPr>
        <w:t xml:space="preserve">75% of viable tumour cells with moderate [2+] or strong [3+] staining) and no more than </w:t>
      </w:r>
      <w:r w:rsidR="00D974C2">
        <w:rPr>
          <w:i/>
          <w:iCs/>
        </w:rPr>
        <w:t>three</w:t>
      </w:r>
      <w:r w:rsidRPr="00D974C2">
        <w:rPr>
          <w:i/>
          <w:iCs/>
        </w:rPr>
        <w:t xml:space="preserve"> lines of prior lines of therapy. PASC noted that in the key MIRASOL trial, only one in three platinum resistant patients met the eligibility criteria for FRα expression. PASC noted that eligibility criteria for FRα expression and prior lines of treatment were not well evidenced and were based on Phase </w:t>
      </w:r>
      <w:r w:rsidR="00D77913">
        <w:rPr>
          <w:i/>
          <w:iCs/>
        </w:rPr>
        <w:t>1</w:t>
      </w:r>
      <w:r w:rsidRPr="00D974C2">
        <w:rPr>
          <w:i/>
          <w:iCs/>
        </w:rPr>
        <w:t xml:space="preserve"> expansion studies (Martin</w:t>
      </w:r>
      <w:r w:rsidR="00BE43EE">
        <w:rPr>
          <w:i/>
          <w:iCs/>
        </w:rPr>
        <w:t xml:space="preserve">, </w:t>
      </w:r>
      <w:r w:rsidRPr="00D974C2">
        <w:rPr>
          <w:i/>
          <w:iCs/>
        </w:rPr>
        <w:t>2017 and Moore</w:t>
      </w:r>
      <w:r w:rsidR="00BE43EE">
        <w:rPr>
          <w:i/>
          <w:iCs/>
        </w:rPr>
        <w:t xml:space="preserve">, </w:t>
      </w:r>
      <w:r w:rsidRPr="00D974C2">
        <w:rPr>
          <w:i/>
          <w:iCs/>
        </w:rPr>
        <w:t xml:space="preserve">2017) with </w:t>
      </w:r>
      <w:r w:rsidR="00BE43EE">
        <w:rPr>
          <w:i/>
          <w:iCs/>
        </w:rPr>
        <w:t xml:space="preserve">a </w:t>
      </w:r>
      <w:r w:rsidRPr="00D974C2">
        <w:rPr>
          <w:i/>
          <w:iCs/>
        </w:rPr>
        <w:t>limited number of patients</w:t>
      </w:r>
      <w:r w:rsidR="001B227D">
        <w:rPr>
          <w:i/>
          <w:iCs/>
        </w:rPr>
        <w:t xml:space="preserve"> as well as results from the </w:t>
      </w:r>
      <w:r w:rsidR="00784A80">
        <w:rPr>
          <w:i/>
          <w:iCs/>
        </w:rPr>
        <w:t xml:space="preserve">Phase 3 </w:t>
      </w:r>
      <w:r w:rsidR="001B227D">
        <w:rPr>
          <w:i/>
          <w:iCs/>
        </w:rPr>
        <w:t>FORWARD-I study</w:t>
      </w:r>
      <w:r w:rsidRPr="00D974C2">
        <w:rPr>
          <w:i/>
          <w:iCs/>
        </w:rPr>
        <w:t>.</w:t>
      </w:r>
    </w:p>
    <w:p w14:paraId="08E4245A" w14:textId="5A4BAC66" w:rsidR="00F02EDE" w:rsidRPr="00F02EDE" w:rsidRDefault="00F02EDE" w:rsidP="00FA4235">
      <w:pPr>
        <w:pStyle w:val="Heading4"/>
        <w:spacing w:after="120"/>
      </w:pPr>
      <w:r>
        <w:t xml:space="preserve">Background and rationale for testing </w:t>
      </w:r>
      <w:r w:rsidRPr="00F02EDE">
        <w:t>FRα</w:t>
      </w:r>
    </w:p>
    <w:p w14:paraId="7B63F600" w14:textId="3379836C" w:rsidR="000E78C1" w:rsidRDefault="00824BC7" w:rsidP="00B3173F">
      <w:r>
        <w:t>I</w:t>
      </w:r>
      <w:r w:rsidR="000E78C1" w:rsidRPr="000E78C1">
        <w:t>n Australia</w:t>
      </w:r>
      <w:r w:rsidR="00E47A9C">
        <w:t xml:space="preserve"> </w:t>
      </w:r>
      <w:r w:rsidR="00F5487C" w:rsidRPr="000E78C1">
        <w:t>in 2023</w:t>
      </w:r>
      <w:r w:rsidR="00F5487C">
        <w:t xml:space="preserve">, </w:t>
      </w:r>
      <w:r w:rsidR="00E47A9C">
        <w:t>the</w:t>
      </w:r>
      <w:r w:rsidR="000E78C1" w:rsidRPr="000E78C1">
        <w:t xml:space="preserve"> death rate </w:t>
      </w:r>
      <w:r w:rsidR="00E47A9C">
        <w:t>from o</w:t>
      </w:r>
      <w:r w:rsidRPr="000E78C1">
        <w:t>varian cancer</w:t>
      </w:r>
      <w:r w:rsidR="00F5487C">
        <w:t xml:space="preserve"> </w:t>
      </w:r>
      <w:r w:rsidR="00CB70AD">
        <w:t>was</w:t>
      </w:r>
      <w:r w:rsidR="000E78C1" w:rsidRPr="000E78C1">
        <w:t xml:space="preserve"> 4.</w:t>
      </w:r>
      <w:r w:rsidR="009C193C">
        <w:t>6</w:t>
      </w:r>
      <w:r w:rsidR="000E78C1" w:rsidRPr="000E78C1">
        <w:t>% of all female cancers</w:t>
      </w:r>
      <w:r w:rsidR="00D71720" w:rsidRPr="00D71720">
        <w:t xml:space="preserve"> </w:t>
      </w:r>
      <w:r w:rsidR="00D71720">
        <w:t>(</w:t>
      </w:r>
      <w:r w:rsidR="00D71720" w:rsidRPr="002662FC">
        <w:t>ACRF 2024)</w:t>
      </w:r>
      <w:r w:rsidR="00FE5F40" w:rsidRPr="002662FC">
        <w:t>.</w:t>
      </w:r>
      <w:r w:rsidR="000E78C1" w:rsidRPr="000E78C1">
        <w:t xml:space="preserve"> </w:t>
      </w:r>
      <w:r w:rsidR="009C7FC9" w:rsidRPr="009C7FC9">
        <w:t>There are currently no recommended screening tests for ovarian cancer and the absence of definitive symptoms makes it difficult to diagnose in the early stages</w:t>
      </w:r>
      <w:r w:rsidR="00D835A3">
        <w:t>.</w:t>
      </w:r>
      <w:r w:rsidR="009C7FC9" w:rsidRPr="009C7FC9">
        <w:t xml:space="preserve"> </w:t>
      </w:r>
      <w:r w:rsidR="009B26AE" w:rsidRPr="009B26AE">
        <w:t xml:space="preserve">Over the last 30 years, mortality rates from ovarian cancer have remained poor </w:t>
      </w:r>
      <w:r w:rsidR="009E256A">
        <w:t>(</w:t>
      </w:r>
      <w:r w:rsidR="009B26AE" w:rsidRPr="009B26AE">
        <w:t>Torre</w:t>
      </w:r>
      <w:r w:rsidR="00EA2960">
        <w:t>,</w:t>
      </w:r>
      <w:r w:rsidR="009B26AE" w:rsidRPr="009B26AE">
        <w:t xml:space="preserve"> 2018</w:t>
      </w:r>
      <w:r w:rsidR="009E256A">
        <w:t xml:space="preserve">) </w:t>
      </w:r>
      <w:r w:rsidR="009B26AE" w:rsidRPr="009B26AE">
        <w:t xml:space="preserve">with patients </w:t>
      </w:r>
      <w:r w:rsidR="00795F48">
        <w:t>diagnosed with</w:t>
      </w:r>
      <w:r w:rsidR="009B26AE" w:rsidRPr="009B26AE">
        <w:t xml:space="preserve"> advanced disease (Stage III and IV) having </w:t>
      </w:r>
      <w:r w:rsidR="009B26AE" w:rsidRPr="009B26AE">
        <w:lastRenderedPageBreak/>
        <w:t>a 10-year survival rate of 10–30%</w:t>
      </w:r>
      <w:r w:rsidR="00332548">
        <w:t xml:space="preserve"> (</w:t>
      </w:r>
      <w:r w:rsidR="009B26AE" w:rsidRPr="009B26AE">
        <w:t>Oza</w:t>
      </w:r>
      <w:r w:rsidR="00EA2960">
        <w:t>,</w:t>
      </w:r>
      <w:r w:rsidR="009B26AE" w:rsidRPr="009B26AE">
        <w:t xml:space="preserve"> 2011</w:t>
      </w:r>
      <w:r w:rsidR="00BE43EE">
        <w:t>;</w:t>
      </w:r>
      <w:r w:rsidR="0004415D">
        <w:t xml:space="preserve"> a Canadian review</w:t>
      </w:r>
      <w:r w:rsidR="00EA2960">
        <w:t>).</w:t>
      </w:r>
      <w:r w:rsidR="00EA2960" w:rsidRPr="00EA2960">
        <w:t xml:space="preserve"> </w:t>
      </w:r>
      <w:r w:rsidR="00215120">
        <w:t>In Australia</w:t>
      </w:r>
      <w:r w:rsidR="0004415D">
        <w:t>,</w:t>
      </w:r>
      <w:r w:rsidR="00EA2960" w:rsidRPr="009C7FC9">
        <w:t xml:space="preserve"> </w:t>
      </w:r>
      <w:r w:rsidR="00215120">
        <w:t>the</w:t>
      </w:r>
      <w:r w:rsidR="00EA2960" w:rsidRPr="009C7FC9">
        <w:t xml:space="preserve"> five-year survival rate </w:t>
      </w:r>
      <w:r w:rsidR="00215120">
        <w:t>is</w:t>
      </w:r>
      <w:r w:rsidR="00A603AC">
        <w:t xml:space="preserve"> </w:t>
      </w:r>
      <w:r w:rsidR="00EA2960" w:rsidRPr="009C7FC9">
        <w:t>4</w:t>
      </w:r>
      <w:r w:rsidR="00EA2960">
        <w:t>9</w:t>
      </w:r>
      <w:r w:rsidR="00EA2960" w:rsidRPr="009C7FC9">
        <w:t>%</w:t>
      </w:r>
      <w:r w:rsidR="00D8304A">
        <w:rPr>
          <w:rStyle w:val="FootnoteReference"/>
        </w:rPr>
        <w:footnoteReference w:id="7"/>
      </w:r>
      <w:r w:rsidR="00EA2960" w:rsidRPr="00CB70AD">
        <w:t>.</w:t>
      </w:r>
    </w:p>
    <w:p w14:paraId="2EC9B863" w14:textId="78BCCB51" w:rsidR="000467F5" w:rsidRDefault="000467F5" w:rsidP="00B3173F">
      <w:r w:rsidRPr="000467F5">
        <w:t>Ovarian cancer can be classified in two histological subtypes, epithelial and non-epithelial</w:t>
      </w:r>
      <w:r w:rsidR="00CA405B">
        <w:t xml:space="preserve">. </w:t>
      </w:r>
      <w:r w:rsidRPr="000467F5">
        <w:t>EOC originates from ovarian surface epithelium (mesothelium) and accounts for 85</w:t>
      </w:r>
      <w:r w:rsidR="00A41564">
        <w:t>-90</w:t>
      </w:r>
      <w:r w:rsidRPr="000467F5">
        <w:t xml:space="preserve">% of all ovarian tumours. The heterogeneity of EOC, which consists of several tumour subtypes with greatly divergent clinicopathologic characteristics and behaviour, poses a major challenge to understanding the pathophysiology of the disease. HGSOC is the most common and aggressive form of EOC, which accounts for about ~70% of all </w:t>
      </w:r>
      <w:r w:rsidR="00F11E12">
        <w:t xml:space="preserve">EOC </w:t>
      </w:r>
      <w:r w:rsidRPr="000467F5">
        <w:t>cases and it is the leading cause of cancer-related death among all gynaecological cancers worldwide</w:t>
      </w:r>
      <w:r w:rsidR="00CA7BD4">
        <w:t xml:space="preserve">. </w:t>
      </w:r>
      <w:r w:rsidRPr="000467F5">
        <w:t xml:space="preserve">Less common types of </w:t>
      </w:r>
      <w:r w:rsidR="00E37ADC">
        <w:t>EOCs</w:t>
      </w:r>
      <w:r w:rsidRPr="000467F5">
        <w:t xml:space="preserve"> include</w:t>
      </w:r>
      <w:r w:rsidRPr="00B87085">
        <w:t>: endometrioid carcinoma,</w:t>
      </w:r>
      <w:r w:rsidRPr="000467F5">
        <w:t xml:space="preserve"> which consists of</w:t>
      </w:r>
      <w:r w:rsidR="00072A3B">
        <w:t xml:space="preserve"> </w:t>
      </w:r>
      <w:r w:rsidRPr="000467F5">
        <w:t>about ~20% of EOC and occurs more commonly in women with endometriosis; low-grade serous ovarian carcinoma</w:t>
      </w:r>
      <w:r w:rsidR="00FB2EA1">
        <w:t xml:space="preserve">, </w:t>
      </w:r>
      <w:r w:rsidRPr="000467F5">
        <w:t>which is a slow-growing tumour that accounts for about 5% of EOC; mucinous carcinoma, which is more distinct and tends to be large (around 20 cm); and ovarian clear cell carcinoma accounts for approximately 5% of all ovarian carcinomas and is characteri</w:t>
      </w:r>
      <w:r w:rsidR="00BF7942">
        <w:t>s</w:t>
      </w:r>
      <w:r w:rsidRPr="000467F5">
        <w:t xml:space="preserve">ed by a high recurrence rate </w:t>
      </w:r>
      <w:r w:rsidR="00D66632">
        <w:t>(</w:t>
      </w:r>
      <w:r w:rsidRPr="000467F5">
        <w:t>Atallah</w:t>
      </w:r>
      <w:r w:rsidR="00353F11">
        <w:t>,</w:t>
      </w:r>
      <w:r w:rsidRPr="000467F5">
        <w:t xml:space="preserve"> 2023</w:t>
      </w:r>
      <w:r w:rsidR="00D66632">
        <w:t>).</w:t>
      </w:r>
    </w:p>
    <w:p w14:paraId="7B469B0E" w14:textId="7FD3C90B" w:rsidR="00D226E2" w:rsidRDefault="00C822EC" w:rsidP="00B3173F">
      <w:r w:rsidRPr="00C822EC">
        <w:t xml:space="preserve">In contrast to other common epithelial cancers, </w:t>
      </w:r>
      <w:r w:rsidR="00E37ADC">
        <w:t>HGSOCs</w:t>
      </w:r>
      <w:r w:rsidRPr="00C822EC">
        <w:t xml:space="preserve"> are initially hypersensitive to</w:t>
      </w:r>
      <w:r>
        <w:t xml:space="preserve"> </w:t>
      </w:r>
      <w:r w:rsidRPr="00C822EC">
        <w:t xml:space="preserve">platinum chemotherapy. </w:t>
      </w:r>
    </w:p>
    <w:p w14:paraId="640490F0" w14:textId="34F80447" w:rsidR="00A43156" w:rsidRDefault="00C822EC" w:rsidP="00E27669">
      <w:r w:rsidRPr="00C822EC">
        <w:t xml:space="preserve">Of patients </w:t>
      </w:r>
      <w:r w:rsidR="1CB9EC33">
        <w:t>w</w:t>
      </w:r>
      <w:r w:rsidR="1E3D5484">
        <w:t>ith</w:t>
      </w:r>
      <w:r w:rsidR="1CB9EC33">
        <w:t xml:space="preserve"> </w:t>
      </w:r>
      <w:r w:rsidR="6F12958A">
        <w:t>an</w:t>
      </w:r>
      <w:r w:rsidRPr="00C822EC">
        <w:t xml:space="preserve"> initial</w:t>
      </w:r>
      <w:r w:rsidR="00320C75">
        <w:t xml:space="preserve"> </w:t>
      </w:r>
      <w:r w:rsidR="1CB9EC33">
        <w:t>response</w:t>
      </w:r>
      <w:r w:rsidR="00F11E12">
        <w:t xml:space="preserve"> to platinum chemotherapy</w:t>
      </w:r>
      <w:r w:rsidRPr="00C822EC">
        <w:t xml:space="preserve">, 75% </w:t>
      </w:r>
      <w:r w:rsidR="00214ED3" w:rsidRPr="00C822EC">
        <w:t>to</w:t>
      </w:r>
      <w:r w:rsidR="00214ED3">
        <w:t xml:space="preserve"> 80% </w:t>
      </w:r>
      <w:r w:rsidR="00E602C6">
        <w:t xml:space="preserve">will </w:t>
      </w:r>
      <w:r w:rsidR="00320C75">
        <w:t>e</w:t>
      </w:r>
      <w:r w:rsidR="00AF4EF4">
        <w:t xml:space="preserve">ventually </w:t>
      </w:r>
      <w:r w:rsidRPr="00C822EC">
        <w:t>relapse</w:t>
      </w:r>
      <w:r w:rsidR="00DC2DF7">
        <w:t xml:space="preserve"> (</w:t>
      </w:r>
      <w:r w:rsidR="00F933E3">
        <w:t xml:space="preserve">Cooke, 2011; </w:t>
      </w:r>
      <w:r w:rsidR="00DC2DF7" w:rsidRPr="00DC2DF7">
        <w:t>Lokadasan</w:t>
      </w:r>
      <w:r w:rsidR="00DC2DF7">
        <w:t xml:space="preserve">, </w:t>
      </w:r>
      <w:r w:rsidR="00DC2DF7" w:rsidRPr="00DC2DF7">
        <w:t>2016</w:t>
      </w:r>
      <w:r w:rsidR="00DC2DF7">
        <w:t>)</w:t>
      </w:r>
      <w:r w:rsidR="00636101">
        <w:t xml:space="preserve"> </w:t>
      </w:r>
      <w:r w:rsidR="00636101" w:rsidRPr="00636101">
        <w:t>and nearly all patients with recurrent disease will eventually develop platinum resistance</w:t>
      </w:r>
      <w:r w:rsidR="00636101">
        <w:t>.</w:t>
      </w:r>
      <w:r w:rsidR="00A14829">
        <w:t xml:space="preserve"> </w:t>
      </w:r>
      <w:r w:rsidR="002C2F17" w:rsidRPr="00FA4235">
        <w:t xml:space="preserve">At </w:t>
      </w:r>
      <w:r w:rsidR="00A14829" w:rsidRPr="00FA4235">
        <w:t xml:space="preserve">the </w:t>
      </w:r>
      <w:r w:rsidR="006866D3">
        <w:t>p</w:t>
      </w:r>
      <w:r w:rsidR="003321AB" w:rsidRPr="00FA4235">
        <w:t xml:space="preserve">re-PASC </w:t>
      </w:r>
      <w:r w:rsidR="002C2F17" w:rsidRPr="00FA4235">
        <w:t>teleconference</w:t>
      </w:r>
      <w:r w:rsidR="00AC3398">
        <w:t xml:space="preserve">, the applicant’s clinical </w:t>
      </w:r>
      <w:r w:rsidR="00DD3EF4">
        <w:t xml:space="preserve">expert indicated that approximately </w:t>
      </w:r>
      <w:r w:rsidR="00A14829" w:rsidRPr="00A14829">
        <w:t xml:space="preserve">60-70% of recurrences of high grade serous cancers are platinum sensitive and even if </w:t>
      </w:r>
      <w:r w:rsidR="00DD3EF4">
        <w:t>response to</w:t>
      </w:r>
      <w:r w:rsidR="00A14829" w:rsidRPr="00A14829">
        <w:t xml:space="preserve"> one or two lines of platinum </w:t>
      </w:r>
      <w:r w:rsidR="00DD3EF4">
        <w:t xml:space="preserve">is achieved, </w:t>
      </w:r>
      <w:r w:rsidR="00A14829" w:rsidRPr="00A14829">
        <w:t>secondary platinum resistance</w:t>
      </w:r>
      <w:r w:rsidR="00875612">
        <w:t xml:space="preserve"> will occur</w:t>
      </w:r>
      <w:r w:rsidR="00DD3EF4">
        <w:t xml:space="preserve"> and that t</w:t>
      </w:r>
      <w:r w:rsidR="00A14829" w:rsidRPr="00A14829">
        <w:t xml:space="preserve">here are only a small percentage </w:t>
      </w:r>
      <w:r w:rsidR="00875612">
        <w:t xml:space="preserve">of patients </w:t>
      </w:r>
      <w:r w:rsidR="00A14829" w:rsidRPr="00A14829">
        <w:t xml:space="preserve">who don’t develop resistance to </w:t>
      </w:r>
      <w:r w:rsidR="00DD3EF4">
        <w:t>one</w:t>
      </w:r>
      <w:r w:rsidR="00DD3EF4" w:rsidRPr="00A14829">
        <w:t xml:space="preserve"> </w:t>
      </w:r>
      <w:r w:rsidR="00A14829" w:rsidRPr="00A14829">
        <w:t xml:space="preserve">or </w:t>
      </w:r>
      <w:r w:rsidR="00DD3EF4">
        <w:t>two</w:t>
      </w:r>
      <w:r w:rsidR="00A14829" w:rsidRPr="00A14829">
        <w:t xml:space="preserve"> lines of subsequent </w:t>
      </w:r>
      <w:r w:rsidR="00FE05CC">
        <w:t>platinum</w:t>
      </w:r>
      <w:r w:rsidR="3D713C60">
        <w:t>-</w:t>
      </w:r>
      <w:r w:rsidR="00A14829" w:rsidRPr="00A14829">
        <w:t>based chemo</w:t>
      </w:r>
      <w:r w:rsidR="00BF7942" w:rsidRPr="00FA4235">
        <w:t>therapy</w:t>
      </w:r>
      <w:r w:rsidR="00A14829" w:rsidRPr="00A14829">
        <w:t>.</w:t>
      </w:r>
      <w:r w:rsidR="008E2F0D">
        <w:t xml:space="preserve"> </w:t>
      </w:r>
    </w:p>
    <w:p w14:paraId="302F0ABF" w14:textId="1B9774C9" w:rsidR="00C1667C" w:rsidRPr="00FA4235" w:rsidRDefault="00C1667C" w:rsidP="00114EC5">
      <w:r w:rsidRPr="00FA4235">
        <w:t xml:space="preserve">Folate is essential for DNA replication, methylation, and the synthesis of nucleotide precursors. </w:t>
      </w:r>
      <w:r w:rsidR="00892031">
        <w:t>F</w:t>
      </w:r>
      <w:r w:rsidRPr="00FA4235">
        <w:t>olate and FRα have an important role in the process of cancer progression. Growing evidence shows that various solid tumours (including ovarian cancer) are characteri</w:t>
      </w:r>
      <w:r w:rsidR="00C233C6" w:rsidRPr="00FA4235">
        <w:t>s</w:t>
      </w:r>
      <w:r w:rsidRPr="00FA4235">
        <w:t>ed by FRα overexpression, which can be leveraged to deliver targeted therapy (Bogani, 2024).</w:t>
      </w:r>
    </w:p>
    <w:p w14:paraId="7A7CF2A7" w14:textId="1C680FF9" w:rsidR="00C1667C" w:rsidRPr="00CD0951" w:rsidRDefault="00C1667C" w:rsidP="00114EC5">
      <w:r w:rsidRPr="00FA4235">
        <w:t>It was reported that 76</w:t>
      </w:r>
      <w:r w:rsidR="00114EC5" w:rsidRPr="00FA4235">
        <w:t xml:space="preserve"> to </w:t>
      </w:r>
      <w:r w:rsidRPr="00FA4235">
        <w:t xml:space="preserve">89% </w:t>
      </w:r>
      <w:r w:rsidRPr="00DD3EF4">
        <w:t xml:space="preserve">of </w:t>
      </w:r>
      <w:r w:rsidR="00260B66">
        <w:t>EOC</w:t>
      </w:r>
      <w:r w:rsidRPr="00DD3EF4">
        <w:t xml:space="preserve">s have FRα </w:t>
      </w:r>
      <w:r w:rsidRPr="00FA4235">
        <w:t>overexpression, which is absent in the normal ovarian epithelium (</w:t>
      </w:r>
      <w:r w:rsidRPr="00FA4235">
        <w:rPr>
          <w:rFonts w:asciiTheme="minorHAnsi" w:hAnsiTheme="minorHAnsi" w:cstheme="minorHAnsi"/>
        </w:rPr>
        <w:t xml:space="preserve">Kalli, 2008; </w:t>
      </w:r>
      <w:r w:rsidRPr="00FA4235">
        <w:t>Moore, 2018</w:t>
      </w:r>
      <w:r w:rsidR="00114EC5" w:rsidRPr="00FA4235">
        <w:t>;</w:t>
      </w:r>
      <w:r w:rsidRPr="00FA4235">
        <w:t xml:space="preserve"> Scaranti, 2020)</w:t>
      </w:r>
      <w:r w:rsidR="00114EC5" w:rsidRPr="00FA4235">
        <w:t xml:space="preserve">. </w:t>
      </w:r>
      <w:r w:rsidRPr="00FA4235">
        <w:t>However, differential levels of FRα expression have been observed across different histological subtypes of ovarian cancer. For example, a consortium-based study drawing from 12 studies noted FRα expression in 76% of high-grade serous, 50% of low-grade serous and 32% of clear-cell ovarian cancers (Scaranti, 2020).</w:t>
      </w:r>
      <w:r w:rsidRPr="00FA4235">
        <w:rPr>
          <w:rFonts w:asciiTheme="minorHAnsi" w:hAnsiTheme="minorHAnsi" w:cstheme="minorHAnsi"/>
        </w:rPr>
        <w:t xml:space="preserve"> </w:t>
      </w:r>
      <w:r w:rsidRPr="00FA4235">
        <w:t xml:space="preserve">It was suggested that FRα has emerged as an attractive candidate </w:t>
      </w:r>
      <w:r w:rsidRPr="00DD3EF4">
        <w:t>for tar</w:t>
      </w:r>
      <w:r w:rsidRPr="00FA4235">
        <w:t xml:space="preserve">geted approaches designed to exploit its differential distribution pattern as a novel avenue of therapeutic intervention in EOC. </w:t>
      </w:r>
      <w:r w:rsidR="00AF1CC6" w:rsidRPr="00FA4235">
        <w:t>The ability of FRα to internali</w:t>
      </w:r>
      <w:r w:rsidR="00C233C6" w:rsidRPr="00FA4235">
        <w:t>s</w:t>
      </w:r>
      <w:r w:rsidR="00AF1CC6" w:rsidRPr="00FA4235">
        <w:t>e large molecules makes this receptor well suited for antibody-drug conjugate-based therapeutic approaches (Martin, 2017).</w:t>
      </w:r>
      <w:r w:rsidR="00AF1CC6">
        <w:t xml:space="preserve"> </w:t>
      </w:r>
    </w:p>
    <w:p w14:paraId="6EAC0505" w14:textId="3C134D6C" w:rsidR="00F87014" w:rsidRPr="007B0E17" w:rsidRDefault="0060050D" w:rsidP="00114EC5">
      <w:bookmarkStart w:id="2" w:name="_Hlk181102745"/>
      <w:r w:rsidRPr="0060050D">
        <w:t xml:space="preserve">Mirvetuximab soravtansine </w:t>
      </w:r>
      <w:bookmarkEnd w:id="2"/>
      <w:r w:rsidRPr="0060050D">
        <w:t>is a FRα-directed antibody and microtubule inhibitor conjugate with a unique ability to specifically target FRα</w:t>
      </w:r>
      <w:r w:rsidR="00575186" w:rsidRPr="002642C7">
        <w:t>.</w:t>
      </w:r>
      <w:r w:rsidR="00BF5124" w:rsidRPr="002642C7">
        <w:t xml:space="preserve"> </w:t>
      </w:r>
      <w:r w:rsidR="002642C7" w:rsidRPr="00DD3EF4">
        <w:t xml:space="preserve">In November </w:t>
      </w:r>
      <w:r w:rsidR="000B65FE" w:rsidRPr="00DD3EF4">
        <w:t>2022</w:t>
      </w:r>
      <w:r w:rsidR="00DD3EF4">
        <w:t>,</w:t>
      </w:r>
      <w:r w:rsidR="000B65FE" w:rsidRPr="00DD3EF4">
        <w:t xml:space="preserve"> the FDA granted accelerated approval to mirvetuximab soravtansine-gynx </w:t>
      </w:r>
      <w:r w:rsidR="00875612">
        <w:t>(</w:t>
      </w:r>
      <w:r w:rsidR="00875612" w:rsidRPr="00885C99">
        <w:t xml:space="preserve">this is assumed to be the same as mirvetuximab soravtansine in the </w:t>
      </w:r>
      <w:r w:rsidR="00875612" w:rsidRPr="00885C99">
        <w:lastRenderedPageBreak/>
        <w:t>current request</w:t>
      </w:r>
      <w:r w:rsidR="004F5226" w:rsidRPr="00885C99">
        <w:t>)</w:t>
      </w:r>
      <w:r w:rsidR="00BE0A9A" w:rsidRPr="007B0E17">
        <w:rPr>
          <w:i/>
          <w:iCs/>
        </w:rPr>
        <w:t>,</w:t>
      </w:r>
      <w:r w:rsidR="00875612" w:rsidRPr="007B0E17">
        <w:rPr>
          <w:i/>
          <w:iCs/>
        </w:rPr>
        <w:t xml:space="preserve"> </w:t>
      </w:r>
      <w:r w:rsidR="000B65FE" w:rsidRPr="00DD3EF4">
        <w:t xml:space="preserve">for treatment of adult patients with FRα-positive, </w:t>
      </w:r>
      <w:r w:rsidR="00FE05CC" w:rsidRPr="00DD3EF4">
        <w:t xml:space="preserve">platinum </w:t>
      </w:r>
      <w:r w:rsidR="000B65FE" w:rsidRPr="00DD3EF4">
        <w:t>resistant epithelial ovarian, fallopian tube or primary peritoneal cancer who have received one to three prior systemic therapies</w:t>
      </w:r>
      <w:r w:rsidR="008E06F4" w:rsidRPr="00DD3EF4">
        <w:t>.</w:t>
      </w:r>
      <w:r w:rsidR="00FB5FD5" w:rsidRPr="00DD3EF4">
        <w:t xml:space="preserve"> </w:t>
      </w:r>
    </w:p>
    <w:p w14:paraId="49AF25F3" w14:textId="11B8B568" w:rsidR="0014720C" w:rsidRPr="00FA4235" w:rsidRDefault="0014720C" w:rsidP="00FA4235">
      <w:pPr>
        <w:pStyle w:val="Heading4"/>
        <w:spacing w:after="120"/>
        <w:rPr>
          <w:b/>
        </w:rPr>
      </w:pPr>
      <w:r>
        <w:t>Estimated utilisation</w:t>
      </w:r>
    </w:p>
    <w:p w14:paraId="676AC861" w14:textId="27148FD2" w:rsidR="007C7EC1" w:rsidRDefault="0014720C" w:rsidP="0014720C">
      <w:r w:rsidRPr="0014720C">
        <w:t xml:space="preserve">Based on AIHW data, the incidence of ovarian cancer (inclusive of fallopian tube and peritoneum) is 13.5 cases per 100,000 females, which </w:t>
      </w:r>
      <w:r w:rsidR="006B4ECE">
        <w:t xml:space="preserve">the application estimated </w:t>
      </w:r>
      <w:r w:rsidRPr="0014720C">
        <w:t>would equate to 1,833 cases based on the 2024 population</w:t>
      </w:r>
      <w:r>
        <w:t xml:space="preserve">. </w:t>
      </w:r>
      <w:r w:rsidR="000B35F8">
        <w:t>The application</w:t>
      </w:r>
      <w:r w:rsidRPr="0014720C">
        <w:t xml:space="preserve"> also estimated that 90% of cases are epithelial and 65% are diagnosed at Stage III/IV (Cancer Council; NCI 2017 SEER data</w:t>
      </w:r>
      <w:r w:rsidR="00121DC9">
        <w:rPr>
          <w:rStyle w:val="FootnoteReference"/>
        </w:rPr>
        <w:footnoteReference w:id="8"/>
      </w:r>
      <w:r w:rsidRPr="0014720C">
        <w:t>).</w:t>
      </w:r>
      <w:r>
        <w:t xml:space="preserve"> </w:t>
      </w:r>
      <w:r w:rsidRPr="0014720C">
        <w:t>Therefore</w:t>
      </w:r>
      <w:r w:rsidR="006B4ECE">
        <w:t>,</w:t>
      </w:r>
      <w:r w:rsidRPr="0014720C">
        <w:t xml:space="preserve"> the incidence of advanced epithelial ovarian cancer would reflect roughly 1,100 patients.</w:t>
      </w:r>
      <w:r w:rsidR="006B4ECE">
        <w:t xml:space="preserve"> </w:t>
      </w:r>
      <w:r w:rsidR="000B35F8">
        <w:t>The application</w:t>
      </w:r>
      <w:r w:rsidR="006B4ECE">
        <w:t xml:space="preserve"> assumed</w:t>
      </w:r>
      <w:r w:rsidR="000B35F8">
        <w:t xml:space="preserve"> the uptake rates</w:t>
      </w:r>
      <w:r w:rsidR="006B4ECE">
        <w:t xml:space="preserve"> to be </w:t>
      </w:r>
      <w:r w:rsidR="00612B20" w:rsidRPr="00612B20">
        <w:t>REDACTED</w:t>
      </w:r>
      <w:r w:rsidR="006B4ECE" w:rsidRPr="00612B20">
        <w:t xml:space="preserve">%, </w:t>
      </w:r>
      <w:r w:rsidR="00612B20" w:rsidRPr="00612B20">
        <w:t>REDACTED</w:t>
      </w:r>
      <w:r w:rsidR="006B4ECE" w:rsidRPr="00612B20">
        <w:t xml:space="preserve">%, </w:t>
      </w:r>
      <w:r w:rsidR="00612B20" w:rsidRPr="00612B20">
        <w:t>REDACTED</w:t>
      </w:r>
      <w:r w:rsidR="006B4ECE" w:rsidRPr="00612B20">
        <w:t xml:space="preserve">% and </w:t>
      </w:r>
      <w:r w:rsidR="00612B20" w:rsidRPr="00612B20">
        <w:t>REDACTED</w:t>
      </w:r>
      <w:r w:rsidR="006B4ECE" w:rsidRPr="00612B20">
        <w:t>%</w:t>
      </w:r>
      <w:r w:rsidR="006B4ECE">
        <w:t xml:space="preserve"> in Year 1, Year 2, Year</w:t>
      </w:r>
      <w:r w:rsidR="00773A7A">
        <w:t xml:space="preserve"> </w:t>
      </w:r>
      <w:r w:rsidR="006B4ECE">
        <w:t>3 and Year 4</w:t>
      </w:r>
      <w:r w:rsidR="00892031">
        <w:t>, respectively</w:t>
      </w:r>
      <w:r w:rsidR="006B4ECE">
        <w:t xml:space="preserve">. </w:t>
      </w:r>
      <w:r w:rsidR="006B4ECE" w:rsidRPr="006B4ECE">
        <w:t>Out of the 1,100 advanced epithelial cancer patients estimated above, approximately 70% (770) of these will go on to receive treatment (Beachler</w:t>
      </w:r>
      <w:r w:rsidR="006B4ECE">
        <w:t>,</w:t>
      </w:r>
      <w:r w:rsidR="006B4ECE" w:rsidRPr="006B4ECE">
        <w:t xml:space="preserve"> 2020). If all these patients </w:t>
      </w:r>
      <w:r w:rsidR="006B4ECE">
        <w:t xml:space="preserve">are assumed to </w:t>
      </w:r>
      <w:r w:rsidR="006B4ECE" w:rsidRPr="006B4ECE">
        <w:t>have the opportunity to receive FR</w:t>
      </w:r>
      <w:r w:rsidR="006B4ECE">
        <w:rPr>
          <w:rFonts w:cs="Calibri"/>
        </w:rPr>
        <w:t>α</w:t>
      </w:r>
      <w:r w:rsidR="006B4ECE" w:rsidRPr="006B4ECE">
        <w:t xml:space="preserve"> testing, </w:t>
      </w:r>
      <w:r w:rsidR="006B4ECE">
        <w:t xml:space="preserve">approximately </w:t>
      </w:r>
      <w:r w:rsidR="00612B20">
        <w:t>REDACTED</w:t>
      </w:r>
      <w:r w:rsidR="006B4ECE" w:rsidRPr="006B4ECE">
        <w:t xml:space="preserve"> patients would utilise the test in Year 1 (</w:t>
      </w:r>
      <w:r w:rsidR="00612B20">
        <w:t>REDACTED</w:t>
      </w:r>
      <w:r w:rsidR="006B4ECE" w:rsidRPr="006B4ECE">
        <w:t>%).</w:t>
      </w:r>
      <w:r w:rsidR="006B4ECE">
        <w:t xml:space="preserve"> The application noted that f</w:t>
      </w:r>
      <w:r w:rsidR="006B4ECE" w:rsidRPr="006B4ECE">
        <w:t>uture testing patterns for FR</w:t>
      </w:r>
      <w:r w:rsidR="006B4ECE">
        <w:rPr>
          <w:rFonts w:cs="Calibri"/>
        </w:rPr>
        <w:t>α</w:t>
      </w:r>
      <w:r w:rsidR="006B4ECE" w:rsidRPr="006B4ECE">
        <w:t xml:space="preserve"> are not yet well understood, given this will be a new biomarker and test within the Australian treatment landscape. Therefore, the above estimate is provided only as an indication. </w:t>
      </w:r>
      <w:r w:rsidR="006B4ECE">
        <w:t>The applicant has advise</w:t>
      </w:r>
      <w:r w:rsidR="00121DC9">
        <w:t>d</w:t>
      </w:r>
      <w:r w:rsidR="006B4ECE">
        <w:t xml:space="preserve"> </w:t>
      </w:r>
      <w:r w:rsidR="000B35F8">
        <w:t xml:space="preserve">that </w:t>
      </w:r>
      <w:r w:rsidR="006B4ECE" w:rsidRPr="006B4ECE">
        <w:t>a detailed analysis of utilisation estimates</w:t>
      </w:r>
      <w:r w:rsidR="000B35F8">
        <w:t xml:space="preserve"> will be provided</w:t>
      </w:r>
      <w:r w:rsidR="006B4ECE" w:rsidRPr="006B4ECE">
        <w:t xml:space="preserve"> within the </w:t>
      </w:r>
      <w:r w:rsidR="006B4ECE">
        <w:t>integrated codependent</w:t>
      </w:r>
      <w:r w:rsidR="006B4ECE" w:rsidRPr="006B4ECE">
        <w:t xml:space="preserve"> submission, which will include sensitivity analyses and consider the impact and likelihood of testing occurring at various stages of the patient journey.</w:t>
      </w:r>
    </w:p>
    <w:p w14:paraId="0E38780D" w14:textId="110760E9" w:rsidR="007A66C8" w:rsidRPr="008F1532" w:rsidRDefault="007A66C8" w:rsidP="00713728">
      <w:pPr>
        <w:pStyle w:val="Heading3"/>
      </w:pPr>
      <w:r w:rsidRPr="008F1532">
        <w:t>Intervention</w:t>
      </w:r>
    </w:p>
    <w:p w14:paraId="021111F2" w14:textId="5999358C" w:rsidR="004A71E2" w:rsidRDefault="004A71E2" w:rsidP="004A71E2">
      <w:pPr>
        <w:pStyle w:val="Instructionaltext"/>
        <w:rPr>
          <w:color w:val="auto"/>
          <w:u w:val="single"/>
        </w:rPr>
      </w:pPr>
      <w:r w:rsidRPr="004A71E2">
        <w:rPr>
          <w:color w:val="auto"/>
          <w:u w:val="single"/>
        </w:rPr>
        <w:t>Test</w:t>
      </w:r>
    </w:p>
    <w:p w14:paraId="6C4AE96E" w14:textId="092D0CE0" w:rsidR="006E515A" w:rsidRPr="003030FA" w:rsidRDefault="00C61055" w:rsidP="002B4435">
      <w:pPr>
        <w:spacing w:before="120"/>
        <w:rPr>
          <w:rFonts w:asciiTheme="minorHAnsi" w:hAnsiTheme="minorHAnsi" w:cstheme="minorHAnsi"/>
        </w:rPr>
      </w:pPr>
      <w:r w:rsidRPr="002B4435">
        <w:rPr>
          <w:rFonts w:asciiTheme="minorHAnsi" w:hAnsiTheme="minorHAnsi" w:cstheme="minorHAnsi"/>
        </w:rPr>
        <w:t xml:space="preserve">The </w:t>
      </w:r>
      <w:r w:rsidR="00177FD4" w:rsidRPr="002B4435">
        <w:rPr>
          <w:rFonts w:asciiTheme="minorHAnsi" w:hAnsiTheme="minorHAnsi" w:cstheme="minorHAnsi"/>
        </w:rPr>
        <w:t>VENTANA</w:t>
      </w:r>
      <w:r w:rsidR="002B03D1" w:rsidRPr="002B4435">
        <w:rPr>
          <w:rFonts w:asciiTheme="minorHAnsi" w:hAnsiTheme="minorHAnsi" w:cstheme="minorHAnsi"/>
        </w:rPr>
        <w:t xml:space="preserve"> FOLR1 (FOLR1-2.1) RxDx Assay</w:t>
      </w:r>
      <w:r w:rsidR="002B03D1" w:rsidRPr="002B4435">
        <w:t xml:space="preserve"> (</w:t>
      </w:r>
      <w:r w:rsidR="002B03D1" w:rsidRPr="002B4435">
        <w:rPr>
          <w:rFonts w:asciiTheme="minorHAnsi" w:hAnsiTheme="minorHAnsi" w:cstheme="minorHAnsi"/>
        </w:rPr>
        <w:t>henceforth referred to as ‘</w:t>
      </w:r>
      <w:r w:rsidR="00177FD4" w:rsidRPr="002B4435">
        <w:rPr>
          <w:rFonts w:asciiTheme="minorHAnsi" w:hAnsiTheme="minorHAnsi" w:cstheme="minorHAnsi"/>
        </w:rPr>
        <w:t>VENTANA</w:t>
      </w:r>
      <w:r w:rsidR="002B03D1" w:rsidRPr="002B4435">
        <w:rPr>
          <w:rFonts w:asciiTheme="minorHAnsi" w:hAnsiTheme="minorHAnsi" w:cstheme="minorHAnsi"/>
        </w:rPr>
        <w:t xml:space="preserve"> FOLR1’) </w:t>
      </w:r>
      <w:r w:rsidRPr="002B4435">
        <w:rPr>
          <w:rFonts w:asciiTheme="minorHAnsi" w:hAnsiTheme="minorHAnsi" w:cstheme="minorHAnsi"/>
        </w:rPr>
        <w:t>was developed for use as a</w:t>
      </w:r>
      <w:r w:rsidR="002B03D1" w:rsidRPr="002B4435">
        <w:rPr>
          <w:rFonts w:asciiTheme="minorHAnsi" w:hAnsiTheme="minorHAnsi" w:cstheme="minorHAnsi"/>
        </w:rPr>
        <w:t xml:space="preserve"> </w:t>
      </w:r>
      <w:r w:rsidRPr="002B4435">
        <w:rPr>
          <w:rFonts w:asciiTheme="minorHAnsi" w:hAnsiTheme="minorHAnsi" w:cstheme="minorHAnsi"/>
        </w:rPr>
        <w:t xml:space="preserve">companion diagnostic to aid pathologists in identifying </w:t>
      </w:r>
      <w:r w:rsidR="003030FA" w:rsidRPr="002B4435">
        <w:rPr>
          <w:rFonts w:asciiTheme="minorHAnsi" w:hAnsiTheme="minorHAnsi" w:cstheme="minorHAnsi"/>
        </w:rPr>
        <w:t xml:space="preserve">FRα </w:t>
      </w:r>
      <w:r w:rsidRPr="002B4435">
        <w:rPr>
          <w:rFonts w:asciiTheme="minorHAnsi" w:hAnsiTheme="minorHAnsi" w:cstheme="minorHAnsi"/>
        </w:rPr>
        <w:t>positive</w:t>
      </w:r>
      <w:r w:rsidR="003030FA" w:rsidRPr="002B4435">
        <w:rPr>
          <w:rFonts w:asciiTheme="minorHAnsi" w:hAnsiTheme="minorHAnsi" w:cstheme="minorHAnsi"/>
        </w:rPr>
        <w:t xml:space="preserve"> </w:t>
      </w:r>
      <w:r w:rsidRPr="002B4435">
        <w:rPr>
          <w:rFonts w:asciiTheme="minorHAnsi" w:hAnsiTheme="minorHAnsi" w:cstheme="minorHAnsi"/>
        </w:rPr>
        <w:t>EOC patients</w:t>
      </w:r>
      <w:r w:rsidR="003030FA" w:rsidRPr="002B4435">
        <w:rPr>
          <w:rFonts w:asciiTheme="minorHAnsi" w:hAnsiTheme="minorHAnsi" w:cstheme="minorHAnsi"/>
        </w:rPr>
        <w:t xml:space="preserve">. </w:t>
      </w:r>
      <w:r w:rsidR="00C311BD" w:rsidRPr="002B4435">
        <w:rPr>
          <w:rFonts w:asciiTheme="minorHAnsi" w:hAnsiTheme="minorHAnsi" w:cstheme="minorHAnsi"/>
        </w:rPr>
        <w:t xml:space="preserve">The applicant </w:t>
      </w:r>
      <w:r w:rsidR="0099347D">
        <w:rPr>
          <w:rFonts w:asciiTheme="minorHAnsi" w:hAnsiTheme="minorHAnsi" w:cstheme="minorHAnsi"/>
        </w:rPr>
        <w:t>noted that</w:t>
      </w:r>
      <w:r w:rsidR="0099347D" w:rsidRPr="002B4435">
        <w:rPr>
          <w:rFonts w:asciiTheme="minorHAnsi" w:hAnsiTheme="minorHAnsi" w:cstheme="minorHAnsi"/>
        </w:rPr>
        <w:t xml:space="preserve"> </w:t>
      </w:r>
      <w:r w:rsidR="00177FD4" w:rsidRPr="002B4435">
        <w:rPr>
          <w:rFonts w:asciiTheme="minorHAnsi" w:hAnsiTheme="minorHAnsi" w:cstheme="minorHAnsi"/>
        </w:rPr>
        <w:t>VENTANA</w:t>
      </w:r>
      <w:r w:rsidR="002B03D1" w:rsidRPr="002B4435">
        <w:rPr>
          <w:rFonts w:asciiTheme="minorHAnsi" w:hAnsiTheme="minorHAnsi" w:cstheme="minorHAnsi"/>
        </w:rPr>
        <w:t xml:space="preserve"> FOLR1 </w:t>
      </w:r>
      <w:r w:rsidR="0099347D">
        <w:rPr>
          <w:rFonts w:asciiTheme="minorHAnsi" w:hAnsiTheme="minorHAnsi" w:cstheme="minorHAnsi"/>
        </w:rPr>
        <w:t>i</w:t>
      </w:r>
      <w:r w:rsidR="00C311BD" w:rsidRPr="002B4435">
        <w:rPr>
          <w:rFonts w:asciiTheme="minorHAnsi" w:hAnsiTheme="minorHAnsi" w:cstheme="minorHAnsi"/>
        </w:rPr>
        <w:t>s a Roche Diagnostics product with current FDA approval as a companion diagnostic for mirvetuximab soravtansine</w:t>
      </w:r>
      <w:r w:rsidR="00001D85" w:rsidRPr="002B4435">
        <w:rPr>
          <w:rFonts w:asciiTheme="minorHAnsi" w:hAnsiTheme="minorHAnsi" w:cstheme="minorHAnsi"/>
        </w:rPr>
        <w:t xml:space="preserve">. </w:t>
      </w:r>
      <w:r w:rsidR="00F40A8A" w:rsidRPr="002B4435">
        <w:rPr>
          <w:rFonts w:asciiTheme="minorHAnsi" w:hAnsiTheme="minorHAnsi" w:cstheme="minorHAnsi"/>
        </w:rPr>
        <w:t>VENTANA FOLR1</w:t>
      </w:r>
      <w:r w:rsidR="00F40A8A">
        <w:rPr>
          <w:rFonts w:asciiTheme="minorHAnsi" w:hAnsiTheme="minorHAnsi" w:cstheme="minorHAnsi"/>
        </w:rPr>
        <w:t xml:space="preserve"> was approved by the </w:t>
      </w:r>
      <w:r w:rsidR="00096CD0">
        <w:rPr>
          <w:rFonts w:asciiTheme="minorHAnsi" w:hAnsiTheme="minorHAnsi" w:cstheme="minorHAnsi"/>
        </w:rPr>
        <w:t xml:space="preserve">FDA </w:t>
      </w:r>
      <w:r w:rsidR="00F40A8A">
        <w:rPr>
          <w:rFonts w:asciiTheme="minorHAnsi" w:hAnsiTheme="minorHAnsi" w:cstheme="minorHAnsi"/>
        </w:rPr>
        <w:t>for the following indication</w:t>
      </w:r>
      <w:r w:rsidR="00096CD0">
        <w:rPr>
          <w:rFonts w:asciiTheme="minorHAnsi" w:hAnsiTheme="minorHAnsi" w:cstheme="minorHAnsi"/>
        </w:rPr>
        <w:t>:</w:t>
      </w:r>
    </w:p>
    <w:p w14:paraId="3CB229A6" w14:textId="721AD269" w:rsidR="00C21CF6" w:rsidRDefault="008D6E0A" w:rsidP="002B4435">
      <w:pPr>
        <w:spacing w:before="120"/>
        <w:ind w:left="720"/>
        <w:rPr>
          <w:rFonts w:asciiTheme="minorHAnsi" w:hAnsiTheme="minorHAnsi" w:cstheme="minorHAnsi"/>
        </w:rPr>
      </w:pPr>
      <w:r>
        <w:rPr>
          <w:rFonts w:asciiTheme="minorHAnsi" w:hAnsiTheme="minorHAnsi" w:cstheme="minorHAnsi"/>
        </w:rPr>
        <w:t>“</w:t>
      </w:r>
      <w:r w:rsidR="00177FD4">
        <w:rPr>
          <w:rFonts w:asciiTheme="minorHAnsi" w:hAnsiTheme="minorHAnsi" w:cstheme="minorHAnsi"/>
        </w:rPr>
        <w:t>VENTANA</w:t>
      </w:r>
      <w:r w:rsidR="00C21CF6" w:rsidRPr="00C21CF6">
        <w:rPr>
          <w:rFonts w:asciiTheme="minorHAnsi" w:hAnsiTheme="minorHAnsi" w:cstheme="minorHAnsi"/>
        </w:rPr>
        <w:t xml:space="preserve"> FOLR1 (FOLR1-2.1) RxDx Assay is a qualitative immunohistochemical assay using mouse monoclonal anti-FOLR1, clone FOLR1-2.1, intended for use in the assessment of folate receptor alpha (FOLR1) protein in formalin-fixed, paraffin-embedded epithelial ovarian, fallopian tube or primary peritoneal cancer tissue specimens by light microscopy. This assay is for use with OptiView DAB IHC Detection Kit for staining on a BenchMark ULTRA instrument. FOLR1 expression clinical cut-off is ≥75% viable tumor cells (TC) with membrane staining at moderate and/or strong intensity levels. This assay is indicated as an aid in identifying patients with epithelial ovarian, fallopian tube, or primary peritoneal cancer who may be eligible for treatment with ELAHERE (mirvetuximab soravtansine). Test results of the </w:t>
      </w:r>
      <w:r w:rsidR="00177FD4">
        <w:rPr>
          <w:rFonts w:asciiTheme="minorHAnsi" w:hAnsiTheme="minorHAnsi" w:cstheme="minorHAnsi"/>
        </w:rPr>
        <w:t>VENTANA</w:t>
      </w:r>
      <w:r w:rsidR="00C21CF6" w:rsidRPr="00C21CF6">
        <w:rPr>
          <w:rFonts w:asciiTheme="minorHAnsi" w:hAnsiTheme="minorHAnsi" w:cstheme="minorHAnsi"/>
        </w:rPr>
        <w:t xml:space="preserve"> FOLR1 (FOLR1-2.1) RxDx Assay should be interpreted by a qualified pathologist in conjunction with histological examination, relevant clinical information, and proper controls. This product is intended for in vitro diagnostic (IVD) use</w:t>
      </w:r>
      <w:r>
        <w:rPr>
          <w:rFonts w:asciiTheme="minorHAnsi" w:hAnsiTheme="minorHAnsi" w:cstheme="minorHAnsi"/>
        </w:rPr>
        <w:t>”</w:t>
      </w:r>
      <w:r w:rsidR="006E515A">
        <w:rPr>
          <w:rFonts w:asciiTheme="minorHAnsi" w:hAnsiTheme="minorHAnsi" w:cstheme="minorHAnsi"/>
        </w:rPr>
        <w:t>.</w:t>
      </w:r>
      <w:r w:rsidR="00C21CF6" w:rsidRPr="00C21CF6">
        <w:rPr>
          <w:rFonts w:asciiTheme="minorHAnsi" w:hAnsiTheme="minorHAnsi" w:cstheme="minorHAnsi"/>
        </w:rPr>
        <w:t xml:space="preserve"> (</w:t>
      </w:r>
      <w:r w:rsidR="00C21CF6" w:rsidRPr="00FA4235">
        <w:rPr>
          <w:rFonts w:asciiTheme="minorHAnsi" w:hAnsiTheme="minorHAnsi" w:cstheme="minorHAnsi"/>
        </w:rPr>
        <w:t>FDA 2022</w:t>
      </w:r>
      <w:r w:rsidRPr="00FA4235">
        <w:rPr>
          <w:rFonts w:asciiTheme="minorHAnsi" w:hAnsiTheme="minorHAnsi" w:cstheme="minorHAnsi"/>
        </w:rPr>
        <w:t>, p</w:t>
      </w:r>
      <w:r w:rsidR="00F55B79">
        <w:rPr>
          <w:rFonts w:asciiTheme="minorHAnsi" w:hAnsiTheme="minorHAnsi" w:cstheme="minorHAnsi"/>
        </w:rPr>
        <w:t>.</w:t>
      </w:r>
      <w:r w:rsidR="00F40A8A">
        <w:rPr>
          <w:rFonts w:asciiTheme="minorHAnsi" w:hAnsiTheme="minorHAnsi" w:cstheme="minorHAnsi"/>
        </w:rPr>
        <w:t xml:space="preserve"> 1</w:t>
      </w:r>
      <w:r w:rsidR="00C21CF6" w:rsidRPr="00C21CF6">
        <w:rPr>
          <w:rFonts w:asciiTheme="minorHAnsi" w:hAnsiTheme="minorHAnsi" w:cstheme="minorHAnsi"/>
        </w:rPr>
        <w:t>).</w:t>
      </w:r>
    </w:p>
    <w:p w14:paraId="7FDA2978" w14:textId="1E51D1EE" w:rsidR="00797425" w:rsidRPr="00F97D18" w:rsidRDefault="00797425" w:rsidP="002B4435">
      <w:pPr>
        <w:rPr>
          <w:rFonts w:asciiTheme="minorHAnsi" w:hAnsiTheme="minorHAnsi" w:cstheme="minorHAnsi"/>
          <w:i/>
        </w:rPr>
      </w:pPr>
      <w:r w:rsidRPr="00F97D18">
        <w:rPr>
          <w:rFonts w:asciiTheme="minorHAnsi" w:hAnsiTheme="minorHAnsi" w:cstheme="minorHAnsi"/>
          <w:i/>
        </w:rPr>
        <w:lastRenderedPageBreak/>
        <w:t xml:space="preserve">PASC noted that the FRα test has two dimensions: (i) prevalence </w:t>
      </w:r>
      <w:r>
        <w:rPr>
          <w:rFonts w:asciiTheme="minorHAnsi" w:hAnsiTheme="minorHAnsi" w:cstheme="minorHAnsi"/>
          <w:i/>
        </w:rPr>
        <w:t xml:space="preserve">- </w:t>
      </w:r>
      <w:r w:rsidRPr="00F97D18">
        <w:rPr>
          <w:rFonts w:asciiTheme="minorHAnsi" w:hAnsiTheme="minorHAnsi" w:cstheme="minorHAnsi"/>
          <w:i/>
        </w:rPr>
        <w:t xml:space="preserve">relates to the percentage of tumour cells that stained positive for FRα and (ii) level - relates to the intensity of membrane staining, assessment of which involves a degree of subjectivity.   </w:t>
      </w:r>
    </w:p>
    <w:p w14:paraId="411B683A" w14:textId="62992852" w:rsidR="00073103" w:rsidRDefault="00177FD4" w:rsidP="002B4435">
      <w:r>
        <w:t>VENTANA</w:t>
      </w:r>
      <w:r w:rsidR="00073103" w:rsidRPr="00A16BCC">
        <w:t xml:space="preserve"> FOLR1 was approved by the FDA based on the</w:t>
      </w:r>
      <w:r w:rsidR="00DA0A89" w:rsidRPr="00DA0A89">
        <w:t xml:space="preserve"> </w:t>
      </w:r>
      <w:r w:rsidR="00DA0A89" w:rsidRPr="009718D8">
        <w:t xml:space="preserve">Phase </w:t>
      </w:r>
      <w:r w:rsidR="00D77913">
        <w:t>2</w:t>
      </w:r>
      <w:r w:rsidR="00D77913" w:rsidRPr="002A4F12">
        <w:t xml:space="preserve"> </w:t>
      </w:r>
      <w:r w:rsidR="00DA0A89" w:rsidRPr="009718D8">
        <w:t xml:space="preserve">single-arm </w:t>
      </w:r>
      <w:r w:rsidR="00835A82" w:rsidRPr="00B76374">
        <w:t>mirvetuximab soravtansine</w:t>
      </w:r>
      <w:r w:rsidR="00835A82" w:rsidRPr="009718D8">
        <w:t xml:space="preserve"> </w:t>
      </w:r>
      <w:r w:rsidR="00892031" w:rsidRPr="00A16BCC">
        <w:t xml:space="preserve">SORAYA </w:t>
      </w:r>
      <w:r w:rsidR="00892031">
        <w:t>study</w:t>
      </w:r>
      <w:r w:rsidR="00DA0A89" w:rsidRPr="009718D8">
        <w:t xml:space="preserve"> </w:t>
      </w:r>
      <w:r w:rsidR="00892031">
        <w:t>enrolling</w:t>
      </w:r>
      <w:r w:rsidR="00DA0A89" w:rsidRPr="009718D8">
        <w:t xml:space="preserve"> patients </w:t>
      </w:r>
      <w:r w:rsidR="00DA0A89">
        <w:t xml:space="preserve">with </w:t>
      </w:r>
      <w:r w:rsidR="00FE05CC">
        <w:t xml:space="preserve">platinum </w:t>
      </w:r>
      <w:r w:rsidR="00DA0A89" w:rsidRPr="009718D8">
        <w:t>resistant epithelial ovarian, fallopian tube, or primary peritoneal cancer</w:t>
      </w:r>
      <w:r w:rsidR="00FD2618">
        <w:t>.</w:t>
      </w:r>
      <w:r w:rsidR="00073103" w:rsidRPr="00A16BCC">
        <w:t xml:space="preserve"> Most of the samples tested with the </w:t>
      </w:r>
      <w:r>
        <w:t>VENTANA</w:t>
      </w:r>
      <w:r w:rsidR="00073103" w:rsidRPr="00A16BCC">
        <w:t xml:space="preserve"> FOLR1 Assay</w:t>
      </w:r>
      <w:r w:rsidR="003F100F">
        <w:t xml:space="preserve"> in the study</w:t>
      </w:r>
      <w:r w:rsidR="00073103" w:rsidRPr="00A16BCC">
        <w:t xml:space="preserve"> were high-grade serous EOC (86.3%; 378 of 438). Samples were either from excision/resection (75.6%; 331 of 438) or biopsy (24.4%; 107 of 438). Most samples were primary tumours (63.7%; 279 of 438) which were located in the ovary (48.6%; 213 of 438), peritoneum (10.0%; 44 of 438), and fallopian tube (3.9%; 17 of 438) (James, 2023, p</w:t>
      </w:r>
      <w:r w:rsidR="00664FC9">
        <w:t>p</w:t>
      </w:r>
      <w:r w:rsidR="00073103" w:rsidRPr="00A16BCC">
        <w:t>.</w:t>
      </w:r>
      <w:r w:rsidR="00664FC9">
        <w:t>5-</w:t>
      </w:r>
      <w:r w:rsidR="00073103" w:rsidRPr="00A16BCC">
        <w:t>6).</w:t>
      </w:r>
    </w:p>
    <w:p w14:paraId="23BD54BB" w14:textId="4DDAB366" w:rsidR="0099347D" w:rsidRDefault="0099347D" w:rsidP="002B4435">
      <w:pPr>
        <w:rPr>
          <w:rFonts w:asciiTheme="minorHAnsi" w:hAnsiTheme="minorHAnsi" w:cstheme="minorHAnsi"/>
        </w:rPr>
      </w:pPr>
      <w:r w:rsidRPr="002B4435">
        <w:t>A</w:t>
      </w:r>
      <w:r w:rsidRPr="002B4435">
        <w:rPr>
          <w:rFonts w:cstheme="minorBidi"/>
        </w:rPr>
        <w:t>t the time of application</w:t>
      </w:r>
      <w:r w:rsidR="006A7C37">
        <w:rPr>
          <w:rFonts w:cstheme="minorBidi"/>
        </w:rPr>
        <w:t>,</w:t>
      </w:r>
      <w:r w:rsidRPr="002B4435">
        <w:rPr>
          <w:rFonts w:cstheme="minorBidi"/>
        </w:rPr>
        <w:t xml:space="preserve"> VENTANA FOLR1</w:t>
      </w:r>
      <w:r w:rsidRPr="002B4435">
        <w:t xml:space="preserve"> </w:t>
      </w:r>
      <w:r w:rsidRPr="002B4435">
        <w:rPr>
          <w:rFonts w:cstheme="minorBidi"/>
        </w:rPr>
        <w:t xml:space="preserve">was the only validated diagnostic assay for FRα status (PICO </w:t>
      </w:r>
      <w:r>
        <w:rPr>
          <w:rFonts w:cstheme="minorBidi"/>
        </w:rPr>
        <w:t>Set Document</w:t>
      </w:r>
      <w:r w:rsidRPr="002B4435">
        <w:rPr>
          <w:rFonts w:cstheme="minorBidi"/>
        </w:rPr>
        <w:t>, p.</w:t>
      </w:r>
      <w:r>
        <w:rPr>
          <w:rFonts w:cstheme="minorBidi"/>
        </w:rPr>
        <w:t>4</w:t>
      </w:r>
      <w:r w:rsidRPr="002B4435">
        <w:rPr>
          <w:rFonts w:cstheme="minorBidi"/>
        </w:rPr>
        <w:t>).</w:t>
      </w:r>
      <w:r w:rsidRPr="002B4435">
        <w:rPr>
          <w:rFonts w:asciiTheme="minorHAnsi" w:hAnsiTheme="minorHAnsi" w:cstheme="minorHAnsi"/>
        </w:rPr>
        <w:t xml:space="preserve"> </w:t>
      </w:r>
      <w:r>
        <w:rPr>
          <w:rFonts w:asciiTheme="minorHAnsi" w:hAnsiTheme="minorHAnsi" w:cstheme="minorHAnsi"/>
        </w:rPr>
        <w:t>Through communications with the Department, t</w:t>
      </w:r>
      <w:r w:rsidRPr="002B4435">
        <w:rPr>
          <w:rFonts w:asciiTheme="minorHAnsi" w:hAnsiTheme="minorHAnsi" w:cstheme="minorHAnsi"/>
        </w:rPr>
        <w:t>he applicant indicated that</w:t>
      </w:r>
      <w:r w:rsidRPr="002B4435">
        <w:t xml:space="preserve"> </w:t>
      </w:r>
      <w:r w:rsidRPr="002B4435">
        <w:rPr>
          <w:rFonts w:asciiTheme="minorHAnsi" w:hAnsiTheme="minorHAnsi" w:cstheme="minorHAnsi"/>
        </w:rPr>
        <w:t>the assay has already been submitted for listing on the Australian Register of Therapeutic Goods (ARTG) as of late July 2024.</w:t>
      </w:r>
    </w:p>
    <w:p w14:paraId="5741EF4E" w14:textId="2CD6A826" w:rsidR="00F51B8A" w:rsidRDefault="00F51B8A" w:rsidP="002B4435">
      <w:r w:rsidRPr="002B4435">
        <w:t>Th</w:t>
      </w:r>
      <w:r w:rsidR="0099347D">
        <w:t>e current</w:t>
      </w:r>
      <w:r w:rsidRPr="002B4435">
        <w:t xml:space="preserve"> M</w:t>
      </w:r>
      <w:r>
        <w:t>SAC</w:t>
      </w:r>
      <w:r w:rsidRPr="002B4435">
        <w:t xml:space="preserve"> </w:t>
      </w:r>
      <w:r w:rsidR="003272C6">
        <w:t xml:space="preserve">application </w:t>
      </w:r>
      <w:r w:rsidRPr="002B4435">
        <w:t>propose</w:t>
      </w:r>
      <w:r w:rsidR="003F100F">
        <w:t>d</w:t>
      </w:r>
      <w:r w:rsidRPr="002B4435">
        <w:t xml:space="preserve"> IHC testing </w:t>
      </w:r>
      <w:r w:rsidR="007900EF">
        <w:t xml:space="preserve">using </w:t>
      </w:r>
      <w:r w:rsidR="002C2E00" w:rsidRPr="002B4435">
        <w:rPr>
          <w:rFonts w:asciiTheme="minorHAnsi" w:hAnsiTheme="minorHAnsi" w:cstheme="minorHAnsi"/>
        </w:rPr>
        <w:t>VENTANA FOLR1 (FOLR1-2.1) RxDx Assay</w:t>
      </w:r>
      <w:r w:rsidRPr="002B4435">
        <w:t xml:space="preserve"> for </w:t>
      </w:r>
      <w:r w:rsidR="003F100F">
        <w:t xml:space="preserve">testing </w:t>
      </w:r>
      <w:r w:rsidRPr="002B4435">
        <w:t xml:space="preserve">FRα expression status </w:t>
      </w:r>
      <w:r>
        <w:t xml:space="preserve">in </w:t>
      </w:r>
      <w:r w:rsidRPr="002B4435">
        <w:t>adult patients with platinum</w:t>
      </w:r>
      <w:r w:rsidR="00AC071C">
        <w:t xml:space="preserve"> </w:t>
      </w:r>
      <w:r w:rsidRPr="00243731">
        <w:t xml:space="preserve">resistant epithelial </w:t>
      </w:r>
      <w:r w:rsidRPr="002B4435">
        <w:t>ovarian, fallopian tube, or primary peritoneal cancer.</w:t>
      </w:r>
    </w:p>
    <w:p w14:paraId="759248D7" w14:textId="583C72E7" w:rsidR="00C01226" w:rsidRPr="002B4435" w:rsidRDefault="09613077" w:rsidP="00FA4235">
      <w:pPr>
        <w:rPr>
          <w:i/>
          <w:iCs/>
        </w:rPr>
      </w:pPr>
      <w:r>
        <w:t>The applica</w:t>
      </w:r>
      <w:r w:rsidR="003272C6">
        <w:t>tion</w:t>
      </w:r>
      <w:r>
        <w:t xml:space="preserve"> state</w:t>
      </w:r>
      <w:r w:rsidR="003272C6">
        <w:t>d that i</w:t>
      </w:r>
      <w:r w:rsidR="008B5A6B">
        <w:t>n Australia</w:t>
      </w:r>
      <w:r w:rsidR="00C233C6">
        <w:t>,</w:t>
      </w:r>
      <w:r w:rsidR="00BB12F4">
        <w:t xml:space="preserve"> </w:t>
      </w:r>
      <w:r w:rsidR="000F1C4D" w:rsidRPr="000F1C4D">
        <w:t xml:space="preserve">IHC testing is a well-established technique in all major pathology </w:t>
      </w:r>
      <w:r w:rsidR="00530B58" w:rsidRPr="002A000D">
        <w:t>laboratories</w:t>
      </w:r>
      <w:r w:rsidR="000F5CD3">
        <w:t xml:space="preserve"> and</w:t>
      </w:r>
      <w:r w:rsidR="002C5CC1" w:rsidRPr="002C5CC1">
        <w:t xml:space="preserve"> that </w:t>
      </w:r>
      <w:r w:rsidR="002C5CC1">
        <w:t>l</w:t>
      </w:r>
      <w:r w:rsidR="00A472D1" w:rsidRPr="002A000D">
        <w:t>aboratories already have the platform infrastructure. The FRα antibody and reagents to perform FRα IHC testing are the only additional resource required.</w:t>
      </w:r>
      <w:r w:rsidR="00A472D1">
        <w:t xml:space="preserve"> </w:t>
      </w:r>
      <w:r w:rsidR="00560D1E" w:rsidRPr="002B4435">
        <w:rPr>
          <w:i/>
          <w:iCs/>
        </w:rPr>
        <w:t xml:space="preserve"> </w:t>
      </w:r>
    </w:p>
    <w:p w14:paraId="5181F5FB" w14:textId="7C9AA22E" w:rsidR="008620BE" w:rsidRPr="00A16BCC" w:rsidRDefault="008620BE" w:rsidP="00A33FD4">
      <w:r w:rsidRPr="00427DBC">
        <w:t>The application recommend</w:t>
      </w:r>
      <w:r w:rsidR="00785709">
        <w:t>ed</w:t>
      </w:r>
      <w:r w:rsidRPr="00427DBC">
        <w:t xml:space="preserve"> that FRα testing be </w:t>
      </w:r>
      <w:r w:rsidR="005D00F6">
        <w:t xml:space="preserve">conducted </w:t>
      </w:r>
      <w:r w:rsidR="005D00F6" w:rsidRPr="00427DBC">
        <w:t xml:space="preserve">once a diagnosis of </w:t>
      </w:r>
      <w:r w:rsidR="005D00F6">
        <w:t xml:space="preserve">platinum </w:t>
      </w:r>
      <w:r w:rsidR="005D00F6" w:rsidRPr="00427DBC">
        <w:t xml:space="preserve">resistant ovarian cancer has been established </w:t>
      </w:r>
      <w:r w:rsidR="005D00F6">
        <w:t xml:space="preserve">and ordering be </w:t>
      </w:r>
      <w:r w:rsidRPr="00427DBC">
        <w:t>restricted to gynaecologists and oncologists (i.e</w:t>
      </w:r>
      <w:r w:rsidR="00C72DA7">
        <w:t>.,</w:t>
      </w:r>
      <w:r w:rsidRPr="00427DBC">
        <w:t xml:space="preserve"> a specialist or consultant physician) (PICO</w:t>
      </w:r>
      <w:r w:rsidR="00A33FD4">
        <w:t xml:space="preserve"> Set Document</w:t>
      </w:r>
      <w:r w:rsidRPr="00427DBC">
        <w:t>, p.</w:t>
      </w:r>
      <w:r w:rsidR="00A33FD4">
        <w:t>4</w:t>
      </w:r>
      <w:r w:rsidRPr="00427DBC">
        <w:t xml:space="preserve">). </w:t>
      </w:r>
      <w:r w:rsidRPr="00A33FD4">
        <w:t>The role of a certified pathologist would be limited to conducting the test and reporting of results.</w:t>
      </w:r>
      <w:r w:rsidRPr="00785709">
        <w:rPr>
          <w:i/>
          <w:iCs/>
        </w:rPr>
        <w:t xml:space="preserve"> </w:t>
      </w:r>
      <w:r w:rsidR="00031169" w:rsidRPr="002A000D">
        <w:t>Delivery of th</w:t>
      </w:r>
      <w:r w:rsidR="00EF6398">
        <w:t xml:space="preserve">is service </w:t>
      </w:r>
      <w:r w:rsidR="00031169" w:rsidRPr="002A000D">
        <w:t xml:space="preserve">would be provided by a pathologist with knowledge and </w:t>
      </w:r>
      <w:r w:rsidR="00031169" w:rsidRPr="002B4435">
        <w:t xml:space="preserve">expertise in </w:t>
      </w:r>
      <w:r w:rsidR="00EF6398">
        <w:t>IHC</w:t>
      </w:r>
      <w:r w:rsidR="00031169" w:rsidRPr="002B4435">
        <w:t xml:space="preserve"> testing. The a</w:t>
      </w:r>
      <w:r w:rsidR="00031169">
        <w:t>pplicant also suggested that c</w:t>
      </w:r>
      <w:r w:rsidR="00031169" w:rsidRPr="005D6005">
        <w:t xml:space="preserve">onsistent with </w:t>
      </w:r>
      <w:r w:rsidR="00031169">
        <w:t xml:space="preserve">the </w:t>
      </w:r>
      <w:r w:rsidR="00031169" w:rsidRPr="005D6005">
        <w:t>introduction of diagnostic tests associated with access to targeted therapies, pathologist training and quality assurance programs would be developed with respect to delivery of diagnostic tests for access to PBS</w:t>
      </w:r>
      <w:r w:rsidR="00031169">
        <w:t>-listed</w:t>
      </w:r>
      <w:r w:rsidR="00031169" w:rsidRPr="005D6005">
        <w:t xml:space="preserve"> treatment.</w:t>
      </w:r>
      <w:r w:rsidR="00031169">
        <w:t xml:space="preserve"> </w:t>
      </w:r>
      <w:r w:rsidRPr="00A16BCC">
        <w:t xml:space="preserve">It was proposed that FRα testing </w:t>
      </w:r>
      <w:r w:rsidR="000C16E9">
        <w:t>would</w:t>
      </w:r>
      <w:r w:rsidR="000C16E9" w:rsidRPr="00A16BCC">
        <w:t xml:space="preserve"> </w:t>
      </w:r>
      <w:r w:rsidRPr="00A16BCC">
        <w:t>be carried out in any pathology laboratory holding the appropriate accreditation to claim pathology services through the MBS. The application also suggested that tumour tissue specimens for the majority of target patient population will be available for testing following primary tumour debulking surgery or may be obtained as formalin-fixed paraffin-embedded (FFPE) blocks, which were archived following primary tumour debulking surgery. Retrieval and review of one or more archived FFPE block are forwarded on to the specialist molecular diagnostic laboratories who are able to analyse the tissue (PICO</w:t>
      </w:r>
      <w:r w:rsidR="00510641">
        <w:t xml:space="preserve"> Set Document</w:t>
      </w:r>
      <w:r w:rsidRPr="00A16BCC">
        <w:t>, p.</w:t>
      </w:r>
      <w:r w:rsidR="00510641">
        <w:t>2</w:t>
      </w:r>
      <w:r w:rsidRPr="00A16BCC">
        <w:t>). Elsewhere</w:t>
      </w:r>
      <w:r w:rsidR="00510641">
        <w:t>,</w:t>
      </w:r>
      <w:r w:rsidRPr="00A16BCC">
        <w:t xml:space="preserve"> the application suggested that the assessment of FRα status in patients involves taking a biopsy of the tumour and performing an </w:t>
      </w:r>
      <w:r w:rsidR="00EF7591">
        <w:t>IHC</w:t>
      </w:r>
      <w:r w:rsidR="00EF7591" w:rsidRPr="00A16BCC">
        <w:t xml:space="preserve"> </w:t>
      </w:r>
      <w:r w:rsidR="00177FD4">
        <w:t>VENTANA</w:t>
      </w:r>
      <w:r w:rsidRPr="00A16BCC">
        <w:t xml:space="preserve"> FOLR1 assay (PICO</w:t>
      </w:r>
      <w:r w:rsidR="00510641">
        <w:t xml:space="preserve"> Set Document</w:t>
      </w:r>
      <w:r w:rsidRPr="00A16BCC">
        <w:t>, p.</w:t>
      </w:r>
      <w:r w:rsidR="00510641">
        <w:t>4</w:t>
      </w:r>
      <w:r w:rsidRPr="00A16BCC">
        <w:t>).</w:t>
      </w:r>
    </w:p>
    <w:p w14:paraId="6774FB08" w14:textId="2BB7C03F" w:rsidR="008620BE" w:rsidRPr="00FA4235" w:rsidRDefault="00EF7591" w:rsidP="00A33FD4">
      <w:r>
        <w:t>B</w:t>
      </w:r>
      <w:r w:rsidR="008620BE" w:rsidRPr="00EF7591">
        <w:t>iopsy procedure</w:t>
      </w:r>
      <w:r>
        <w:t>s</w:t>
      </w:r>
      <w:r w:rsidR="008620BE" w:rsidRPr="00EF7591">
        <w:t xml:space="preserve"> </w:t>
      </w:r>
      <w:r>
        <w:t>would be</w:t>
      </w:r>
      <w:r w:rsidRPr="00EF7591">
        <w:t xml:space="preserve"> </w:t>
      </w:r>
      <w:r w:rsidR="008620BE" w:rsidRPr="00EF7591">
        <w:t>reserved for situation</w:t>
      </w:r>
      <w:r w:rsidR="00C72DA7" w:rsidRPr="00EF7591">
        <w:t>s</w:t>
      </w:r>
      <w:r w:rsidR="008620BE" w:rsidRPr="00EF7591">
        <w:t xml:space="preserve"> </w:t>
      </w:r>
      <w:r w:rsidR="00C72DA7" w:rsidRPr="00EF7591">
        <w:t>where</w:t>
      </w:r>
      <w:r w:rsidR="008620BE" w:rsidRPr="00EF7591">
        <w:t xml:space="preserve"> </w:t>
      </w:r>
      <w:r w:rsidR="00B03CD1">
        <w:t xml:space="preserve">the tumour </w:t>
      </w:r>
      <w:r w:rsidR="008620BE" w:rsidRPr="00EF7591">
        <w:t>tissue</w:t>
      </w:r>
      <w:r w:rsidR="00B03CD1">
        <w:t xml:space="preserve"> specimen</w:t>
      </w:r>
      <w:r w:rsidR="008620BE" w:rsidRPr="00EF7591">
        <w:t xml:space="preserve"> </w:t>
      </w:r>
      <w:r w:rsidR="00C72DA7" w:rsidRPr="00EF7591">
        <w:t xml:space="preserve">is </w:t>
      </w:r>
      <w:r w:rsidR="008620BE" w:rsidRPr="00EF7591">
        <w:t>either not available or insufficient</w:t>
      </w:r>
      <w:r w:rsidR="00834578">
        <w:t xml:space="preserve">. In </w:t>
      </w:r>
      <w:r w:rsidRPr="00EF7591">
        <w:t xml:space="preserve">the FORWARD I </w:t>
      </w:r>
      <w:r w:rsidR="00AB7C11">
        <w:t>trial</w:t>
      </w:r>
      <w:r w:rsidRPr="00EF7591">
        <w:t xml:space="preserve"> protocol</w:t>
      </w:r>
      <w:r w:rsidR="00834578">
        <w:t>,</w:t>
      </w:r>
      <w:r w:rsidR="008620BE" w:rsidRPr="00EF7591">
        <w:t xml:space="preserve"> </w:t>
      </w:r>
      <w:r w:rsidR="00D779ED" w:rsidRPr="00EF7591">
        <w:t xml:space="preserve">Martin (2017) </w:t>
      </w:r>
      <w:r w:rsidR="000E4635" w:rsidRPr="00EF7591">
        <w:t xml:space="preserve">found that 22% </w:t>
      </w:r>
      <w:r w:rsidR="00C72DA7" w:rsidRPr="00EF7591">
        <w:t xml:space="preserve">of </w:t>
      </w:r>
      <w:r w:rsidR="00D779ED" w:rsidRPr="00EF7591">
        <w:t xml:space="preserve">pre-treatment biopsies </w:t>
      </w:r>
      <w:r w:rsidR="008161B6" w:rsidRPr="00EF7591">
        <w:t>were not evaluable</w:t>
      </w:r>
      <w:r w:rsidR="00B03CD1">
        <w:t xml:space="preserve"> due to insufficient tumour cells</w:t>
      </w:r>
      <w:r w:rsidR="00D779ED" w:rsidRPr="00EF7591">
        <w:t xml:space="preserve">. </w:t>
      </w:r>
      <w:r w:rsidR="008620BE" w:rsidRPr="00EF7591">
        <w:t xml:space="preserve">According to the </w:t>
      </w:r>
      <w:r w:rsidR="000C16E9" w:rsidRPr="00EF7591">
        <w:t xml:space="preserve">applicant’s </w:t>
      </w:r>
      <w:r w:rsidR="000D45CD">
        <w:t xml:space="preserve">clinical </w:t>
      </w:r>
      <w:r w:rsidR="000C16E9" w:rsidRPr="00EF7591">
        <w:t>e</w:t>
      </w:r>
      <w:r w:rsidR="000C16E9" w:rsidRPr="00FA4235">
        <w:t>xpert</w:t>
      </w:r>
      <w:r>
        <w:t xml:space="preserve"> at </w:t>
      </w:r>
      <w:r>
        <w:lastRenderedPageBreak/>
        <w:t>the pre-PASC teleconference</w:t>
      </w:r>
      <w:r w:rsidR="000C16E9" w:rsidRPr="00FA4235">
        <w:t>,</w:t>
      </w:r>
      <w:r w:rsidR="008620BE" w:rsidRPr="00FA4235">
        <w:t xml:space="preserve"> up to 20% of patients may require re-biopsy at recurrence if a tumour tissue specimen is unavailable or inadequate. </w:t>
      </w:r>
    </w:p>
    <w:p w14:paraId="1AF47583" w14:textId="0988F2A5" w:rsidR="008525EB" w:rsidRPr="000D45CD" w:rsidRDefault="008525EB" w:rsidP="00A33FD4">
      <w:r w:rsidRPr="00FA4235">
        <w:t xml:space="preserve">Under </w:t>
      </w:r>
      <w:r w:rsidR="00EF7591" w:rsidRPr="00FA4235">
        <w:t>th</w:t>
      </w:r>
      <w:r w:rsidR="00EF7591">
        <w:t>e</w:t>
      </w:r>
      <w:r w:rsidR="00EF7591" w:rsidRPr="00FA4235">
        <w:t xml:space="preserve"> </w:t>
      </w:r>
      <w:r w:rsidRPr="00FA4235">
        <w:t>scenario</w:t>
      </w:r>
      <w:r w:rsidR="00EF7591">
        <w:t xml:space="preserve"> where FR</w:t>
      </w:r>
      <w:r w:rsidR="00EF7591">
        <w:rPr>
          <w:rFonts w:cs="Calibri"/>
        </w:rPr>
        <w:t>α</w:t>
      </w:r>
      <w:r w:rsidR="00EF7591">
        <w:t xml:space="preserve"> testing is conducted at diagnosis of ovarian cancer</w:t>
      </w:r>
      <w:r w:rsidRPr="00FA4235">
        <w:t>, a certified pathologist would be initiating and conducting the FRα expression test using the cancer tissue specimen from primary tumour debulking surgery.</w:t>
      </w:r>
      <w:r w:rsidRPr="000D45CD">
        <w:t xml:space="preserve"> </w:t>
      </w:r>
      <w:r w:rsidRPr="00FA4235">
        <w:t>The FRα expression test would become a part of reflex testing, i.e.</w:t>
      </w:r>
      <w:r w:rsidR="00797425">
        <w:t>,</w:t>
      </w:r>
      <w:r w:rsidRPr="00FA4235">
        <w:t xml:space="preserve"> an approach to testing in which the pathologist handling the case is responsible for initiating and controlling testing for a set of prespecified biomarkers. It is performed automatically without the </w:t>
      </w:r>
      <w:r w:rsidR="000C16E9" w:rsidRPr="00FA4235">
        <w:t xml:space="preserve">involvement </w:t>
      </w:r>
      <w:r w:rsidRPr="00FA4235">
        <w:t xml:space="preserve">of the ordering physician. Introduction of targeted therapy in the adjuvant setting has meant that biomarker testing is becoming important for clinical decision making in early-stage disease. As the number of targeted therapies increases, so will the demand for timely clinical investigation of </w:t>
      </w:r>
      <w:r w:rsidRPr="00EF7591">
        <w:t>numerous biomarkers across multiple therapeutic targets (Gosney, 2023).</w:t>
      </w:r>
      <w:r w:rsidRPr="000D45CD">
        <w:t xml:space="preserve"> </w:t>
      </w:r>
    </w:p>
    <w:p w14:paraId="13310E8D" w14:textId="27F6234C" w:rsidR="008620BE" w:rsidRDefault="00266F31" w:rsidP="005D00F6">
      <w:r w:rsidRPr="00FA4235">
        <w:t>Although biomarker prognostic tests have been traditionally ordered by the treating oncologist upon confirmation of an appropriate pathological diagnosis, the delay this introduces prolongs further what is already a complex, multi-stage, treatment pathway and delays the start of the systemic treatment, which is crucially informed by the results of such analysis (Gosney, 2023).</w:t>
      </w:r>
      <w:r w:rsidR="00194FEF" w:rsidRPr="00FA4235">
        <w:t xml:space="preserve"> </w:t>
      </w:r>
    </w:p>
    <w:p w14:paraId="3CAD7F41" w14:textId="4B7CB1E6" w:rsidR="00C8370B" w:rsidRPr="0006300D" w:rsidRDefault="00C8370B" w:rsidP="00C8370B">
      <w:r w:rsidRPr="0006300D">
        <w:t>There was no information about the turnaround time of the test. This should be addressed in the integrated codependent submission. Also, as turnaround time is proposed to be less if patients are tested upon diagnosis rather than at the time of becoming platinum</w:t>
      </w:r>
      <w:r w:rsidR="00AC071C">
        <w:t xml:space="preserve"> </w:t>
      </w:r>
      <w:r w:rsidRPr="0006300D">
        <w:t>resistant, the integrated codependent submission should also provide evidence to support this contention.</w:t>
      </w:r>
    </w:p>
    <w:p w14:paraId="45BDC339" w14:textId="7CA91E00" w:rsidR="00C11322" w:rsidRDefault="00C11322" w:rsidP="00C00939">
      <w:r w:rsidRPr="00FA4235">
        <w:t xml:space="preserve">All </w:t>
      </w:r>
      <w:r w:rsidR="00EF7591" w:rsidRPr="006E0FCC">
        <w:t xml:space="preserve">mirvetuximab soravtansine </w:t>
      </w:r>
      <w:r w:rsidRPr="00FA4235">
        <w:t xml:space="preserve">trials </w:t>
      </w:r>
      <w:r w:rsidR="00EF7591" w:rsidRPr="006E0FCC">
        <w:t>and studies conducted to date (including those in platinum</w:t>
      </w:r>
      <w:r w:rsidR="00AC071C">
        <w:t xml:space="preserve"> </w:t>
      </w:r>
      <w:r w:rsidR="00EF7591" w:rsidRPr="006E0FCC">
        <w:t xml:space="preserve">sensitive and </w:t>
      </w:r>
      <w:r w:rsidR="00F97D18">
        <w:t xml:space="preserve">platinum </w:t>
      </w:r>
      <w:r w:rsidR="00EF7591" w:rsidRPr="006E0FCC">
        <w:t xml:space="preserve">agnostic populations) have </w:t>
      </w:r>
      <w:r w:rsidRPr="00FA4235">
        <w:t xml:space="preserve">assessed FRα expression with </w:t>
      </w:r>
      <w:r w:rsidR="00EF7591" w:rsidRPr="006E0FCC">
        <w:t xml:space="preserve">the </w:t>
      </w:r>
      <w:r w:rsidR="00177FD4" w:rsidRPr="00FA4235">
        <w:t>VENTANA</w:t>
      </w:r>
      <w:r w:rsidRPr="00FA4235">
        <w:t xml:space="preserve"> FOLR1 assay</w:t>
      </w:r>
      <w:r w:rsidR="00EE1086">
        <w:t>,</w:t>
      </w:r>
      <w:r w:rsidRPr="00FA4235">
        <w:t xml:space="preserve"> with eligibility criteria set at ≥75% of TC</w:t>
      </w:r>
      <w:r w:rsidR="00EF7591" w:rsidRPr="006E0FCC">
        <w:t>s</w:t>
      </w:r>
      <w:r w:rsidRPr="00FA4235">
        <w:t xml:space="preserve"> in most of the trials</w:t>
      </w:r>
      <w:r w:rsidR="00EF7591" w:rsidRPr="006E0FCC">
        <w:t>/studies</w:t>
      </w:r>
      <w:r w:rsidRPr="00FA4235">
        <w:t xml:space="preserve">. The exceptions were FORWARD II (medium/high FRα expression; ≥50%/ ≥75% of TC with PS2+ staining intensity) and Study-420 of carboplatin and mirvetuximab soravtansine, where the cut-off point was ≥25%.  </w:t>
      </w:r>
    </w:p>
    <w:p w14:paraId="5ED68EDB" w14:textId="07EB416B" w:rsidR="00C8370B" w:rsidRPr="00FA4235" w:rsidRDefault="00C8370B" w:rsidP="00C8370B">
      <w:r w:rsidRPr="00C42425">
        <w:t>The development of mirvetuximab soravtansine as a highly selective, directed therapeutic agent has necessitated reliable quantification of tumour FRα expression in order to use this measure as a response-predictive biomarker for patient selection. FDA approval</w:t>
      </w:r>
      <w:r w:rsidR="00CF6BC3">
        <w:t xml:space="preserve"> of the </w:t>
      </w:r>
      <w:r w:rsidR="00CF6BC3" w:rsidRPr="00FA4235">
        <w:t>VENTANA FOLR1 assay</w:t>
      </w:r>
      <w:r w:rsidRPr="00C42425">
        <w:t xml:space="preserve"> (FDA 2022, p.21) was made on the basis of the SORAYA Phase </w:t>
      </w:r>
      <w:r w:rsidR="00D77913">
        <w:t>2</w:t>
      </w:r>
      <w:r w:rsidR="00D77913" w:rsidRPr="00C42425">
        <w:t xml:space="preserve"> </w:t>
      </w:r>
      <w:r w:rsidRPr="00C42425">
        <w:t xml:space="preserve">single-arm study to evaluate the efficacy and safety of mirvetuximab soravtansine in patients with </w:t>
      </w:r>
      <w:r w:rsidR="00C42425" w:rsidRPr="00FA4235">
        <w:t>PROC</w:t>
      </w:r>
      <w:r w:rsidRPr="00C42425">
        <w:t>, fallopian tube, or primary peritoneal cancer. Patients were permitted to receive up to three prior lines of systemic therapy. All patients were required to have received prior bevacizumab. The trial enrolled patients whose tumours were positive for FRα expression (i.e.</w:t>
      </w:r>
      <w:r w:rsidR="003A186C">
        <w:t>,</w:t>
      </w:r>
      <w:r w:rsidRPr="00C42425">
        <w:t xml:space="preserve"> ≥75% of viable TC demonstrated FOLR1 membrane staining at moderate and/or strong staining intensity as determined by the VENTANA FOLR1 (FOLR1-2.1) RxDx Assay at a central site). </w:t>
      </w:r>
      <w:r w:rsidRPr="00FA4235">
        <w:t xml:space="preserve">Ideally, </w:t>
      </w:r>
      <w:r w:rsidR="006E0FCC" w:rsidRPr="00C42425">
        <w:t>a</w:t>
      </w:r>
      <w:r w:rsidRPr="00FA4235">
        <w:t xml:space="preserve"> validated test would present some evidence for the differential prognostic effect of positive FRα expression status in EOC.</w:t>
      </w:r>
      <w:r w:rsidRPr="00C42425">
        <w:t xml:space="preserve"> </w:t>
      </w:r>
      <w:r w:rsidRPr="00FA4235">
        <w:t>However, the single-arm SORAYA study is insufficient for establishing clinical validity of the ≥75% of TC</w:t>
      </w:r>
      <w:r w:rsidR="00F22A93">
        <w:t xml:space="preserve"> or </w:t>
      </w:r>
      <w:r w:rsidR="00F22A93">
        <w:rPr>
          <w:rFonts w:cs="Calibri"/>
        </w:rPr>
        <w:t xml:space="preserve">≥ </w:t>
      </w:r>
      <w:r w:rsidR="00F22A93">
        <w:t>2+</w:t>
      </w:r>
      <w:r w:rsidRPr="00FA4235">
        <w:t xml:space="preserve"> membrane staining cut-off for differentiating the subgroup of patients with respect to clinical efficacy of mirvetuximab soravtansine</w:t>
      </w:r>
      <w:r w:rsidR="00C42425" w:rsidRPr="00FA4235">
        <w:t xml:space="preserve"> as t</w:t>
      </w:r>
      <w:r w:rsidRPr="00FA4235">
        <w:t>he study did not enrol patients whose FRα expression was below 75% of TC</w:t>
      </w:r>
      <w:r w:rsidR="00F22A93">
        <w:t xml:space="preserve"> or &lt; 2+</w:t>
      </w:r>
      <w:r w:rsidRPr="00FA4235">
        <w:t xml:space="preserve"> membrane staining. </w:t>
      </w:r>
    </w:p>
    <w:p w14:paraId="68336210" w14:textId="059D3853" w:rsidR="00C8370B" w:rsidRPr="00FA4235" w:rsidRDefault="00C8370B" w:rsidP="00C8370B">
      <w:r w:rsidRPr="00FA4235">
        <w:lastRenderedPageBreak/>
        <w:t xml:space="preserve">The rationale for (a) the target population defined as patients with high FRα expression (≥75% of TC staining, at ≥2+ staining intensity); and </w:t>
      </w:r>
      <w:r w:rsidR="00B25271">
        <w:t>(</w:t>
      </w:r>
      <w:r w:rsidRPr="00FA4235">
        <w:t xml:space="preserve">b) whether the choice of this threshold for the FRα expression successfully differentiated biomarker-positive and biomarker-negative patients in their response to a targeted treatment versus standard care was explored. Only one </w:t>
      </w:r>
      <w:r w:rsidR="006E3371" w:rsidRPr="00FA4235">
        <w:t xml:space="preserve">(FORWARD I) </w:t>
      </w:r>
      <w:r w:rsidRPr="00FA4235">
        <w:t xml:space="preserve">of the three studies </w:t>
      </w:r>
      <w:r w:rsidR="006E3371">
        <w:t xml:space="preserve">(MIRASOL, SORAYA, FORWARD I) </w:t>
      </w:r>
      <w:r w:rsidRPr="00FA4235">
        <w:t xml:space="preserve">reported in the PICO Set Document attempted this differentiation, albeit unsuccessfully (see below). A further </w:t>
      </w:r>
      <w:r w:rsidR="00797425">
        <w:t>P</w:t>
      </w:r>
      <w:r w:rsidR="00797425" w:rsidRPr="00FA4235">
        <w:t xml:space="preserve">hase </w:t>
      </w:r>
      <w:r w:rsidR="00797425">
        <w:t>1</w:t>
      </w:r>
      <w:r w:rsidR="00797425" w:rsidRPr="00FA4235">
        <w:t xml:space="preserve"> </w:t>
      </w:r>
      <w:r w:rsidRPr="00FA4235">
        <w:t>study (IMGN853-0401) assessing the pharmacokinetics and pharmacodynamics study of mirvetuximab soravtansine in adults with ovarian cancer and other folate receptor 1 (FOLR1)-positive solid tumours was also identified.</w:t>
      </w:r>
    </w:p>
    <w:p w14:paraId="1645FF58" w14:textId="21BE5858" w:rsidR="00C8370B" w:rsidRPr="00FA4235" w:rsidRDefault="00C073A3" w:rsidP="00C8370B">
      <w:r w:rsidRPr="00FA4235">
        <w:t>The Phase 1 study (IMGN853-0401</w:t>
      </w:r>
      <w:r w:rsidR="004E6B35">
        <w:t xml:space="preserve">, </w:t>
      </w:r>
      <w:r w:rsidR="004E6B35" w:rsidRPr="00FA4235">
        <w:t>NCT01609556</w:t>
      </w:r>
      <w:r w:rsidRPr="00FA4235">
        <w:t xml:space="preserve">) concluded that the recommended Phase 2 dose for single-agent mirvetuximab soravtansine administered </w:t>
      </w:r>
      <w:r>
        <w:t>every three weeks</w:t>
      </w:r>
      <w:r w:rsidRPr="00FA4235">
        <w:t xml:space="preserve"> was to be 6.0 mg/kg </w:t>
      </w:r>
      <w:r>
        <w:t>(</w:t>
      </w:r>
      <w:r w:rsidRPr="004E67A6">
        <w:t>adjusted ideal body weight</w:t>
      </w:r>
      <w:r>
        <w:t>)</w:t>
      </w:r>
      <w:r w:rsidRPr="00FA4235">
        <w:t>. The initial antitumour activity observed with mirvetuximab soravtansine monotherapy</w:t>
      </w:r>
      <w:r w:rsidR="003A35A6">
        <w:t>,</w:t>
      </w:r>
      <w:r w:rsidRPr="00FA4235">
        <w:t xml:space="preserve"> particularly in those patients with PROC, no more than three prior lines of therapy and FRα medium or high expression per the “PS2+” scoring method [defined by 2+ intensity staining of </w:t>
      </w:r>
      <w:r w:rsidR="00930823">
        <w:t>TC</w:t>
      </w:r>
      <w:r w:rsidRPr="00FA4235">
        <w:t xml:space="preserve">s with medium ≥50% to &lt;75% of </w:t>
      </w:r>
      <w:r w:rsidR="00930823">
        <w:t>TC</w:t>
      </w:r>
      <w:r w:rsidRPr="00FA4235">
        <w:t xml:space="preserve">s and high ≥75% of </w:t>
      </w:r>
      <w:r w:rsidR="00930823">
        <w:t>TC</w:t>
      </w:r>
      <w:r w:rsidRPr="00FA4235">
        <w:t xml:space="preserve">s] suggested the potential for a significant improvement over single-agent chemotherapy. </w:t>
      </w:r>
      <w:r w:rsidR="004E6B35">
        <w:t xml:space="preserve">The </w:t>
      </w:r>
      <w:r w:rsidR="003A35A6">
        <w:t xml:space="preserve">Phase 1 </w:t>
      </w:r>
      <w:r w:rsidR="004E6B35">
        <w:t>study</w:t>
      </w:r>
      <w:r w:rsidR="00C8370B" w:rsidRPr="00FA4235">
        <w:t xml:space="preserve"> generated a number of “expansion cohorts”, possibly with overlapping patients, that were used to obtain some evidence of differential treatment effects in </w:t>
      </w:r>
      <w:r w:rsidR="00B25271">
        <w:t>patients with platinum sensitive ovarian cancer (</w:t>
      </w:r>
      <w:r w:rsidR="00C8370B" w:rsidRPr="00FA4235">
        <w:t>PSOC</w:t>
      </w:r>
      <w:r w:rsidR="00B25271">
        <w:t>)</w:t>
      </w:r>
      <w:r w:rsidR="00C8370B" w:rsidRPr="00FA4235">
        <w:t xml:space="preserve"> and PROC, patients with various degrees of FRα positivity and exposure to prior lines of treatment. It appears that all “expansion cohort” investigations included a method for evaluating FRα expression consistent with VENTANA FOLR1 algorithm, in terms of calculating a percentage of cells that stained positive for FRα (the cut-off varied from ≥25% to ≥75%) together with intensity scoring method on a scale of 0 to 3, with a threshold of membrane staining intensity ≥2 set as the minimum requirement for FRα positivity (the PS2+ scoring method).</w:t>
      </w:r>
      <w:r w:rsidR="00C8370B" w:rsidRPr="00FA4235">
        <w:rPr>
          <w:rFonts w:ascii="AdvOTdaafad64" w:hAnsi="AdvOTdaafad64" w:cs="AdvOTdaafad64"/>
          <w:sz w:val="18"/>
          <w:szCs w:val="18"/>
        </w:rPr>
        <w:t xml:space="preserve"> </w:t>
      </w:r>
    </w:p>
    <w:p w14:paraId="16618C4B" w14:textId="50DD29F6" w:rsidR="00C8370B" w:rsidRPr="00FA4235" w:rsidRDefault="00C8370B" w:rsidP="007B0E17">
      <w:r w:rsidRPr="00302322">
        <w:t xml:space="preserve">An expansion cohort study (Martin, 2017), opened as part of </w:t>
      </w:r>
      <w:r w:rsidR="006A3E8D">
        <w:t>the</w:t>
      </w:r>
      <w:r w:rsidRPr="00302322">
        <w:t xml:space="preserve"> Phase </w:t>
      </w:r>
      <w:r w:rsidR="003A35A6">
        <w:t>1</w:t>
      </w:r>
      <w:r w:rsidR="003A35A6" w:rsidRPr="00302322">
        <w:t xml:space="preserve"> </w:t>
      </w:r>
      <w:r w:rsidRPr="00302322">
        <w:t>trial of mirvetuximab soravtansine monotherapy involved 27 patients</w:t>
      </w:r>
      <w:r w:rsidRPr="00FA4235">
        <w:t xml:space="preserve"> </w:t>
      </w:r>
      <w:r w:rsidR="00302322">
        <w:t>who</w:t>
      </w:r>
      <w:r w:rsidRPr="00302322">
        <w:t xml:space="preserve"> were previously exposed to platinum</w:t>
      </w:r>
      <w:r w:rsidR="006545AE" w:rsidRPr="00302322">
        <w:t>-</w:t>
      </w:r>
      <w:r w:rsidRPr="00302322">
        <w:t>based therapy and taxane; 74% were platinum</w:t>
      </w:r>
      <w:r w:rsidR="00AC071C">
        <w:t xml:space="preserve"> </w:t>
      </w:r>
      <w:r w:rsidRPr="00302322">
        <w:t>resistant</w:t>
      </w:r>
      <w:r w:rsidRPr="00FA4235">
        <w:t xml:space="preserve">. </w:t>
      </w:r>
      <w:r w:rsidRPr="00302322">
        <w:t xml:space="preserve">Tumour tissues were scored for FRα positivity as follows: low, 25 to 49% of </w:t>
      </w:r>
      <w:r w:rsidR="009D20CC">
        <w:t>TCs</w:t>
      </w:r>
      <w:r w:rsidRPr="00302322">
        <w:t xml:space="preserve"> with ≥2+ staining intensity; medium, 50 to 74% of cells with ≥2+ intensity; and high, ≥75% of cells with ≥2+ intensity.</w:t>
      </w:r>
      <w:r w:rsidRPr="00FA4235">
        <w:t xml:space="preserve"> </w:t>
      </w:r>
      <w:r w:rsidRPr="00302322">
        <w:t>Subgroup analysis of the outcomes by FRα expression level showed that the ORR in the cohort of patients with high FRα expression was 31% (5/16), which included two complete responses. This was compared to 20% (1/5 patients) observed in the medium cohort, and lack of any objective responses in individuals with low FRα-expressing tumours. The median PFS was 4.2 months (95% CI, 2.8 to 5.4 months) for the overall population, 5.4 months (</w:t>
      </w:r>
      <w:r w:rsidR="00302322" w:rsidRPr="00302322">
        <w:t xml:space="preserve">95% CI, </w:t>
      </w:r>
      <w:r w:rsidRPr="00302322">
        <w:t>2.8, not identifiable) for the high FRα cohort, 3.9 months (</w:t>
      </w:r>
      <w:r w:rsidR="00302322" w:rsidRPr="00302322">
        <w:t>95% CI,</w:t>
      </w:r>
      <w:r w:rsidRPr="00302322">
        <w:t>2.6, 12.7) for the medium subset, and 2.8 months (</w:t>
      </w:r>
      <w:r w:rsidR="00302322" w:rsidRPr="00302322">
        <w:t>95% CI,</w:t>
      </w:r>
      <w:r w:rsidRPr="00302322">
        <w:t xml:space="preserve">1.3, 5.4) for the low expressors. No formal statistical hypothesis was tested for the association between expression and response, however, the applicant suggested that the results from this Phase </w:t>
      </w:r>
      <w:r w:rsidR="003A35A6">
        <w:t>1</w:t>
      </w:r>
      <w:r w:rsidR="003A35A6" w:rsidRPr="00302322">
        <w:t xml:space="preserve"> </w:t>
      </w:r>
      <w:r w:rsidRPr="00302322">
        <w:t>study clearly demonstrated that the strongest signals of mirvetuximab soravtansine activity were associated with higher FRα expression. The small sample size</w:t>
      </w:r>
      <w:r w:rsidR="00173E72">
        <w:t xml:space="preserve">, </w:t>
      </w:r>
      <w:r w:rsidRPr="00302322">
        <w:t xml:space="preserve">inclusion of </w:t>
      </w:r>
      <w:r w:rsidR="00217BE0" w:rsidRPr="00302322">
        <w:t>platinum</w:t>
      </w:r>
      <w:r w:rsidR="00AC071C">
        <w:t xml:space="preserve"> </w:t>
      </w:r>
      <w:r w:rsidR="00217BE0" w:rsidRPr="00302322">
        <w:t>sensitive</w:t>
      </w:r>
      <w:r w:rsidRPr="00302322">
        <w:t xml:space="preserve"> population</w:t>
      </w:r>
      <w:r w:rsidR="00C459EC">
        <w:t>,</w:t>
      </w:r>
      <w:r w:rsidR="00173E72">
        <w:t xml:space="preserve"> and confounding</w:t>
      </w:r>
      <w:r w:rsidR="008A547E">
        <w:t xml:space="preserve"> impact of more than 3 prior treatments in 17 of th</w:t>
      </w:r>
      <w:r w:rsidR="00A64C32">
        <w:t>e</w:t>
      </w:r>
      <w:r w:rsidR="008A547E">
        <w:t xml:space="preserve"> 27 cases</w:t>
      </w:r>
      <w:r w:rsidR="00C459EC">
        <w:t>,</w:t>
      </w:r>
      <w:r w:rsidRPr="00302322">
        <w:t xml:space="preserve"> limit interpretation of the results.</w:t>
      </w:r>
    </w:p>
    <w:p w14:paraId="374FCB00" w14:textId="18AD720B" w:rsidR="00C8370B" w:rsidRPr="00302322" w:rsidRDefault="00C8370B" w:rsidP="007B0E17">
      <w:r w:rsidRPr="00302322">
        <w:t xml:space="preserve">In the Phase </w:t>
      </w:r>
      <w:r w:rsidR="003A35A6">
        <w:t>1</w:t>
      </w:r>
      <w:r w:rsidRPr="00302322">
        <w:t xml:space="preserve"> expansion cohort study (Moore, 2017</w:t>
      </w:r>
      <w:r w:rsidRPr="00FA4235">
        <w:t xml:space="preserve">), </w:t>
      </w:r>
      <w:r w:rsidR="00302322" w:rsidRPr="00302322">
        <w:t>f</w:t>
      </w:r>
      <w:r w:rsidRPr="00302322">
        <w:t>orty six PROC patients with FRα-positive tumours were enrolled, based on an inclusion threshold of ≥25% of cells with ≥2+ staining intensity.</w:t>
      </w:r>
      <w:r w:rsidRPr="00FA4235">
        <w:t xml:space="preserve"> Patients with up to five prior lines of systemic therapy were eligible to enrol; 11 patients (24%) had received only one prior platinum regimen (i.e., primary platinum resistance), while the remaining 35 (76%) had received at </w:t>
      </w:r>
      <w:r w:rsidRPr="00FA4235">
        <w:lastRenderedPageBreak/>
        <w:t>least two lines of platinum</w:t>
      </w:r>
      <w:r w:rsidR="006545AE" w:rsidRPr="00FA4235">
        <w:t>-</w:t>
      </w:r>
      <w:r w:rsidRPr="00FA4235">
        <w:t xml:space="preserve">based therapy (i.e., acquired platinum resistance). </w:t>
      </w:r>
      <w:r w:rsidRPr="00302322">
        <w:t>As part of the analyses, patients were sorted based on FRα positivity as follows: low (25% to 49% of tumour cells with ≥2+ staining intensity), medium (50% to 74% of cells with ≥2+ intensity), or high (≥75% of cells with ≥2+ intensity). Regardless of FRα expression</w:t>
      </w:r>
      <w:r w:rsidR="006545AE" w:rsidRPr="00302322">
        <w:t>,</w:t>
      </w:r>
      <w:r w:rsidRPr="00302322">
        <w:t xml:space="preserve"> </w:t>
      </w:r>
      <w:r w:rsidR="006545AE" w:rsidRPr="00302322">
        <w:t>the</w:t>
      </w:r>
      <w:r w:rsidRPr="00302322">
        <w:t xml:space="preserve"> majority of patients experienced tumour shrinkage in response to mirvetuximab soravtansine treatment. Stratification of patients based on FRα positivity failed to justify the threshold of ≥75% of tumour cells with ≥2+ intensity, possibly because of the small sample size. Small sample size and inclusion of </w:t>
      </w:r>
      <w:r w:rsidR="003A35A6" w:rsidRPr="00302322">
        <w:t>no</w:t>
      </w:r>
      <w:r w:rsidR="003A35A6">
        <w:t>n</w:t>
      </w:r>
      <w:r w:rsidR="003A35A6" w:rsidRPr="00302322">
        <w:t xml:space="preserve"> </w:t>
      </w:r>
      <w:r w:rsidRPr="00302322">
        <w:t>pre-specified subgroups limit interpretation of the results.</w:t>
      </w:r>
    </w:p>
    <w:p w14:paraId="5F4C8E8C" w14:textId="0FAC5631" w:rsidR="00C8370B" w:rsidRPr="00FA4235" w:rsidRDefault="00C8370B" w:rsidP="00C8370B">
      <w:r w:rsidRPr="00FA4235">
        <w:t xml:space="preserve">The findings from these ad-hoc exploratory analyses of the Phase </w:t>
      </w:r>
      <w:r w:rsidR="003A35A6">
        <w:t>1</w:t>
      </w:r>
      <w:r w:rsidR="003A35A6" w:rsidRPr="00FA4235">
        <w:t xml:space="preserve"> </w:t>
      </w:r>
      <w:r w:rsidRPr="00FA4235">
        <w:t xml:space="preserve">trial population were said to be instrumental in defining the target population for the FORWARD I trial, an open-label randomised controlled </w:t>
      </w:r>
      <w:r w:rsidR="003A35A6">
        <w:t>P</w:t>
      </w:r>
      <w:r w:rsidR="003A35A6" w:rsidRPr="00FA4235">
        <w:t xml:space="preserve">hase </w:t>
      </w:r>
      <w:r w:rsidR="003A35A6">
        <w:t>3</w:t>
      </w:r>
      <w:r w:rsidR="003A35A6" w:rsidRPr="00FA4235">
        <w:t xml:space="preserve"> </w:t>
      </w:r>
      <w:r w:rsidRPr="00FA4235">
        <w:t xml:space="preserve">trial including patients (n=366) with one to three prior lines of therapy. Patients were randomised 2:1 to receive mirvetuximab soravtansine at 6 mg/kg adjusted ideal body weight or investigator’s choice </w:t>
      </w:r>
      <w:r w:rsidR="003A35A6">
        <w:t xml:space="preserve">of </w:t>
      </w:r>
      <w:r w:rsidRPr="00FA4235">
        <w:t xml:space="preserve">chemotherapy (including paclitaxel, pegylated liposomal doxorubicin, or topotecan, n=109 patients). Taking into consideration the putative relationship between the level of tumour FRα expression and response, patient eligibility was expected to be based on three key eligibility criteria: platinum resistant disease, one to three prior lines of therapy and medium/high FRα (Moore 2018, p.129). The subgroups with high and moderate levels of FRα expression were pre-defined as 50 to 74% of </w:t>
      </w:r>
      <w:r w:rsidR="006F0481">
        <w:t>TC</w:t>
      </w:r>
      <w:r w:rsidRPr="00FA4235">
        <w:t xml:space="preserve"> staining visible at </w:t>
      </w:r>
      <w:r w:rsidR="003A35A6">
        <w:t>less than or equal to 10 times (</w:t>
      </w:r>
      <w:r w:rsidRPr="00FA4235">
        <w:t>≤10X</w:t>
      </w:r>
      <w:r w:rsidR="003A35A6">
        <w:t>)</w:t>
      </w:r>
      <w:r w:rsidRPr="00FA4235">
        <w:t xml:space="preserve"> magnification (medium expressors); and ≥75% of </w:t>
      </w:r>
      <w:r w:rsidR="006F0481">
        <w:t>TC</w:t>
      </w:r>
      <w:r w:rsidRPr="00FA4235">
        <w:t xml:space="preserve"> staining visible at ≤10X magnification (high expressors). The focus on the subgroups indicates an intention to validate the VENTANA FOLR1 test with </w:t>
      </w:r>
      <w:r w:rsidR="003A35A6">
        <w:t>a</w:t>
      </w:r>
      <w:r w:rsidR="003A35A6" w:rsidRPr="00FA4235">
        <w:t xml:space="preserve"> </w:t>
      </w:r>
      <w:r w:rsidRPr="00FA4235">
        <w:t xml:space="preserve">threshold capable </w:t>
      </w:r>
      <w:r w:rsidR="003A35A6">
        <w:t>of</w:t>
      </w:r>
      <w:r w:rsidR="003A35A6" w:rsidRPr="00FA4235">
        <w:t xml:space="preserve"> </w:t>
      </w:r>
      <w:r w:rsidRPr="00FA4235">
        <w:t xml:space="preserve">differentiating biomarker-positive and biomarker-negative patients in their response to a targeted treatment versus standard care. However, in contrast with the </w:t>
      </w:r>
      <w:r w:rsidR="003A35A6">
        <w:t>P</w:t>
      </w:r>
      <w:r w:rsidR="003A35A6" w:rsidRPr="00FA4235">
        <w:t xml:space="preserve">hase </w:t>
      </w:r>
      <w:r w:rsidR="003A35A6">
        <w:t>1/2</w:t>
      </w:r>
      <w:r w:rsidRPr="00FA4235">
        <w:t xml:space="preserve"> studies that were performed </w:t>
      </w:r>
      <w:r w:rsidR="003A35A6">
        <w:t>prior</w:t>
      </w:r>
      <w:r w:rsidRPr="00FA4235">
        <w:t>, FORWARD I used the observable membranous staining at 10</w:t>
      </w:r>
      <w:r w:rsidR="003A35A6">
        <w:t>X</w:t>
      </w:r>
      <w:r w:rsidRPr="00FA4235">
        <w:t xml:space="preserve"> microscope objective (10</w:t>
      </w:r>
      <w:r w:rsidR="003A35A6">
        <w:t>X</w:t>
      </w:r>
      <w:r w:rsidRPr="00FA4235">
        <w:t xml:space="preserve"> scoring system) instead of the PS2 scoring method to score FRα on immunohistochemistry. </w:t>
      </w:r>
    </w:p>
    <w:p w14:paraId="17058740" w14:textId="25D23946" w:rsidR="00C8370B" w:rsidRPr="00FA4235" w:rsidRDefault="00C8370B" w:rsidP="00C8370B">
      <w:r w:rsidRPr="00FA4235">
        <w:t xml:space="preserve">FORWARD I did not meet its primary endpoint of superior PFS in the mirvetuximab soravtansine arm in the </w:t>
      </w:r>
      <w:r w:rsidR="004E67A6">
        <w:t>intention to treat (</w:t>
      </w:r>
      <w:r w:rsidRPr="00FA4235">
        <w:t>ITT</w:t>
      </w:r>
      <w:r w:rsidR="004E67A6">
        <w:t>)</w:t>
      </w:r>
      <w:r w:rsidRPr="00FA4235">
        <w:t xml:space="preserve"> population, nor in the predefined subgroup of FRα high patients. Median progression-free survival was 4.1 and 4.4 months in the mirvetuximab soravtansine and chemotherapy groups, respectively. The negative results were unexpected and were explained by the possible lack of clinical validity of the membranous staining at 10</w:t>
      </w:r>
      <w:r w:rsidR="003A35A6">
        <w:t>X</w:t>
      </w:r>
      <w:r w:rsidRPr="00FA4235">
        <w:t xml:space="preserve"> microscope objective (10</w:t>
      </w:r>
      <w:r w:rsidR="003A35A6">
        <w:t>X</w:t>
      </w:r>
      <w:r w:rsidRPr="00FA4235">
        <w:t xml:space="preserve"> scoring) as the method of determining FRα positivity for patient enrolment (Moore, 2021). The 10</w:t>
      </w:r>
      <w:r w:rsidR="003A35A6">
        <w:t>X</w:t>
      </w:r>
      <w:r w:rsidRPr="00FA4235">
        <w:t xml:space="preserve"> scoring system was felt to be easier to use but ultimately was found not to correlate as vigorously with the PS2 scoring method. In fact, only 35% of FORWARD I participants would have been FRα high expressors if the PS2 scoring system was used while, with the 10</w:t>
      </w:r>
      <w:r w:rsidR="003A35A6">
        <w:t>X</w:t>
      </w:r>
      <w:r w:rsidRPr="00FA4235">
        <w:t xml:space="preserve"> scoring system, FORWARD I classified 58% as FRα high expressors (Bogani, 2024). The authors re-analys</w:t>
      </w:r>
      <w:r w:rsidR="006F0481">
        <w:t>ed the data</w:t>
      </w:r>
      <w:r w:rsidRPr="00FA4235">
        <w:t xml:space="preserve"> and this “Exploratory rescoring analyses using PS2+ methodology suggested that use of ≤10</w:t>
      </w:r>
      <w:r w:rsidR="003A35A6">
        <w:t>X</w:t>
      </w:r>
      <w:r w:rsidRPr="00FA4235">
        <w:t xml:space="preserve"> scoring allowed enrolment of patients with lower than expected levels of FRα expression, thus diluting the treatment effect of </w:t>
      </w:r>
      <w:r w:rsidR="00583A58" w:rsidRPr="00FA4235">
        <w:t>mirvetuximab soravtansine</w:t>
      </w:r>
      <w:r w:rsidRPr="00FA4235">
        <w:t xml:space="preserve">, in both the ITT and high FRα populations” (Moore 2021, p.762). Looking at patients expressing high levels of FRα (expression level 75% or more determined by central testing using the anti-FOLR1 2.1 antibody (VENTANA Medical Systems, Roche Tissue Diagnostics)), median PFS was longer in patients treated with mirvetuximab soravtansine than in patients having chemotherapy (4.8 months vs 3.3 months; HR 0.69, 95% CI 0.48 to 1.00; p=0.049). However, these results were not considered statistically significant due to the Benjamini–Hochberg procedure used to control for false discovery when multiple hypothesis testing is performed (Moore, 2021). </w:t>
      </w:r>
    </w:p>
    <w:p w14:paraId="4A22556D" w14:textId="5345E567" w:rsidR="00C8370B" w:rsidRPr="00583A58" w:rsidRDefault="00583A58" w:rsidP="00C8370B">
      <w:r w:rsidRPr="00FA4235">
        <w:rPr>
          <w:rFonts w:cstheme="minorHAnsi"/>
        </w:rPr>
        <w:lastRenderedPageBreak/>
        <w:t>T</w:t>
      </w:r>
      <w:r w:rsidR="00C8370B" w:rsidRPr="00FA4235">
        <w:rPr>
          <w:rFonts w:cstheme="minorHAnsi"/>
        </w:rPr>
        <w:t>he applicant provided</w:t>
      </w:r>
      <w:r w:rsidR="00C8370B" w:rsidRPr="00583A58">
        <w:rPr>
          <w:rFonts w:cstheme="minorHAnsi"/>
        </w:rPr>
        <w:t xml:space="preserve"> </w:t>
      </w:r>
      <w:r w:rsidR="00C8370B" w:rsidRPr="00583A58">
        <w:t>a re-analysis of the FORWARD</w:t>
      </w:r>
      <w:r w:rsidR="003A35A6">
        <w:t xml:space="preserve"> </w:t>
      </w:r>
      <w:r w:rsidR="00C8370B" w:rsidRPr="00583A58">
        <w:t xml:space="preserve">I results in order to identify sub-groups which aligned to those defined in the Phase </w:t>
      </w:r>
      <w:r w:rsidR="00C928B0">
        <w:t>1</w:t>
      </w:r>
      <w:r w:rsidR="00C8370B" w:rsidRPr="00583A58">
        <w:t xml:space="preserve"> study instead (i.e., using PS2+ scoring). This analysis was presented by the authors at the European Society of Medical Oncology conference (Moore, 2019</w:t>
      </w:r>
      <w:r w:rsidR="00C8370B" w:rsidRPr="00FA4235">
        <w:t xml:space="preserve">, slide 17, not previously available from published </w:t>
      </w:r>
      <w:r w:rsidR="00CE1E46">
        <w:t xml:space="preserve">peer reviewed </w:t>
      </w:r>
      <w:r w:rsidR="00C8370B" w:rsidRPr="00FA4235">
        <w:t>sources</w:t>
      </w:r>
      <w:r w:rsidR="00C8370B" w:rsidRPr="00583A58">
        <w:t xml:space="preserve">). Results of the non-preplanned </w:t>
      </w:r>
      <w:r w:rsidR="007414AC">
        <w:t>analysis</w:t>
      </w:r>
      <w:r w:rsidR="007414AC" w:rsidRPr="00583A58">
        <w:t xml:space="preserve"> </w:t>
      </w:r>
      <w:r w:rsidR="00C8370B" w:rsidRPr="00583A58">
        <w:t>demonstrated that statistically significant clinical benefits were observed for high expressors (≥75% tumour cell staining at 2+ staining intensity), and non-significant benefits on all reported outcomes are observed for medium expressors (≥50 to 74% tumour cell staining at 2+ staining intensity) and for low expressors (&lt;50% tumour cell staining at 2+ staining intensity).</w:t>
      </w:r>
    </w:p>
    <w:p w14:paraId="223412C3" w14:textId="48BB2E00" w:rsidR="00C8370B" w:rsidRPr="00FA4235" w:rsidRDefault="00C8370B" w:rsidP="00C8370B">
      <w:r w:rsidRPr="00FA4235">
        <w:t xml:space="preserve">It is reasonable to assume, </w:t>
      </w:r>
      <w:r w:rsidRPr="00583A58">
        <w:t xml:space="preserve">as suggested by the applicant, that overall, the Phase </w:t>
      </w:r>
      <w:r w:rsidR="00C928B0">
        <w:t>1</w:t>
      </w:r>
      <w:r w:rsidRPr="00583A58">
        <w:t xml:space="preserve"> study findings, the non-significant results from the FORWARD</w:t>
      </w:r>
      <w:r w:rsidR="00C928B0">
        <w:t xml:space="preserve"> </w:t>
      </w:r>
      <w:r w:rsidRPr="00583A58">
        <w:t>I trial, and the subsequent prospective demonstration of significant clinical benefit with mirvetuximab soravtansine treatment in FRα-high expressors in SORAYA and MIRASOL all support the clinical benefits in</w:t>
      </w:r>
      <w:r w:rsidR="00583A58" w:rsidRPr="00FA4235">
        <w:t xml:space="preserve"> the</w:t>
      </w:r>
      <w:r w:rsidRPr="00583A58">
        <w:t xml:space="preserve"> proposed population of patients with ≥75% tumour cell staining at 2+ staining intensity. </w:t>
      </w:r>
      <w:r w:rsidRPr="00FA4235">
        <w:t>However, since FRα-medium expressors were not enrolled in SORAYA or MIRASOL trial and no significant difference between the pre-defined subgroups of FRα-high and FRα-medium expressors was demonstrated in the FORWARD</w:t>
      </w:r>
      <w:r w:rsidR="00C928B0">
        <w:t xml:space="preserve"> </w:t>
      </w:r>
      <w:r w:rsidRPr="00FA4235">
        <w:t xml:space="preserve">I </w:t>
      </w:r>
      <w:r w:rsidR="00AB7C11" w:rsidRPr="00FA4235">
        <w:t>trial</w:t>
      </w:r>
      <w:r w:rsidRPr="00FA4235">
        <w:t xml:space="preserve">, it remains uncertain, whether the exclusion of the FRα-medium expressors from mirvetuximab soravtansine treatment is justified. </w:t>
      </w:r>
    </w:p>
    <w:p w14:paraId="57ED6449" w14:textId="5BF0344A" w:rsidR="00C928B0" w:rsidRPr="00C928B0" w:rsidRDefault="00C8370B" w:rsidP="00C928B0">
      <w:r w:rsidRPr="00FA4235">
        <w:t xml:space="preserve">Although the FORWARD I </w:t>
      </w:r>
      <w:r w:rsidR="00AB7C11" w:rsidRPr="00FA4235">
        <w:t>trial</w:t>
      </w:r>
      <w:r w:rsidRPr="00FA4235">
        <w:t xml:space="preserve"> eventually demonstrated a significant improvement in PFS in mirvetuximab soravtansine subgroup with high FRα expression defined as ≥75% of staining, at ≥2+ intensity, this was based on an unplanned re-scoring and apparent re-classifying of the patients from high to moderate levels of FRα expression. This is not considered to be a relevant way to validate the nominated ≥75% threshold</w:t>
      </w:r>
      <w:r w:rsidR="00FA22F8">
        <w:t>.</w:t>
      </w:r>
    </w:p>
    <w:p w14:paraId="6AD610E8" w14:textId="06A6952B" w:rsidR="00E16681" w:rsidRPr="00EB3239" w:rsidRDefault="00D43FD1" w:rsidP="00C00939">
      <w:pPr>
        <w:pStyle w:val="Instructionaltext"/>
        <w:rPr>
          <w:rFonts w:asciiTheme="minorHAnsi" w:hAnsiTheme="minorHAnsi" w:cstheme="minorHAnsi"/>
          <w:color w:val="auto"/>
          <w:u w:val="single"/>
        </w:rPr>
      </w:pPr>
      <w:r>
        <w:rPr>
          <w:rFonts w:asciiTheme="minorHAnsi" w:hAnsiTheme="minorHAnsi" w:cstheme="minorHAnsi"/>
          <w:color w:val="auto"/>
          <w:u w:val="single"/>
        </w:rPr>
        <w:t>C</w:t>
      </w:r>
      <w:r w:rsidRPr="00D43FD1">
        <w:rPr>
          <w:rFonts w:asciiTheme="minorHAnsi" w:hAnsiTheme="minorHAnsi" w:cstheme="minorHAnsi"/>
          <w:color w:val="auto"/>
          <w:u w:val="single"/>
        </w:rPr>
        <w:t>oncordance of the test results</w:t>
      </w:r>
    </w:p>
    <w:p w14:paraId="4E1BE10F" w14:textId="74CEE690" w:rsidR="00BD5D20" w:rsidRDefault="1F2858A7" w:rsidP="009C1BEB">
      <w:pPr>
        <w:rPr>
          <w:rFonts w:asciiTheme="minorHAnsi" w:eastAsiaTheme="minorEastAsia" w:hAnsiTheme="minorHAnsi" w:cstheme="minorBidi"/>
        </w:rPr>
      </w:pPr>
      <w:r>
        <w:t>The</w:t>
      </w:r>
      <w:r w:rsidR="00692247" w:rsidRPr="00AA2702">
        <w:t xml:space="preserve"> issue of</w:t>
      </w:r>
      <w:r w:rsidR="00C014F7" w:rsidRPr="00AA2702">
        <w:t xml:space="preserve"> c</w:t>
      </w:r>
      <w:r w:rsidR="005506EE" w:rsidRPr="00AA2702">
        <w:t xml:space="preserve">oncordance of the </w:t>
      </w:r>
      <w:r w:rsidR="00F45E85" w:rsidRPr="00AA2702">
        <w:t>test results conducted in the archival and fresh biopsy samples</w:t>
      </w:r>
      <w:r w:rsidR="7BEE2836">
        <w:t xml:space="preserve"> is</w:t>
      </w:r>
      <w:r w:rsidR="7C99E375">
        <w:t xml:space="preserve"> </w:t>
      </w:r>
      <w:r w:rsidR="6F042B0E">
        <w:t>r</w:t>
      </w:r>
      <w:r w:rsidR="7C99E375">
        <w:t xml:space="preserve">elevant to </w:t>
      </w:r>
      <w:r w:rsidR="10C1947D">
        <w:t xml:space="preserve">the </w:t>
      </w:r>
      <w:r w:rsidR="7C99E375">
        <w:t>question of eligibility for the forthcoming treatment options</w:t>
      </w:r>
      <w:r w:rsidR="27768468">
        <w:t xml:space="preserve">. </w:t>
      </w:r>
      <w:r w:rsidR="006C6419" w:rsidRPr="00AA2702">
        <w:t xml:space="preserve">The applicant </w:t>
      </w:r>
      <w:r w:rsidR="004D3402">
        <w:t xml:space="preserve">summarised the </w:t>
      </w:r>
      <w:r w:rsidR="00D85B98" w:rsidRPr="00AA2702">
        <w:t>finding</w:t>
      </w:r>
      <w:r w:rsidR="002B6331">
        <w:t>s</w:t>
      </w:r>
      <w:r w:rsidR="00D85B98" w:rsidRPr="00AA2702">
        <w:t xml:space="preserve"> from </w:t>
      </w:r>
      <w:r w:rsidR="004D3402">
        <w:t xml:space="preserve">six </w:t>
      </w:r>
      <w:r w:rsidR="007972DA" w:rsidRPr="00AA2702">
        <w:t>studies</w:t>
      </w:r>
      <w:r w:rsidR="00DA121C">
        <w:t xml:space="preserve"> </w:t>
      </w:r>
      <w:r w:rsidR="004D3402">
        <w:t xml:space="preserve">(Martin, 2017; Rubinsak, 2018; Despierre, 2013; Kalli, 2008; Crane, 2012; Deutschman, 2024) </w:t>
      </w:r>
      <w:r w:rsidR="00B429F2">
        <w:t>assessing</w:t>
      </w:r>
      <w:r w:rsidR="00DA121C">
        <w:t xml:space="preserve"> </w:t>
      </w:r>
      <w:r w:rsidR="00697974" w:rsidRPr="00697974">
        <w:t>FRα expression stability</w:t>
      </w:r>
      <w:r w:rsidR="00697974">
        <w:t xml:space="preserve"> over time</w:t>
      </w:r>
      <w:r w:rsidR="0054431C">
        <w:t xml:space="preserve">, </w:t>
      </w:r>
      <w:r w:rsidR="00572F99">
        <w:t xml:space="preserve">at </w:t>
      </w:r>
      <w:r w:rsidR="0014720C">
        <w:t>d</w:t>
      </w:r>
      <w:r w:rsidR="00572F99">
        <w:t>ifferent stages of the disease (e.g.</w:t>
      </w:r>
      <w:r w:rsidR="00C928B0">
        <w:t>,</w:t>
      </w:r>
      <w:r w:rsidR="00572F99">
        <w:t xml:space="preserve"> before and after metastasis) </w:t>
      </w:r>
      <w:r w:rsidR="00D03D80">
        <w:t xml:space="preserve">and at different steps </w:t>
      </w:r>
      <w:r w:rsidR="0014720C">
        <w:t xml:space="preserve">in </w:t>
      </w:r>
      <w:r w:rsidR="00D03D80">
        <w:t>the treatment pathway (</w:t>
      </w:r>
      <w:r w:rsidR="00174C47">
        <w:t>e.g.</w:t>
      </w:r>
      <w:r w:rsidR="00C928B0">
        <w:t>,</w:t>
      </w:r>
      <w:r w:rsidR="00174C47">
        <w:t xml:space="preserve"> </w:t>
      </w:r>
      <w:r w:rsidR="00D03D80">
        <w:t xml:space="preserve">before and after </w:t>
      </w:r>
      <w:r w:rsidR="00174C47">
        <w:t>chemotherapy)</w:t>
      </w:r>
      <w:r w:rsidR="00D85B98" w:rsidRPr="00AA2702">
        <w:t xml:space="preserve">. </w:t>
      </w:r>
      <w:r w:rsidR="00BE51BE">
        <w:t>It is not clear whether these six studies represent the totality of the available evidence and a thorough exploration of FR</w:t>
      </w:r>
      <w:r w:rsidR="00BE51BE">
        <w:rPr>
          <w:rFonts w:cs="Calibri"/>
        </w:rPr>
        <w:t>α</w:t>
      </w:r>
      <w:r w:rsidR="00BE51BE">
        <w:t xml:space="preserve"> expression stability should be presented in the integrated codependent submission.</w:t>
      </w:r>
    </w:p>
    <w:p w14:paraId="444DFE45" w14:textId="5F0852D0" w:rsidR="006B351B" w:rsidRPr="00FA4235" w:rsidRDefault="00CE29C4" w:rsidP="00E027BB">
      <w:pPr>
        <w:rPr>
          <w:rFonts w:asciiTheme="minorHAnsi" w:eastAsiaTheme="minorEastAsia" w:hAnsiTheme="minorHAnsi" w:cstheme="minorBidi"/>
          <w:iCs/>
        </w:rPr>
      </w:pPr>
      <w:r w:rsidRPr="00FA4235">
        <w:rPr>
          <w:rFonts w:asciiTheme="minorHAnsi" w:eastAsiaTheme="minorEastAsia" w:hAnsiTheme="minorHAnsi" w:cstheme="minorBidi"/>
          <w:iCs/>
        </w:rPr>
        <w:t xml:space="preserve">The applicants’ interpretation of the finding of the studies </w:t>
      </w:r>
      <w:r w:rsidR="002B435A" w:rsidRPr="00FA4235">
        <w:rPr>
          <w:rFonts w:asciiTheme="minorHAnsi" w:eastAsiaTheme="minorEastAsia" w:hAnsiTheme="minorHAnsi" w:cstheme="minorBidi"/>
          <w:iCs/>
        </w:rPr>
        <w:t xml:space="preserve">seems to suggest that </w:t>
      </w:r>
      <w:r w:rsidR="001725DB" w:rsidRPr="00FA4235">
        <w:rPr>
          <w:rFonts w:asciiTheme="minorHAnsi" w:eastAsiaTheme="minorEastAsia" w:hAnsiTheme="minorHAnsi" w:cstheme="minorBidi"/>
          <w:iCs/>
        </w:rPr>
        <w:t>there is sufficient evidence</w:t>
      </w:r>
      <w:r w:rsidR="00A131A0" w:rsidRPr="00FA4235">
        <w:rPr>
          <w:rFonts w:asciiTheme="minorHAnsi" w:eastAsiaTheme="minorEastAsia" w:hAnsiTheme="minorHAnsi" w:cstheme="minorBidi"/>
          <w:iCs/>
        </w:rPr>
        <w:t xml:space="preserve"> that the </w:t>
      </w:r>
      <w:r w:rsidR="00E63AFD" w:rsidRPr="00FA4235">
        <w:rPr>
          <w:rFonts w:asciiTheme="minorHAnsi" w:eastAsiaTheme="minorEastAsia" w:hAnsiTheme="minorHAnsi" w:cstheme="minorBidi"/>
          <w:iCs/>
        </w:rPr>
        <w:t xml:space="preserve">FRα expression </w:t>
      </w:r>
      <w:r w:rsidR="00AC071C">
        <w:rPr>
          <w:rFonts w:asciiTheme="minorHAnsi" w:eastAsiaTheme="minorEastAsia" w:hAnsiTheme="minorHAnsi" w:cstheme="minorBidi"/>
          <w:iCs/>
        </w:rPr>
        <w:t>is</w:t>
      </w:r>
      <w:r w:rsidR="00AC071C" w:rsidRPr="00FA4235">
        <w:rPr>
          <w:rFonts w:asciiTheme="minorHAnsi" w:eastAsiaTheme="minorEastAsia" w:hAnsiTheme="minorHAnsi" w:cstheme="minorBidi"/>
          <w:iCs/>
        </w:rPr>
        <w:t xml:space="preserve"> </w:t>
      </w:r>
      <w:r w:rsidR="002670A3" w:rsidRPr="00FA4235">
        <w:rPr>
          <w:rFonts w:asciiTheme="minorHAnsi" w:eastAsiaTheme="minorEastAsia" w:hAnsiTheme="minorHAnsi" w:cstheme="minorBidi"/>
          <w:iCs/>
        </w:rPr>
        <w:t xml:space="preserve">the same whether archival or fresh biopsy tissues are </w:t>
      </w:r>
      <w:r w:rsidR="001766B8" w:rsidRPr="00FA4235">
        <w:rPr>
          <w:rFonts w:asciiTheme="minorHAnsi" w:eastAsiaTheme="minorEastAsia" w:hAnsiTheme="minorHAnsi" w:cstheme="minorBidi"/>
          <w:iCs/>
        </w:rPr>
        <w:t>used</w:t>
      </w:r>
      <w:r w:rsidR="00902194" w:rsidRPr="00FA4235">
        <w:rPr>
          <w:rFonts w:asciiTheme="minorHAnsi" w:eastAsiaTheme="minorEastAsia" w:hAnsiTheme="minorHAnsi" w:cstheme="minorBidi"/>
          <w:iCs/>
        </w:rPr>
        <w:t xml:space="preserve">, </w:t>
      </w:r>
      <w:r w:rsidR="00BE51BE" w:rsidRPr="00FA4235">
        <w:rPr>
          <w:rFonts w:asciiTheme="minorHAnsi" w:eastAsiaTheme="minorEastAsia" w:hAnsiTheme="minorHAnsi" w:cstheme="minorBidi"/>
          <w:iCs/>
        </w:rPr>
        <w:t xml:space="preserve">in addition to </w:t>
      </w:r>
      <w:r w:rsidR="00902194" w:rsidRPr="00FA4235">
        <w:rPr>
          <w:rFonts w:asciiTheme="minorHAnsi" w:eastAsiaTheme="minorEastAsia" w:hAnsiTheme="minorHAnsi" w:cstheme="minorBidi"/>
          <w:iCs/>
        </w:rPr>
        <w:t>across samples from different anatomical</w:t>
      </w:r>
      <w:r w:rsidR="009F393F" w:rsidRPr="00FA4235">
        <w:rPr>
          <w:rFonts w:asciiTheme="minorHAnsi" w:eastAsiaTheme="minorEastAsia" w:hAnsiTheme="minorHAnsi" w:cstheme="minorBidi"/>
          <w:iCs/>
        </w:rPr>
        <w:t xml:space="preserve"> </w:t>
      </w:r>
      <w:r w:rsidR="00E86AC9" w:rsidRPr="00FA4235">
        <w:rPr>
          <w:rFonts w:asciiTheme="minorHAnsi" w:eastAsiaTheme="minorEastAsia" w:hAnsiTheme="minorHAnsi" w:cstheme="minorBidi"/>
          <w:iCs/>
        </w:rPr>
        <w:t xml:space="preserve">sites </w:t>
      </w:r>
      <w:r w:rsidR="004C4BCE" w:rsidRPr="00FA4235">
        <w:rPr>
          <w:rFonts w:asciiTheme="minorHAnsi" w:eastAsiaTheme="minorEastAsia" w:hAnsiTheme="minorHAnsi" w:cstheme="minorBidi"/>
          <w:iCs/>
        </w:rPr>
        <w:t xml:space="preserve">of the patient’s body </w:t>
      </w:r>
      <w:r w:rsidR="009F393F" w:rsidRPr="00FA4235">
        <w:rPr>
          <w:rFonts w:asciiTheme="minorHAnsi" w:eastAsiaTheme="minorEastAsia" w:hAnsiTheme="minorHAnsi" w:cstheme="minorBidi"/>
          <w:iCs/>
        </w:rPr>
        <w:t xml:space="preserve">or whether </w:t>
      </w:r>
      <w:r w:rsidR="00FF3D24" w:rsidRPr="00FA4235">
        <w:rPr>
          <w:rFonts w:asciiTheme="minorHAnsi" w:eastAsiaTheme="minorEastAsia" w:hAnsiTheme="minorHAnsi" w:cstheme="minorBidi"/>
          <w:iCs/>
        </w:rPr>
        <w:t>primary or metastatic tumour samples are assessed</w:t>
      </w:r>
      <w:r w:rsidR="002670A3" w:rsidRPr="00FA4235">
        <w:rPr>
          <w:rFonts w:asciiTheme="minorHAnsi" w:eastAsiaTheme="minorEastAsia" w:hAnsiTheme="minorHAnsi" w:cstheme="minorBidi"/>
          <w:iCs/>
        </w:rPr>
        <w:t>;</w:t>
      </w:r>
      <w:r w:rsidR="003F79E4" w:rsidRPr="00FA4235">
        <w:rPr>
          <w:rFonts w:asciiTheme="minorHAnsi" w:eastAsiaTheme="minorEastAsia" w:hAnsiTheme="minorHAnsi" w:cstheme="minorBidi"/>
          <w:iCs/>
        </w:rPr>
        <w:t xml:space="preserve"> </w:t>
      </w:r>
      <w:r w:rsidR="00BE51BE" w:rsidRPr="00FA4235">
        <w:rPr>
          <w:rFonts w:asciiTheme="minorHAnsi" w:eastAsiaTheme="minorEastAsia" w:hAnsiTheme="minorHAnsi" w:cstheme="minorBidi"/>
          <w:iCs/>
        </w:rPr>
        <w:t xml:space="preserve">and that </w:t>
      </w:r>
      <w:r w:rsidR="003F79E4" w:rsidRPr="00FA4235">
        <w:rPr>
          <w:rFonts w:asciiTheme="minorHAnsi" w:eastAsiaTheme="minorEastAsia" w:hAnsiTheme="minorHAnsi" w:cstheme="minorBidi"/>
          <w:iCs/>
        </w:rPr>
        <w:t>FRα expression</w:t>
      </w:r>
      <w:r w:rsidR="00E368B6" w:rsidRPr="00FA4235">
        <w:rPr>
          <w:rFonts w:asciiTheme="minorHAnsi" w:eastAsiaTheme="minorEastAsia" w:hAnsiTheme="minorHAnsi" w:cstheme="minorBidi"/>
          <w:iCs/>
        </w:rPr>
        <w:t xml:space="preserve"> is</w:t>
      </w:r>
      <w:r w:rsidR="003F79E4" w:rsidRPr="00FA4235">
        <w:rPr>
          <w:rFonts w:asciiTheme="minorHAnsi" w:eastAsiaTheme="minorEastAsia" w:hAnsiTheme="minorHAnsi" w:cstheme="minorBidi"/>
          <w:iCs/>
        </w:rPr>
        <w:t xml:space="preserve"> </w:t>
      </w:r>
      <w:r w:rsidR="00E63AFD" w:rsidRPr="00FA4235">
        <w:rPr>
          <w:rFonts w:asciiTheme="minorHAnsi" w:eastAsiaTheme="minorEastAsia" w:hAnsiTheme="minorHAnsi" w:cstheme="minorBidi"/>
          <w:iCs/>
        </w:rPr>
        <w:t xml:space="preserve">maintained </w:t>
      </w:r>
      <w:r w:rsidR="001D5BC3" w:rsidRPr="00FA4235">
        <w:rPr>
          <w:rFonts w:asciiTheme="minorHAnsi" w:eastAsiaTheme="minorEastAsia" w:hAnsiTheme="minorHAnsi" w:cstheme="minorBidi"/>
          <w:iCs/>
        </w:rPr>
        <w:t xml:space="preserve">regardless of PFI </w:t>
      </w:r>
      <w:r w:rsidR="00E368B6" w:rsidRPr="00FA4235">
        <w:rPr>
          <w:rFonts w:asciiTheme="minorHAnsi" w:eastAsiaTheme="minorEastAsia" w:hAnsiTheme="minorHAnsi" w:cstheme="minorBidi"/>
          <w:iCs/>
        </w:rPr>
        <w:t xml:space="preserve">and is not altered </w:t>
      </w:r>
      <w:r w:rsidR="00E63AFD" w:rsidRPr="00FA4235">
        <w:rPr>
          <w:rFonts w:asciiTheme="minorHAnsi" w:eastAsiaTheme="minorEastAsia" w:hAnsiTheme="minorHAnsi" w:cstheme="minorBidi"/>
          <w:iCs/>
        </w:rPr>
        <w:t>after chemotherapy treatment</w:t>
      </w:r>
      <w:r w:rsidR="00E23C8A" w:rsidRPr="00FA4235">
        <w:rPr>
          <w:rFonts w:asciiTheme="minorHAnsi" w:eastAsiaTheme="minorEastAsia" w:hAnsiTheme="minorHAnsi" w:cstheme="minorBidi"/>
          <w:iCs/>
        </w:rPr>
        <w:t xml:space="preserve">. </w:t>
      </w:r>
      <w:r w:rsidRPr="00FA4235">
        <w:rPr>
          <w:rFonts w:asciiTheme="minorHAnsi" w:eastAsiaTheme="minorEastAsia" w:hAnsiTheme="minorHAnsi" w:cstheme="minorBidi"/>
          <w:iCs/>
        </w:rPr>
        <w:t xml:space="preserve"> </w:t>
      </w:r>
    </w:p>
    <w:p w14:paraId="29A00090" w14:textId="0096F6C8" w:rsidR="00063E7A" w:rsidRPr="00FA4235" w:rsidRDefault="004D3402" w:rsidP="00E027BB">
      <w:pPr>
        <w:rPr>
          <w:rFonts w:asciiTheme="minorHAnsi" w:eastAsiaTheme="minorHAnsi" w:hAnsiTheme="minorHAnsi" w:cstheme="minorHAnsi"/>
        </w:rPr>
      </w:pPr>
      <w:r w:rsidRPr="00FA4235">
        <w:rPr>
          <w:rFonts w:asciiTheme="minorHAnsi" w:eastAsiaTheme="minorHAnsi" w:hAnsiTheme="minorHAnsi" w:cstheme="minorHAnsi"/>
        </w:rPr>
        <w:t>O</w:t>
      </w:r>
      <w:r w:rsidR="00BD0026" w:rsidRPr="00FA4235">
        <w:rPr>
          <w:rFonts w:asciiTheme="minorHAnsi" w:eastAsiaTheme="minorHAnsi" w:hAnsiTheme="minorHAnsi" w:cstheme="minorHAnsi"/>
        </w:rPr>
        <w:t xml:space="preserve">nly two </w:t>
      </w:r>
      <w:r w:rsidR="00937ACE" w:rsidRPr="00FA4235">
        <w:rPr>
          <w:rFonts w:asciiTheme="minorHAnsi" w:eastAsiaTheme="minorHAnsi" w:hAnsiTheme="minorHAnsi" w:cstheme="minorHAnsi"/>
        </w:rPr>
        <w:t xml:space="preserve">of the presented studies used </w:t>
      </w:r>
      <w:r w:rsidR="00F312D7">
        <w:rPr>
          <w:rFonts w:asciiTheme="minorHAnsi" w:eastAsiaTheme="minorHAnsi" w:hAnsiTheme="minorHAnsi" w:cstheme="minorHAnsi"/>
        </w:rPr>
        <w:t xml:space="preserve">the </w:t>
      </w:r>
      <w:r w:rsidR="00937ACE" w:rsidRPr="00FA4235">
        <w:rPr>
          <w:rFonts w:asciiTheme="minorHAnsi" w:eastAsiaTheme="minorHAnsi" w:hAnsiTheme="minorHAnsi" w:cstheme="minorHAnsi"/>
        </w:rPr>
        <w:t xml:space="preserve">VENTANA FOLR1 </w:t>
      </w:r>
      <w:r w:rsidR="0044146F" w:rsidRPr="00FA4235">
        <w:rPr>
          <w:rFonts w:asciiTheme="minorHAnsi" w:eastAsiaTheme="minorHAnsi" w:hAnsiTheme="minorHAnsi" w:cstheme="minorHAnsi"/>
        </w:rPr>
        <w:t>assay</w:t>
      </w:r>
      <w:r w:rsidR="0044146F" w:rsidRPr="00FA4235">
        <w:rPr>
          <w:rFonts w:ascii="Arial Narrow" w:eastAsia="Times New Roman" w:hAnsi="Arial Narrow" w:cstheme="minorHAnsi"/>
          <w:color w:val="000000"/>
          <w:sz w:val="20"/>
          <w:szCs w:val="20"/>
        </w:rPr>
        <w:t xml:space="preserve"> </w:t>
      </w:r>
      <w:r w:rsidR="0044146F" w:rsidRPr="00FA4235">
        <w:rPr>
          <w:rFonts w:asciiTheme="minorHAnsi" w:eastAsiaTheme="minorHAnsi" w:hAnsiTheme="minorHAnsi" w:cstheme="minorHAnsi"/>
        </w:rPr>
        <w:t>(Martin, 2017 and</w:t>
      </w:r>
      <w:r w:rsidR="00000910" w:rsidRPr="00FA4235">
        <w:rPr>
          <w:rFonts w:asciiTheme="minorHAnsi" w:eastAsiaTheme="minorHAnsi" w:hAnsiTheme="minorHAnsi" w:cstheme="minorHAnsi"/>
        </w:rPr>
        <w:t xml:space="preserve"> Deutschman</w:t>
      </w:r>
      <w:r w:rsidR="00257810" w:rsidRPr="00FA4235">
        <w:rPr>
          <w:rFonts w:asciiTheme="minorHAnsi" w:eastAsiaTheme="minorHAnsi" w:hAnsiTheme="minorHAnsi" w:cstheme="minorHAnsi"/>
        </w:rPr>
        <w:t xml:space="preserve">, </w:t>
      </w:r>
      <w:r w:rsidR="00000910" w:rsidRPr="00FA4235">
        <w:rPr>
          <w:rFonts w:asciiTheme="minorHAnsi" w:eastAsiaTheme="minorHAnsi" w:hAnsiTheme="minorHAnsi" w:cstheme="minorHAnsi"/>
        </w:rPr>
        <w:t>2024</w:t>
      </w:r>
      <w:r w:rsidR="0057749B" w:rsidRPr="00FA4235">
        <w:rPr>
          <w:rFonts w:asciiTheme="minorHAnsi" w:eastAsiaTheme="minorHAnsi" w:hAnsiTheme="minorHAnsi" w:cstheme="minorHAnsi"/>
        </w:rPr>
        <w:t xml:space="preserve">), </w:t>
      </w:r>
      <w:r>
        <w:rPr>
          <w:rFonts w:asciiTheme="minorHAnsi" w:eastAsiaTheme="minorHAnsi" w:hAnsiTheme="minorHAnsi" w:cstheme="minorHAnsi"/>
        </w:rPr>
        <w:t xml:space="preserve">the </w:t>
      </w:r>
      <w:r w:rsidR="0057749B" w:rsidRPr="00FA4235">
        <w:rPr>
          <w:rFonts w:asciiTheme="minorHAnsi" w:eastAsiaTheme="minorHAnsi" w:hAnsiTheme="minorHAnsi" w:cstheme="minorHAnsi"/>
        </w:rPr>
        <w:t>other studies used unvalidated assays.</w:t>
      </w:r>
      <w:r w:rsidR="007F082C" w:rsidRPr="00FA4235">
        <w:rPr>
          <w:rFonts w:asciiTheme="minorHAnsi" w:eastAsiaTheme="minorHAnsi" w:hAnsiTheme="minorHAnsi" w:cstheme="minorHAnsi"/>
        </w:rPr>
        <w:t xml:space="preserve"> </w:t>
      </w:r>
      <w:r w:rsidR="009B7351" w:rsidRPr="00FA4235">
        <w:rPr>
          <w:rFonts w:asciiTheme="minorHAnsi" w:eastAsiaTheme="minorHAnsi" w:hAnsiTheme="minorHAnsi" w:cstheme="minorHAnsi"/>
        </w:rPr>
        <w:t>Therefore,</w:t>
      </w:r>
      <w:r w:rsidR="00257810" w:rsidRPr="00FA4235">
        <w:rPr>
          <w:rFonts w:asciiTheme="minorHAnsi" w:eastAsiaTheme="minorHAnsi" w:hAnsiTheme="minorHAnsi" w:cstheme="minorHAnsi"/>
        </w:rPr>
        <w:t xml:space="preserve"> </w:t>
      </w:r>
      <w:r w:rsidR="006B351B" w:rsidRPr="00FA4235">
        <w:rPr>
          <w:rFonts w:asciiTheme="minorHAnsi" w:eastAsiaTheme="minorHAnsi" w:hAnsiTheme="minorHAnsi" w:cstheme="minorHAnsi"/>
        </w:rPr>
        <w:t xml:space="preserve">the degree to which the results </w:t>
      </w:r>
      <w:r w:rsidR="00340764" w:rsidRPr="00FA4235">
        <w:rPr>
          <w:rFonts w:asciiTheme="minorHAnsi" w:eastAsiaTheme="minorHAnsi" w:hAnsiTheme="minorHAnsi" w:cstheme="minorHAnsi"/>
        </w:rPr>
        <w:t xml:space="preserve">obtained from </w:t>
      </w:r>
      <w:r w:rsidR="001C4B98" w:rsidRPr="00FA4235">
        <w:rPr>
          <w:rFonts w:asciiTheme="minorHAnsi" w:eastAsiaTheme="minorHAnsi" w:hAnsiTheme="minorHAnsi" w:cstheme="minorHAnsi"/>
        </w:rPr>
        <w:t>different assay</w:t>
      </w:r>
      <w:r w:rsidR="00F312D7">
        <w:rPr>
          <w:rFonts w:asciiTheme="minorHAnsi" w:eastAsiaTheme="minorHAnsi" w:hAnsiTheme="minorHAnsi" w:cstheme="minorHAnsi"/>
        </w:rPr>
        <w:t>s</w:t>
      </w:r>
      <w:r w:rsidR="001C4B98" w:rsidRPr="00FA4235">
        <w:rPr>
          <w:rFonts w:asciiTheme="minorHAnsi" w:eastAsiaTheme="minorHAnsi" w:hAnsiTheme="minorHAnsi" w:cstheme="minorHAnsi"/>
        </w:rPr>
        <w:t xml:space="preserve"> and scoring methods </w:t>
      </w:r>
      <w:r w:rsidR="005D37EB" w:rsidRPr="00FA4235">
        <w:rPr>
          <w:rFonts w:asciiTheme="minorHAnsi" w:eastAsiaTheme="minorHAnsi" w:hAnsiTheme="minorHAnsi" w:cstheme="minorHAnsi"/>
        </w:rPr>
        <w:t xml:space="preserve">of assessment of FRα expression status </w:t>
      </w:r>
      <w:r w:rsidR="00106CCE" w:rsidRPr="00FA4235">
        <w:rPr>
          <w:rFonts w:asciiTheme="minorHAnsi" w:eastAsiaTheme="minorHAnsi" w:hAnsiTheme="minorHAnsi" w:cstheme="minorHAnsi"/>
        </w:rPr>
        <w:t xml:space="preserve">are </w:t>
      </w:r>
      <w:r w:rsidR="00592D9D" w:rsidRPr="00FA4235">
        <w:rPr>
          <w:rFonts w:asciiTheme="minorHAnsi" w:eastAsiaTheme="minorHAnsi" w:hAnsiTheme="minorHAnsi" w:cstheme="minorHAnsi"/>
        </w:rPr>
        <w:t>valid</w:t>
      </w:r>
      <w:r w:rsidR="00106CCE" w:rsidRPr="00FA4235">
        <w:rPr>
          <w:rFonts w:asciiTheme="minorHAnsi" w:eastAsiaTheme="minorHAnsi" w:hAnsiTheme="minorHAnsi" w:cstheme="minorHAnsi"/>
        </w:rPr>
        <w:t xml:space="preserve"> in the context of the </w:t>
      </w:r>
      <w:r w:rsidR="00BE51BE">
        <w:rPr>
          <w:rFonts w:asciiTheme="minorHAnsi" w:eastAsiaTheme="minorHAnsi" w:hAnsiTheme="minorHAnsi" w:cstheme="minorHAnsi"/>
        </w:rPr>
        <w:t xml:space="preserve">integrated </w:t>
      </w:r>
      <w:r w:rsidR="00106CCE" w:rsidRPr="00FA4235">
        <w:rPr>
          <w:rFonts w:asciiTheme="minorHAnsi" w:eastAsiaTheme="minorHAnsi" w:hAnsiTheme="minorHAnsi" w:cstheme="minorHAnsi"/>
        </w:rPr>
        <w:t>codependent submission</w:t>
      </w:r>
      <w:r w:rsidR="006B351B" w:rsidRPr="00FA4235">
        <w:rPr>
          <w:rFonts w:asciiTheme="minorHAnsi" w:eastAsiaTheme="minorHAnsi" w:hAnsiTheme="minorHAnsi" w:cstheme="minorHAnsi"/>
        </w:rPr>
        <w:t xml:space="preserve"> remain uncertain</w:t>
      </w:r>
      <w:r w:rsidR="00106CCE" w:rsidRPr="00FA4235">
        <w:rPr>
          <w:rFonts w:asciiTheme="minorHAnsi" w:eastAsiaTheme="minorHAnsi" w:hAnsiTheme="minorHAnsi" w:cstheme="minorHAnsi"/>
        </w:rPr>
        <w:t xml:space="preserve">. </w:t>
      </w:r>
      <w:r w:rsidR="001506B4" w:rsidRPr="0006300D">
        <w:rPr>
          <w:rFonts w:asciiTheme="minorHAnsi" w:eastAsiaTheme="minorHAnsi" w:hAnsiTheme="minorHAnsi" w:cstheme="minorHAnsi"/>
        </w:rPr>
        <w:t>There</w:t>
      </w:r>
      <w:r w:rsidR="001506B4" w:rsidRPr="0006300D" w:rsidDel="009F519E">
        <w:rPr>
          <w:rFonts w:asciiTheme="minorHAnsi" w:eastAsiaTheme="minorHAnsi" w:hAnsiTheme="minorHAnsi" w:cstheme="minorHAnsi"/>
        </w:rPr>
        <w:t xml:space="preserve"> </w:t>
      </w:r>
      <w:r w:rsidR="009F519E">
        <w:rPr>
          <w:rFonts w:asciiTheme="minorHAnsi" w:eastAsiaTheme="minorHAnsi" w:hAnsiTheme="minorHAnsi" w:cstheme="minorHAnsi"/>
        </w:rPr>
        <w:t>are</w:t>
      </w:r>
      <w:r w:rsidR="009F519E" w:rsidRPr="0006300D">
        <w:rPr>
          <w:rFonts w:asciiTheme="minorHAnsi" w:eastAsiaTheme="minorHAnsi" w:hAnsiTheme="minorHAnsi" w:cstheme="minorHAnsi"/>
        </w:rPr>
        <w:t xml:space="preserve"> </w:t>
      </w:r>
      <w:r w:rsidR="001506B4" w:rsidRPr="0006300D">
        <w:rPr>
          <w:rFonts w:asciiTheme="minorHAnsi" w:eastAsiaTheme="minorHAnsi" w:hAnsiTheme="minorHAnsi" w:cstheme="minorHAnsi"/>
        </w:rPr>
        <w:t xml:space="preserve">no data on concordance of the results produced by the different testing algorithms, which makes the interpretation of reported difference in scores and its statistical significance (if estimated) problematic. This is especially true if the scoring method </w:t>
      </w:r>
      <w:r w:rsidR="001506B4" w:rsidRPr="0006300D">
        <w:rPr>
          <w:rFonts w:asciiTheme="minorHAnsi" w:eastAsiaTheme="minorHAnsi" w:hAnsiTheme="minorHAnsi" w:cstheme="minorHAnsi"/>
        </w:rPr>
        <w:lastRenderedPageBreak/>
        <w:t>is limited to one of the two FRα-positivity criteria, as in Crane (2012), where FRα expression was assessed in terms of staining intensity</w:t>
      </w:r>
      <w:r w:rsidR="001506B4" w:rsidRPr="0006300D">
        <w:t xml:space="preserve"> (</w:t>
      </w:r>
      <w:r w:rsidR="001506B4" w:rsidRPr="0006300D">
        <w:rPr>
          <w:rFonts w:asciiTheme="minorHAnsi" w:eastAsiaTheme="minorHAnsi" w:hAnsiTheme="minorHAnsi" w:cstheme="minorHAnsi"/>
        </w:rPr>
        <w:t>a ‘low staining’ group (score 0 or 1) and in a ‘high staining’ group (score 2 or 3), while omitting calculations of a proportion of TC with membrane staining</w:t>
      </w:r>
      <w:r w:rsidR="001506B4" w:rsidRPr="004D3402">
        <w:rPr>
          <w:rFonts w:asciiTheme="minorHAnsi" w:eastAsiaTheme="minorHAnsi" w:hAnsiTheme="minorHAnsi" w:cstheme="minorHAnsi"/>
        </w:rPr>
        <w:t>.</w:t>
      </w:r>
      <w:r w:rsidR="001506B4" w:rsidRPr="0006300D">
        <w:rPr>
          <w:rFonts w:asciiTheme="minorHAnsi" w:eastAsiaTheme="minorHAnsi" w:hAnsiTheme="minorHAnsi" w:cstheme="minorHAnsi"/>
        </w:rPr>
        <w:t xml:space="preserve"> </w:t>
      </w:r>
    </w:p>
    <w:p w14:paraId="386E368C" w14:textId="5A18573B" w:rsidR="00E027BB" w:rsidRDefault="00D002B6" w:rsidP="000176B5">
      <w:pPr>
        <w:rPr>
          <w:rFonts w:asciiTheme="minorHAnsi" w:eastAsiaTheme="minorHAnsi" w:hAnsiTheme="minorHAnsi" w:cstheme="minorHAnsi"/>
        </w:rPr>
      </w:pPr>
      <w:r w:rsidRPr="00FA4235">
        <w:rPr>
          <w:rFonts w:asciiTheme="minorHAnsi" w:eastAsiaTheme="minorHAnsi" w:hAnsiTheme="minorHAnsi" w:cstheme="minorHAnsi"/>
        </w:rPr>
        <w:t>For the purposes of establishing FRα expression stability</w:t>
      </w:r>
      <w:r w:rsidR="00B218D9" w:rsidRPr="00FA4235">
        <w:rPr>
          <w:rFonts w:asciiTheme="minorHAnsi" w:eastAsiaTheme="minorHAnsi" w:hAnsiTheme="minorHAnsi" w:cstheme="minorHAnsi"/>
        </w:rPr>
        <w:t xml:space="preserve"> over time</w:t>
      </w:r>
      <w:r w:rsidR="004D3402">
        <w:rPr>
          <w:rFonts w:asciiTheme="minorHAnsi" w:eastAsiaTheme="minorHAnsi" w:hAnsiTheme="minorHAnsi" w:cstheme="minorHAnsi"/>
        </w:rPr>
        <w:t>,</w:t>
      </w:r>
      <w:r w:rsidR="00B218D9" w:rsidRPr="00FA4235">
        <w:rPr>
          <w:rFonts w:asciiTheme="minorHAnsi" w:eastAsiaTheme="minorHAnsi" w:hAnsiTheme="minorHAnsi" w:cstheme="minorHAnsi"/>
        </w:rPr>
        <w:t xml:space="preserve"> only paired (matched from the same person) samples are suitable</w:t>
      </w:r>
      <w:r w:rsidR="00B218D9" w:rsidRPr="004D3402">
        <w:rPr>
          <w:rFonts w:asciiTheme="minorHAnsi" w:eastAsiaTheme="minorHAnsi" w:hAnsiTheme="minorHAnsi" w:cstheme="minorHAnsi"/>
        </w:rPr>
        <w:t>. The size of these sample</w:t>
      </w:r>
      <w:r w:rsidR="0096686A" w:rsidRPr="004D3402">
        <w:rPr>
          <w:rFonts w:asciiTheme="minorHAnsi" w:eastAsiaTheme="minorHAnsi" w:hAnsiTheme="minorHAnsi" w:cstheme="minorHAnsi"/>
        </w:rPr>
        <w:t>s</w:t>
      </w:r>
      <w:r w:rsidR="00B218D9" w:rsidRPr="004D3402">
        <w:rPr>
          <w:rFonts w:asciiTheme="minorHAnsi" w:eastAsiaTheme="minorHAnsi" w:hAnsiTheme="minorHAnsi" w:cstheme="minorHAnsi"/>
        </w:rPr>
        <w:t xml:space="preserve"> was small ranging </w:t>
      </w:r>
      <w:r w:rsidR="00B218D9" w:rsidRPr="00FA4235">
        <w:rPr>
          <w:rFonts w:asciiTheme="minorHAnsi" w:eastAsiaTheme="minorHAnsi" w:hAnsiTheme="minorHAnsi" w:cstheme="minorHAnsi"/>
        </w:rPr>
        <w:t xml:space="preserve">from </w:t>
      </w:r>
      <w:r w:rsidR="009F3A00" w:rsidRPr="00FA4235">
        <w:rPr>
          <w:rFonts w:asciiTheme="minorHAnsi" w:eastAsiaTheme="minorHAnsi" w:hAnsiTheme="minorHAnsi" w:cstheme="minorHAnsi"/>
        </w:rPr>
        <w:t>24</w:t>
      </w:r>
      <w:r w:rsidR="00CA0576" w:rsidRPr="00FA4235">
        <w:rPr>
          <w:rFonts w:asciiTheme="minorHAnsi" w:eastAsiaTheme="minorHAnsi" w:hAnsiTheme="minorHAnsi" w:cstheme="minorHAnsi"/>
        </w:rPr>
        <w:t xml:space="preserve"> patients</w:t>
      </w:r>
      <w:r w:rsidR="009F3A00" w:rsidRPr="00FA4235">
        <w:rPr>
          <w:rFonts w:asciiTheme="minorHAnsi" w:eastAsiaTheme="minorHAnsi" w:hAnsiTheme="minorHAnsi" w:cstheme="minorHAnsi"/>
        </w:rPr>
        <w:t xml:space="preserve"> (K</w:t>
      </w:r>
      <w:r w:rsidR="000E72E0" w:rsidRPr="00FA4235">
        <w:rPr>
          <w:rFonts w:asciiTheme="minorHAnsi" w:eastAsiaTheme="minorHAnsi" w:hAnsiTheme="minorHAnsi" w:cstheme="minorHAnsi"/>
        </w:rPr>
        <w:t>a</w:t>
      </w:r>
      <w:r w:rsidR="009F3A00" w:rsidRPr="00FA4235">
        <w:rPr>
          <w:rFonts w:asciiTheme="minorHAnsi" w:eastAsiaTheme="minorHAnsi" w:hAnsiTheme="minorHAnsi" w:cstheme="minorHAnsi"/>
        </w:rPr>
        <w:t>lli</w:t>
      </w:r>
      <w:r w:rsidR="000E72E0" w:rsidRPr="00FA4235">
        <w:rPr>
          <w:rFonts w:asciiTheme="minorHAnsi" w:eastAsiaTheme="minorHAnsi" w:hAnsiTheme="minorHAnsi" w:cstheme="minorHAnsi"/>
        </w:rPr>
        <w:t>, 2008)</w:t>
      </w:r>
      <w:r w:rsidR="009F3A00" w:rsidRPr="00FA4235">
        <w:rPr>
          <w:rFonts w:asciiTheme="minorHAnsi" w:eastAsiaTheme="minorHAnsi" w:hAnsiTheme="minorHAnsi" w:cstheme="minorHAnsi"/>
        </w:rPr>
        <w:t xml:space="preserve"> to 59</w:t>
      </w:r>
      <w:r w:rsidR="00CA0576" w:rsidRPr="00FA4235">
        <w:rPr>
          <w:rFonts w:asciiTheme="minorHAnsi" w:eastAsiaTheme="minorHAnsi" w:hAnsiTheme="minorHAnsi" w:cstheme="minorHAnsi"/>
        </w:rPr>
        <w:t xml:space="preserve"> patients</w:t>
      </w:r>
      <w:r w:rsidR="009F3A00" w:rsidRPr="00FA4235">
        <w:rPr>
          <w:rFonts w:asciiTheme="minorHAnsi" w:eastAsiaTheme="minorHAnsi" w:hAnsiTheme="minorHAnsi" w:cstheme="minorHAnsi"/>
        </w:rPr>
        <w:t xml:space="preserve"> </w:t>
      </w:r>
      <w:r w:rsidR="000E72E0" w:rsidRPr="00FA4235">
        <w:rPr>
          <w:rFonts w:asciiTheme="minorHAnsi" w:eastAsiaTheme="minorHAnsi" w:hAnsiTheme="minorHAnsi" w:cstheme="minorHAnsi"/>
        </w:rPr>
        <w:t>(</w:t>
      </w:r>
      <w:r w:rsidR="00562353" w:rsidRPr="00FA4235">
        <w:rPr>
          <w:rFonts w:asciiTheme="minorHAnsi" w:eastAsiaTheme="minorHAnsi" w:hAnsiTheme="minorHAnsi" w:cstheme="minorHAnsi"/>
        </w:rPr>
        <w:t>Deutschman, 2024)</w:t>
      </w:r>
      <w:r w:rsidR="003F5B7F" w:rsidRPr="00FA4235">
        <w:rPr>
          <w:rFonts w:asciiTheme="minorHAnsi" w:eastAsiaTheme="minorHAnsi" w:hAnsiTheme="minorHAnsi" w:cstheme="minorHAnsi"/>
        </w:rPr>
        <w:t xml:space="preserve">, which </w:t>
      </w:r>
      <w:r w:rsidR="00B46C9B" w:rsidRPr="00FA4235">
        <w:rPr>
          <w:rFonts w:asciiTheme="minorHAnsi" w:eastAsiaTheme="minorHAnsi" w:hAnsiTheme="minorHAnsi" w:cstheme="minorHAnsi"/>
        </w:rPr>
        <w:t xml:space="preserve">undermines the applicability of the study </w:t>
      </w:r>
      <w:r w:rsidR="0096686A" w:rsidRPr="00FA4235">
        <w:rPr>
          <w:rFonts w:asciiTheme="minorHAnsi" w:eastAsiaTheme="minorHAnsi" w:hAnsiTheme="minorHAnsi" w:cstheme="minorHAnsi"/>
        </w:rPr>
        <w:t>results</w:t>
      </w:r>
      <w:r w:rsidR="00B46C9B" w:rsidRPr="00FA4235">
        <w:rPr>
          <w:rFonts w:asciiTheme="minorHAnsi" w:eastAsiaTheme="minorHAnsi" w:hAnsiTheme="minorHAnsi" w:cstheme="minorHAnsi"/>
        </w:rPr>
        <w:t xml:space="preserve"> to the </w:t>
      </w:r>
      <w:r w:rsidR="0096686A" w:rsidRPr="00FA4235">
        <w:rPr>
          <w:rFonts w:asciiTheme="minorHAnsi" w:eastAsiaTheme="minorHAnsi" w:hAnsiTheme="minorHAnsi" w:cstheme="minorHAnsi"/>
        </w:rPr>
        <w:t xml:space="preserve">target population. </w:t>
      </w:r>
      <w:r w:rsidR="003E0CF5" w:rsidRPr="00FA4235">
        <w:rPr>
          <w:rFonts w:asciiTheme="minorHAnsi" w:eastAsiaTheme="minorHAnsi" w:hAnsiTheme="minorHAnsi" w:cstheme="minorHAnsi"/>
        </w:rPr>
        <w:t>Regardless of the testing method</w:t>
      </w:r>
      <w:r w:rsidR="006E0FCC">
        <w:rPr>
          <w:rFonts w:asciiTheme="minorHAnsi" w:eastAsiaTheme="minorHAnsi" w:hAnsiTheme="minorHAnsi" w:cstheme="minorHAnsi"/>
        </w:rPr>
        <w:t xml:space="preserve"> used,</w:t>
      </w:r>
      <w:r w:rsidR="003E0CF5" w:rsidRPr="00FA4235">
        <w:rPr>
          <w:rFonts w:asciiTheme="minorHAnsi" w:eastAsiaTheme="minorHAnsi" w:hAnsiTheme="minorHAnsi" w:cstheme="minorHAnsi"/>
        </w:rPr>
        <w:t xml:space="preserve"> there is </w:t>
      </w:r>
      <w:r w:rsidR="00CA3AD1" w:rsidRPr="00FA4235">
        <w:rPr>
          <w:rFonts w:asciiTheme="minorHAnsi" w:eastAsiaTheme="minorHAnsi" w:hAnsiTheme="minorHAnsi" w:cstheme="minorHAnsi"/>
        </w:rPr>
        <w:t xml:space="preserve">some evidence of FRα expression stability not </w:t>
      </w:r>
      <w:r w:rsidR="00F01658" w:rsidRPr="00FA4235">
        <w:rPr>
          <w:rFonts w:asciiTheme="minorHAnsi" w:eastAsiaTheme="minorHAnsi" w:hAnsiTheme="minorHAnsi" w:cstheme="minorHAnsi"/>
        </w:rPr>
        <w:t xml:space="preserve">being </w:t>
      </w:r>
      <w:r w:rsidR="00896152" w:rsidRPr="00FA4235">
        <w:rPr>
          <w:rFonts w:asciiTheme="minorHAnsi" w:eastAsiaTheme="minorHAnsi" w:hAnsiTheme="minorHAnsi" w:cstheme="minorHAnsi"/>
        </w:rPr>
        <w:t xml:space="preserve">demonstrated in </w:t>
      </w:r>
      <w:r w:rsidR="002D17DB" w:rsidRPr="00FA4235">
        <w:rPr>
          <w:rFonts w:asciiTheme="minorHAnsi" w:eastAsiaTheme="minorHAnsi" w:hAnsiTheme="minorHAnsi" w:cstheme="minorHAnsi"/>
        </w:rPr>
        <w:t xml:space="preserve">a </w:t>
      </w:r>
      <w:r w:rsidR="00896152" w:rsidRPr="00FA4235">
        <w:rPr>
          <w:rFonts w:asciiTheme="minorHAnsi" w:eastAsiaTheme="minorHAnsi" w:hAnsiTheme="minorHAnsi" w:cstheme="minorHAnsi"/>
        </w:rPr>
        <w:t xml:space="preserve">small percentage of </w:t>
      </w:r>
      <w:r w:rsidR="00D12788" w:rsidRPr="00FA4235">
        <w:rPr>
          <w:rFonts w:asciiTheme="minorHAnsi" w:eastAsiaTheme="minorHAnsi" w:hAnsiTheme="minorHAnsi" w:cstheme="minorHAnsi"/>
        </w:rPr>
        <w:t>patients</w:t>
      </w:r>
      <w:r w:rsidR="00A90EA4" w:rsidRPr="00FA4235">
        <w:rPr>
          <w:rFonts w:asciiTheme="minorHAnsi" w:eastAsiaTheme="minorHAnsi" w:hAnsiTheme="minorHAnsi" w:cstheme="minorHAnsi"/>
        </w:rPr>
        <w:t xml:space="preserve"> (2/15=</w:t>
      </w:r>
      <w:r w:rsidR="00A0220E" w:rsidRPr="00FA4235">
        <w:rPr>
          <w:rFonts w:asciiTheme="minorHAnsi" w:eastAsiaTheme="minorHAnsi" w:hAnsiTheme="minorHAnsi" w:cstheme="minorHAnsi"/>
        </w:rPr>
        <w:t>13%</w:t>
      </w:r>
      <w:r w:rsidR="00A90EA4" w:rsidRPr="00FA4235">
        <w:rPr>
          <w:rFonts w:asciiTheme="minorHAnsi" w:eastAsiaTheme="minorHAnsi" w:hAnsiTheme="minorHAnsi" w:cstheme="minorHAnsi"/>
        </w:rPr>
        <w:t>)</w:t>
      </w:r>
      <w:r w:rsidR="00D12788" w:rsidRPr="00FA4235">
        <w:rPr>
          <w:rFonts w:asciiTheme="minorHAnsi" w:eastAsiaTheme="minorHAnsi" w:hAnsiTheme="minorHAnsi" w:cstheme="minorHAnsi"/>
        </w:rPr>
        <w:t>, who</w:t>
      </w:r>
      <w:r w:rsidR="001C7258" w:rsidRPr="00FA4235">
        <w:rPr>
          <w:rFonts w:asciiTheme="minorHAnsi" w:eastAsiaTheme="minorHAnsi" w:hAnsiTheme="minorHAnsi" w:cstheme="minorHAnsi"/>
        </w:rPr>
        <w:t>se</w:t>
      </w:r>
      <w:r w:rsidR="003E0CF5" w:rsidRPr="00FA4235">
        <w:rPr>
          <w:rFonts w:asciiTheme="minorHAnsi" w:eastAsiaTheme="minorHAnsi" w:hAnsiTheme="minorHAnsi" w:cstheme="minorHAnsi"/>
        </w:rPr>
        <w:t xml:space="preserve"> </w:t>
      </w:r>
      <w:r w:rsidR="001C7258" w:rsidRPr="00FA4235">
        <w:rPr>
          <w:rFonts w:asciiTheme="minorHAnsi" w:eastAsiaTheme="minorHAnsi" w:hAnsiTheme="minorHAnsi" w:cstheme="minorHAnsi"/>
        </w:rPr>
        <w:t>FRα expression changed from low</w:t>
      </w:r>
      <w:r w:rsidR="00E75EB9" w:rsidRPr="00FA4235">
        <w:rPr>
          <w:rFonts w:asciiTheme="minorHAnsi" w:eastAsiaTheme="minorHAnsi" w:hAnsiTheme="minorHAnsi" w:cstheme="minorHAnsi"/>
        </w:rPr>
        <w:t xml:space="preserve"> in the</w:t>
      </w:r>
      <w:r w:rsidR="00D66177" w:rsidRPr="00FA4235">
        <w:rPr>
          <w:rFonts w:asciiTheme="minorHAnsi" w:eastAsiaTheme="minorHAnsi" w:hAnsiTheme="minorHAnsi" w:cstheme="minorHAnsi"/>
        </w:rPr>
        <w:t xml:space="preserve"> archival tissue sample (presumably at or around the </w:t>
      </w:r>
      <w:r w:rsidR="00920A52" w:rsidRPr="00FA4235">
        <w:rPr>
          <w:rFonts w:asciiTheme="minorHAnsi" w:eastAsiaTheme="minorHAnsi" w:hAnsiTheme="minorHAnsi" w:cstheme="minorHAnsi"/>
        </w:rPr>
        <w:t xml:space="preserve">primary </w:t>
      </w:r>
      <w:r w:rsidR="00D66177" w:rsidRPr="00FA4235">
        <w:rPr>
          <w:rFonts w:asciiTheme="minorHAnsi" w:eastAsiaTheme="minorHAnsi" w:hAnsiTheme="minorHAnsi" w:cstheme="minorHAnsi"/>
        </w:rPr>
        <w:t>diagnosis)</w:t>
      </w:r>
      <w:r w:rsidR="00E75EB9" w:rsidRPr="00FA4235">
        <w:rPr>
          <w:rFonts w:asciiTheme="minorHAnsi" w:eastAsiaTheme="minorHAnsi" w:hAnsiTheme="minorHAnsi" w:cstheme="minorHAnsi"/>
        </w:rPr>
        <w:t xml:space="preserve"> </w:t>
      </w:r>
      <w:r w:rsidR="001C7258" w:rsidRPr="00FA4235">
        <w:rPr>
          <w:rFonts w:asciiTheme="minorHAnsi" w:eastAsiaTheme="minorHAnsi" w:hAnsiTheme="minorHAnsi" w:cstheme="minorHAnsi"/>
        </w:rPr>
        <w:t xml:space="preserve">to </w:t>
      </w:r>
      <w:r w:rsidR="00F01658" w:rsidRPr="00FA4235">
        <w:rPr>
          <w:rFonts w:asciiTheme="minorHAnsi" w:eastAsiaTheme="minorHAnsi" w:hAnsiTheme="minorHAnsi" w:cstheme="minorHAnsi"/>
        </w:rPr>
        <w:t>high</w:t>
      </w:r>
      <w:r w:rsidR="001C7258" w:rsidRPr="00FA4235">
        <w:rPr>
          <w:rFonts w:asciiTheme="minorHAnsi" w:eastAsiaTheme="minorHAnsi" w:hAnsiTheme="minorHAnsi" w:cstheme="minorHAnsi"/>
        </w:rPr>
        <w:t xml:space="preserve"> </w:t>
      </w:r>
      <w:r w:rsidR="00243DA3" w:rsidRPr="00FA4235">
        <w:rPr>
          <w:rFonts w:asciiTheme="minorHAnsi" w:eastAsiaTheme="minorHAnsi" w:hAnsiTheme="minorHAnsi" w:cstheme="minorHAnsi"/>
        </w:rPr>
        <w:t>in</w:t>
      </w:r>
      <w:r w:rsidR="00920A52" w:rsidRPr="00FA4235">
        <w:rPr>
          <w:rFonts w:asciiTheme="minorHAnsi" w:eastAsiaTheme="minorHAnsi" w:hAnsiTheme="minorHAnsi" w:cstheme="minorHAnsi"/>
        </w:rPr>
        <w:t xml:space="preserve"> the</w:t>
      </w:r>
      <w:r w:rsidR="00243DA3" w:rsidRPr="00FA4235">
        <w:rPr>
          <w:rFonts w:asciiTheme="minorHAnsi" w:eastAsiaTheme="minorHAnsi" w:hAnsiTheme="minorHAnsi" w:cstheme="minorHAnsi"/>
        </w:rPr>
        <w:t xml:space="preserve"> mirvetuximab soravtansine pre-treatment biopsy </w:t>
      </w:r>
      <w:r w:rsidR="001C7258" w:rsidRPr="00FA4235">
        <w:rPr>
          <w:rFonts w:asciiTheme="minorHAnsi" w:eastAsiaTheme="minorHAnsi" w:hAnsiTheme="minorHAnsi" w:cstheme="minorHAnsi"/>
        </w:rPr>
        <w:t>(Martin, 2017</w:t>
      </w:r>
      <w:r w:rsidR="00920A52" w:rsidRPr="00FA4235">
        <w:rPr>
          <w:rFonts w:asciiTheme="minorHAnsi" w:eastAsiaTheme="minorHAnsi" w:hAnsiTheme="minorHAnsi" w:cstheme="minorHAnsi"/>
        </w:rPr>
        <w:t>).</w:t>
      </w:r>
      <w:r w:rsidR="0020097A" w:rsidRPr="00FA4235">
        <w:rPr>
          <w:rFonts w:asciiTheme="minorHAnsi" w:eastAsiaTheme="minorHAnsi" w:hAnsiTheme="minorHAnsi" w:cstheme="minorHAnsi"/>
        </w:rPr>
        <w:t xml:space="preserve"> The same was true in</w:t>
      </w:r>
      <w:r w:rsidR="006B0DF4" w:rsidRPr="00FA4235">
        <w:rPr>
          <w:rFonts w:asciiTheme="minorHAnsi" w:eastAsiaTheme="minorHAnsi" w:hAnsiTheme="minorHAnsi" w:cstheme="minorHAnsi"/>
        </w:rPr>
        <w:t xml:space="preserve"> some</w:t>
      </w:r>
      <w:r w:rsidR="0020097A" w:rsidRPr="00FA4235">
        <w:rPr>
          <w:rFonts w:asciiTheme="minorHAnsi" w:eastAsiaTheme="minorHAnsi" w:hAnsiTheme="minorHAnsi" w:cstheme="minorHAnsi"/>
        </w:rPr>
        <w:t xml:space="preserve"> </w:t>
      </w:r>
      <w:r w:rsidR="006B0DF4" w:rsidRPr="00FA4235">
        <w:rPr>
          <w:rFonts w:asciiTheme="minorHAnsi" w:eastAsiaTheme="minorHAnsi" w:hAnsiTheme="minorHAnsi" w:cstheme="minorHAnsi"/>
        </w:rPr>
        <w:t xml:space="preserve">patients </w:t>
      </w:r>
      <w:r w:rsidR="006A6CE9" w:rsidRPr="00FA4235">
        <w:rPr>
          <w:rFonts w:asciiTheme="minorHAnsi" w:eastAsiaTheme="minorHAnsi" w:hAnsiTheme="minorHAnsi" w:cstheme="minorHAnsi"/>
        </w:rPr>
        <w:t>(</w:t>
      </w:r>
      <w:r w:rsidR="0020097A" w:rsidRPr="00FA4235">
        <w:rPr>
          <w:rFonts w:asciiTheme="minorHAnsi" w:eastAsiaTheme="minorHAnsi" w:hAnsiTheme="minorHAnsi" w:cstheme="minorHAnsi"/>
        </w:rPr>
        <w:t xml:space="preserve">2/24 </w:t>
      </w:r>
      <w:r w:rsidR="006A6CE9" w:rsidRPr="00FA4235">
        <w:rPr>
          <w:rFonts w:asciiTheme="minorHAnsi" w:eastAsiaTheme="minorHAnsi" w:hAnsiTheme="minorHAnsi" w:cstheme="minorHAnsi"/>
        </w:rPr>
        <w:t>=</w:t>
      </w:r>
      <w:r w:rsidR="00532C43" w:rsidRPr="00FA4235">
        <w:rPr>
          <w:rFonts w:asciiTheme="minorHAnsi" w:eastAsiaTheme="minorHAnsi" w:hAnsiTheme="minorHAnsi" w:cstheme="minorHAnsi"/>
        </w:rPr>
        <w:t xml:space="preserve">8%) </w:t>
      </w:r>
      <w:r w:rsidR="006B0DF4" w:rsidRPr="00FA4235">
        <w:rPr>
          <w:rFonts w:asciiTheme="minorHAnsi" w:eastAsiaTheme="minorHAnsi" w:hAnsiTheme="minorHAnsi" w:cstheme="minorHAnsi"/>
        </w:rPr>
        <w:t>from</w:t>
      </w:r>
      <w:r w:rsidR="002B10E7" w:rsidRPr="00FA4235">
        <w:rPr>
          <w:rFonts w:asciiTheme="minorHAnsi" w:eastAsiaTheme="minorHAnsi" w:hAnsiTheme="minorHAnsi" w:cstheme="minorHAnsi"/>
        </w:rPr>
        <w:t xml:space="preserve"> </w:t>
      </w:r>
      <w:r w:rsidR="006A6CE9" w:rsidRPr="00FA4235">
        <w:rPr>
          <w:rFonts w:asciiTheme="minorHAnsi" w:eastAsiaTheme="minorHAnsi" w:hAnsiTheme="minorHAnsi" w:cstheme="minorHAnsi"/>
        </w:rPr>
        <w:t>another study (</w:t>
      </w:r>
      <w:r w:rsidR="001506B4" w:rsidRPr="00FA4235">
        <w:rPr>
          <w:rFonts w:asciiTheme="minorHAnsi" w:eastAsiaTheme="minorHAnsi" w:hAnsiTheme="minorHAnsi" w:cstheme="minorHAnsi"/>
        </w:rPr>
        <w:t>Kall</w:t>
      </w:r>
      <w:r w:rsidR="001506B4">
        <w:rPr>
          <w:rFonts w:asciiTheme="minorHAnsi" w:eastAsiaTheme="minorHAnsi" w:hAnsiTheme="minorHAnsi" w:cstheme="minorHAnsi"/>
        </w:rPr>
        <w:t>i,</w:t>
      </w:r>
      <w:r w:rsidR="001506B4" w:rsidRPr="00FA4235">
        <w:rPr>
          <w:rFonts w:asciiTheme="minorHAnsi" w:eastAsiaTheme="minorHAnsi" w:hAnsiTheme="minorHAnsi" w:cstheme="minorHAnsi"/>
        </w:rPr>
        <w:t xml:space="preserve"> </w:t>
      </w:r>
      <w:r w:rsidR="002B10E7" w:rsidRPr="00FA4235">
        <w:rPr>
          <w:rFonts w:asciiTheme="minorHAnsi" w:eastAsiaTheme="minorHAnsi" w:hAnsiTheme="minorHAnsi" w:cstheme="minorHAnsi"/>
        </w:rPr>
        <w:t>2008)</w:t>
      </w:r>
      <w:r w:rsidR="0089447E" w:rsidRPr="00FA4235">
        <w:rPr>
          <w:rFonts w:asciiTheme="minorHAnsi" w:eastAsiaTheme="minorHAnsi" w:hAnsiTheme="minorHAnsi" w:cstheme="minorHAnsi"/>
        </w:rPr>
        <w:t xml:space="preserve">. </w:t>
      </w:r>
      <w:r w:rsidR="00AD3FD3" w:rsidRPr="00FA4235">
        <w:rPr>
          <w:rFonts w:asciiTheme="minorHAnsi" w:eastAsiaTheme="minorHAnsi" w:hAnsiTheme="minorHAnsi" w:cstheme="minorHAnsi"/>
        </w:rPr>
        <w:t>Although it would disprove the stability assumption, t</w:t>
      </w:r>
      <w:r w:rsidR="0089447E" w:rsidRPr="00FA4235">
        <w:rPr>
          <w:rFonts w:asciiTheme="minorHAnsi" w:eastAsiaTheme="minorHAnsi" w:hAnsiTheme="minorHAnsi" w:cstheme="minorHAnsi"/>
        </w:rPr>
        <w:t>ransitioning from low to high level of</w:t>
      </w:r>
      <w:r w:rsidR="001C7258" w:rsidRPr="00FA4235">
        <w:rPr>
          <w:rFonts w:asciiTheme="minorHAnsi" w:eastAsiaTheme="minorHAnsi" w:hAnsiTheme="minorHAnsi" w:cstheme="minorHAnsi"/>
        </w:rPr>
        <w:t xml:space="preserve"> </w:t>
      </w:r>
      <w:r w:rsidR="0089447E" w:rsidRPr="00FA4235">
        <w:rPr>
          <w:rFonts w:asciiTheme="minorHAnsi" w:eastAsiaTheme="minorHAnsi" w:hAnsiTheme="minorHAnsi" w:cstheme="minorHAnsi"/>
        </w:rPr>
        <w:t xml:space="preserve">FRα expression </w:t>
      </w:r>
      <w:r w:rsidR="007C5BEF" w:rsidRPr="00FA4235">
        <w:rPr>
          <w:rFonts w:asciiTheme="minorHAnsi" w:eastAsiaTheme="minorHAnsi" w:hAnsiTheme="minorHAnsi" w:cstheme="minorHAnsi"/>
        </w:rPr>
        <w:t xml:space="preserve">as EOC progresses, </w:t>
      </w:r>
      <w:r w:rsidR="00BB5D2A" w:rsidRPr="00FA4235">
        <w:rPr>
          <w:rFonts w:asciiTheme="minorHAnsi" w:eastAsiaTheme="minorHAnsi" w:hAnsiTheme="minorHAnsi" w:cstheme="minorHAnsi"/>
        </w:rPr>
        <w:t>might be expected</w:t>
      </w:r>
      <w:r w:rsidR="007C5BEF" w:rsidRPr="00FA4235">
        <w:rPr>
          <w:rFonts w:asciiTheme="minorHAnsi" w:eastAsiaTheme="minorHAnsi" w:hAnsiTheme="minorHAnsi" w:cstheme="minorHAnsi"/>
        </w:rPr>
        <w:t>,</w:t>
      </w:r>
      <w:r w:rsidR="00107B79" w:rsidRPr="00FA4235">
        <w:rPr>
          <w:rFonts w:asciiTheme="minorHAnsi" w:eastAsiaTheme="minorHAnsi" w:hAnsiTheme="minorHAnsi" w:cstheme="minorHAnsi"/>
        </w:rPr>
        <w:t xml:space="preserve"> </w:t>
      </w:r>
      <w:r w:rsidR="007C5BEF" w:rsidRPr="00FA4235">
        <w:rPr>
          <w:rFonts w:asciiTheme="minorHAnsi" w:eastAsiaTheme="minorHAnsi" w:hAnsiTheme="minorHAnsi" w:cstheme="minorHAnsi"/>
        </w:rPr>
        <w:t>however,</w:t>
      </w:r>
      <w:r w:rsidR="00AD3FD3" w:rsidRPr="00FA4235">
        <w:rPr>
          <w:rFonts w:asciiTheme="minorHAnsi" w:eastAsiaTheme="minorHAnsi" w:hAnsiTheme="minorHAnsi" w:cstheme="minorHAnsi"/>
        </w:rPr>
        <w:t xml:space="preserve"> in</w:t>
      </w:r>
      <w:r w:rsidR="00107B79" w:rsidRPr="00FA4235">
        <w:rPr>
          <w:rFonts w:asciiTheme="minorHAnsi" w:eastAsiaTheme="minorHAnsi" w:hAnsiTheme="minorHAnsi" w:cstheme="minorHAnsi"/>
        </w:rPr>
        <w:t xml:space="preserve"> the </w:t>
      </w:r>
      <w:r w:rsidR="001C7258" w:rsidRPr="00FA4235">
        <w:rPr>
          <w:rFonts w:asciiTheme="minorHAnsi" w:eastAsiaTheme="minorHAnsi" w:hAnsiTheme="minorHAnsi" w:cstheme="minorHAnsi"/>
        </w:rPr>
        <w:t>Deutschman (2024)</w:t>
      </w:r>
      <w:r w:rsidR="007C5BEF" w:rsidRPr="00FA4235">
        <w:rPr>
          <w:rFonts w:asciiTheme="minorHAnsi" w:eastAsiaTheme="minorHAnsi" w:hAnsiTheme="minorHAnsi" w:cstheme="minorHAnsi"/>
        </w:rPr>
        <w:t xml:space="preserve"> study</w:t>
      </w:r>
      <w:r w:rsidR="001C7258" w:rsidRPr="00FA4235">
        <w:rPr>
          <w:rFonts w:asciiTheme="minorHAnsi" w:eastAsiaTheme="minorHAnsi" w:hAnsiTheme="minorHAnsi" w:cstheme="minorHAnsi"/>
        </w:rPr>
        <w:t xml:space="preserve"> </w:t>
      </w:r>
      <w:r w:rsidR="00B43CA2" w:rsidRPr="00FA4235">
        <w:t xml:space="preserve">a concordance rate of 78% was observed between primary and metastatic samples </w:t>
      </w:r>
      <w:r w:rsidR="00637C5C" w:rsidRPr="00FA4235">
        <w:t>(N=59)</w:t>
      </w:r>
      <w:r w:rsidR="00AB10A3" w:rsidRPr="00FA4235">
        <w:t>, indicating that</w:t>
      </w:r>
      <w:r w:rsidR="00B43CA2" w:rsidRPr="00FA4235">
        <w:t xml:space="preserve"> </w:t>
      </w:r>
      <w:r w:rsidR="00637C5C" w:rsidRPr="00FA4235">
        <w:t xml:space="preserve">22% </w:t>
      </w:r>
      <w:r w:rsidR="00AB10A3" w:rsidRPr="00FA4235">
        <w:t xml:space="preserve">of </w:t>
      </w:r>
      <w:r w:rsidR="00637C5C" w:rsidRPr="00FA4235">
        <w:t>cases were discordant.</w:t>
      </w:r>
      <w:r w:rsidR="00936149" w:rsidRPr="00FA4235">
        <w:t xml:space="preserve"> C</w:t>
      </w:r>
      <w:r w:rsidR="00941DA6" w:rsidRPr="00FA4235">
        <w:t>onsistent with other observations</w:t>
      </w:r>
      <w:r w:rsidR="00936149" w:rsidRPr="00FA4235">
        <w:t>,</w:t>
      </w:r>
      <w:r w:rsidR="00941DA6" w:rsidRPr="00FA4235">
        <w:t xml:space="preserve"> </w:t>
      </w:r>
      <w:r w:rsidR="001C70F7" w:rsidRPr="00FA4235">
        <w:t>5%</w:t>
      </w:r>
      <w:r w:rsidR="00941DA6" w:rsidRPr="00FA4235">
        <w:t xml:space="preserve"> of discordant cases</w:t>
      </w:r>
      <w:r w:rsidR="00975DE6" w:rsidRPr="00FA4235">
        <w:t xml:space="preserve"> were assessed</w:t>
      </w:r>
      <w:r w:rsidR="001C70F7" w:rsidRPr="00FA4235">
        <w:t xml:space="preserve"> </w:t>
      </w:r>
      <w:r w:rsidR="0090548F">
        <w:t>as</w:t>
      </w:r>
      <w:r w:rsidR="0090548F" w:rsidRPr="00FA4235">
        <w:t xml:space="preserve"> </w:t>
      </w:r>
      <w:r w:rsidR="001C70F7" w:rsidRPr="00FA4235">
        <w:t xml:space="preserve">negative </w:t>
      </w:r>
      <w:r w:rsidR="001506B4">
        <w:t xml:space="preserve">in primary </w:t>
      </w:r>
      <w:r w:rsidR="0090548F">
        <w:t>and</w:t>
      </w:r>
      <w:r w:rsidR="0090548F" w:rsidRPr="00FA4235">
        <w:t xml:space="preserve"> </w:t>
      </w:r>
      <w:r w:rsidR="001C70F7" w:rsidRPr="00FA4235">
        <w:t>positive</w:t>
      </w:r>
      <w:r w:rsidR="0090548F">
        <w:t xml:space="preserve"> in metastatic samples</w:t>
      </w:r>
      <w:r w:rsidR="00E03B07">
        <w:t>; and</w:t>
      </w:r>
      <w:r w:rsidR="00936149" w:rsidRPr="00FA4235">
        <w:t xml:space="preserve"> </w:t>
      </w:r>
      <w:r w:rsidR="00637C5C" w:rsidRPr="00FA4235">
        <w:t xml:space="preserve">17% </w:t>
      </w:r>
      <w:r w:rsidR="0008214E" w:rsidRPr="00FA4235">
        <w:t xml:space="preserve">of </w:t>
      </w:r>
      <w:r w:rsidR="00637C5C" w:rsidRPr="00FA4235">
        <w:t xml:space="preserve">cases were assessed </w:t>
      </w:r>
      <w:r w:rsidR="0090548F">
        <w:t>as</w:t>
      </w:r>
      <w:r w:rsidR="00637C5C" w:rsidRPr="00FA4235">
        <w:t xml:space="preserve"> positive </w:t>
      </w:r>
      <w:r w:rsidR="0090548F">
        <w:t>in primary and</w:t>
      </w:r>
      <w:r w:rsidR="0090548F" w:rsidRPr="00FA4235">
        <w:t xml:space="preserve"> </w:t>
      </w:r>
      <w:r w:rsidR="00637C5C" w:rsidRPr="00FA4235">
        <w:t>negative</w:t>
      </w:r>
      <w:r w:rsidR="0090548F">
        <w:t xml:space="preserve"> in metastatic samples</w:t>
      </w:r>
      <w:r w:rsidR="00E03B07">
        <w:t xml:space="preserve"> (</w:t>
      </w:r>
      <w:r w:rsidR="00E03B07" w:rsidRPr="0006300D">
        <w:rPr>
          <w:rFonts w:asciiTheme="minorHAnsi" w:eastAsiaTheme="minorHAnsi" w:hAnsiTheme="minorHAnsi" w:cstheme="minorHAnsi"/>
        </w:rPr>
        <w:t>Deutschman</w:t>
      </w:r>
      <w:r w:rsidR="00E03B07">
        <w:rPr>
          <w:rFonts w:asciiTheme="minorHAnsi" w:eastAsiaTheme="minorHAnsi" w:hAnsiTheme="minorHAnsi" w:cstheme="minorHAnsi"/>
        </w:rPr>
        <w:t>, 2024)</w:t>
      </w:r>
      <w:r w:rsidR="00BE6F60" w:rsidRPr="00FA4235">
        <w:t>.</w:t>
      </w:r>
      <w:r w:rsidR="00637C5C" w:rsidRPr="00FA4235">
        <w:t xml:space="preserve"> </w:t>
      </w:r>
      <w:r w:rsidR="005966FE" w:rsidRPr="00FA4235">
        <w:t xml:space="preserve">Since </w:t>
      </w:r>
      <w:r w:rsidR="0090548F">
        <w:t>cure is unlikely</w:t>
      </w:r>
      <w:r w:rsidR="005966FE" w:rsidRPr="00FA4235">
        <w:t xml:space="preserve"> in </w:t>
      </w:r>
      <w:r w:rsidR="00FE05CC" w:rsidRPr="00FA4235">
        <w:t>platinum</w:t>
      </w:r>
      <w:r w:rsidR="00AC071C">
        <w:t xml:space="preserve"> </w:t>
      </w:r>
      <w:r w:rsidR="0090548F">
        <w:t>resistant</w:t>
      </w:r>
      <w:r w:rsidR="00FE05CC" w:rsidRPr="00FA4235">
        <w:t xml:space="preserve"> </w:t>
      </w:r>
      <w:r w:rsidR="001E5624" w:rsidRPr="00FA4235">
        <w:t xml:space="preserve">(MIRASOL, SORAYA, </w:t>
      </w:r>
      <w:r w:rsidR="004849E9" w:rsidRPr="00FA4235">
        <w:t>and FORWARD I</w:t>
      </w:r>
      <w:r w:rsidR="004A2749" w:rsidRPr="00FA4235">
        <w:t xml:space="preserve"> </w:t>
      </w:r>
      <w:r w:rsidR="00AB7C11">
        <w:t>studies</w:t>
      </w:r>
      <w:r w:rsidR="004849E9" w:rsidRPr="00FA4235">
        <w:t>) or</w:t>
      </w:r>
      <w:r w:rsidR="00972A76" w:rsidRPr="00FA4235">
        <w:t xml:space="preserve"> heavily pretreated patients (PICCOLO</w:t>
      </w:r>
      <w:r w:rsidR="004A2749" w:rsidRPr="00FA4235">
        <w:t xml:space="preserve"> trial</w:t>
      </w:r>
      <w:r w:rsidR="00972A76" w:rsidRPr="00FA4235">
        <w:t>)</w:t>
      </w:r>
      <w:r w:rsidR="004849E9" w:rsidRPr="00FA4235">
        <w:t xml:space="preserve"> there must be another explanation for instability in </w:t>
      </w:r>
      <w:r w:rsidR="004849E9" w:rsidRPr="00FA4235">
        <w:rPr>
          <w:rFonts w:asciiTheme="minorHAnsi" w:eastAsiaTheme="minorHAnsi" w:hAnsiTheme="minorHAnsi" w:cstheme="minorHAnsi"/>
        </w:rPr>
        <w:t>FRα expression.</w:t>
      </w:r>
      <w:r w:rsidR="000176B5" w:rsidRPr="00FA4235">
        <w:rPr>
          <w:rFonts w:asciiTheme="minorHAnsi" w:eastAsiaTheme="minorHAnsi" w:hAnsiTheme="minorHAnsi" w:cstheme="minorHAnsi"/>
        </w:rPr>
        <w:t xml:space="preserve"> Although </w:t>
      </w:r>
      <w:r w:rsidR="00177FD4" w:rsidRPr="00FA4235">
        <w:rPr>
          <w:rFonts w:cstheme="minorHAnsi"/>
        </w:rPr>
        <w:t>VENTANA</w:t>
      </w:r>
      <w:r w:rsidR="00B45271" w:rsidRPr="00FA4235">
        <w:rPr>
          <w:rFonts w:cstheme="minorHAnsi"/>
        </w:rPr>
        <w:t xml:space="preserve"> FOLR1 is characterised </w:t>
      </w:r>
      <w:r w:rsidR="00BA279C" w:rsidRPr="00FA4235">
        <w:rPr>
          <w:rFonts w:cstheme="minorHAnsi"/>
        </w:rPr>
        <w:t xml:space="preserve">by </w:t>
      </w:r>
      <w:r w:rsidR="0090548F">
        <w:rPr>
          <w:rFonts w:cstheme="minorHAnsi"/>
        </w:rPr>
        <w:t xml:space="preserve">a </w:t>
      </w:r>
      <w:r w:rsidR="00BA279C" w:rsidRPr="00FA4235">
        <w:rPr>
          <w:rFonts w:cstheme="minorHAnsi"/>
        </w:rPr>
        <w:t>high degree of reproducibility, it is a qualitative test</w:t>
      </w:r>
      <w:r w:rsidR="005B22DF" w:rsidRPr="00FA4235">
        <w:rPr>
          <w:rFonts w:cstheme="minorHAnsi"/>
        </w:rPr>
        <w:t xml:space="preserve"> and</w:t>
      </w:r>
      <w:r w:rsidR="00BA279C" w:rsidRPr="00FA4235">
        <w:rPr>
          <w:rFonts w:cstheme="minorHAnsi"/>
        </w:rPr>
        <w:t xml:space="preserve"> not completely free from subjective interpretation</w:t>
      </w:r>
      <w:r w:rsidR="005B22DF" w:rsidRPr="00FA4235">
        <w:rPr>
          <w:rFonts w:cstheme="minorHAnsi"/>
        </w:rPr>
        <w:t xml:space="preserve"> (see below)</w:t>
      </w:r>
      <w:r w:rsidR="00CB6678" w:rsidRPr="00FA4235">
        <w:rPr>
          <w:rFonts w:cstheme="minorHAnsi"/>
        </w:rPr>
        <w:t>. The other possible explanation may relate to</w:t>
      </w:r>
      <w:r w:rsidR="004849E9" w:rsidRPr="00FA4235">
        <w:rPr>
          <w:rFonts w:asciiTheme="minorHAnsi" w:eastAsiaTheme="minorHAnsi" w:hAnsiTheme="minorHAnsi" w:cstheme="minorHAnsi"/>
        </w:rPr>
        <w:t xml:space="preserve"> </w:t>
      </w:r>
      <w:r w:rsidR="00CB6678" w:rsidRPr="00FA4235">
        <w:rPr>
          <w:rFonts w:asciiTheme="minorHAnsi" w:eastAsiaTheme="minorHAnsi" w:hAnsiTheme="minorHAnsi" w:cstheme="minorHAnsi"/>
        </w:rPr>
        <w:t>tumour h</w:t>
      </w:r>
      <w:r w:rsidR="000176B5" w:rsidRPr="00FA4235">
        <w:rPr>
          <w:rFonts w:asciiTheme="minorHAnsi" w:eastAsiaTheme="minorHAnsi" w:hAnsiTheme="minorHAnsi" w:cstheme="minorHAnsi"/>
        </w:rPr>
        <w:t xml:space="preserve">eterogeneity </w:t>
      </w:r>
      <w:r w:rsidR="00CB6678" w:rsidRPr="00FA4235">
        <w:rPr>
          <w:rFonts w:asciiTheme="minorHAnsi" w:eastAsiaTheme="minorHAnsi" w:hAnsiTheme="minorHAnsi" w:cstheme="minorHAnsi"/>
        </w:rPr>
        <w:t xml:space="preserve">which </w:t>
      </w:r>
      <w:r w:rsidR="000176B5" w:rsidRPr="00FA4235">
        <w:rPr>
          <w:rFonts w:asciiTheme="minorHAnsi" w:eastAsiaTheme="minorHAnsi" w:hAnsiTheme="minorHAnsi" w:cstheme="minorHAnsi"/>
        </w:rPr>
        <w:t>exists spatially</w:t>
      </w:r>
      <w:r w:rsidR="00CB6678" w:rsidRPr="00FA4235">
        <w:rPr>
          <w:rFonts w:asciiTheme="minorHAnsi" w:eastAsiaTheme="minorHAnsi" w:hAnsiTheme="minorHAnsi" w:cstheme="minorHAnsi"/>
        </w:rPr>
        <w:t xml:space="preserve"> </w:t>
      </w:r>
      <w:r w:rsidR="000176B5" w:rsidRPr="00FA4235">
        <w:rPr>
          <w:rFonts w:asciiTheme="minorHAnsi" w:eastAsiaTheme="minorHAnsi" w:hAnsiTheme="minorHAnsi" w:cstheme="minorHAnsi"/>
        </w:rPr>
        <w:t>within the primary tumo</w:t>
      </w:r>
      <w:r w:rsidR="00410413" w:rsidRPr="00FA4235">
        <w:rPr>
          <w:rFonts w:asciiTheme="minorHAnsi" w:eastAsiaTheme="minorHAnsi" w:hAnsiTheme="minorHAnsi" w:cstheme="minorHAnsi"/>
        </w:rPr>
        <w:t>u</w:t>
      </w:r>
      <w:r w:rsidR="000176B5" w:rsidRPr="00FA4235">
        <w:rPr>
          <w:rFonts w:asciiTheme="minorHAnsi" w:eastAsiaTheme="minorHAnsi" w:hAnsiTheme="minorHAnsi" w:cstheme="minorHAnsi"/>
        </w:rPr>
        <w:t>r and between</w:t>
      </w:r>
      <w:r w:rsidR="00410413" w:rsidRPr="00FA4235">
        <w:rPr>
          <w:rFonts w:asciiTheme="minorHAnsi" w:eastAsiaTheme="minorHAnsi" w:hAnsiTheme="minorHAnsi" w:cstheme="minorHAnsi"/>
        </w:rPr>
        <w:t xml:space="preserve"> </w:t>
      </w:r>
      <w:r w:rsidR="000176B5" w:rsidRPr="00FA4235">
        <w:rPr>
          <w:rFonts w:asciiTheme="minorHAnsi" w:eastAsiaTheme="minorHAnsi" w:hAnsiTheme="minorHAnsi" w:cstheme="minorHAnsi"/>
        </w:rPr>
        <w:t>the primary and the</w:t>
      </w:r>
      <w:r w:rsidR="00410413" w:rsidRPr="00FA4235">
        <w:rPr>
          <w:rFonts w:asciiTheme="minorHAnsi" w:eastAsiaTheme="minorHAnsi" w:hAnsiTheme="minorHAnsi" w:cstheme="minorHAnsi"/>
        </w:rPr>
        <w:t xml:space="preserve"> </w:t>
      </w:r>
      <w:r w:rsidR="000176B5" w:rsidRPr="00FA4235">
        <w:rPr>
          <w:rFonts w:asciiTheme="minorHAnsi" w:eastAsiaTheme="minorHAnsi" w:hAnsiTheme="minorHAnsi" w:cstheme="minorHAnsi"/>
        </w:rPr>
        <w:t>metastases and has also been shown to exist</w:t>
      </w:r>
      <w:r w:rsidR="00410413" w:rsidRPr="00FA4235">
        <w:rPr>
          <w:rFonts w:asciiTheme="minorHAnsi" w:eastAsiaTheme="minorHAnsi" w:hAnsiTheme="minorHAnsi" w:cstheme="minorHAnsi"/>
        </w:rPr>
        <w:t xml:space="preserve"> </w:t>
      </w:r>
      <w:r w:rsidR="000176B5" w:rsidRPr="00FA4235">
        <w:rPr>
          <w:rFonts w:asciiTheme="minorHAnsi" w:eastAsiaTheme="minorHAnsi" w:hAnsiTheme="minorHAnsi" w:cstheme="minorHAnsi"/>
        </w:rPr>
        <w:t>temporally,</w:t>
      </w:r>
      <w:r w:rsidR="00410413" w:rsidRPr="00FA4235">
        <w:rPr>
          <w:rFonts w:asciiTheme="minorHAnsi" w:eastAsiaTheme="minorHAnsi" w:hAnsiTheme="minorHAnsi" w:cstheme="minorHAnsi"/>
        </w:rPr>
        <w:t xml:space="preserve"> </w:t>
      </w:r>
      <w:r w:rsidR="000176B5" w:rsidRPr="00FA4235">
        <w:rPr>
          <w:rFonts w:asciiTheme="minorHAnsi" w:eastAsiaTheme="minorHAnsi" w:hAnsiTheme="minorHAnsi" w:cstheme="minorHAnsi"/>
        </w:rPr>
        <w:t>when repeat biopsies are taken at different time points during</w:t>
      </w:r>
      <w:r w:rsidR="00410413" w:rsidRPr="00FA4235">
        <w:rPr>
          <w:rFonts w:asciiTheme="minorHAnsi" w:eastAsiaTheme="minorHAnsi" w:hAnsiTheme="minorHAnsi" w:cstheme="minorHAnsi"/>
        </w:rPr>
        <w:t xml:space="preserve"> </w:t>
      </w:r>
      <w:r w:rsidR="000176B5" w:rsidRPr="00FA4235">
        <w:rPr>
          <w:rFonts w:asciiTheme="minorHAnsi" w:eastAsiaTheme="minorHAnsi" w:hAnsiTheme="minorHAnsi" w:cstheme="minorHAnsi"/>
        </w:rPr>
        <w:t>the disease course</w:t>
      </w:r>
      <w:r w:rsidR="00930A06" w:rsidRPr="00FA4235">
        <w:rPr>
          <w:rFonts w:asciiTheme="minorHAnsi" w:eastAsiaTheme="minorHAnsi" w:hAnsiTheme="minorHAnsi" w:cstheme="minorHAnsi"/>
        </w:rPr>
        <w:t xml:space="preserve"> (Davis, 2014, p.627). </w:t>
      </w:r>
    </w:p>
    <w:p w14:paraId="2E11E2E2" w14:textId="4861EEBB" w:rsidR="00C928B0" w:rsidRPr="003A186C" w:rsidRDefault="00C928B0" w:rsidP="00F97D18">
      <w:pPr>
        <w:tabs>
          <w:tab w:val="left" w:pos="72"/>
        </w:tabs>
        <w:autoSpaceDE w:val="0"/>
        <w:autoSpaceDN w:val="0"/>
        <w:adjustRightInd w:val="0"/>
        <w:rPr>
          <w:rFonts w:asciiTheme="minorHAnsi" w:eastAsiaTheme="minorHAnsi" w:hAnsiTheme="minorHAnsi" w:cstheme="minorHAnsi"/>
        </w:rPr>
      </w:pPr>
      <w:r w:rsidRPr="00F97D18">
        <w:rPr>
          <w:rFonts w:asciiTheme="minorHAnsi" w:hAnsiTheme="minorHAnsi" w:cstheme="minorBidi"/>
          <w:i/>
        </w:rPr>
        <w:t>PASC noted that there is limited available evidence to inform the stability of the FRα marker. PASC noted that the majority of the evidence w</w:t>
      </w:r>
      <w:r w:rsidR="00071B1B">
        <w:rPr>
          <w:rFonts w:asciiTheme="minorHAnsi" w:hAnsiTheme="minorHAnsi" w:cstheme="minorBidi"/>
          <w:i/>
        </w:rPr>
        <w:t>as</w:t>
      </w:r>
      <w:r w:rsidRPr="00F97D18">
        <w:rPr>
          <w:rFonts w:asciiTheme="minorHAnsi" w:hAnsiTheme="minorHAnsi" w:cstheme="minorBidi"/>
          <w:i/>
        </w:rPr>
        <w:t xml:space="preserve"> from studies that were not directly applicable to the current application in terms of the IHC assay and test threshold used. PASC </w:t>
      </w:r>
      <w:r w:rsidRPr="00F97D18">
        <w:rPr>
          <w:rFonts w:asciiTheme="minorHAnsi" w:hAnsiTheme="minorHAnsi" w:cstheme="minorBidi"/>
          <w:i/>
          <w:iCs/>
        </w:rPr>
        <w:t>noted</w:t>
      </w:r>
      <w:r w:rsidRPr="00F97D18">
        <w:rPr>
          <w:rFonts w:asciiTheme="minorHAnsi" w:hAnsiTheme="minorHAnsi" w:cstheme="minorBidi"/>
          <w:i/>
        </w:rPr>
        <w:t xml:space="preserve"> that FRα expression heterogeneity in the tumour can arise both temporally in different samples taken at different time points during disease/treatment, and spatially, within the same primary tissue sample</w:t>
      </w:r>
      <w:r w:rsidR="007D63BB">
        <w:rPr>
          <w:rFonts w:asciiTheme="minorHAnsi" w:hAnsiTheme="minorHAnsi" w:cstheme="minorBidi"/>
          <w:i/>
        </w:rPr>
        <w:t xml:space="preserve"> due to tumour heterogeneity</w:t>
      </w:r>
      <w:r w:rsidRPr="00F97D18">
        <w:rPr>
          <w:rFonts w:asciiTheme="minorHAnsi" w:hAnsiTheme="minorHAnsi" w:cstheme="minorBidi"/>
          <w:i/>
        </w:rPr>
        <w:t xml:space="preserve">. PASC noted from Deutschman et al (European Congress of Pathology poster 2024), which analysed the specimens screened in the mirvetuximab soravtansine trials including MIRASOL and SORAYA, that there was high variability in </w:t>
      </w:r>
      <w:r w:rsidRPr="0032737E">
        <w:rPr>
          <w:rFonts w:asciiTheme="minorHAnsi" w:hAnsiTheme="minorHAnsi" w:cstheme="minorBidi"/>
          <w:i/>
        </w:rPr>
        <w:t>FRα expression across different cores taken from the same biopsy</w:t>
      </w:r>
      <w:r w:rsidRPr="0032737E">
        <w:t xml:space="preserve"> </w:t>
      </w:r>
      <w:r w:rsidRPr="0032737E">
        <w:rPr>
          <w:i/>
          <w:iCs/>
        </w:rPr>
        <w:t>and that there was</w:t>
      </w:r>
      <w:r w:rsidRPr="0032737E">
        <w:t xml:space="preserve"> </w:t>
      </w:r>
      <w:r w:rsidRPr="0032737E">
        <w:rPr>
          <w:rFonts w:asciiTheme="minorHAnsi" w:hAnsiTheme="minorHAnsi" w:cstheme="minorBidi"/>
          <w:i/>
        </w:rPr>
        <w:t>evidence of discordance in primary tumour specimens versus metastatic lesions indicating temporal heterogeneity of tumour. PASC noted from the applicant’s clinical expert that variability may be observed due to biological reasons and/or due to pre-analytical factors (e.g.</w:t>
      </w:r>
      <w:r w:rsidR="003A186C" w:rsidRPr="0032737E">
        <w:rPr>
          <w:rFonts w:asciiTheme="minorHAnsi" w:hAnsiTheme="minorHAnsi" w:cstheme="minorBidi"/>
          <w:i/>
        </w:rPr>
        <w:t>,</w:t>
      </w:r>
      <w:r w:rsidRPr="0032737E">
        <w:rPr>
          <w:rFonts w:asciiTheme="minorHAnsi" w:hAnsiTheme="minorHAnsi" w:cstheme="minorBidi"/>
          <w:i/>
        </w:rPr>
        <w:t xml:space="preserve"> loss of antigen due to prolonged fixation). The applicant’s clinical experts acknowledged there is limited evidence for changes in FRα expression which prevents a full understanding of the spatial or temporal reasons for heterogeneity in the tissue sample</w:t>
      </w:r>
      <w:r w:rsidRPr="0032737E">
        <w:rPr>
          <w:rFonts w:asciiTheme="minorHAnsi" w:hAnsiTheme="minorHAnsi" w:cstheme="minorBidi"/>
          <w:i/>
          <w:iCs/>
        </w:rPr>
        <w:t>.</w:t>
      </w:r>
      <w:r w:rsidRPr="0032737E">
        <w:rPr>
          <w:rFonts w:asciiTheme="minorHAnsi" w:hAnsiTheme="minorHAnsi" w:cstheme="minorBidi"/>
          <w:i/>
        </w:rPr>
        <w:t xml:space="preserve"> </w:t>
      </w:r>
    </w:p>
    <w:p w14:paraId="3BABAB99" w14:textId="7CDDA3F8" w:rsidR="005C5D50" w:rsidRPr="000A2268" w:rsidRDefault="00A07AB0" w:rsidP="006B351B">
      <w:pPr>
        <w:pStyle w:val="Instructionaltext"/>
        <w:rPr>
          <w:rFonts w:asciiTheme="minorHAnsi" w:hAnsiTheme="minorHAnsi" w:cstheme="minorHAnsi"/>
          <w:color w:val="auto"/>
          <w:u w:val="single"/>
        </w:rPr>
      </w:pPr>
      <w:r>
        <w:rPr>
          <w:rFonts w:asciiTheme="minorHAnsi" w:hAnsiTheme="minorHAnsi" w:cstheme="minorHAnsi"/>
          <w:color w:val="auto"/>
          <w:u w:val="single"/>
        </w:rPr>
        <w:t>M</w:t>
      </w:r>
      <w:r w:rsidR="005C5D50" w:rsidRPr="000A2268">
        <w:rPr>
          <w:rFonts w:asciiTheme="minorHAnsi" w:hAnsiTheme="minorHAnsi" w:cstheme="minorHAnsi"/>
          <w:color w:val="auto"/>
          <w:u w:val="single"/>
        </w:rPr>
        <w:t>ethod of assessing the FRα expression status</w:t>
      </w:r>
    </w:p>
    <w:p w14:paraId="433491E8" w14:textId="19DD0F57" w:rsidR="005C5D50" w:rsidRDefault="009D4F0D" w:rsidP="006B351B">
      <w:pPr>
        <w:spacing w:before="120"/>
        <w:rPr>
          <w:rFonts w:asciiTheme="minorHAnsi" w:hAnsiTheme="minorHAnsi" w:cstheme="minorHAnsi"/>
        </w:rPr>
      </w:pPr>
      <w:r w:rsidRPr="009D4F0D">
        <w:rPr>
          <w:rFonts w:asciiTheme="minorHAnsi" w:hAnsiTheme="minorHAnsi" w:cstheme="minorHAnsi"/>
        </w:rPr>
        <w:t xml:space="preserve">EOC tissues stained with the </w:t>
      </w:r>
      <w:r w:rsidR="00177FD4">
        <w:rPr>
          <w:rFonts w:asciiTheme="minorHAnsi" w:hAnsiTheme="minorHAnsi" w:cstheme="minorHAnsi"/>
        </w:rPr>
        <w:t>VENTANA</w:t>
      </w:r>
      <w:r w:rsidRPr="009D4F0D">
        <w:rPr>
          <w:rFonts w:asciiTheme="minorHAnsi" w:hAnsiTheme="minorHAnsi" w:cstheme="minorHAnsi"/>
        </w:rPr>
        <w:t xml:space="preserve"> FOLR1 Assay</w:t>
      </w:r>
      <w:r>
        <w:rPr>
          <w:rFonts w:asciiTheme="minorHAnsi" w:hAnsiTheme="minorHAnsi" w:cstheme="minorHAnsi"/>
        </w:rPr>
        <w:t xml:space="preserve"> </w:t>
      </w:r>
      <w:r w:rsidRPr="009D4F0D">
        <w:rPr>
          <w:rFonts w:asciiTheme="minorHAnsi" w:hAnsiTheme="minorHAnsi" w:cstheme="minorHAnsi"/>
        </w:rPr>
        <w:t>display both cytoplasmic and membranous</w:t>
      </w:r>
      <w:r w:rsidR="00E03B07">
        <w:rPr>
          <w:rFonts w:asciiTheme="minorHAnsi" w:hAnsiTheme="minorHAnsi" w:cstheme="minorHAnsi"/>
        </w:rPr>
        <w:t xml:space="preserve"> </w:t>
      </w:r>
      <w:r w:rsidRPr="009D4F0D">
        <w:rPr>
          <w:rFonts w:asciiTheme="minorHAnsi" w:hAnsiTheme="minorHAnsi" w:cstheme="minorHAnsi"/>
        </w:rPr>
        <w:t>TC</w:t>
      </w:r>
      <w:r>
        <w:rPr>
          <w:rFonts w:asciiTheme="minorHAnsi" w:hAnsiTheme="minorHAnsi" w:cstheme="minorHAnsi"/>
        </w:rPr>
        <w:t xml:space="preserve"> </w:t>
      </w:r>
      <w:r w:rsidRPr="009D4F0D">
        <w:rPr>
          <w:rFonts w:asciiTheme="minorHAnsi" w:hAnsiTheme="minorHAnsi" w:cstheme="minorHAnsi"/>
        </w:rPr>
        <w:t>staining</w:t>
      </w:r>
      <w:r w:rsidR="006D0DD7">
        <w:rPr>
          <w:rFonts w:asciiTheme="minorHAnsi" w:hAnsiTheme="minorHAnsi" w:cstheme="minorHAnsi"/>
        </w:rPr>
        <w:t>.</w:t>
      </w:r>
      <w:r w:rsidR="00F3544E">
        <w:rPr>
          <w:rFonts w:asciiTheme="minorHAnsi" w:hAnsiTheme="minorHAnsi" w:cstheme="minorHAnsi"/>
        </w:rPr>
        <w:t xml:space="preserve"> </w:t>
      </w:r>
      <w:r w:rsidR="006D0DD7">
        <w:rPr>
          <w:rFonts w:asciiTheme="minorHAnsi" w:hAnsiTheme="minorHAnsi" w:cstheme="minorHAnsi"/>
        </w:rPr>
        <w:t>H</w:t>
      </w:r>
      <w:r w:rsidRPr="009D4F0D">
        <w:rPr>
          <w:rFonts w:asciiTheme="minorHAnsi" w:hAnsiTheme="minorHAnsi" w:cstheme="minorHAnsi"/>
        </w:rPr>
        <w:t>owever, only membrane staining contributes to</w:t>
      </w:r>
      <w:r w:rsidR="00187280">
        <w:rPr>
          <w:rFonts w:asciiTheme="minorHAnsi" w:hAnsiTheme="minorHAnsi" w:cstheme="minorHAnsi"/>
        </w:rPr>
        <w:t xml:space="preserve"> </w:t>
      </w:r>
      <w:r w:rsidR="00187280" w:rsidRPr="00187280">
        <w:rPr>
          <w:rFonts w:asciiTheme="minorHAnsi" w:hAnsiTheme="minorHAnsi" w:cstheme="minorHAnsi"/>
        </w:rPr>
        <w:t xml:space="preserve">assessment </w:t>
      </w:r>
      <w:r w:rsidR="00187280" w:rsidRPr="00A07AB0">
        <w:rPr>
          <w:rFonts w:asciiTheme="minorHAnsi" w:hAnsiTheme="minorHAnsi" w:cstheme="minorHAnsi"/>
        </w:rPr>
        <w:t xml:space="preserve">of </w:t>
      </w:r>
      <w:r w:rsidR="00187280" w:rsidRPr="006B351B">
        <w:rPr>
          <w:rFonts w:asciiTheme="minorHAnsi" w:hAnsiTheme="minorHAnsi" w:cstheme="minorHAnsi"/>
        </w:rPr>
        <w:t>FR</w:t>
      </w:r>
      <w:r w:rsidR="00A07AB0">
        <w:rPr>
          <w:rFonts w:asciiTheme="minorHAnsi" w:hAnsiTheme="minorHAnsi" w:cstheme="minorHAnsi"/>
        </w:rPr>
        <w:t xml:space="preserve">α </w:t>
      </w:r>
      <w:r w:rsidR="00187280" w:rsidRPr="00187280">
        <w:rPr>
          <w:rFonts w:asciiTheme="minorHAnsi" w:hAnsiTheme="minorHAnsi" w:cstheme="minorHAnsi"/>
        </w:rPr>
        <w:t>status. The assessment requires visual</w:t>
      </w:r>
      <w:r w:rsidR="00187280">
        <w:rPr>
          <w:rFonts w:asciiTheme="minorHAnsi" w:hAnsiTheme="minorHAnsi" w:cstheme="minorHAnsi"/>
        </w:rPr>
        <w:t xml:space="preserve"> </w:t>
      </w:r>
      <w:r w:rsidR="00187280" w:rsidRPr="00187280">
        <w:rPr>
          <w:rFonts w:asciiTheme="minorHAnsi" w:hAnsiTheme="minorHAnsi" w:cstheme="minorHAnsi"/>
        </w:rPr>
        <w:t>estimation of the percent TCs staining at a negative, weak,</w:t>
      </w:r>
      <w:r w:rsidR="00187280">
        <w:rPr>
          <w:rFonts w:asciiTheme="minorHAnsi" w:hAnsiTheme="minorHAnsi" w:cstheme="minorHAnsi"/>
        </w:rPr>
        <w:t xml:space="preserve"> </w:t>
      </w:r>
      <w:r w:rsidR="00187280" w:rsidRPr="00187280">
        <w:rPr>
          <w:rFonts w:asciiTheme="minorHAnsi" w:hAnsiTheme="minorHAnsi" w:cstheme="minorHAnsi"/>
        </w:rPr>
        <w:t>moderate, and strong intensity</w:t>
      </w:r>
      <w:r w:rsidR="00384890">
        <w:rPr>
          <w:rFonts w:asciiTheme="minorHAnsi" w:hAnsiTheme="minorHAnsi" w:cstheme="minorHAnsi"/>
        </w:rPr>
        <w:t xml:space="preserve">. </w:t>
      </w:r>
      <w:r w:rsidR="00D97EF0" w:rsidRPr="00D97EF0">
        <w:rPr>
          <w:rFonts w:asciiTheme="minorHAnsi" w:hAnsiTheme="minorHAnsi" w:cstheme="minorHAnsi"/>
        </w:rPr>
        <w:lastRenderedPageBreak/>
        <w:t>Specimens are considered FR</w:t>
      </w:r>
      <w:r w:rsidR="00A07AB0">
        <w:rPr>
          <w:rFonts w:asciiTheme="minorHAnsi" w:hAnsiTheme="minorHAnsi" w:cstheme="minorHAnsi"/>
        </w:rPr>
        <w:t>α</w:t>
      </w:r>
      <w:r w:rsidR="00D97EF0" w:rsidRPr="00D97EF0">
        <w:rPr>
          <w:rFonts w:asciiTheme="minorHAnsi" w:hAnsiTheme="minorHAnsi" w:cstheme="minorHAnsi"/>
        </w:rPr>
        <w:t xml:space="preserve"> positive if 75%</w:t>
      </w:r>
      <w:r w:rsidR="00D97EF0">
        <w:rPr>
          <w:rFonts w:asciiTheme="minorHAnsi" w:hAnsiTheme="minorHAnsi" w:cstheme="minorHAnsi"/>
        </w:rPr>
        <w:t xml:space="preserve"> </w:t>
      </w:r>
      <w:r w:rsidR="00D97EF0" w:rsidRPr="00D97EF0">
        <w:rPr>
          <w:rFonts w:asciiTheme="minorHAnsi" w:hAnsiTheme="minorHAnsi" w:cstheme="minorHAnsi"/>
        </w:rPr>
        <w:t>or more of TCs exhibit moderate and/or strong staining</w:t>
      </w:r>
      <w:r w:rsidR="00D97EF0">
        <w:rPr>
          <w:rFonts w:asciiTheme="minorHAnsi" w:hAnsiTheme="minorHAnsi" w:cstheme="minorHAnsi"/>
        </w:rPr>
        <w:t xml:space="preserve"> </w:t>
      </w:r>
      <w:r w:rsidR="00D97EF0" w:rsidRPr="00D97EF0">
        <w:rPr>
          <w:rFonts w:asciiTheme="minorHAnsi" w:hAnsiTheme="minorHAnsi" w:cstheme="minorHAnsi"/>
        </w:rPr>
        <w:t>intensities.</w:t>
      </w:r>
      <w:r w:rsidR="00D97EF0">
        <w:rPr>
          <w:rFonts w:asciiTheme="minorHAnsi" w:hAnsiTheme="minorHAnsi" w:cstheme="minorHAnsi"/>
        </w:rPr>
        <w:t xml:space="preserve"> </w:t>
      </w:r>
      <w:r w:rsidR="00D26E5D">
        <w:rPr>
          <w:rFonts w:asciiTheme="minorHAnsi" w:hAnsiTheme="minorHAnsi" w:cstheme="minorHAnsi"/>
        </w:rPr>
        <w:t>T</w:t>
      </w:r>
      <w:r w:rsidR="000A2268">
        <w:rPr>
          <w:rFonts w:asciiTheme="minorHAnsi" w:hAnsiTheme="minorHAnsi" w:cstheme="minorHAnsi"/>
        </w:rPr>
        <w:t xml:space="preserve">he scoring algorithm for the </w:t>
      </w:r>
      <w:r w:rsidR="00177FD4">
        <w:rPr>
          <w:rFonts w:asciiTheme="minorHAnsi" w:hAnsiTheme="minorHAnsi" w:cstheme="minorHAnsi"/>
        </w:rPr>
        <w:t>VENTANA</w:t>
      </w:r>
      <w:r w:rsidR="00380542" w:rsidRPr="00C311BD">
        <w:rPr>
          <w:rFonts w:asciiTheme="minorHAnsi" w:hAnsiTheme="minorHAnsi" w:cstheme="minorHAnsi"/>
        </w:rPr>
        <w:t xml:space="preserve"> FOLR1</w:t>
      </w:r>
      <w:r w:rsidR="00380542">
        <w:rPr>
          <w:rFonts w:asciiTheme="minorHAnsi" w:hAnsiTheme="minorHAnsi" w:cstheme="minorHAnsi"/>
        </w:rPr>
        <w:t xml:space="preserve"> </w:t>
      </w:r>
      <w:r w:rsidR="000A2268">
        <w:rPr>
          <w:rFonts w:asciiTheme="minorHAnsi" w:hAnsiTheme="minorHAnsi" w:cstheme="minorHAnsi"/>
        </w:rPr>
        <w:t xml:space="preserve">Assay </w:t>
      </w:r>
      <w:r w:rsidR="00823037">
        <w:rPr>
          <w:rFonts w:asciiTheme="minorHAnsi" w:hAnsiTheme="minorHAnsi" w:cstheme="minorHAnsi"/>
        </w:rPr>
        <w:t xml:space="preserve">is specific in defining </w:t>
      </w:r>
      <w:r w:rsidR="004B1402">
        <w:rPr>
          <w:rFonts w:asciiTheme="minorHAnsi" w:hAnsiTheme="minorHAnsi" w:cstheme="minorHAnsi"/>
        </w:rPr>
        <w:t xml:space="preserve">staining </w:t>
      </w:r>
      <w:r w:rsidR="00823037">
        <w:rPr>
          <w:rFonts w:asciiTheme="minorHAnsi" w:hAnsiTheme="minorHAnsi" w:cstheme="minorHAnsi"/>
        </w:rPr>
        <w:t xml:space="preserve">intensity level. It </w:t>
      </w:r>
      <w:r w:rsidR="00872C65">
        <w:rPr>
          <w:rFonts w:asciiTheme="minorHAnsi" w:hAnsiTheme="minorHAnsi" w:cstheme="minorHAnsi"/>
        </w:rPr>
        <w:t>assigns</w:t>
      </w:r>
      <w:r w:rsidR="00222D6C">
        <w:rPr>
          <w:rFonts w:asciiTheme="minorHAnsi" w:hAnsiTheme="minorHAnsi" w:cstheme="minorHAnsi"/>
        </w:rPr>
        <w:t xml:space="preserve"> </w:t>
      </w:r>
      <w:r w:rsidR="00E03B07">
        <w:rPr>
          <w:rFonts w:asciiTheme="minorHAnsi" w:hAnsiTheme="minorHAnsi" w:cstheme="minorHAnsi"/>
        </w:rPr>
        <w:t xml:space="preserve">a </w:t>
      </w:r>
      <w:r w:rsidR="00222D6C">
        <w:rPr>
          <w:rFonts w:asciiTheme="minorHAnsi" w:hAnsiTheme="minorHAnsi" w:cstheme="minorHAnsi"/>
        </w:rPr>
        <w:t>positive status</w:t>
      </w:r>
      <w:r w:rsidR="006F4A58">
        <w:rPr>
          <w:rFonts w:asciiTheme="minorHAnsi" w:hAnsiTheme="minorHAnsi" w:cstheme="minorHAnsi"/>
        </w:rPr>
        <w:t xml:space="preserve"> for </w:t>
      </w:r>
      <w:r w:rsidR="006F4A58" w:rsidRPr="002A000D">
        <w:rPr>
          <w:rFonts w:asciiTheme="minorHAnsi" w:hAnsiTheme="minorHAnsi" w:cstheme="minorHAnsi"/>
        </w:rPr>
        <w:t>FRα</w:t>
      </w:r>
      <w:r w:rsidR="00C23EA4">
        <w:rPr>
          <w:rFonts w:asciiTheme="minorHAnsi" w:hAnsiTheme="minorHAnsi" w:cstheme="minorHAnsi"/>
        </w:rPr>
        <w:t xml:space="preserve"> expression (hence eligibility for</w:t>
      </w:r>
      <w:r w:rsidR="0050725C">
        <w:rPr>
          <w:rFonts w:asciiTheme="minorHAnsi" w:hAnsiTheme="minorHAnsi" w:cstheme="minorHAnsi"/>
        </w:rPr>
        <w:t xml:space="preserve"> </w:t>
      </w:r>
      <w:r w:rsidR="0050725C">
        <w:t>m</w:t>
      </w:r>
      <w:r w:rsidR="0050725C" w:rsidRPr="00485B44">
        <w:t>irvetuximab soravtansine</w:t>
      </w:r>
      <w:r w:rsidR="0050725C">
        <w:t>)</w:t>
      </w:r>
      <w:r w:rsidR="0064458A">
        <w:t xml:space="preserve"> as </w:t>
      </w:r>
      <w:r w:rsidR="0064458A" w:rsidRPr="00C21CF6">
        <w:rPr>
          <w:rFonts w:asciiTheme="minorHAnsi" w:hAnsiTheme="minorHAnsi" w:cstheme="minorHAnsi"/>
        </w:rPr>
        <w:t xml:space="preserve">≥75% </w:t>
      </w:r>
      <w:r w:rsidR="0064458A">
        <w:rPr>
          <w:rFonts w:asciiTheme="minorHAnsi" w:hAnsiTheme="minorHAnsi" w:cstheme="minorHAnsi"/>
        </w:rPr>
        <w:t xml:space="preserve">of </w:t>
      </w:r>
      <w:r w:rsidR="0064458A" w:rsidRPr="00C21CF6">
        <w:rPr>
          <w:rFonts w:asciiTheme="minorHAnsi" w:hAnsiTheme="minorHAnsi" w:cstheme="minorHAnsi"/>
        </w:rPr>
        <w:t>viable tumo</w:t>
      </w:r>
      <w:r w:rsidR="0064458A">
        <w:rPr>
          <w:rFonts w:asciiTheme="minorHAnsi" w:hAnsiTheme="minorHAnsi" w:cstheme="minorHAnsi"/>
        </w:rPr>
        <w:t>u</w:t>
      </w:r>
      <w:r w:rsidR="0064458A" w:rsidRPr="00C21CF6">
        <w:rPr>
          <w:rFonts w:asciiTheme="minorHAnsi" w:hAnsiTheme="minorHAnsi" w:cstheme="minorHAnsi"/>
        </w:rPr>
        <w:t xml:space="preserve">r cells with </w:t>
      </w:r>
      <w:r w:rsidR="00934E71">
        <w:rPr>
          <w:rFonts w:asciiTheme="minorHAnsi" w:hAnsiTheme="minorHAnsi" w:cstheme="minorHAnsi"/>
        </w:rPr>
        <w:t xml:space="preserve">moderate (2+) </w:t>
      </w:r>
      <w:r w:rsidR="00934E71" w:rsidRPr="00C21CF6">
        <w:rPr>
          <w:rFonts w:asciiTheme="minorHAnsi" w:hAnsiTheme="minorHAnsi" w:cstheme="minorHAnsi"/>
        </w:rPr>
        <w:t>and/or strong</w:t>
      </w:r>
      <w:r w:rsidR="00934E71">
        <w:rPr>
          <w:rFonts w:asciiTheme="minorHAnsi" w:hAnsiTheme="minorHAnsi" w:cstheme="minorHAnsi"/>
        </w:rPr>
        <w:t xml:space="preserve"> (3+)</w:t>
      </w:r>
      <w:r w:rsidR="00934E71" w:rsidRPr="00C21CF6">
        <w:rPr>
          <w:rFonts w:asciiTheme="minorHAnsi" w:hAnsiTheme="minorHAnsi" w:cstheme="minorHAnsi"/>
        </w:rPr>
        <w:t xml:space="preserve"> </w:t>
      </w:r>
      <w:r w:rsidR="0064458A" w:rsidRPr="00C21CF6">
        <w:rPr>
          <w:rFonts w:asciiTheme="minorHAnsi" w:hAnsiTheme="minorHAnsi" w:cstheme="minorHAnsi"/>
        </w:rPr>
        <w:t>membrane staining</w:t>
      </w:r>
      <w:r w:rsidR="00413E02">
        <w:rPr>
          <w:rFonts w:asciiTheme="minorHAnsi" w:hAnsiTheme="minorHAnsi" w:cstheme="minorHAnsi"/>
        </w:rPr>
        <w:t xml:space="preserve">. Conversely, </w:t>
      </w:r>
      <w:r w:rsidR="00E22709">
        <w:rPr>
          <w:rFonts w:asciiTheme="minorHAnsi" w:hAnsiTheme="minorHAnsi" w:cstheme="minorHAnsi"/>
        </w:rPr>
        <w:t xml:space="preserve">negative status is </w:t>
      </w:r>
      <w:r w:rsidR="006276B6">
        <w:rPr>
          <w:rFonts w:asciiTheme="minorHAnsi" w:hAnsiTheme="minorHAnsi" w:cstheme="minorHAnsi"/>
        </w:rPr>
        <w:t xml:space="preserve">defined as </w:t>
      </w:r>
      <w:r w:rsidR="00E22709">
        <w:rPr>
          <w:rFonts w:asciiTheme="minorHAnsi" w:hAnsiTheme="minorHAnsi" w:cstheme="minorHAnsi"/>
        </w:rPr>
        <w:t>&lt;</w:t>
      </w:r>
      <w:r w:rsidR="00413E02" w:rsidRPr="00C21CF6">
        <w:rPr>
          <w:rFonts w:asciiTheme="minorHAnsi" w:hAnsiTheme="minorHAnsi" w:cstheme="minorHAnsi"/>
        </w:rPr>
        <w:t xml:space="preserve">75% </w:t>
      </w:r>
      <w:r w:rsidR="00413E02">
        <w:rPr>
          <w:rFonts w:asciiTheme="minorHAnsi" w:hAnsiTheme="minorHAnsi" w:cstheme="minorHAnsi"/>
        </w:rPr>
        <w:t xml:space="preserve">of </w:t>
      </w:r>
      <w:r w:rsidR="00413E02" w:rsidRPr="00C21CF6">
        <w:rPr>
          <w:rFonts w:asciiTheme="minorHAnsi" w:hAnsiTheme="minorHAnsi" w:cstheme="minorHAnsi"/>
        </w:rPr>
        <w:t xml:space="preserve">viable </w:t>
      </w:r>
      <w:r w:rsidR="00E03B07">
        <w:rPr>
          <w:rFonts w:asciiTheme="minorHAnsi" w:hAnsiTheme="minorHAnsi" w:cstheme="minorHAnsi"/>
        </w:rPr>
        <w:t>TC</w:t>
      </w:r>
      <w:r w:rsidR="00413E02" w:rsidRPr="00C21CF6">
        <w:rPr>
          <w:rFonts w:asciiTheme="minorHAnsi" w:hAnsiTheme="minorHAnsi" w:cstheme="minorHAnsi"/>
        </w:rPr>
        <w:t xml:space="preserve">s with </w:t>
      </w:r>
      <w:r w:rsidR="00413E02">
        <w:rPr>
          <w:rFonts w:asciiTheme="minorHAnsi" w:hAnsiTheme="minorHAnsi" w:cstheme="minorHAnsi"/>
        </w:rPr>
        <w:t xml:space="preserve">moderate (2+) </w:t>
      </w:r>
      <w:r w:rsidR="00413E02" w:rsidRPr="00C21CF6">
        <w:rPr>
          <w:rFonts w:asciiTheme="minorHAnsi" w:hAnsiTheme="minorHAnsi" w:cstheme="minorHAnsi"/>
        </w:rPr>
        <w:t>and/or strong</w:t>
      </w:r>
      <w:r w:rsidR="00413E02">
        <w:rPr>
          <w:rFonts w:asciiTheme="minorHAnsi" w:hAnsiTheme="minorHAnsi" w:cstheme="minorHAnsi"/>
        </w:rPr>
        <w:t xml:space="preserve"> (3+)</w:t>
      </w:r>
      <w:r w:rsidR="00413E02" w:rsidRPr="00C21CF6">
        <w:rPr>
          <w:rFonts w:asciiTheme="minorHAnsi" w:hAnsiTheme="minorHAnsi" w:cstheme="minorHAnsi"/>
        </w:rPr>
        <w:t xml:space="preserve"> membrane staining</w:t>
      </w:r>
      <w:r w:rsidR="0041575F">
        <w:rPr>
          <w:rFonts w:asciiTheme="minorHAnsi" w:hAnsiTheme="minorHAnsi" w:cstheme="minorHAnsi"/>
        </w:rPr>
        <w:t xml:space="preserve">. </w:t>
      </w:r>
      <w:r w:rsidR="008265FE" w:rsidRPr="006B351B">
        <w:rPr>
          <w:rFonts w:asciiTheme="minorHAnsi" w:hAnsiTheme="minorHAnsi" w:cstheme="minorHAnsi"/>
        </w:rPr>
        <w:t xml:space="preserve">A </w:t>
      </w:r>
      <w:r w:rsidR="0047140B" w:rsidRPr="006B351B">
        <w:rPr>
          <w:rFonts w:asciiTheme="minorHAnsi" w:hAnsiTheme="minorHAnsi" w:cstheme="minorHAnsi"/>
        </w:rPr>
        <w:t>‘</w:t>
      </w:r>
      <w:r w:rsidR="00F3544E">
        <w:rPr>
          <w:rFonts w:asciiTheme="minorHAnsi" w:hAnsiTheme="minorHAnsi" w:cstheme="minorHAnsi"/>
        </w:rPr>
        <w:t>n</w:t>
      </w:r>
      <w:r w:rsidR="0047140B" w:rsidRPr="006B351B">
        <w:rPr>
          <w:rFonts w:asciiTheme="minorHAnsi" w:hAnsiTheme="minorHAnsi" w:cstheme="minorHAnsi"/>
        </w:rPr>
        <w:t>ot evaluable</w:t>
      </w:r>
      <w:r w:rsidR="009B3D10" w:rsidRPr="006B351B">
        <w:rPr>
          <w:rFonts w:asciiTheme="minorHAnsi" w:hAnsiTheme="minorHAnsi" w:cstheme="minorHAnsi"/>
        </w:rPr>
        <w:t>’ outcome is also possible.</w:t>
      </w:r>
      <w:r w:rsidR="006276B6" w:rsidRPr="006B351B">
        <w:rPr>
          <w:rFonts w:asciiTheme="minorHAnsi" w:hAnsiTheme="minorHAnsi" w:cstheme="minorHAnsi"/>
        </w:rPr>
        <w:t xml:space="preserve"> (</w:t>
      </w:r>
      <w:r w:rsidR="0041575F" w:rsidRPr="006B351B">
        <w:rPr>
          <w:rFonts w:asciiTheme="minorHAnsi" w:hAnsiTheme="minorHAnsi" w:cstheme="minorHAnsi"/>
        </w:rPr>
        <w:t>Table</w:t>
      </w:r>
      <w:r w:rsidR="0041575F">
        <w:rPr>
          <w:rFonts w:asciiTheme="minorHAnsi" w:hAnsiTheme="minorHAnsi" w:cstheme="minorHAnsi"/>
        </w:rPr>
        <w:t xml:space="preserve"> 1, James, 2023</w:t>
      </w:r>
      <w:r w:rsidR="001445E1">
        <w:rPr>
          <w:rFonts w:asciiTheme="minorHAnsi" w:hAnsiTheme="minorHAnsi" w:cstheme="minorHAnsi"/>
        </w:rPr>
        <w:t>;</w:t>
      </w:r>
      <w:r w:rsidR="0047140B" w:rsidRPr="0047140B">
        <w:rPr>
          <w:rFonts w:asciiTheme="minorHAnsi" w:hAnsiTheme="minorHAnsi" w:cstheme="minorHAnsi"/>
        </w:rPr>
        <w:t xml:space="preserve"> Summary of Safety and Effectiveness Data</w:t>
      </w:r>
      <w:r w:rsidR="00E5645A" w:rsidRPr="00E5645A">
        <w:rPr>
          <w:rFonts w:asciiTheme="minorHAnsi" w:hAnsiTheme="minorHAnsi" w:cstheme="minorHAnsi"/>
        </w:rPr>
        <w:t xml:space="preserve"> </w:t>
      </w:r>
      <w:r w:rsidR="00E5645A" w:rsidRPr="0047140B">
        <w:rPr>
          <w:rFonts w:asciiTheme="minorHAnsi" w:hAnsiTheme="minorHAnsi" w:cstheme="minorHAnsi"/>
        </w:rPr>
        <w:t>PMA P220006</w:t>
      </w:r>
      <w:r w:rsidR="0047140B">
        <w:rPr>
          <w:rFonts w:asciiTheme="minorHAnsi" w:hAnsiTheme="minorHAnsi" w:cstheme="minorHAnsi"/>
        </w:rPr>
        <w:t>,</w:t>
      </w:r>
      <w:r w:rsidR="0047140B" w:rsidRPr="0047140B">
        <w:rPr>
          <w:rFonts w:asciiTheme="minorHAnsi" w:hAnsiTheme="minorHAnsi" w:cstheme="minorHAnsi"/>
        </w:rPr>
        <w:t xml:space="preserve"> </w:t>
      </w:r>
      <w:r w:rsidR="00E06FAF" w:rsidRPr="0047140B">
        <w:rPr>
          <w:rFonts w:asciiTheme="minorHAnsi" w:hAnsiTheme="minorHAnsi" w:cstheme="minorHAnsi"/>
        </w:rPr>
        <w:t>FDA</w:t>
      </w:r>
      <w:r w:rsidR="00E06FAF">
        <w:rPr>
          <w:rFonts w:asciiTheme="minorHAnsi" w:hAnsiTheme="minorHAnsi" w:cstheme="minorHAnsi"/>
        </w:rPr>
        <w:t xml:space="preserve"> 2022, </w:t>
      </w:r>
      <w:r w:rsidR="006276B6">
        <w:rPr>
          <w:rFonts w:asciiTheme="minorHAnsi" w:hAnsiTheme="minorHAnsi" w:cstheme="minorHAnsi"/>
        </w:rPr>
        <w:t>p.6</w:t>
      </w:r>
      <w:r w:rsidR="0047140B">
        <w:rPr>
          <w:rFonts w:asciiTheme="minorHAnsi" w:hAnsiTheme="minorHAnsi" w:cstheme="minorHAnsi"/>
        </w:rPr>
        <w:t>)</w:t>
      </w:r>
      <w:r w:rsidR="00384E73">
        <w:rPr>
          <w:rFonts w:asciiTheme="minorHAnsi" w:hAnsiTheme="minorHAnsi" w:cstheme="minorHAnsi"/>
        </w:rPr>
        <w:t xml:space="preserve">. </w:t>
      </w:r>
      <w:r w:rsidR="001A7B43">
        <w:rPr>
          <w:rFonts w:asciiTheme="minorHAnsi" w:hAnsiTheme="minorHAnsi" w:cstheme="minorHAnsi"/>
        </w:rPr>
        <w:t xml:space="preserve">The FDA </w:t>
      </w:r>
      <w:r w:rsidR="002C46D2">
        <w:rPr>
          <w:rFonts w:asciiTheme="minorHAnsi" w:hAnsiTheme="minorHAnsi" w:cstheme="minorHAnsi"/>
        </w:rPr>
        <w:t>stated</w:t>
      </w:r>
      <w:r w:rsidR="007E601A">
        <w:rPr>
          <w:rFonts w:asciiTheme="minorHAnsi" w:hAnsiTheme="minorHAnsi" w:cstheme="minorHAnsi"/>
        </w:rPr>
        <w:t xml:space="preserve"> that </w:t>
      </w:r>
      <w:r w:rsidR="002C46D2">
        <w:rPr>
          <w:rFonts w:asciiTheme="minorHAnsi" w:hAnsiTheme="minorHAnsi" w:cstheme="minorHAnsi"/>
        </w:rPr>
        <w:t>t</w:t>
      </w:r>
      <w:r w:rsidR="007E601A" w:rsidRPr="007E601A">
        <w:rPr>
          <w:rFonts w:asciiTheme="minorHAnsi" w:hAnsiTheme="minorHAnsi" w:cstheme="minorHAnsi"/>
        </w:rPr>
        <w:t xml:space="preserve">o decrease variability of </w:t>
      </w:r>
      <w:r w:rsidR="00177FD4">
        <w:rPr>
          <w:rFonts w:asciiTheme="minorHAnsi" w:hAnsiTheme="minorHAnsi" w:cstheme="minorHAnsi"/>
        </w:rPr>
        <w:t>VENTANA</w:t>
      </w:r>
      <w:r w:rsidR="007E601A" w:rsidRPr="00C311BD">
        <w:rPr>
          <w:rFonts w:asciiTheme="minorHAnsi" w:hAnsiTheme="minorHAnsi" w:cstheme="minorHAnsi"/>
        </w:rPr>
        <w:t xml:space="preserve"> FOLR1</w:t>
      </w:r>
      <w:r w:rsidR="00B63167">
        <w:rPr>
          <w:rFonts w:asciiTheme="minorHAnsi" w:hAnsiTheme="minorHAnsi" w:cstheme="minorHAnsi"/>
        </w:rPr>
        <w:t xml:space="preserve"> for cases with %TC near the threshold of 75% [65%-</w:t>
      </w:r>
      <w:r w:rsidR="00DC113F">
        <w:rPr>
          <w:rFonts w:asciiTheme="minorHAnsi" w:hAnsiTheme="minorHAnsi" w:cstheme="minorHAnsi"/>
        </w:rPr>
        <w:t>85%]</w:t>
      </w:r>
      <w:r w:rsidR="007E601A" w:rsidRPr="007E601A">
        <w:rPr>
          <w:rFonts w:asciiTheme="minorHAnsi" w:hAnsiTheme="minorHAnsi" w:cstheme="minorHAnsi"/>
        </w:rPr>
        <w:t xml:space="preserve"> </w:t>
      </w:r>
      <w:r w:rsidR="00DC113F">
        <w:rPr>
          <w:rFonts w:asciiTheme="minorHAnsi" w:hAnsiTheme="minorHAnsi" w:cstheme="minorHAnsi"/>
        </w:rPr>
        <w:t>re</w:t>
      </w:r>
      <w:r w:rsidR="007E601A" w:rsidRPr="007E601A">
        <w:rPr>
          <w:rFonts w:asciiTheme="minorHAnsi" w:hAnsiTheme="minorHAnsi" w:cstheme="minorHAnsi"/>
        </w:rPr>
        <w:t xml:space="preserve">-reading of the </w:t>
      </w:r>
      <w:r w:rsidR="00DC113F">
        <w:rPr>
          <w:rFonts w:asciiTheme="minorHAnsi" w:hAnsiTheme="minorHAnsi" w:cstheme="minorHAnsi"/>
        </w:rPr>
        <w:t xml:space="preserve">slide by </w:t>
      </w:r>
      <w:r w:rsidR="00F01F59">
        <w:rPr>
          <w:rFonts w:asciiTheme="minorHAnsi" w:hAnsiTheme="minorHAnsi" w:cstheme="minorHAnsi"/>
        </w:rPr>
        <w:t xml:space="preserve">one or two independent </w:t>
      </w:r>
      <w:r w:rsidR="007E601A" w:rsidRPr="007E601A">
        <w:rPr>
          <w:rFonts w:asciiTheme="minorHAnsi" w:hAnsiTheme="minorHAnsi" w:cstheme="minorHAnsi"/>
        </w:rPr>
        <w:t>pathologist</w:t>
      </w:r>
      <w:r w:rsidR="00F01F59">
        <w:rPr>
          <w:rFonts w:asciiTheme="minorHAnsi" w:hAnsiTheme="minorHAnsi" w:cstheme="minorHAnsi"/>
        </w:rPr>
        <w:t>s</w:t>
      </w:r>
      <w:r w:rsidR="007E601A" w:rsidRPr="007E601A">
        <w:rPr>
          <w:rFonts w:asciiTheme="minorHAnsi" w:hAnsiTheme="minorHAnsi" w:cstheme="minorHAnsi"/>
        </w:rPr>
        <w:t xml:space="preserve"> </w:t>
      </w:r>
      <w:r w:rsidR="002C46D2">
        <w:rPr>
          <w:rFonts w:asciiTheme="minorHAnsi" w:hAnsiTheme="minorHAnsi" w:cstheme="minorHAnsi"/>
        </w:rPr>
        <w:t xml:space="preserve">is recommended. </w:t>
      </w:r>
      <w:r w:rsidR="007E601A" w:rsidRPr="007E601A">
        <w:rPr>
          <w:rFonts w:asciiTheme="minorHAnsi" w:hAnsiTheme="minorHAnsi" w:cstheme="minorHAnsi"/>
        </w:rPr>
        <w:t>In these cases, the patient’s result with regard to FOLR1 status (positive/negative) should be obtained by either a majority rule or by consensus among the pathologists.</w:t>
      </w:r>
    </w:p>
    <w:p w14:paraId="7A2997F3" w14:textId="26018C34" w:rsidR="00AA13C3" w:rsidRPr="00AA13C3" w:rsidRDefault="00AA13C3" w:rsidP="0032737E">
      <w:pPr>
        <w:autoSpaceDE w:val="0"/>
        <w:autoSpaceDN w:val="0"/>
        <w:adjustRightInd w:val="0"/>
        <w:rPr>
          <w:rFonts w:asciiTheme="minorHAnsi" w:hAnsiTheme="minorHAnsi" w:cstheme="minorHAnsi"/>
        </w:rPr>
      </w:pPr>
      <w:r w:rsidRPr="0032737E">
        <w:rPr>
          <w:i/>
          <w:iCs/>
        </w:rPr>
        <w:t>PASC noted from the applicant’s clinical expert that according to the VENTANA protocol and manual, the majority of the cases can be clearly identified either as positive or negative, but cases at either side of a threshold can be difficult to determine (i.e.</w:t>
      </w:r>
      <w:r w:rsidR="003A186C">
        <w:rPr>
          <w:i/>
          <w:iCs/>
        </w:rPr>
        <w:t>,</w:t>
      </w:r>
      <w:r w:rsidRPr="0032737E">
        <w:rPr>
          <w:i/>
          <w:iCs/>
        </w:rPr>
        <w:t xml:space="preserve"> within the 65%-85% range around the 75% threshold). As scoring is subjective, these cases would require a second and even third opinion from other pathologists. Consensus is required for a conclusive outcome. The applicant’s clinical experts noted that result interpretation is </w:t>
      </w:r>
      <w:r w:rsidR="00616CF5">
        <w:rPr>
          <w:i/>
          <w:iCs/>
        </w:rPr>
        <w:t xml:space="preserve">likely to be </w:t>
      </w:r>
      <w:r w:rsidRPr="0032737E">
        <w:rPr>
          <w:i/>
          <w:iCs/>
        </w:rPr>
        <w:t>accurate and reliable provided the pathologists are appropriately trained and a quality assurance program is in place.</w:t>
      </w:r>
    </w:p>
    <w:p w14:paraId="6CE6727E" w14:textId="47F1DF23" w:rsidR="00CD4F66" w:rsidRPr="0090548F" w:rsidRDefault="00CD4F66" w:rsidP="006B351B">
      <w:pPr>
        <w:spacing w:before="120"/>
      </w:pPr>
      <w:r>
        <w:rPr>
          <w:rFonts w:asciiTheme="minorHAnsi" w:hAnsiTheme="minorHAnsi" w:cstheme="minorHAnsi"/>
        </w:rPr>
        <w:t>In the application</w:t>
      </w:r>
      <w:r w:rsidR="006B351B">
        <w:rPr>
          <w:rFonts w:asciiTheme="minorHAnsi" w:hAnsiTheme="minorHAnsi" w:cstheme="minorHAnsi"/>
        </w:rPr>
        <w:t>,</w:t>
      </w:r>
      <w:r>
        <w:rPr>
          <w:rFonts w:asciiTheme="minorHAnsi" w:hAnsiTheme="minorHAnsi" w:cstheme="minorHAnsi"/>
        </w:rPr>
        <w:t xml:space="preserve"> a</w:t>
      </w:r>
      <w:r w:rsidRPr="006C1FA7">
        <w:rPr>
          <w:rFonts w:asciiTheme="minorHAnsi" w:hAnsiTheme="minorHAnsi" w:cstheme="minorHAnsi"/>
        </w:rPr>
        <w:t xml:space="preserve"> clinical cutoff of ≥75% </w:t>
      </w:r>
      <w:r w:rsidR="00F3544E">
        <w:rPr>
          <w:rFonts w:asciiTheme="minorHAnsi" w:hAnsiTheme="minorHAnsi" w:cstheme="minorHAnsi"/>
        </w:rPr>
        <w:t>TC</w:t>
      </w:r>
      <w:r w:rsidRPr="006C1FA7">
        <w:rPr>
          <w:rFonts w:asciiTheme="minorHAnsi" w:hAnsiTheme="minorHAnsi" w:cstheme="minorHAnsi"/>
        </w:rPr>
        <w:t>s expressing FRα on a validated IHC test is suggested as eligibility criteria for mirvetuximab soravtansine</w:t>
      </w:r>
      <w:r>
        <w:rPr>
          <w:rFonts w:asciiTheme="minorHAnsi" w:hAnsiTheme="minorHAnsi" w:cstheme="minorHAnsi"/>
        </w:rPr>
        <w:t xml:space="preserve"> (PICO</w:t>
      </w:r>
      <w:r w:rsidR="0090548F">
        <w:rPr>
          <w:rFonts w:asciiTheme="minorHAnsi" w:hAnsiTheme="minorHAnsi" w:cstheme="minorHAnsi"/>
        </w:rPr>
        <w:t xml:space="preserve"> Set Document</w:t>
      </w:r>
      <w:r>
        <w:rPr>
          <w:rFonts w:asciiTheme="minorHAnsi" w:hAnsiTheme="minorHAnsi" w:cstheme="minorHAnsi"/>
        </w:rPr>
        <w:t>, p.2)</w:t>
      </w:r>
      <w:r w:rsidRPr="006C1FA7">
        <w:rPr>
          <w:rFonts w:asciiTheme="minorHAnsi" w:hAnsiTheme="minorHAnsi" w:cstheme="minorHAnsi"/>
        </w:rPr>
        <w:t xml:space="preserve">. </w:t>
      </w:r>
      <w:r w:rsidRPr="00FA4235">
        <w:rPr>
          <w:rFonts w:asciiTheme="minorHAnsi" w:hAnsiTheme="minorHAnsi" w:cstheme="minorHAnsi"/>
        </w:rPr>
        <w:t xml:space="preserve">Selection criteria in MIRASOL and SORAYA trials also included this threshold but also required a staining intensity of ≥2+. </w:t>
      </w:r>
      <w:r w:rsidRPr="00FA4235">
        <w:rPr>
          <w:rFonts w:cstheme="minorHAnsi"/>
        </w:rPr>
        <w:t xml:space="preserve">The immunohistochemical </w:t>
      </w:r>
      <w:r w:rsidR="00177FD4" w:rsidRPr="00FA4235">
        <w:rPr>
          <w:rFonts w:cstheme="minorHAnsi"/>
        </w:rPr>
        <w:t>VENTANA</w:t>
      </w:r>
      <w:r w:rsidRPr="00FA4235">
        <w:rPr>
          <w:rFonts w:cstheme="minorHAnsi"/>
        </w:rPr>
        <w:t xml:space="preserve"> FOLR1 (FOLR1-2.1) RxDx Assay, as presented in the application, specifically identifies </w:t>
      </w:r>
      <w:r w:rsidRPr="00FA4235">
        <w:t>FRα overexpression (FRα positivity) in quantitative terms, i.e.</w:t>
      </w:r>
      <w:r w:rsidR="00AA13C3">
        <w:t>,</w:t>
      </w:r>
      <w:r w:rsidRPr="00FA4235">
        <w:t xml:space="preserve"> the percentage of viable </w:t>
      </w:r>
      <w:r w:rsidR="009B558C">
        <w:t>TC</w:t>
      </w:r>
      <w:r w:rsidRPr="00FA4235">
        <w:t>s that stained positive for FRα should exceed the clinical cut-off ≥75%. However, it is less specific with respect to intensity of membrane staining, which should be assessed at moderate and/or strong intensity levels, i.e.</w:t>
      </w:r>
      <w:r w:rsidR="00AA13C3">
        <w:t>,</w:t>
      </w:r>
      <w:r w:rsidRPr="00FA4235">
        <w:t xml:space="preserve"> qualitatively.</w:t>
      </w:r>
      <w:r w:rsidRPr="0090548F">
        <w:t xml:space="preserve"> </w:t>
      </w:r>
    </w:p>
    <w:p w14:paraId="5CE08867" w14:textId="19AB54BE" w:rsidR="00D93027" w:rsidRPr="0090548F" w:rsidRDefault="00DD0FEF" w:rsidP="00DA116F">
      <w:pPr>
        <w:spacing w:before="120"/>
        <w:rPr>
          <w:rFonts w:asciiTheme="minorHAnsi" w:hAnsiTheme="minorHAnsi" w:cstheme="minorHAnsi"/>
        </w:rPr>
      </w:pPr>
      <w:r w:rsidRPr="0090548F">
        <w:rPr>
          <w:rFonts w:asciiTheme="minorHAnsi" w:hAnsiTheme="minorHAnsi" w:cstheme="minorHAnsi"/>
        </w:rPr>
        <w:t xml:space="preserve">At the </w:t>
      </w:r>
      <w:r w:rsidR="00031207" w:rsidRPr="0090548F">
        <w:rPr>
          <w:rFonts w:asciiTheme="minorHAnsi" w:hAnsiTheme="minorHAnsi" w:cstheme="minorHAnsi"/>
        </w:rPr>
        <w:t>pre-PASC teleconference</w:t>
      </w:r>
      <w:r w:rsidR="00A07AB0" w:rsidRPr="0090548F">
        <w:rPr>
          <w:rFonts w:asciiTheme="minorHAnsi" w:hAnsiTheme="minorHAnsi" w:cstheme="minorHAnsi"/>
        </w:rPr>
        <w:t>,</w:t>
      </w:r>
      <w:r w:rsidRPr="0090548F">
        <w:rPr>
          <w:rFonts w:asciiTheme="minorHAnsi" w:hAnsiTheme="minorHAnsi" w:cstheme="minorHAnsi"/>
        </w:rPr>
        <w:t xml:space="preserve"> the applicant advised that, consistent with the</w:t>
      </w:r>
      <w:r w:rsidR="0083090C" w:rsidRPr="0090548F">
        <w:rPr>
          <w:rFonts w:asciiTheme="minorHAnsi" w:hAnsiTheme="minorHAnsi" w:cstheme="minorHAnsi"/>
        </w:rPr>
        <w:t xml:space="preserve"> FDA documents and the</w:t>
      </w:r>
      <w:r w:rsidRPr="0090548F">
        <w:rPr>
          <w:rFonts w:asciiTheme="minorHAnsi" w:hAnsiTheme="minorHAnsi" w:cstheme="minorHAnsi"/>
        </w:rPr>
        <w:t xml:space="preserve"> </w:t>
      </w:r>
      <w:r w:rsidR="00BE285C" w:rsidRPr="0090548F">
        <w:rPr>
          <w:rFonts w:asciiTheme="minorHAnsi" w:hAnsiTheme="minorHAnsi" w:cstheme="minorHAnsi"/>
        </w:rPr>
        <w:t xml:space="preserve">MIRASOL </w:t>
      </w:r>
      <w:r w:rsidRPr="0090548F">
        <w:rPr>
          <w:rFonts w:asciiTheme="minorHAnsi" w:hAnsiTheme="minorHAnsi" w:cstheme="minorHAnsi"/>
        </w:rPr>
        <w:t xml:space="preserve">trial, both criteria, for the TC proportion (≥75%) and staining intensity (≥2+) were </w:t>
      </w:r>
      <w:r w:rsidR="00A07AB0" w:rsidRPr="0090548F">
        <w:rPr>
          <w:rFonts w:asciiTheme="minorHAnsi" w:hAnsiTheme="minorHAnsi" w:cstheme="minorHAnsi"/>
        </w:rPr>
        <w:t xml:space="preserve">intended </w:t>
      </w:r>
      <w:r w:rsidRPr="0090548F">
        <w:rPr>
          <w:rFonts w:asciiTheme="minorHAnsi" w:hAnsiTheme="minorHAnsi" w:cstheme="minorHAnsi"/>
        </w:rPr>
        <w:t xml:space="preserve">to be used for </w:t>
      </w:r>
      <w:r w:rsidRPr="0090548F">
        <w:t>mirvetuximab soravtansine</w:t>
      </w:r>
      <w:r w:rsidRPr="0090548F">
        <w:rPr>
          <w:rFonts w:asciiTheme="minorHAnsi" w:hAnsiTheme="minorHAnsi" w:cstheme="minorHAnsi"/>
        </w:rPr>
        <w:t xml:space="preserve"> eligibility. </w:t>
      </w:r>
      <w:r w:rsidR="00D93027" w:rsidRPr="0090548F">
        <w:rPr>
          <w:rFonts w:asciiTheme="minorHAnsi" w:hAnsiTheme="minorHAnsi" w:cstheme="minorHAnsi"/>
        </w:rPr>
        <w:t>The applicant’s clinical expert noted that while determining the staining intensity is relatively subjective there are guidances in assigning the intensity and that this process has been successfully and consistently performed by pathologists for over 20 years.</w:t>
      </w:r>
    </w:p>
    <w:p w14:paraId="746FA9D5" w14:textId="32FA0952" w:rsidR="00F67A57" w:rsidRPr="0090548F" w:rsidRDefault="00F67A57" w:rsidP="00F67A57">
      <w:pPr>
        <w:spacing w:before="120"/>
        <w:rPr>
          <w:rFonts w:asciiTheme="minorHAnsi" w:hAnsiTheme="minorHAnsi" w:cstheme="minorHAnsi"/>
        </w:rPr>
      </w:pPr>
      <w:r w:rsidRPr="0090548F">
        <w:rPr>
          <w:rFonts w:asciiTheme="minorHAnsi" w:hAnsiTheme="minorHAnsi" w:cstheme="minorHAnsi"/>
        </w:rPr>
        <w:t xml:space="preserve">In response to an enquiry related to concordance of results between </w:t>
      </w:r>
      <w:r w:rsidR="00DC303C">
        <w:rPr>
          <w:rFonts w:asciiTheme="minorHAnsi" w:hAnsiTheme="minorHAnsi" w:cstheme="minorHAnsi"/>
        </w:rPr>
        <w:t xml:space="preserve">different </w:t>
      </w:r>
      <w:r w:rsidR="00DC303C" w:rsidRPr="0090548F">
        <w:rPr>
          <w:rFonts w:asciiTheme="minorHAnsi" w:hAnsiTheme="minorHAnsi" w:cstheme="minorHAnsi"/>
        </w:rPr>
        <w:t>FRα</w:t>
      </w:r>
      <w:r w:rsidR="00DC303C">
        <w:rPr>
          <w:rFonts w:asciiTheme="minorHAnsi" w:hAnsiTheme="minorHAnsi" w:cstheme="minorHAnsi"/>
        </w:rPr>
        <w:t xml:space="preserve"> </w:t>
      </w:r>
      <w:r w:rsidRPr="0090548F">
        <w:rPr>
          <w:rFonts w:asciiTheme="minorHAnsi" w:hAnsiTheme="minorHAnsi" w:cstheme="minorHAnsi"/>
        </w:rPr>
        <w:t xml:space="preserve">assays, the applicant’s clinical experts expressed a conviction that it is very unlikely that an alternative test for FRα expression would emerge due to the high variation associated with in-house assays of this nature, and the high volume of resources needed to develop </w:t>
      </w:r>
      <w:r w:rsidR="00A40184" w:rsidRPr="0090548F">
        <w:rPr>
          <w:rFonts w:asciiTheme="minorHAnsi" w:hAnsiTheme="minorHAnsi" w:cstheme="minorHAnsi"/>
        </w:rPr>
        <w:t>and</w:t>
      </w:r>
      <w:r w:rsidRPr="0090548F">
        <w:rPr>
          <w:rFonts w:asciiTheme="minorHAnsi" w:hAnsiTheme="minorHAnsi" w:cstheme="minorHAnsi"/>
        </w:rPr>
        <w:t xml:space="preserve"> validate a commercial assay. </w:t>
      </w:r>
    </w:p>
    <w:p w14:paraId="13E5C8D1" w14:textId="4CA0F37B" w:rsidR="00E704F0" w:rsidRDefault="00D93027" w:rsidP="00DA116F">
      <w:pPr>
        <w:spacing w:before="120"/>
        <w:rPr>
          <w:rFonts w:asciiTheme="minorHAnsi" w:hAnsiTheme="minorHAnsi" w:cstheme="minorHAnsi"/>
        </w:rPr>
      </w:pPr>
      <w:r w:rsidRPr="00FA4235">
        <w:rPr>
          <w:rFonts w:asciiTheme="minorHAnsi" w:hAnsiTheme="minorHAnsi" w:cstheme="minorHAnsi"/>
        </w:rPr>
        <w:t>T</w:t>
      </w:r>
      <w:r w:rsidR="00DD233B" w:rsidRPr="00FA4235">
        <w:rPr>
          <w:rFonts w:asciiTheme="minorHAnsi" w:hAnsiTheme="minorHAnsi" w:cstheme="minorHAnsi"/>
        </w:rPr>
        <w:t xml:space="preserve">he </w:t>
      </w:r>
      <w:r w:rsidR="00B552FC" w:rsidRPr="00FA4235">
        <w:rPr>
          <w:rFonts w:asciiTheme="minorHAnsi" w:hAnsiTheme="minorHAnsi" w:cstheme="minorHAnsi"/>
        </w:rPr>
        <w:t>Department advised that</w:t>
      </w:r>
      <w:r w:rsidR="00DD233B" w:rsidRPr="00FA4235">
        <w:rPr>
          <w:rFonts w:asciiTheme="minorHAnsi" w:hAnsiTheme="minorHAnsi" w:cstheme="minorHAnsi"/>
        </w:rPr>
        <w:t xml:space="preserve"> </w:t>
      </w:r>
      <w:r w:rsidR="00B552FC" w:rsidRPr="00FA4235">
        <w:rPr>
          <w:rFonts w:asciiTheme="minorHAnsi" w:hAnsiTheme="minorHAnsi" w:cstheme="minorHAnsi"/>
        </w:rPr>
        <w:t>MBS pathology item descriptors rarely include product names, scoring methods or scoring thresholds</w:t>
      </w:r>
      <w:r w:rsidR="007778D8" w:rsidRPr="00FA4235">
        <w:rPr>
          <w:rFonts w:asciiTheme="minorHAnsi" w:hAnsiTheme="minorHAnsi" w:cstheme="minorHAnsi"/>
        </w:rPr>
        <w:t>.</w:t>
      </w:r>
      <w:r w:rsidR="00DD233B" w:rsidRPr="00FA4235">
        <w:rPr>
          <w:rFonts w:asciiTheme="minorHAnsi" w:hAnsiTheme="minorHAnsi" w:cstheme="minorHAnsi"/>
        </w:rPr>
        <w:t xml:space="preserve"> </w:t>
      </w:r>
      <w:r w:rsidR="00B552FC" w:rsidRPr="00FA4235">
        <w:rPr>
          <w:rFonts w:asciiTheme="minorHAnsi" w:hAnsiTheme="minorHAnsi" w:cstheme="minorHAnsi"/>
        </w:rPr>
        <w:t xml:space="preserve">Laboratories </w:t>
      </w:r>
      <w:r w:rsidR="00E51EBE" w:rsidRPr="00FA4235">
        <w:rPr>
          <w:rFonts w:asciiTheme="minorHAnsi" w:hAnsiTheme="minorHAnsi" w:cstheme="minorHAnsi"/>
        </w:rPr>
        <w:t>should be</w:t>
      </w:r>
      <w:r w:rsidR="00B552FC" w:rsidRPr="00FA4235">
        <w:rPr>
          <w:rFonts w:asciiTheme="minorHAnsi" w:hAnsiTheme="minorHAnsi" w:cstheme="minorHAnsi"/>
        </w:rPr>
        <w:t xml:space="preserve"> able to use whichever TGA approved product they choose for the test (or use an in-house IVD) provided their methods meet NPAAC accreditation/NATA standards</w:t>
      </w:r>
      <w:r w:rsidR="00B552FC" w:rsidRPr="0090548F">
        <w:rPr>
          <w:rFonts w:asciiTheme="minorHAnsi" w:hAnsiTheme="minorHAnsi" w:cstheme="minorHAnsi"/>
        </w:rPr>
        <w:t>.</w:t>
      </w:r>
      <w:r w:rsidR="009D3012" w:rsidRPr="0090548F">
        <w:rPr>
          <w:rFonts w:asciiTheme="minorHAnsi" w:hAnsiTheme="minorHAnsi" w:cstheme="minorHAnsi"/>
        </w:rPr>
        <w:t xml:space="preserve"> </w:t>
      </w:r>
    </w:p>
    <w:p w14:paraId="7347AE9A" w14:textId="5AE64AA2" w:rsidR="00AA13C3" w:rsidRPr="00AA13C3" w:rsidRDefault="00AA13C3" w:rsidP="00DA116F">
      <w:pPr>
        <w:spacing w:before="120"/>
        <w:rPr>
          <w:rFonts w:asciiTheme="minorHAnsi" w:hAnsiTheme="minorHAnsi" w:cstheme="minorHAnsi"/>
        </w:rPr>
      </w:pPr>
      <w:r w:rsidRPr="0032737E">
        <w:rPr>
          <w:rFonts w:asciiTheme="minorHAnsi" w:hAnsiTheme="minorHAnsi" w:cstheme="minorHAnsi"/>
          <w:i/>
          <w:iCs/>
        </w:rPr>
        <w:lastRenderedPageBreak/>
        <w:t xml:space="preserve">In order to determine the </w:t>
      </w:r>
      <w:r w:rsidRPr="0032737E">
        <w:rPr>
          <w:rFonts w:asciiTheme="minorHAnsi" w:hAnsiTheme="minorHAnsi" w:cstheme="minorBidi"/>
          <w:i/>
        </w:rPr>
        <w:t>FRα expression status,</w:t>
      </w:r>
      <w:r w:rsidRPr="0032737E">
        <w:rPr>
          <w:rFonts w:asciiTheme="minorHAnsi" w:hAnsiTheme="minorHAnsi" w:cstheme="minorHAnsi"/>
          <w:i/>
          <w:iCs/>
        </w:rPr>
        <w:t xml:space="preserve"> PASC considered that a laboratory may choose to use either the </w:t>
      </w:r>
      <w:r w:rsidRPr="0032737E">
        <w:rPr>
          <w:i/>
          <w:iCs/>
        </w:rPr>
        <w:t xml:space="preserve">VENTANA FOLR1 (FOLR1-2.1) RxDx Assay which was used in the key MIRASOL trial or an appropriately validated in house assay. </w:t>
      </w:r>
      <w:r w:rsidRPr="0032737E">
        <w:rPr>
          <w:rFonts w:asciiTheme="minorHAnsi" w:hAnsiTheme="minorHAnsi" w:cstheme="minorBidi"/>
          <w:i/>
          <w:iCs/>
        </w:rPr>
        <w:t xml:space="preserve">PASC noted that measuring the </w:t>
      </w:r>
      <w:r w:rsidRPr="0032737E">
        <w:rPr>
          <w:rFonts w:asciiTheme="minorHAnsi" w:hAnsiTheme="minorHAnsi" w:cstheme="minorBidi"/>
          <w:i/>
        </w:rPr>
        <w:t>FRα expression status</w:t>
      </w:r>
      <w:r w:rsidRPr="0032737E">
        <w:rPr>
          <w:i/>
        </w:rPr>
        <w:t xml:space="preserve"> with the VENTANA FOLR1 (FOLR1-2.1) RxDx Assay, would likely limit the </w:t>
      </w:r>
      <w:r w:rsidRPr="0032737E">
        <w:rPr>
          <w:i/>
          <w:iCs/>
        </w:rPr>
        <w:t>eligibility</w:t>
      </w:r>
      <w:r w:rsidRPr="0032737E">
        <w:rPr>
          <w:i/>
        </w:rPr>
        <w:t xml:space="preserve"> to </w:t>
      </w:r>
      <w:r w:rsidRPr="0032737E">
        <w:rPr>
          <w:i/>
          <w:iCs/>
        </w:rPr>
        <w:t>mirvetuximab soravtansine to those patients fulfilling at least the 75% staining threshold (as this is the clinical cut off approved by the FDA for this device, and would likely be the same cut off if approved by the TGA). PASC noted that while the threshold proposed in the current application (</w:t>
      </w:r>
      <w:r w:rsidRPr="0032737E">
        <w:rPr>
          <w:rFonts w:cs="Calibri"/>
          <w:i/>
          <w:iCs/>
        </w:rPr>
        <w:t>≥</w:t>
      </w:r>
      <w:r w:rsidRPr="0032737E">
        <w:rPr>
          <w:i/>
          <w:iCs/>
        </w:rPr>
        <w:t xml:space="preserve">75% of viable tumour cells with moderate [2+] or strong [3+] staining) is a clinically actionable threshold (as evidenced by the key MIRASOL and SORAYA trials), PASC considered that this may not be the optimal clinical threshold given that the key MIRASOL and SORAYA trials only treated patients who met the above stated threshold. PASC considered that while the proposed threshold is appropriate at this stage, it may change in the future if and when more data to inform other expression levels are obtained.   </w:t>
      </w:r>
    </w:p>
    <w:p w14:paraId="763D79CB" w14:textId="0385A64B" w:rsidR="0056594E" w:rsidRPr="003B3A37" w:rsidRDefault="0056594E" w:rsidP="003B3A37">
      <w:pPr>
        <w:rPr>
          <w:u w:val="single"/>
        </w:rPr>
      </w:pPr>
      <w:r w:rsidRPr="003B3A37">
        <w:rPr>
          <w:u w:val="single"/>
        </w:rPr>
        <w:t>Treatment</w:t>
      </w:r>
    </w:p>
    <w:p w14:paraId="0BACCD55" w14:textId="23926E6D" w:rsidR="001E5224" w:rsidRPr="0090548F" w:rsidRDefault="0056594E" w:rsidP="003B3A37">
      <w:r w:rsidRPr="0056594E">
        <w:t>Mirvetuximab soravtansine is an antibody-drug conjugate composed of an anti</w:t>
      </w:r>
      <w:r w:rsidR="00B25271">
        <w:t>-</w:t>
      </w:r>
      <w:r w:rsidRPr="0056594E">
        <w:t>FRα monoclonal antibody, a cleavable linker, and the maytansinoid DM4 payload, a potent tubulin-targeting antimitotic agent</w:t>
      </w:r>
      <w:r w:rsidR="007D5D8B">
        <w:t xml:space="preserve"> (Ab</w:t>
      </w:r>
      <w:r w:rsidR="009A561E">
        <w:t>,</w:t>
      </w:r>
      <w:r w:rsidR="007D5D8B">
        <w:t xml:space="preserve"> 2015)</w:t>
      </w:r>
      <w:r w:rsidR="009A561E">
        <w:t>.</w:t>
      </w:r>
      <w:r w:rsidRPr="0056594E">
        <w:t xml:space="preserve"> FRα is a membrane protein that binds to and transports folate into cells. This receptor is commonly overexpressed in epithelial tumo</w:t>
      </w:r>
      <w:r w:rsidR="00A07AB0">
        <w:t>u</w:t>
      </w:r>
      <w:r w:rsidRPr="0056594E">
        <w:t xml:space="preserve">rs, particularly in high-grade serous ovarian and serous </w:t>
      </w:r>
      <w:r w:rsidR="006B192B" w:rsidRPr="0056594E">
        <w:t>endometri</w:t>
      </w:r>
      <w:r w:rsidR="006B192B">
        <w:t>oid</w:t>
      </w:r>
      <w:r w:rsidR="006B192B" w:rsidRPr="0056594E">
        <w:t xml:space="preserve"> </w:t>
      </w:r>
      <w:r w:rsidRPr="0056594E">
        <w:t>cancers, in contrast to normal adult tissues that generally exhibit more restricted FRα expression</w:t>
      </w:r>
      <w:r w:rsidR="00721121">
        <w:t xml:space="preserve"> (</w:t>
      </w:r>
      <w:r w:rsidR="002E2FB5" w:rsidRPr="00080716">
        <w:t>Basal, 2009;</w:t>
      </w:r>
      <w:r w:rsidR="00F50614" w:rsidRPr="00080716">
        <w:t xml:space="preserve"> </w:t>
      </w:r>
      <w:r w:rsidR="00174115" w:rsidRPr="00080716">
        <w:t>Ledermann</w:t>
      </w:r>
      <w:r w:rsidR="00080716">
        <w:t>,</w:t>
      </w:r>
      <w:r w:rsidR="00174115" w:rsidRPr="00080716">
        <w:t xml:space="preserve"> 2015</w:t>
      </w:r>
      <w:r w:rsidR="00080716">
        <w:t>)</w:t>
      </w:r>
      <w:r w:rsidR="004E7A3C">
        <w:t>.</w:t>
      </w:r>
      <w:r w:rsidR="00920577">
        <w:t xml:space="preserve"> </w:t>
      </w:r>
      <w:r w:rsidR="00E04481" w:rsidRPr="00FA4235">
        <w:t xml:space="preserve">A horizon-scanning report (NIHR 2023) </w:t>
      </w:r>
      <w:r w:rsidR="00C31BB8" w:rsidRPr="00FA4235">
        <w:t>provided the following definition:</w:t>
      </w:r>
      <w:r w:rsidR="00E04481" w:rsidRPr="00FA4235">
        <w:t xml:space="preserve"> </w:t>
      </w:r>
      <w:r w:rsidR="00D622F7" w:rsidRPr="00FA4235">
        <w:t>“</w:t>
      </w:r>
      <w:r w:rsidR="00C31BB8" w:rsidRPr="00FA4235">
        <w:t>m</w:t>
      </w:r>
      <w:r w:rsidR="00A17ECF" w:rsidRPr="00FA4235">
        <w:t>irvetuximab soravtansine is administered by intravenous infusion and works in two stages. First, it recognises a receptor on the cancer cells, attaches itself to the cancer cell and then enters it. When it is inside the cancer cell, the drug releases a toxic substance that kills the cancer cell and other nearby cancer cells</w:t>
      </w:r>
      <w:r w:rsidR="00D622F7" w:rsidRPr="00FA4235">
        <w:t>”</w:t>
      </w:r>
      <w:r w:rsidR="00A17ECF" w:rsidRPr="00FA4235">
        <w:t>.</w:t>
      </w:r>
      <w:r w:rsidR="00A17ECF" w:rsidRPr="0090548F">
        <w:t xml:space="preserve"> </w:t>
      </w:r>
    </w:p>
    <w:p w14:paraId="1B9EC7F5" w14:textId="1E689983" w:rsidR="0017508F" w:rsidRDefault="005F2FEA" w:rsidP="003B3A37">
      <w:r w:rsidRPr="0056594E">
        <w:t>Mirvetuximab soravtansine</w:t>
      </w:r>
      <w:r>
        <w:t xml:space="preserve"> is administered </w:t>
      </w:r>
      <w:r w:rsidR="001B23DE" w:rsidRPr="001B23DE">
        <w:t>at</w:t>
      </w:r>
      <w:r w:rsidR="001B23DE">
        <w:t xml:space="preserve"> </w:t>
      </w:r>
      <w:r w:rsidR="001B23DE" w:rsidRPr="001B23DE">
        <w:t>6.0 mg</w:t>
      </w:r>
      <w:r w:rsidR="00B25271">
        <w:t>/kg</w:t>
      </w:r>
      <w:r>
        <w:t xml:space="preserve"> </w:t>
      </w:r>
      <w:r w:rsidR="00B25271">
        <w:t>(</w:t>
      </w:r>
      <w:r w:rsidRPr="0017508F">
        <w:t>adjusted ideal body weight</w:t>
      </w:r>
      <w:r w:rsidR="00B25271">
        <w:t>)</w:t>
      </w:r>
      <w:r w:rsidRPr="001B23DE">
        <w:t xml:space="preserve"> </w:t>
      </w:r>
      <w:r w:rsidR="00A03721">
        <w:t>and</w:t>
      </w:r>
      <w:r w:rsidR="001B23DE" w:rsidRPr="001B23DE">
        <w:t xml:space="preserve"> </w:t>
      </w:r>
      <w:r w:rsidR="00CD110B" w:rsidRPr="00CD110B">
        <w:t>administered</w:t>
      </w:r>
      <w:r w:rsidR="00A03721">
        <w:t xml:space="preserve"> intravenously</w:t>
      </w:r>
      <w:r w:rsidR="00CD110B" w:rsidRPr="00CD110B">
        <w:t xml:space="preserve"> </w:t>
      </w:r>
      <w:r w:rsidR="001B23DE" w:rsidRPr="001B23DE">
        <w:t xml:space="preserve">every </w:t>
      </w:r>
      <w:r w:rsidR="0032737E">
        <w:t>three</w:t>
      </w:r>
      <w:r w:rsidR="0032737E" w:rsidRPr="001B23DE">
        <w:t xml:space="preserve"> </w:t>
      </w:r>
      <w:r w:rsidR="001B23DE" w:rsidRPr="001B23DE">
        <w:t>weeks</w:t>
      </w:r>
      <w:r w:rsidR="0015277D">
        <w:t>.</w:t>
      </w:r>
      <w:r w:rsidR="0015277D" w:rsidRPr="00E61877">
        <w:t xml:space="preserve"> </w:t>
      </w:r>
      <w:r w:rsidR="00E61877" w:rsidRPr="00E61877">
        <w:t xml:space="preserve">The dosing regimen was </w:t>
      </w:r>
      <w:r w:rsidR="0015277D" w:rsidRPr="0015277D">
        <w:t xml:space="preserve">established as the </w:t>
      </w:r>
      <w:r w:rsidR="00AA13C3">
        <w:t>P</w:t>
      </w:r>
      <w:r w:rsidR="0015277D" w:rsidRPr="0015277D">
        <w:t xml:space="preserve">hase 2 dose during </w:t>
      </w:r>
      <w:r w:rsidR="00E03B07">
        <w:t xml:space="preserve">a </w:t>
      </w:r>
      <w:r w:rsidR="00B7451A">
        <w:t xml:space="preserve">dose-escalating </w:t>
      </w:r>
      <w:r w:rsidR="000C3BF4">
        <w:t>study</w:t>
      </w:r>
      <w:r w:rsidR="006621B2">
        <w:t xml:space="preserve"> </w:t>
      </w:r>
      <w:r w:rsidR="00BE4272">
        <w:t>(</w:t>
      </w:r>
      <w:r w:rsidR="00BE4272" w:rsidRPr="00BE4272">
        <w:t>NCT01609556</w:t>
      </w:r>
      <w:r w:rsidR="00BE4272">
        <w:t>)</w:t>
      </w:r>
      <w:r w:rsidR="000C3BF4">
        <w:t xml:space="preserve">. </w:t>
      </w:r>
    </w:p>
    <w:p w14:paraId="625774F7" w14:textId="77777777" w:rsidR="007C7EC1" w:rsidRDefault="00271182" w:rsidP="00DA116F">
      <w:r>
        <w:t>M</w:t>
      </w:r>
      <w:r w:rsidR="000C4450" w:rsidRPr="003B3A37">
        <w:t xml:space="preserve">irvetuximab soravtansine is </w:t>
      </w:r>
      <w:r w:rsidR="00DA116F" w:rsidRPr="003B3A37">
        <w:t>proposed to be used as monotherapy</w:t>
      </w:r>
      <w:r w:rsidR="008A47C8" w:rsidRPr="003B3A37">
        <w:t>.</w:t>
      </w:r>
      <w:r w:rsidR="008A47C8" w:rsidRPr="00DA116F">
        <w:rPr>
          <w:i/>
          <w:iCs/>
        </w:rPr>
        <w:t xml:space="preserve"> </w:t>
      </w:r>
      <w:r w:rsidR="008A47C8" w:rsidRPr="0090548F">
        <w:t xml:space="preserve">However, ongoing trials </w:t>
      </w:r>
      <w:r w:rsidR="00DA116F" w:rsidRPr="0090548F">
        <w:t>assessing</w:t>
      </w:r>
      <w:r w:rsidR="00C40E83" w:rsidRPr="0090548F">
        <w:t xml:space="preserve"> mirvetuximab soravtansine</w:t>
      </w:r>
      <w:r w:rsidR="00DA116F" w:rsidRPr="0090548F">
        <w:t xml:space="preserve"> provide evidence of its use</w:t>
      </w:r>
      <w:r w:rsidR="00C40E83" w:rsidRPr="0090548F">
        <w:t xml:space="preserve"> in combination with other </w:t>
      </w:r>
      <w:r w:rsidR="004964C4" w:rsidRPr="0090548F">
        <w:t>drugs</w:t>
      </w:r>
      <w:r w:rsidR="004C7CBB" w:rsidRPr="0090548F">
        <w:t xml:space="preserve">, albeit in </w:t>
      </w:r>
      <w:r w:rsidR="00F3544E">
        <w:t>PSOC</w:t>
      </w:r>
      <w:r w:rsidR="00E03B07">
        <w:t xml:space="preserve"> </w:t>
      </w:r>
      <w:r w:rsidR="00AA13C3">
        <w:t xml:space="preserve">or platinum agnostic </w:t>
      </w:r>
      <w:r w:rsidR="00A6248E" w:rsidRPr="0090548F">
        <w:t>population</w:t>
      </w:r>
      <w:r w:rsidR="00AA13C3">
        <w:t>s</w:t>
      </w:r>
      <w:r w:rsidR="004964C4" w:rsidRPr="0090548F">
        <w:t>.</w:t>
      </w:r>
    </w:p>
    <w:p w14:paraId="4D139FA1" w14:textId="43CC299A" w:rsidR="0076740E" w:rsidRDefault="007A66C8" w:rsidP="00EB1C8E">
      <w:pPr>
        <w:pStyle w:val="Heading3"/>
      </w:pPr>
      <w:r w:rsidRPr="004C1442">
        <w:t>Comparator</w:t>
      </w:r>
      <w:r w:rsidR="007D6B83" w:rsidRPr="004C1442">
        <w:t>(</w:t>
      </w:r>
      <w:r w:rsidR="008F1532" w:rsidRPr="004C1442">
        <w:t>s</w:t>
      </w:r>
      <w:r w:rsidR="007D6B83" w:rsidRPr="004C1442">
        <w:t>)</w:t>
      </w:r>
      <w:r w:rsidR="00EB1C8E">
        <w:t xml:space="preserve"> </w:t>
      </w:r>
    </w:p>
    <w:p w14:paraId="01F3E762" w14:textId="67893EA6" w:rsidR="00782FE7" w:rsidRPr="00DA116F" w:rsidRDefault="00782FE7" w:rsidP="00DA116F">
      <w:pPr>
        <w:rPr>
          <w:u w:val="single"/>
        </w:rPr>
      </w:pPr>
      <w:r w:rsidRPr="00DA116F">
        <w:rPr>
          <w:u w:val="single"/>
        </w:rPr>
        <w:t>Test</w:t>
      </w:r>
      <w:r w:rsidR="006F2C6F">
        <w:rPr>
          <w:u w:val="single"/>
        </w:rPr>
        <w:t xml:space="preserve"> comparator</w:t>
      </w:r>
    </w:p>
    <w:p w14:paraId="7201D81B" w14:textId="6F879369" w:rsidR="00CE55CD" w:rsidRDefault="006F2C6F" w:rsidP="00DA116F">
      <w:pPr>
        <w:rPr>
          <w:i/>
          <w:iCs/>
        </w:rPr>
      </w:pPr>
      <w:r>
        <w:t>The test comparator proposed by the applicant is n</w:t>
      </w:r>
      <w:r w:rsidR="00CE55CD" w:rsidRPr="00551284">
        <w:t>o testing, as testing for FRα is not currently funded, nor available</w:t>
      </w:r>
      <w:r>
        <w:t xml:space="preserve"> in Australia (currently under TGA review according to the applicant)</w:t>
      </w:r>
      <w:r w:rsidR="00DA116F">
        <w:rPr>
          <w:i/>
          <w:iCs/>
        </w:rPr>
        <w:t>.</w:t>
      </w:r>
    </w:p>
    <w:p w14:paraId="029F5983" w14:textId="018088EB" w:rsidR="00105D62" w:rsidRPr="0032737E" w:rsidRDefault="00105D62" w:rsidP="00105D62">
      <w:r w:rsidRPr="0032737E">
        <w:rPr>
          <w:i/>
          <w:iCs/>
        </w:rPr>
        <w:t>PASC confirmed that the appropriate comparator for the test is no testing for FRα expression.</w:t>
      </w:r>
      <w:r w:rsidRPr="0032737E">
        <w:t xml:space="preserve">  </w:t>
      </w:r>
    </w:p>
    <w:p w14:paraId="513103CD" w14:textId="09196DA1" w:rsidR="00DB6821" w:rsidRPr="00DA116F" w:rsidRDefault="00DB6821" w:rsidP="0032737E">
      <w:pPr>
        <w:keepNext/>
        <w:rPr>
          <w:u w:val="single"/>
        </w:rPr>
      </w:pPr>
      <w:r w:rsidRPr="00DA116F">
        <w:rPr>
          <w:u w:val="single"/>
        </w:rPr>
        <w:lastRenderedPageBreak/>
        <w:t>Treatment</w:t>
      </w:r>
      <w:r w:rsidR="006F2C6F">
        <w:rPr>
          <w:u w:val="single"/>
        </w:rPr>
        <w:t xml:space="preserve"> comparator</w:t>
      </w:r>
    </w:p>
    <w:p w14:paraId="336B5487" w14:textId="60603CBC" w:rsidR="00E20617" w:rsidRPr="00E20617" w:rsidRDefault="00E20617" w:rsidP="0032737E">
      <w:pPr>
        <w:keepNext/>
      </w:pPr>
      <w:r w:rsidRPr="00E20617">
        <w:t>For the codependent pharmaceutical mirvetuximab soravtansine</w:t>
      </w:r>
      <w:r w:rsidR="00DA116F">
        <w:t>,</w:t>
      </w:r>
      <w:r w:rsidRPr="00E20617">
        <w:t xml:space="preserve"> the nominated comparator is non-platinum treatment and supportive care, which are understood to be the standard of care in patients with PROC (PICO</w:t>
      </w:r>
      <w:r w:rsidR="00DA116F">
        <w:t xml:space="preserve"> Set Document</w:t>
      </w:r>
      <w:r w:rsidRPr="00E20617">
        <w:t>, p.</w:t>
      </w:r>
      <w:r w:rsidR="00DA116F">
        <w:t>6</w:t>
      </w:r>
      <w:r w:rsidRPr="00E20617">
        <w:t xml:space="preserve">). </w:t>
      </w:r>
      <w:r w:rsidR="00933BC7">
        <w:t>The application indicated that n</w:t>
      </w:r>
      <w:r w:rsidR="00933BC7" w:rsidRPr="008D0491">
        <w:t xml:space="preserve">on-platinum treatment and supportive care options are the standard of care in patients not eligible for platinum rechallenge due to progression on </w:t>
      </w:r>
      <w:r w:rsidR="00FE05CC">
        <w:t>platinum</w:t>
      </w:r>
      <w:r w:rsidR="00591F0C">
        <w:t>-</w:t>
      </w:r>
      <w:r w:rsidR="00933BC7" w:rsidRPr="008D0491">
        <w:t>based therapy</w:t>
      </w:r>
      <w:r w:rsidR="003C0A54">
        <w:t>,</w:t>
      </w:r>
      <w:r w:rsidR="00933BC7" w:rsidRPr="008D0491">
        <w:t xml:space="preserve"> or after a short </w:t>
      </w:r>
      <w:r w:rsidR="00F26C18">
        <w:t>TFI</w:t>
      </w:r>
      <w:r w:rsidR="00933BC7" w:rsidRPr="008D0491">
        <w:t>. Options</w:t>
      </w:r>
      <w:r w:rsidR="006F2C6F">
        <w:t xml:space="preserve"> for non-platinum treatment</w:t>
      </w:r>
      <w:r w:rsidR="00933BC7" w:rsidRPr="008D0491">
        <w:t xml:space="preserve"> include paclitaxel, topotecan, or pegylated liposomal doxorubicin</w:t>
      </w:r>
      <w:r w:rsidR="00933BC7">
        <w:t xml:space="preserve">. </w:t>
      </w:r>
      <w:r w:rsidR="00933BC7" w:rsidRPr="006813CC">
        <w:t xml:space="preserve">Non-platinum chemotherapy can be given alone or with bevacizumab. </w:t>
      </w:r>
      <w:r w:rsidRPr="00E20617">
        <w:t>The applica</w:t>
      </w:r>
      <w:r w:rsidR="00DA116F">
        <w:t>tion</w:t>
      </w:r>
      <w:r w:rsidRPr="00E20617">
        <w:t xml:space="preserve"> noted that the options do not include gemcitabine, listed in combination with carboplatin, for the treatment of patients with recurrent epithelial ovarian carcinoma, who have relapsed &gt;6 months following </w:t>
      </w:r>
      <w:r w:rsidR="00FE05CC">
        <w:t>platinum</w:t>
      </w:r>
      <w:r w:rsidR="00591F0C">
        <w:t>-</w:t>
      </w:r>
      <w:r w:rsidRPr="00E20617">
        <w:t>based therapy</w:t>
      </w:r>
      <w:r w:rsidR="00DA116F">
        <w:t xml:space="preserve"> </w:t>
      </w:r>
      <w:r w:rsidR="00DA116F" w:rsidRPr="00E20617">
        <w:t>(PICO</w:t>
      </w:r>
      <w:r w:rsidR="00DA116F">
        <w:t xml:space="preserve"> Set Document</w:t>
      </w:r>
      <w:r w:rsidR="00DA116F" w:rsidRPr="00E20617">
        <w:t>, p.</w:t>
      </w:r>
      <w:r w:rsidR="00DA116F">
        <w:t>9</w:t>
      </w:r>
      <w:r w:rsidR="00DA116F" w:rsidRPr="00E20617">
        <w:t>)</w:t>
      </w:r>
      <w:r w:rsidRPr="00E20617">
        <w:t xml:space="preserve">. </w:t>
      </w:r>
    </w:p>
    <w:p w14:paraId="0198A253" w14:textId="6706D308" w:rsidR="008D0491" w:rsidRDefault="006813CC" w:rsidP="003B3A37">
      <w:r w:rsidRPr="006813CC">
        <w:t xml:space="preserve">However, bevacizumab is only TGA registered for recurrent, </w:t>
      </w:r>
      <w:r w:rsidR="00100D39">
        <w:t xml:space="preserve">PROC </w:t>
      </w:r>
      <w:r w:rsidRPr="006813CC">
        <w:t xml:space="preserve">in Australia for patients who have not received bevacizumab (or any prior anti-angiogenic treatment) and have received no more than two prior chemotherapy regimens. </w:t>
      </w:r>
      <w:r w:rsidR="00403271">
        <w:t>The applica</w:t>
      </w:r>
      <w:r w:rsidR="003B3A37">
        <w:t>tion</w:t>
      </w:r>
      <w:r w:rsidR="00403271">
        <w:t xml:space="preserve"> stated that </w:t>
      </w:r>
      <w:r w:rsidR="00770C31">
        <w:t>o</w:t>
      </w:r>
      <w:r w:rsidR="00B634C9" w:rsidRPr="00B634C9">
        <w:t>verall, based on current understanding, the number of patients receiving bevacizumab in a PROC setting in Australia is expected to be negligible</w:t>
      </w:r>
      <w:r w:rsidR="0094290B">
        <w:t xml:space="preserve"> (PICO</w:t>
      </w:r>
      <w:r w:rsidR="003B3A37">
        <w:t xml:space="preserve"> Set Document</w:t>
      </w:r>
      <w:r w:rsidR="00B634C9">
        <w:t xml:space="preserve">, </w:t>
      </w:r>
      <w:r w:rsidR="0094290B">
        <w:t>p.6)</w:t>
      </w:r>
      <w:r w:rsidR="008D0491" w:rsidRPr="008D0491">
        <w:t>.</w:t>
      </w:r>
      <w:r w:rsidR="00770C31">
        <w:t xml:space="preserve"> </w:t>
      </w:r>
      <w:r w:rsidR="007664B1">
        <w:t>Bevacizumab</w:t>
      </w:r>
      <w:r w:rsidR="000912D9">
        <w:t xml:space="preserve"> eithe</w:t>
      </w:r>
      <w:r w:rsidR="007664B1">
        <w:t xml:space="preserve">r as a monotherapy or in combination with </w:t>
      </w:r>
      <w:r w:rsidR="00FE05CC">
        <w:t>platinum</w:t>
      </w:r>
      <w:r w:rsidR="00591F0C">
        <w:t>-</w:t>
      </w:r>
      <w:r w:rsidR="007664B1">
        <w:t xml:space="preserve">based agent was not suggested </w:t>
      </w:r>
      <w:r w:rsidR="006D526F">
        <w:t>as a comparator.</w:t>
      </w:r>
      <w:r w:rsidR="007664B1">
        <w:t xml:space="preserve"> </w:t>
      </w:r>
    </w:p>
    <w:p w14:paraId="51332B0B" w14:textId="1396C425" w:rsidR="006D526F" w:rsidRDefault="006D526F" w:rsidP="003B3A37">
      <w:r>
        <w:t>T</w:t>
      </w:r>
      <w:r w:rsidRPr="0084791C">
        <w:t>he AURELIA trial</w:t>
      </w:r>
      <w:r w:rsidRPr="005E11F4">
        <w:t xml:space="preserve"> </w:t>
      </w:r>
      <w:r>
        <w:t xml:space="preserve">in </w:t>
      </w:r>
      <w:r w:rsidRPr="005E11F4">
        <w:t xml:space="preserve">the bevacizumab-naïve population </w:t>
      </w:r>
      <w:r w:rsidRPr="0084791C">
        <w:t xml:space="preserve">compared </w:t>
      </w:r>
      <w:r w:rsidRPr="005E11F4">
        <w:t>bevacizumab</w:t>
      </w:r>
      <w:r w:rsidR="00FB29BC">
        <w:t xml:space="preserve"> in combination with </w:t>
      </w:r>
      <w:r w:rsidR="000435CD" w:rsidRPr="005E11F4">
        <w:t>chemotherapy</w:t>
      </w:r>
      <w:r w:rsidR="000435CD">
        <w:t xml:space="preserve"> (</w:t>
      </w:r>
      <w:r w:rsidR="000435CD" w:rsidRPr="000435CD">
        <w:t>pegylated liposomal doxorubicin, weekly paclitaxel, or topotecan</w:t>
      </w:r>
      <w:r w:rsidR="000435CD">
        <w:t>)</w:t>
      </w:r>
      <w:r w:rsidR="000435CD" w:rsidRPr="005E11F4">
        <w:t xml:space="preserve"> </w:t>
      </w:r>
      <w:r w:rsidRPr="005E11F4">
        <w:t xml:space="preserve">to single-agent </w:t>
      </w:r>
      <w:r w:rsidRPr="0084791C">
        <w:t>chemotherapy</w:t>
      </w:r>
      <w:r>
        <w:t>.</w:t>
      </w:r>
      <w:r w:rsidRPr="005E11F4">
        <w:t xml:space="preserve"> </w:t>
      </w:r>
      <w:r>
        <w:t>S</w:t>
      </w:r>
      <w:r w:rsidRPr="0084791C">
        <w:t xml:space="preserve">ignificant improvements </w:t>
      </w:r>
      <w:r>
        <w:t>in</w:t>
      </w:r>
      <w:r w:rsidRPr="005E11F4">
        <w:t xml:space="preserve"> </w:t>
      </w:r>
      <w:r w:rsidR="003B3A37">
        <w:t>PFS</w:t>
      </w:r>
      <w:r w:rsidRPr="005E11F4">
        <w:t xml:space="preserve"> </w:t>
      </w:r>
      <w:r w:rsidRPr="0084791C">
        <w:t xml:space="preserve">(median of 6.7 months vs. 3.4 months, P&lt;0.001) </w:t>
      </w:r>
      <w:r w:rsidRPr="005E11F4">
        <w:t xml:space="preserve">and </w:t>
      </w:r>
      <w:r w:rsidR="003B3A37">
        <w:t>ORR</w:t>
      </w:r>
      <w:r w:rsidRPr="005E11F4">
        <w:t xml:space="preserve"> </w:t>
      </w:r>
      <w:r w:rsidRPr="0084791C">
        <w:t>(27.3% vs. 11.8%, P = 0.001), but no benefit with respect to overall survival (</w:t>
      </w:r>
      <w:r w:rsidR="003B3A37">
        <w:t xml:space="preserve">OS; </w:t>
      </w:r>
      <w:r w:rsidRPr="0084791C">
        <w:t>median of 16.6 months and 13.3 months, respectively; P&lt;0.17)</w:t>
      </w:r>
      <w:r>
        <w:t xml:space="preserve"> </w:t>
      </w:r>
      <w:r w:rsidR="00A35570">
        <w:t>were observed</w:t>
      </w:r>
      <w:r w:rsidR="00A35570" w:rsidRPr="0084791C">
        <w:t xml:space="preserve"> </w:t>
      </w:r>
      <w:r>
        <w:t>(</w:t>
      </w:r>
      <w:r w:rsidRPr="00F523DA">
        <w:t>Pujade-Lauraine, 2014)</w:t>
      </w:r>
      <w:r>
        <w:t>.</w:t>
      </w:r>
    </w:p>
    <w:p w14:paraId="3A53E831" w14:textId="229F9F73" w:rsidR="00423163" w:rsidRPr="00FA4235" w:rsidRDefault="00995674" w:rsidP="003B3A37">
      <w:r w:rsidRPr="00FA4235">
        <w:t xml:space="preserve">At the </w:t>
      </w:r>
      <w:r w:rsidR="00031207" w:rsidRPr="00FA4235">
        <w:t>pre-PASC teleconference</w:t>
      </w:r>
      <w:r w:rsidR="00532A84" w:rsidRPr="00FA4235">
        <w:t xml:space="preserve">, </w:t>
      </w:r>
      <w:r w:rsidR="000D7A1D" w:rsidRPr="00FA4235">
        <w:t xml:space="preserve">the </w:t>
      </w:r>
      <w:r w:rsidR="00532A84" w:rsidRPr="00FA4235">
        <w:t xml:space="preserve">applicant’s </w:t>
      </w:r>
      <w:r w:rsidR="00904ACD" w:rsidRPr="00FA4235">
        <w:t xml:space="preserve">clinical </w:t>
      </w:r>
      <w:r w:rsidR="00532A84" w:rsidRPr="00FA4235">
        <w:t>e</w:t>
      </w:r>
      <w:r w:rsidR="003D69F8" w:rsidRPr="00FA4235">
        <w:t>xpert</w:t>
      </w:r>
      <w:r w:rsidR="008737F6" w:rsidRPr="00FA4235">
        <w:t xml:space="preserve">s considered </w:t>
      </w:r>
      <w:r w:rsidR="00F96224" w:rsidRPr="00FA4235">
        <w:t xml:space="preserve">the unrestricted listing of </w:t>
      </w:r>
      <w:r w:rsidR="008737F6" w:rsidRPr="00FA4235">
        <w:t>bevacizumab</w:t>
      </w:r>
      <w:r w:rsidR="00F96224" w:rsidRPr="00FA4235">
        <w:t xml:space="preserve"> in Australia</w:t>
      </w:r>
      <w:r w:rsidR="001A6D33" w:rsidRPr="00FA4235">
        <w:t>, but</w:t>
      </w:r>
      <w:r w:rsidR="008737F6" w:rsidRPr="00FA4235">
        <w:t xml:space="preserve"> </w:t>
      </w:r>
      <w:r w:rsidR="00B42619" w:rsidRPr="00FA4235">
        <w:t xml:space="preserve">noted that </w:t>
      </w:r>
      <w:r w:rsidR="008737F6" w:rsidRPr="00FA4235">
        <w:t>even setting asi</w:t>
      </w:r>
      <w:r w:rsidR="00646866" w:rsidRPr="00FA4235">
        <w:t>d</w:t>
      </w:r>
      <w:r w:rsidR="008737F6" w:rsidRPr="00FA4235">
        <w:t>e</w:t>
      </w:r>
      <w:r w:rsidR="00B42619" w:rsidRPr="00FA4235">
        <w:t xml:space="preserve"> the TGA restrictions,</w:t>
      </w:r>
      <w:r w:rsidR="001D22DA" w:rsidRPr="00FA4235">
        <w:t xml:space="preserve"> there are many contraindications </w:t>
      </w:r>
      <w:r w:rsidR="008B763C" w:rsidRPr="00FA4235">
        <w:t>for prescribing bevacizumab</w:t>
      </w:r>
      <w:r w:rsidR="00CE7B51" w:rsidRPr="00FA4235">
        <w:t xml:space="preserve">, in particular, risk of bowel perforation, which is very common in </w:t>
      </w:r>
      <w:r w:rsidR="00445855" w:rsidRPr="00FA4235">
        <w:t>EOC patients</w:t>
      </w:r>
      <w:r w:rsidR="00235917" w:rsidRPr="00FA4235">
        <w:t xml:space="preserve">. Other contraindications include hypertension and </w:t>
      </w:r>
      <w:r w:rsidR="00EC0676" w:rsidRPr="00FA4235">
        <w:t xml:space="preserve">deep vein </w:t>
      </w:r>
      <w:r w:rsidR="00235917" w:rsidRPr="00FA4235">
        <w:t>thrombosis.</w:t>
      </w:r>
      <w:r w:rsidR="00891246" w:rsidRPr="00FA4235">
        <w:t xml:space="preserve"> In relation to the AURELIA trial, it was noted that 97% of patients did not receive bevacizumab </w:t>
      </w:r>
      <w:r w:rsidR="0028665B" w:rsidRPr="00FA4235">
        <w:t>as a part of first line therapy (i.e</w:t>
      </w:r>
      <w:r w:rsidR="00E94298" w:rsidRPr="00FA4235">
        <w:t>.</w:t>
      </w:r>
      <w:r w:rsidR="003A186C">
        <w:t>,</w:t>
      </w:r>
      <w:r w:rsidR="00E94298" w:rsidRPr="00FA4235">
        <w:t xml:space="preserve"> together with </w:t>
      </w:r>
      <w:r w:rsidR="00FE05CC" w:rsidRPr="00FA4235">
        <w:t>platinum</w:t>
      </w:r>
      <w:r w:rsidR="00E03B07">
        <w:t>-</w:t>
      </w:r>
      <w:r w:rsidR="005326A2" w:rsidRPr="00FA4235">
        <w:t>based</w:t>
      </w:r>
      <w:r w:rsidR="00E94298" w:rsidRPr="00FA4235">
        <w:t xml:space="preserve"> thera</w:t>
      </w:r>
      <w:r w:rsidR="005326A2" w:rsidRPr="00FA4235">
        <w:t>py)</w:t>
      </w:r>
      <w:r w:rsidR="0028665B" w:rsidRPr="00FA4235">
        <w:t>, which is now a standard</w:t>
      </w:r>
      <w:r w:rsidR="005326A2" w:rsidRPr="00FA4235">
        <w:t xml:space="preserve"> approach to treatment. The</w:t>
      </w:r>
      <w:r w:rsidR="0086280F" w:rsidRPr="00FA4235">
        <w:t xml:space="preserve"> </w:t>
      </w:r>
      <w:r w:rsidR="00532A84" w:rsidRPr="00FA4235">
        <w:t xml:space="preserve">applicant’s </w:t>
      </w:r>
      <w:r w:rsidR="0086280F" w:rsidRPr="00FA4235">
        <w:t xml:space="preserve">experts concluded that the population in </w:t>
      </w:r>
      <w:r w:rsidR="003B3A37" w:rsidRPr="00FA4235">
        <w:t xml:space="preserve">the </w:t>
      </w:r>
      <w:r w:rsidR="0086280F" w:rsidRPr="00FA4235">
        <w:t xml:space="preserve">AURELIA trial is not </w:t>
      </w:r>
      <w:r w:rsidR="00BB03CB" w:rsidRPr="00FA4235">
        <w:t xml:space="preserve">representative </w:t>
      </w:r>
      <w:r w:rsidR="008E07B8" w:rsidRPr="00FA4235">
        <w:t xml:space="preserve">of the </w:t>
      </w:r>
      <w:r w:rsidR="00BB03CB" w:rsidRPr="00FA4235">
        <w:t>EOC population</w:t>
      </w:r>
      <w:r w:rsidR="00E45A7A" w:rsidRPr="00FA4235">
        <w:t xml:space="preserve">. </w:t>
      </w:r>
      <w:r w:rsidR="00243592" w:rsidRPr="00FA4235">
        <w:t xml:space="preserve">Although bevacizumab is </w:t>
      </w:r>
      <w:r w:rsidR="00DB4E68" w:rsidRPr="00FA4235">
        <w:t>re-</w:t>
      </w:r>
      <w:r w:rsidR="00243592" w:rsidRPr="00FA4235">
        <w:t xml:space="preserve">used in </w:t>
      </w:r>
      <w:r w:rsidR="00DB4E68" w:rsidRPr="00FA4235">
        <w:t>subsequent lines of therapy</w:t>
      </w:r>
      <w:r w:rsidR="00290A35" w:rsidRPr="00FA4235">
        <w:t xml:space="preserve">, in the opinion of the </w:t>
      </w:r>
      <w:r w:rsidR="00532A84" w:rsidRPr="00FA4235">
        <w:t xml:space="preserve">applicant’s </w:t>
      </w:r>
      <w:r w:rsidR="00290A35" w:rsidRPr="00FA4235">
        <w:t>expert</w:t>
      </w:r>
      <w:r w:rsidR="008B2BAF" w:rsidRPr="00FA4235">
        <w:t>,</w:t>
      </w:r>
      <w:r w:rsidR="00DB4E68" w:rsidRPr="00FA4235">
        <w:t xml:space="preserve"> </w:t>
      </w:r>
      <w:r w:rsidR="002C154A" w:rsidRPr="00FA4235">
        <w:t xml:space="preserve">it will be </w:t>
      </w:r>
      <w:r w:rsidR="00DD463C" w:rsidRPr="00FA4235">
        <w:t>displaced by the</w:t>
      </w:r>
      <w:r w:rsidR="00641A09" w:rsidRPr="00FA4235">
        <w:t xml:space="preserve"> </w:t>
      </w:r>
      <w:r w:rsidR="00423163" w:rsidRPr="00FA4235">
        <w:t>m</w:t>
      </w:r>
      <w:r w:rsidR="00641A09" w:rsidRPr="00FA4235">
        <w:t>irvetuximab soravtansine</w:t>
      </w:r>
      <w:r w:rsidR="00423163" w:rsidRPr="00FA4235">
        <w:t xml:space="preserve"> (if successfully listed).</w:t>
      </w:r>
    </w:p>
    <w:p w14:paraId="2DBA6EA4" w14:textId="130C3B7C" w:rsidR="00FC5F4C" w:rsidRPr="00FA4235" w:rsidRDefault="009A2D6B" w:rsidP="003B3A37">
      <w:r w:rsidRPr="00FA4235">
        <w:t xml:space="preserve">The applicant also </w:t>
      </w:r>
      <w:r w:rsidR="0064490A" w:rsidRPr="00FA4235">
        <w:t xml:space="preserve">advised </w:t>
      </w:r>
      <w:r w:rsidR="00907CD2" w:rsidRPr="00FA4235">
        <w:t xml:space="preserve">that they are seeking to understand in more detail the real-world use of bevacizumab in the PROC population in Australia. </w:t>
      </w:r>
      <w:r w:rsidR="00BD0454" w:rsidRPr="00FA4235">
        <w:t>However, since the introduction of an unrestricted listing for bevacizumab in 2021, it is not possible to track whether use began to occur outside of the current TGA-approved indication.</w:t>
      </w:r>
    </w:p>
    <w:p w14:paraId="218C482B" w14:textId="7BEA022E" w:rsidR="00995674" w:rsidRDefault="003B3A37" w:rsidP="003B3A37">
      <w:r w:rsidRPr="00C879C4">
        <w:t>A comprehensive consideration and justification of the appropriate comparator for mirvetuximab soravtansine should be presented in the integrated codependent submission.</w:t>
      </w:r>
      <w:r w:rsidR="005326A2" w:rsidRPr="00C879C4">
        <w:t xml:space="preserve"> </w:t>
      </w:r>
      <w:r w:rsidR="00904ACD" w:rsidRPr="00C879C4">
        <w:t>The appropriate treatment comparator is a matter for PBAC consideration.</w:t>
      </w:r>
    </w:p>
    <w:p w14:paraId="709305D8" w14:textId="77777777" w:rsidR="00105D62" w:rsidRPr="0032737E" w:rsidRDefault="00105D62" w:rsidP="00105D62">
      <w:pPr>
        <w:rPr>
          <w:i/>
          <w:iCs/>
        </w:rPr>
      </w:pPr>
      <w:r w:rsidRPr="0032737E">
        <w:rPr>
          <w:i/>
          <w:iCs/>
        </w:rPr>
        <w:t xml:space="preserve">PASC noted that the treatment comparator is likely to be standard of care, and that this is a matter for PBAC consideration. </w:t>
      </w:r>
    </w:p>
    <w:p w14:paraId="3DBF441A" w14:textId="77777777" w:rsidR="007C7EC1" w:rsidRPr="00105D62" w:rsidRDefault="00105D62" w:rsidP="003B3A37">
      <w:r w:rsidRPr="0032737E">
        <w:rPr>
          <w:i/>
          <w:iCs/>
        </w:rPr>
        <w:lastRenderedPageBreak/>
        <w:t>PASC noted that direct evidence of the test and treatment comparator are not available from the key trials presented in the evidence base, and therefore the assessment will need to rely on indirect evidence (from any available historical data or other studies) to inform this comparison.</w:t>
      </w:r>
    </w:p>
    <w:p w14:paraId="3BC68763" w14:textId="620C9B7B" w:rsidR="00CE1B13" w:rsidRPr="008F1532" w:rsidRDefault="00CE1B13" w:rsidP="00E03B07">
      <w:pPr>
        <w:pStyle w:val="Heading3"/>
      </w:pPr>
      <w:r w:rsidRPr="008F1532">
        <w:t>Clinical utility standard (for codependent investigative technologies only)</w:t>
      </w:r>
      <w:r w:rsidR="00AC0459">
        <w:t xml:space="preserve"> </w:t>
      </w:r>
    </w:p>
    <w:p w14:paraId="35BE6827" w14:textId="77777777" w:rsidR="00105D62" w:rsidRDefault="00C879C4" w:rsidP="00C879C4">
      <w:r>
        <w:t>The clinical utility standard is</w:t>
      </w:r>
      <w:r w:rsidRPr="0006300D">
        <w:t xml:space="preserve"> </w:t>
      </w:r>
      <w:r w:rsidR="00C8370B">
        <w:t xml:space="preserve">the </w:t>
      </w:r>
      <w:r w:rsidRPr="0006300D">
        <w:rPr>
          <w:rFonts w:asciiTheme="minorHAnsi" w:hAnsiTheme="minorHAnsi" w:cstheme="minorHAnsi"/>
        </w:rPr>
        <w:t xml:space="preserve">VENTANA FOLR1 </w:t>
      </w:r>
      <w:r w:rsidRPr="00D5547A">
        <w:t>(FOLR1-2.1) RxDx Assay</w:t>
      </w:r>
      <w:r w:rsidR="00C8370B">
        <w:t>, as used in the key trial</w:t>
      </w:r>
      <w:r w:rsidR="00AB7C11">
        <w:t>s</w:t>
      </w:r>
      <w:r w:rsidR="00C8370B">
        <w:t xml:space="preserve"> and stud</w:t>
      </w:r>
      <w:r w:rsidR="00AB7C11">
        <w:t>y</w:t>
      </w:r>
      <w:r w:rsidR="00C8370B">
        <w:t xml:space="preserve"> (MIRASOL, FORWARD I</w:t>
      </w:r>
      <w:r w:rsidR="00AB7C11">
        <w:t>, SORAYA</w:t>
      </w:r>
      <w:r w:rsidR="00C8370B">
        <w:t xml:space="preserve">). </w:t>
      </w:r>
    </w:p>
    <w:p w14:paraId="3A4D86DA" w14:textId="34E5DD36" w:rsidR="00105D62" w:rsidRPr="00105D62" w:rsidRDefault="00105D62" w:rsidP="00C879C4">
      <w:r w:rsidRPr="0032737E">
        <w:rPr>
          <w:rFonts w:asciiTheme="minorHAnsi" w:hAnsiTheme="minorHAnsi" w:cstheme="minorHAnsi"/>
          <w:i/>
          <w:iCs/>
        </w:rPr>
        <w:t>PASC confirmed that VENTANA FOLR1 (FOLR1-2.1) RxDx Assay used in the MIRASOL and SORAYA key trials represented the clinical utility standard. PASC noted from applicant correspondence that the assay is currently under TGA consideration.</w:t>
      </w:r>
    </w:p>
    <w:p w14:paraId="1D0F9C5A" w14:textId="43D0BF73" w:rsidR="00C879C4" w:rsidRPr="0006300D" w:rsidRDefault="00C8370B" w:rsidP="00C879C4">
      <w:r>
        <w:t xml:space="preserve">The </w:t>
      </w:r>
      <w:r w:rsidRPr="0006300D">
        <w:rPr>
          <w:rFonts w:asciiTheme="minorHAnsi" w:hAnsiTheme="minorHAnsi" w:cstheme="minorHAnsi"/>
        </w:rPr>
        <w:t>VENTANA FOLR1</w:t>
      </w:r>
      <w:r w:rsidR="00C879C4" w:rsidRPr="0006300D">
        <w:t xml:space="preserve"> FDA submission</w:t>
      </w:r>
      <w:r w:rsidR="002118F9">
        <w:t xml:space="preserve"> (2022)</w:t>
      </w:r>
      <w:r w:rsidR="00C879C4" w:rsidRPr="0006300D">
        <w:t xml:space="preserve"> </w:t>
      </w:r>
      <w:r w:rsidR="00C879C4">
        <w:t>and James</w:t>
      </w:r>
      <w:r w:rsidR="002118F9">
        <w:t xml:space="preserve"> et al</w:t>
      </w:r>
      <w:r w:rsidR="00C879C4">
        <w:t xml:space="preserve"> 2023 </w:t>
      </w:r>
      <w:r w:rsidR="00C879C4" w:rsidRPr="0006300D">
        <w:t xml:space="preserve">provided the following information on intra- and inter-rater concordance, reliability and reproducibility of the test. </w:t>
      </w:r>
    </w:p>
    <w:p w14:paraId="7AEDF8A4" w14:textId="77777777" w:rsidR="00C879C4" w:rsidRDefault="00C879C4" w:rsidP="00842ED8">
      <w:pPr>
        <w:pStyle w:val="ListParagraph"/>
        <w:numPr>
          <w:ilvl w:val="0"/>
          <w:numId w:val="6"/>
        </w:numPr>
        <w:ind w:left="426" w:hanging="426"/>
      </w:pPr>
      <w:r>
        <w:t>In t</w:t>
      </w:r>
      <w:r w:rsidRPr="00D5547A">
        <w:t xml:space="preserve">he Reader Precision study for </w:t>
      </w:r>
      <w:r>
        <w:t>VENTANA</w:t>
      </w:r>
      <w:r w:rsidRPr="00D5547A">
        <w:t xml:space="preserve"> FOLR1 (FOLR1-2.1) RxDx Assay, </w:t>
      </w:r>
      <w:r>
        <w:t>w</w:t>
      </w:r>
      <w:r w:rsidRPr="00D5547A">
        <w:t>ithin-</w:t>
      </w:r>
      <w:r>
        <w:t>r</w:t>
      </w:r>
      <w:r w:rsidRPr="00D5547A">
        <w:t xml:space="preserve">eader and </w:t>
      </w:r>
      <w:r>
        <w:t>b</w:t>
      </w:r>
      <w:r w:rsidRPr="00D5547A">
        <w:t>etween-</w:t>
      </w:r>
      <w:r>
        <w:t>r</w:t>
      </w:r>
      <w:r w:rsidRPr="00D5547A">
        <w:t>eader components of precision for EOC tissue reads were evaluated</w:t>
      </w:r>
      <w:r>
        <w:t xml:space="preserve"> for FDA approval</w:t>
      </w:r>
      <w:r w:rsidRPr="00D5547A">
        <w:t xml:space="preserve">. The study included 100 unique EOC specimens (50 FOLR1 positive and 50 FOLR1 negative) that were stained with </w:t>
      </w:r>
      <w:r>
        <w:t>VENTANA</w:t>
      </w:r>
      <w:r w:rsidRPr="00D5547A">
        <w:t xml:space="preserve"> FOLR1 (FOLR1-2.1) RxDx Assay. Specimens were blinded and randomi</w:t>
      </w:r>
      <w:r>
        <w:t>s</w:t>
      </w:r>
      <w:r w:rsidRPr="00D5547A">
        <w:t xml:space="preserve">ed prior to evaluation for FOLR1 status using the </w:t>
      </w:r>
      <w:r>
        <w:t>VENTANA</w:t>
      </w:r>
      <w:r w:rsidRPr="00D5547A">
        <w:t xml:space="preserve"> FOLR1 (FOLR1-2.1) RxDx Assay </w:t>
      </w:r>
      <w:r w:rsidRPr="00A35570">
        <w:t>scoring algorithm.</w:t>
      </w:r>
      <w:r w:rsidRPr="00D5547A">
        <w:t xml:space="preserve"> The study included three readers (pathologists). Readers scored all sample</w:t>
      </w:r>
      <w:r>
        <w:t>s</w:t>
      </w:r>
      <w:r w:rsidRPr="00D5547A">
        <w:t xml:space="preserve"> twice, with a minimum of two-week wash-out period between reads. Each sample had </w:t>
      </w:r>
      <w:r>
        <w:t>six reads (two reads by each of three readers). The within-reader agreement rates ranged from 96.9% to 97%, the between-reader agreement rates ranged from 93.2% to 93.4% (Table 13, FDA 2022).</w:t>
      </w:r>
    </w:p>
    <w:p w14:paraId="1668A484" w14:textId="63F1A834" w:rsidR="00C879C4" w:rsidRPr="00C8370B" w:rsidRDefault="00C879C4" w:rsidP="00842ED8">
      <w:pPr>
        <w:pStyle w:val="ListParagraph"/>
        <w:numPr>
          <w:ilvl w:val="0"/>
          <w:numId w:val="6"/>
        </w:numPr>
        <w:ind w:left="426" w:hanging="426"/>
      </w:pPr>
      <w:r w:rsidRPr="006A3EF9">
        <w:t xml:space="preserve">The Inter-laboratory Reproducibility study for the </w:t>
      </w:r>
      <w:r>
        <w:t>VENTANA</w:t>
      </w:r>
      <w:r w:rsidRPr="006A3EF9">
        <w:t xml:space="preserve"> FOLR1 (FOLR1-2.1) RxDx Assay was conducted to evaluate reproducibility of the </w:t>
      </w:r>
      <w:r>
        <w:t>VENTANA</w:t>
      </w:r>
      <w:r w:rsidRPr="006A3EF9">
        <w:t xml:space="preserve"> FOLR1 (FOLR1-2.1) RxDx Assay on the BenchMark ULTRA. The study included 28 EOC samples (14 FOLR1 positive and 14 FOLR1 negative) run across three BenchMark ULTRA instruments on each of </w:t>
      </w:r>
      <w:r>
        <w:t>five</w:t>
      </w:r>
      <w:r w:rsidRPr="006A3EF9">
        <w:t xml:space="preserve"> non-consecutive days at three external laboratories. Each set of </w:t>
      </w:r>
      <w:r>
        <w:t>five</w:t>
      </w:r>
      <w:r w:rsidRPr="006A3EF9">
        <w:t xml:space="preserve"> stained slides per sample per staining day was randomi</w:t>
      </w:r>
      <w:r>
        <w:t>s</w:t>
      </w:r>
      <w:r w:rsidRPr="006A3EF9">
        <w:t>ed and evaluated by a total of 12 readers (</w:t>
      </w:r>
      <w:r>
        <w:t>four</w:t>
      </w:r>
      <w:r w:rsidRPr="006A3EF9">
        <w:t xml:space="preserve"> readers per site). Each case had 20 results per site (60 results in total). Data showed that the </w:t>
      </w:r>
      <w:r>
        <w:t>performance of one of 12 readers (8.3%) was significantly different from other 11 readers. The overall agreement rate for 11 readers was 92.5% but decreased to 90.6% when the 12</w:t>
      </w:r>
      <w:r w:rsidRPr="003B3A37">
        <w:rPr>
          <w:vertAlign w:val="superscript"/>
        </w:rPr>
        <w:t>th</w:t>
      </w:r>
      <w:r>
        <w:t xml:space="preserve"> (outlier) reader was added to the pool. The overall within-reader agreements were similar for 11 and 12 readers (95.8% and 95.</w:t>
      </w:r>
      <w:r w:rsidR="004E67A3">
        <w:t>6</w:t>
      </w:r>
      <w:r>
        <w:t xml:space="preserve">% respectively). The overall within-site agreement rates for 11 and 12 readers were 93.2% and 91.2% respectively) (Table 16, FDA 2022). </w:t>
      </w:r>
      <w:r w:rsidRPr="00FA4235">
        <w:t>Further information about the 12</w:t>
      </w:r>
      <w:r w:rsidRPr="00FA4235">
        <w:rPr>
          <w:vertAlign w:val="superscript"/>
        </w:rPr>
        <w:t>th</w:t>
      </w:r>
      <w:r w:rsidRPr="00FA4235">
        <w:t xml:space="preserve"> (outlier) reader may be informative and should be addressed in the integrated codependent submission.</w:t>
      </w:r>
      <w:r w:rsidR="00895F6A">
        <w:t xml:space="preserve"> In addition, pairwise comparison calculations were performed across </w:t>
      </w:r>
      <w:r w:rsidR="00F703C1">
        <w:t xml:space="preserve">three </w:t>
      </w:r>
      <w:r w:rsidR="00895F6A">
        <w:t xml:space="preserve">days, </w:t>
      </w:r>
      <w:r w:rsidR="00F703C1">
        <w:t xml:space="preserve">three </w:t>
      </w:r>
      <w:r w:rsidR="00895F6A">
        <w:t>sites and 12 readers. The results indicated an overall agreement of 84% between sites, 85.3% between readers and 92.6% between days.</w:t>
      </w:r>
    </w:p>
    <w:p w14:paraId="44D070B9" w14:textId="77777777" w:rsidR="007C7EC1" w:rsidRDefault="001908BE" w:rsidP="00D91E84">
      <w:r>
        <w:t>Results of the</w:t>
      </w:r>
      <w:r w:rsidR="00D463DB">
        <w:t xml:space="preserve"> test</w:t>
      </w:r>
      <w:r>
        <w:t xml:space="preserve"> categorise </w:t>
      </w:r>
      <w:r w:rsidR="003D5BF2">
        <w:t xml:space="preserve">high-grade </w:t>
      </w:r>
      <w:r w:rsidR="008B159E" w:rsidRPr="008B159E">
        <w:t xml:space="preserve">serous </w:t>
      </w:r>
      <w:r w:rsidR="004D41E1">
        <w:t xml:space="preserve">epithelial </w:t>
      </w:r>
      <w:r>
        <w:t xml:space="preserve">PROC </w:t>
      </w:r>
      <w:r w:rsidR="00E9335D">
        <w:t xml:space="preserve">patients according to the </w:t>
      </w:r>
      <w:r w:rsidR="00E9335D" w:rsidRPr="00E9335D">
        <w:t xml:space="preserve">FRα </w:t>
      </w:r>
      <w:r w:rsidR="00483501">
        <w:t>expression status</w:t>
      </w:r>
      <w:r w:rsidR="005F5A5F">
        <w:t xml:space="preserve"> of the </w:t>
      </w:r>
      <w:r w:rsidR="00E03B07">
        <w:t>TC</w:t>
      </w:r>
      <w:r w:rsidR="007512CA">
        <w:t>s</w:t>
      </w:r>
      <w:r w:rsidR="00483501">
        <w:t xml:space="preserve">. Only high </w:t>
      </w:r>
      <w:r w:rsidR="00483501" w:rsidRPr="00E9335D">
        <w:t xml:space="preserve">FRα </w:t>
      </w:r>
      <w:r w:rsidR="00483501">
        <w:t xml:space="preserve">expression </w:t>
      </w:r>
      <w:r w:rsidR="00F327A2">
        <w:t>patients</w:t>
      </w:r>
      <w:r w:rsidR="00483501">
        <w:t xml:space="preserve"> </w:t>
      </w:r>
      <w:r w:rsidR="00F01453">
        <w:t>are</w:t>
      </w:r>
      <w:r w:rsidR="002405C8">
        <w:t xml:space="preserve"> eligible for </w:t>
      </w:r>
      <w:r w:rsidR="002405C8" w:rsidRPr="00D767F7">
        <w:t>mirvetuximab soravtansine</w:t>
      </w:r>
      <w:r w:rsidR="002405C8">
        <w:t>.</w:t>
      </w:r>
      <w:r w:rsidR="003D5BF2" w:rsidRPr="003D5BF2">
        <w:t xml:space="preserve"> Among the 2869 samples analy</w:t>
      </w:r>
      <w:r w:rsidR="003D5BF2">
        <w:t>s</w:t>
      </w:r>
      <w:r w:rsidR="003D5BF2" w:rsidRPr="003D5BF2">
        <w:t xml:space="preserve">ed from patients with HGSOC across the MIRASOL, SORAYA, and PICCOLO trials evaluating </w:t>
      </w:r>
      <w:r w:rsidR="007512CA" w:rsidRPr="00D767F7">
        <w:t>mirvetuximab soravtansine</w:t>
      </w:r>
      <w:r w:rsidR="003D5BF2" w:rsidRPr="003D5BF2">
        <w:t xml:space="preserve">, 95% of patient samples exhibited assay-detectable </w:t>
      </w:r>
      <w:r w:rsidR="00ED1015" w:rsidRPr="00E9335D">
        <w:t>FRα</w:t>
      </w:r>
      <w:r w:rsidR="00ED1015" w:rsidRPr="003D5BF2">
        <w:t xml:space="preserve"> </w:t>
      </w:r>
      <w:r w:rsidR="003D5BF2" w:rsidRPr="003D5BF2">
        <w:t>expression</w:t>
      </w:r>
      <w:r w:rsidR="00E81B1E">
        <w:t>.</w:t>
      </w:r>
      <w:r w:rsidR="003D5BF2" w:rsidRPr="003D5BF2">
        <w:t xml:space="preserve"> </w:t>
      </w:r>
      <w:r w:rsidR="003D5BF2" w:rsidRPr="003D5BF2">
        <w:lastRenderedPageBreak/>
        <w:t xml:space="preserve">Approximately 36% of samples showed high </w:t>
      </w:r>
      <w:r w:rsidR="00ED1015" w:rsidRPr="00E9335D">
        <w:t>FRα</w:t>
      </w:r>
      <w:r w:rsidR="003D5BF2" w:rsidRPr="003D5BF2">
        <w:t xml:space="preserve"> levels (PS2+ ≥75%), while 64% and 79% of patients had PS2+ scores of ≥50% and ≥25%, respectively. PS2+ score was calculated based on the sum of viable </w:t>
      </w:r>
      <w:r w:rsidR="00E03B07">
        <w:t>TC</w:t>
      </w:r>
      <w:r w:rsidR="003D5BF2" w:rsidRPr="003D5BF2">
        <w:t xml:space="preserve">s with 2+ and 3+ staining intensity, and positivity was defined as a PS2+ score of ≥75% of viable </w:t>
      </w:r>
      <w:r w:rsidR="001E5886">
        <w:t>TC</w:t>
      </w:r>
      <w:r w:rsidR="003D5BF2" w:rsidRPr="003D5BF2">
        <w:t xml:space="preserve">s </w:t>
      </w:r>
      <w:r w:rsidR="00A72814">
        <w:t>(</w:t>
      </w:r>
      <w:r w:rsidR="003D5BF2" w:rsidRPr="003D5BF2">
        <w:t>Deutschman</w:t>
      </w:r>
      <w:r w:rsidR="00A72814">
        <w:t>,</w:t>
      </w:r>
      <w:r w:rsidR="003D5BF2" w:rsidRPr="003D5BF2">
        <w:t xml:space="preserve"> 2023</w:t>
      </w:r>
      <w:r w:rsidR="00A72814">
        <w:t>)</w:t>
      </w:r>
      <w:r w:rsidR="00D91E84">
        <w:t>.</w:t>
      </w:r>
      <w:r w:rsidR="00D767F7" w:rsidRPr="00D767F7">
        <w:t xml:space="preserve"> </w:t>
      </w:r>
    </w:p>
    <w:p w14:paraId="29C1EA87" w14:textId="69D37CD5" w:rsidR="007A66C8" w:rsidRDefault="007A66C8" w:rsidP="00713728">
      <w:pPr>
        <w:pStyle w:val="Heading3"/>
      </w:pPr>
      <w:r w:rsidRPr="008F1532">
        <w:t xml:space="preserve">Outcomes </w:t>
      </w:r>
    </w:p>
    <w:p w14:paraId="5DC72377" w14:textId="45D01671" w:rsidR="00486257" w:rsidRDefault="00486257" w:rsidP="00FA4235">
      <w:pPr>
        <w:pStyle w:val="Heading4"/>
        <w:spacing w:after="120"/>
      </w:pPr>
      <w:r>
        <w:t>Test-related outcomes</w:t>
      </w:r>
    </w:p>
    <w:p w14:paraId="080CA779" w14:textId="7E459DD6" w:rsidR="00486257" w:rsidRPr="00A74972" w:rsidRDefault="00486257" w:rsidP="00486257">
      <w:pPr>
        <w:ind w:left="-20" w:right="-20"/>
      </w:pPr>
      <w:r w:rsidRPr="00A74972">
        <w:rPr>
          <w:rFonts w:cs="Calibri"/>
        </w:rPr>
        <w:t xml:space="preserve">Safety outcomes: adverse events associated with </w:t>
      </w:r>
      <w:r>
        <w:rPr>
          <w:rFonts w:cs="Calibri"/>
        </w:rPr>
        <w:t>biopsy/</w:t>
      </w:r>
      <w:r w:rsidRPr="00A74972">
        <w:rPr>
          <w:rFonts w:cs="Calibri"/>
        </w:rPr>
        <w:t>re-biopsy for patients with inadequate tissue for tumour testing.</w:t>
      </w:r>
      <w:r>
        <w:rPr>
          <w:rFonts w:cs="Calibri"/>
        </w:rPr>
        <w:t xml:space="preserve"> </w:t>
      </w:r>
    </w:p>
    <w:p w14:paraId="6881830E" w14:textId="77777777" w:rsidR="00486257" w:rsidRPr="00A74972" w:rsidRDefault="00486257" w:rsidP="00486257">
      <w:pPr>
        <w:ind w:right="-20"/>
      </w:pPr>
      <w:r w:rsidRPr="00A74972" w:rsidDel="00DE4FF4">
        <w:t xml:space="preserve">Diagnostic </w:t>
      </w:r>
      <w:r w:rsidRPr="00A74972">
        <w:t>performance</w:t>
      </w:r>
      <w:r w:rsidRPr="00A74972" w:rsidDel="009A38CB">
        <w:t>:</w:t>
      </w:r>
      <w:r w:rsidRPr="00A74972">
        <w:t xml:space="preserve"> </w:t>
      </w:r>
    </w:p>
    <w:p w14:paraId="2CD2D1C8" w14:textId="667C9DBB" w:rsidR="00486257" w:rsidRPr="00A74972" w:rsidRDefault="00486257" w:rsidP="00842ED8">
      <w:pPr>
        <w:pStyle w:val="ListParagraph"/>
        <w:numPr>
          <w:ilvl w:val="0"/>
          <w:numId w:val="12"/>
        </w:numPr>
        <w:ind w:right="-20"/>
      </w:pPr>
      <w:r>
        <w:t>intra- and inter-reader variability</w:t>
      </w:r>
    </w:p>
    <w:p w14:paraId="10C5D134" w14:textId="77777777" w:rsidR="00486257" w:rsidRPr="00A74972" w:rsidRDefault="00486257" w:rsidP="00842ED8">
      <w:pPr>
        <w:pStyle w:val="ListParagraph"/>
        <w:numPr>
          <w:ilvl w:val="0"/>
          <w:numId w:val="12"/>
        </w:numPr>
        <w:ind w:right="-20"/>
      </w:pPr>
      <w:r w:rsidRPr="00A74972">
        <w:t>test failure rate</w:t>
      </w:r>
    </w:p>
    <w:p w14:paraId="0FF76CDE" w14:textId="77777777" w:rsidR="00486257" w:rsidRPr="00A74972" w:rsidRDefault="00486257" w:rsidP="00842ED8">
      <w:pPr>
        <w:pStyle w:val="ListParagraph"/>
        <w:numPr>
          <w:ilvl w:val="0"/>
          <w:numId w:val="12"/>
        </w:numPr>
        <w:ind w:right="-20"/>
      </w:pPr>
      <w:r w:rsidRPr="00A74972">
        <w:t>evidence of stability of proteins in archival tissue</w:t>
      </w:r>
    </w:p>
    <w:p w14:paraId="2218443C" w14:textId="2E5C0BB0" w:rsidR="00486257" w:rsidRPr="00A74972" w:rsidRDefault="00486257" w:rsidP="00842ED8">
      <w:pPr>
        <w:pStyle w:val="ListParagraph"/>
        <w:numPr>
          <w:ilvl w:val="0"/>
          <w:numId w:val="12"/>
        </w:numPr>
        <w:ind w:right="-20"/>
      </w:pPr>
      <w:r>
        <w:rPr>
          <w:rFonts w:asciiTheme="minorHAnsi" w:eastAsiaTheme="minorEastAsia" w:hAnsiTheme="minorHAnsi" w:cstheme="minorBidi"/>
        </w:rPr>
        <w:t>h</w:t>
      </w:r>
      <w:r w:rsidRPr="00A74972">
        <w:rPr>
          <w:rFonts w:asciiTheme="minorHAnsi" w:eastAsiaTheme="minorEastAsia" w:hAnsiTheme="minorHAnsi" w:cstheme="minorBidi"/>
        </w:rPr>
        <w:t xml:space="preserve">eterogeneity within </w:t>
      </w:r>
      <w:r w:rsidR="002E6BA6">
        <w:rPr>
          <w:rFonts w:asciiTheme="minorHAnsi" w:eastAsiaTheme="minorEastAsia" w:hAnsiTheme="minorHAnsi" w:cstheme="minorBidi"/>
        </w:rPr>
        <w:t xml:space="preserve">the same </w:t>
      </w:r>
      <w:r w:rsidRPr="00A74972">
        <w:rPr>
          <w:rFonts w:asciiTheme="minorHAnsi" w:eastAsiaTheme="minorEastAsia" w:hAnsiTheme="minorHAnsi" w:cstheme="minorBidi"/>
        </w:rPr>
        <w:t>tissue sample</w:t>
      </w:r>
    </w:p>
    <w:p w14:paraId="17FE857F" w14:textId="37615BBB" w:rsidR="00486257" w:rsidRPr="00A74972" w:rsidRDefault="00486257" w:rsidP="00842ED8">
      <w:pPr>
        <w:pStyle w:val="ListParagraph"/>
        <w:numPr>
          <w:ilvl w:val="0"/>
          <w:numId w:val="12"/>
        </w:numPr>
        <w:ind w:right="-20"/>
      </w:pPr>
      <w:r w:rsidRPr="00A74972">
        <w:t xml:space="preserve">evidence of stability in </w:t>
      </w:r>
      <w:r>
        <w:t>FR</w:t>
      </w:r>
      <w:r>
        <w:rPr>
          <w:rFonts w:cs="Calibri"/>
        </w:rPr>
        <w:t>α</w:t>
      </w:r>
      <w:r w:rsidRPr="00A74972">
        <w:t xml:space="preserve"> status over time</w:t>
      </w:r>
      <w:r w:rsidR="00F22A93">
        <w:t xml:space="preserve"> with treatment and/or progression of disease</w:t>
      </w:r>
    </w:p>
    <w:p w14:paraId="24D69BD2" w14:textId="77777777" w:rsidR="00486257" w:rsidRPr="00A74972" w:rsidRDefault="00486257" w:rsidP="00842ED8">
      <w:pPr>
        <w:pStyle w:val="ListParagraph"/>
        <w:numPr>
          <w:ilvl w:val="0"/>
          <w:numId w:val="12"/>
        </w:numPr>
        <w:ind w:right="-20"/>
      </w:pPr>
      <w:r w:rsidRPr="00A74972">
        <w:rPr>
          <w:rFonts w:asciiTheme="minorHAnsi" w:eastAsiaTheme="minorEastAsia" w:hAnsiTheme="minorHAnsi" w:cstheme="minorBidi"/>
        </w:rPr>
        <w:t>test-retest reliability.</w:t>
      </w:r>
    </w:p>
    <w:p w14:paraId="0CAC4558" w14:textId="377ED850" w:rsidR="00486257" w:rsidRDefault="00486257" w:rsidP="0032737E">
      <w:pPr>
        <w:ind w:right="-20"/>
        <w:rPr>
          <w:rFonts w:cs="Calibri"/>
        </w:rPr>
      </w:pPr>
      <w:r w:rsidRPr="00A74972">
        <w:rPr>
          <w:rFonts w:cs="Calibri"/>
        </w:rPr>
        <w:t xml:space="preserve">Clinical utility of the test: determine whether testing for </w:t>
      </w:r>
      <w:r>
        <w:rPr>
          <w:rFonts w:cs="Calibri"/>
        </w:rPr>
        <w:t>FRα</w:t>
      </w:r>
      <w:r w:rsidRPr="00A74972">
        <w:rPr>
          <w:rFonts w:cs="Calibri"/>
        </w:rPr>
        <w:t xml:space="preserve"> predicts variation in the treatment effect of </w:t>
      </w:r>
      <w:r w:rsidRPr="002D2555">
        <w:rPr>
          <w:rFonts w:eastAsiaTheme="minorHAnsi" w:cstheme="minorBidi"/>
        </w:rPr>
        <w:t xml:space="preserve">mirvetuximab soravtansine </w:t>
      </w:r>
      <w:r w:rsidRPr="00A74972">
        <w:rPr>
          <w:rFonts w:cs="Calibri"/>
        </w:rPr>
        <w:t>in terms of health outcomes for patients.</w:t>
      </w:r>
    </w:p>
    <w:p w14:paraId="1FFA599B" w14:textId="40388299" w:rsidR="00156E07" w:rsidRDefault="00156E07" w:rsidP="00FA4235">
      <w:pPr>
        <w:rPr>
          <w:rFonts w:cs="Calibri"/>
        </w:rPr>
      </w:pPr>
      <w:r>
        <w:rPr>
          <w:rFonts w:cs="Calibri"/>
        </w:rPr>
        <w:t>Qualitative assessment of</w:t>
      </w:r>
      <w:r w:rsidRPr="00486257" w:rsidDel="002E6BA6">
        <w:rPr>
          <w:rFonts w:cs="Calibri"/>
        </w:rPr>
        <w:t xml:space="preserve"> potential risks associated with an incorrect test result or incorrect interpretation of results. Failure of the </w:t>
      </w:r>
      <w:r w:rsidDel="002E6BA6">
        <w:rPr>
          <w:rFonts w:cs="Calibri"/>
        </w:rPr>
        <w:t>test</w:t>
      </w:r>
      <w:r w:rsidRPr="00486257" w:rsidDel="002E6BA6">
        <w:rPr>
          <w:rFonts w:cs="Calibri"/>
        </w:rPr>
        <w:t xml:space="preserve"> to perform as expected or failure to correctly interpret test results may lead to improper patient management decisions</w:t>
      </w:r>
      <w:r w:rsidR="00AA44D4">
        <w:rPr>
          <w:rFonts w:cs="Calibri"/>
        </w:rPr>
        <w:t>.</w:t>
      </w:r>
    </w:p>
    <w:p w14:paraId="1A72C5EA" w14:textId="247ED139" w:rsidR="00F703C1" w:rsidRPr="00F703C1" w:rsidRDefault="00F703C1" w:rsidP="00FA4235">
      <w:pPr>
        <w:rPr>
          <w:rFonts w:cs="Calibri"/>
        </w:rPr>
      </w:pPr>
      <w:r w:rsidRPr="00F703C1">
        <w:rPr>
          <w:rFonts w:asciiTheme="minorHAnsi" w:hAnsiTheme="minorHAnsi" w:cstheme="minorHAnsi"/>
          <w:i/>
          <w:iCs/>
        </w:rPr>
        <w:t>PASC agreed with the nominated outcomes for the test, with the exception of ‘sensitivity and specificity’ (and by extension, the positive and negative predictive values and likelihood ratios) on the basis there is no reference standard to compare the specified test against. PASC considered that heterogeneity</w:t>
      </w:r>
      <w:r w:rsidR="00D676B4">
        <w:rPr>
          <w:rFonts w:asciiTheme="minorHAnsi" w:hAnsiTheme="minorHAnsi" w:cstheme="minorHAnsi"/>
          <w:i/>
          <w:iCs/>
        </w:rPr>
        <w:t xml:space="preserve"> </w:t>
      </w:r>
      <w:r w:rsidRPr="00F703C1">
        <w:rPr>
          <w:rFonts w:asciiTheme="minorHAnsi" w:hAnsiTheme="minorHAnsi" w:cstheme="minorHAnsi"/>
          <w:i/>
          <w:iCs/>
        </w:rPr>
        <w:t>within the same tissue sampl</w:t>
      </w:r>
      <w:r w:rsidR="00160E6A">
        <w:rPr>
          <w:rFonts w:asciiTheme="minorHAnsi" w:hAnsiTheme="minorHAnsi" w:cstheme="minorHAnsi"/>
          <w:i/>
          <w:iCs/>
        </w:rPr>
        <w:t>e should b</w:t>
      </w:r>
      <w:r w:rsidR="00D676B4">
        <w:rPr>
          <w:rFonts w:asciiTheme="minorHAnsi" w:hAnsiTheme="minorHAnsi" w:cstheme="minorHAnsi"/>
          <w:i/>
          <w:iCs/>
        </w:rPr>
        <w:t>e</w:t>
      </w:r>
      <w:r w:rsidR="00160E6A">
        <w:rPr>
          <w:rFonts w:asciiTheme="minorHAnsi" w:hAnsiTheme="minorHAnsi" w:cstheme="minorHAnsi"/>
          <w:i/>
          <w:iCs/>
        </w:rPr>
        <w:t xml:space="preserve"> reported</w:t>
      </w:r>
      <w:r w:rsidRPr="00F703C1">
        <w:rPr>
          <w:rFonts w:asciiTheme="minorHAnsi" w:hAnsiTheme="minorHAnsi" w:cstheme="minorHAnsi"/>
          <w:i/>
          <w:iCs/>
        </w:rPr>
        <w:t xml:space="preserve">. PASC considered that the potential risks associated with an incorrect test result or incorrect interpretation of results to be an important outcome and considered that it should be assessed qualitatively. </w:t>
      </w:r>
    </w:p>
    <w:p w14:paraId="7A3D35EF" w14:textId="1E78B0C7" w:rsidR="00122234" w:rsidRDefault="00486257" w:rsidP="00486257">
      <w:pPr>
        <w:pStyle w:val="Heading4"/>
        <w:spacing w:after="120"/>
        <w:rPr>
          <w:rFonts w:asciiTheme="minorHAnsi" w:hAnsiTheme="minorHAnsi" w:cstheme="minorHAnsi"/>
        </w:rPr>
      </w:pPr>
      <w:r>
        <w:t>Drug-related</w:t>
      </w:r>
      <w:r w:rsidR="009A1FBF" w:rsidRPr="006C569C">
        <w:t xml:space="preserve"> </w:t>
      </w:r>
      <w:r w:rsidR="00122234" w:rsidRPr="00122234">
        <w:rPr>
          <w:rFonts w:asciiTheme="minorHAnsi" w:hAnsiTheme="minorHAnsi" w:cstheme="minorHAnsi"/>
        </w:rPr>
        <w:t>outcomes</w:t>
      </w:r>
    </w:p>
    <w:p w14:paraId="386891CE" w14:textId="77777777" w:rsidR="00FA4235" w:rsidRDefault="00B7720C" w:rsidP="00FA4235">
      <w:pPr>
        <w:ind w:left="-20" w:right="-20"/>
        <w:rPr>
          <w:rFonts w:cs="Calibri"/>
        </w:rPr>
      </w:pPr>
      <w:r w:rsidRPr="00A74972">
        <w:rPr>
          <w:rFonts w:cs="Calibri"/>
        </w:rPr>
        <w:t xml:space="preserve">Safety outcomes: Safety and tolerability of treatment with </w:t>
      </w:r>
      <w:r w:rsidRPr="001112DB">
        <w:rPr>
          <w:color w:val="000000" w:themeColor="text1"/>
        </w:rPr>
        <w:t>mirvetuximab soravtansi</w:t>
      </w:r>
      <w:r>
        <w:rPr>
          <w:color w:val="000000" w:themeColor="text1"/>
        </w:rPr>
        <w:t>ne</w:t>
      </w:r>
      <w:r w:rsidRPr="00A74972">
        <w:rPr>
          <w:rFonts w:cs="Calibri"/>
        </w:rPr>
        <w:t xml:space="preserve"> </w:t>
      </w:r>
      <w:r>
        <w:rPr>
          <w:rFonts w:cs="Calibri"/>
        </w:rPr>
        <w:t>compared to alternative treatments</w:t>
      </w:r>
      <w:r w:rsidRPr="00A74972">
        <w:rPr>
          <w:rFonts w:cs="Calibri"/>
        </w:rPr>
        <w:t xml:space="preserve"> </w:t>
      </w:r>
      <w:r>
        <w:rPr>
          <w:rFonts w:cs="Calibri"/>
        </w:rPr>
        <w:t xml:space="preserve">assessed by </w:t>
      </w:r>
      <w:r w:rsidRPr="00A74972">
        <w:rPr>
          <w:rFonts w:cs="Calibri"/>
        </w:rPr>
        <w:t xml:space="preserve">adverse events, physical examination, laboratory findings and vital signs. </w:t>
      </w:r>
    </w:p>
    <w:p w14:paraId="6B7CC8DE" w14:textId="08F84B2C" w:rsidR="00326D0E" w:rsidRPr="00FA4235" w:rsidRDefault="00326D0E" w:rsidP="00FA4235">
      <w:pPr>
        <w:ind w:left="-20" w:right="-20"/>
      </w:pPr>
      <w:r>
        <w:rPr>
          <w:rFonts w:cs="Calibri"/>
        </w:rPr>
        <w:t xml:space="preserve">Clinical effectiveness outcomes: </w:t>
      </w:r>
    </w:p>
    <w:p w14:paraId="736E539F" w14:textId="77777777" w:rsidR="00486257" w:rsidRPr="00A74972" w:rsidRDefault="00486257" w:rsidP="00842ED8">
      <w:pPr>
        <w:pStyle w:val="ListParagraph"/>
        <w:numPr>
          <w:ilvl w:val="0"/>
          <w:numId w:val="12"/>
        </w:numPr>
        <w:ind w:right="-20"/>
      </w:pPr>
      <w:r w:rsidRPr="00A74972">
        <w:t>objective response rate (ORR)</w:t>
      </w:r>
    </w:p>
    <w:p w14:paraId="6A8AE47C" w14:textId="77777777" w:rsidR="00486257" w:rsidRPr="00A74972" w:rsidRDefault="00486257" w:rsidP="00842ED8">
      <w:pPr>
        <w:pStyle w:val="ListParagraph"/>
        <w:numPr>
          <w:ilvl w:val="0"/>
          <w:numId w:val="12"/>
        </w:numPr>
        <w:ind w:right="-20"/>
      </w:pPr>
      <w:r w:rsidRPr="00A74972">
        <w:t>overall survival (OS)</w:t>
      </w:r>
    </w:p>
    <w:p w14:paraId="6D6C4E46" w14:textId="77777777" w:rsidR="00486257" w:rsidRPr="00A74972" w:rsidRDefault="00486257" w:rsidP="00842ED8">
      <w:pPr>
        <w:pStyle w:val="ListParagraph"/>
        <w:numPr>
          <w:ilvl w:val="0"/>
          <w:numId w:val="12"/>
        </w:numPr>
        <w:ind w:right="-20"/>
      </w:pPr>
      <w:r w:rsidRPr="00A74972">
        <w:t xml:space="preserve">progression-free survival (PFS) </w:t>
      </w:r>
    </w:p>
    <w:p w14:paraId="1A219EE2" w14:textId="389FAB9A" w:rsidR="00486257" w:rsidRDefault="00486257" w:rsidP="00842ED8">
      <w:pPr>
        <w:pStyle w:val="ListParagraph"/>
        <w:numPr>
          <w:ilvl w:val="0"/>
          <w:numId w:val="12"/>
        </w:numPr>
        <w:ind w:right="-20"/>
      </w:pPr>
      <w:r w:rsidRPr="00A74972">
        <w:t>health-related quality of life (HRQoL).</w:t>
      </w:r>
    </w:p>
    <w:p w14:paraId="7F1BAC66" w14:textId="77777777" w:rsidR="005B01F0" w:rsidRDefault="005B01F0" w:rsidP="00F703C1">
      <w:pPr>
        <w:keepNext/>
        <w:ind w:left="-20" w:right="-20"/>
        <w:rPr>
          <w:rFonts w:asciiTheme="minorHAnsi" w:hAnsiTheme="minorHAnsi" w:cstheme="minorHAnsi"/>
          <w:i/>
          <w:iCs/>
        </w:rPr>
      </w:pPr>
      <w:r w:rsidRPr="00373A0F">
        <w:rPr>
          <w:rFonts w:asciiTheme="minorHAnsi" w:hAnsiTheme="minorHAnsi" w:cstheme="minorHAnsi"/>
          <w:i/>
          <w:iCs/>
        </w:rPr>
        <w:lastRenderedPageBreak/>
        <w:t>PASC noted the treatment outcomes and considered these to be a matter for PBAC consideration.</w:t>
      </w:r>
    </w:p>
    <w:p w14:paraId="2C202F4F" w14:textId="1053EF9A" w:rsidR="00486257" w:rsidRPr="00A74972" w:rsidRDefault="00486257" w:rsidP="0032737E">
      <w:pPr>
        <w:keepNext/>
        <w:ind w:left="-20" w:right="-20"/>
      </w:pPr>
      <w:r w:rsidRPr="00A74972">
        <w:rPr>
          <w:rFonts w:cs="Calibri"/>
        </w:rPr>
        <w:t xml:space="preserve">Healthcare system outcomes: </w:t>
      </w:r>
    </w:p>
    <w:p w14:paraId="69C3A677" w14:textId="6000C9EC" w:rsidR="00486257" w:rsidRPr="00A74972" w:rsidRDefault="00486257" w:rsidP="0032737E">
      <w:pPr>
        <w:pStyle w:val="ListParagraph"/>
        <w:keepNext/>
        <w:numPr>
          <w:ilvl w:val="0"/>
          <w:numId w:val="13"/>
        </w:numPr>
      </w:pPr>
      <w:r w:rsidRPr="00A74972">
        <w:t xml:space="preserve">cost of testing per patient </w:t>
      </w:r>
      <w:r w:rsidR="001A70BD">
        <w:t xml:space="preserve">and cost </w:t>
      </w:r>
      <w:r w:rsidRPr="00A74972">
        <w:t>associated</w:t>
      </w:r>
      <w:r w:rsidR="001A70BD">
        <w:t xml:space="preserve"> with</w:t>
      </w:r>
      <w:r w:rsidRPr="00A74972">
        <w:t xml:space="preserve"> re-biopsies (e.g.: early-stage disease that has relapsed</w:t>
      </w:r>
      <w:r>
        <w:t xml:space="preserve">, </w:t>
      </w:r>
      <w:r w:rsidRPr="00A74972">
        <w:t>test failure, inadequate sampling)</w:t>
      </w:r>
    </w:p>
    <w:p w14:paraId="11D608FC" w14:textId="77777777" w:rsidR="00486257" w:rsidRPr="00A74972" w:rsidRDefault="00486257" w:rsidP="0032737E">
      <w:pPr>
        <w:pStyle w:val="ListParagraph"/>
        <w:keepNext/>
        <w:numPr>
          <w:ilvl w:val="0"/>
          <w:numId w:val="13"/>
        </w:numPr>
      </w:pPr>
      <w:r w:rsidRPr="00A74972">
        <w:t>cost of treatment and cost of treating adverse events</w:t>
      </w:r>
    </w:p>
    <w:p w14:paraId="7DC7FC8E" w14:textId="77777777" w:rsidR="007C7EC1" w:rsidRPr="00105D62" w:rsidRDefault="00486257" w:rsidP="002E63D9">
      <w:pPr>
        <w:pStyle w:val="ListParagraph"/>
        <w:keepNext/>
        <w:numPr>
          <w:ilvl w:val="0"/>
          <w:numId w:val="13"/>
        </w:numPr>
      </w:pPr>
      <w:r w:rsidRPr="00A74972">
        <w:t>financial implications: number of patients tested; number of patients treated.</w:t>
      </w:r>
    </w:p>
    <w:p w14:paraId="4BBF84CB" w14:textId="77777777" w:rsidR="009B31CC" w:rsidRPr="004E3ABF" w:rsidRDefault="009B31CC" w:rsidP="00713728">
      <w:pPr>
        <w:pStyle w:val="Heading2"/>
      </w:pPr>
      <w:r w:rsidRPr="00490FBB">
        <w:t>Assessment framework (for investigative technologies)</w:t>
      </w:r>
    </w:p>
    <w:p w14:paraId="2F044AFC" w14:textId="31E232B9" w:rsidR="00870C2C" w:rsidRDefault="00486257" w:rsidP="00880A9A">
      <w:r w:rsidRPr="00A74972">
        <w:rPr>
          <w:rFonts w:cs="Calibri"/>
        </w:rPr>
        <w:t xml:space="preserve">A linked evidence approach is the most appropriate as there is unlikely to be direct evidence of the impact of </w:t>
      </w:r>
      <w:r>
        <w:rPr>
          <w:rFonts w:cs="Calibri"/>
        </w:rPr>
        <w:t>FRα</w:t>
      </w:r>
      <w:r w:rsidRPr="00A74972">
        <w:rPr>
          <w:rFonts w:cs="Calibri"/>
        </w:rPr>
        <w:t xml:space="preserve"> testing on health outcomes. An assessment framework linking </w:t>
      </w:r>
      <w:r>
        <w:rPr>
          <w:rFonts w:cs="Calibri"/>
        </w:rPr>
        <w:t xml:space="preserve">FRα </w:t>
      </w:r>
      <w:r w:rsidRPr="00A74972">
        <w:rPr>
          <w:rFonts w:cs="Calibri"/>
        </w:rPr>
        <w:t xml:space="preserve">testing to relevant health outcomes is presented </w:t>
      </w:r>
      <w:r w:rsidR="00C47E1F">
        <w:t xml:space="preserve">in </w:t>
      </w:r>
      <w:r w:rsidR="001E5886">
        <w:fldChar w:fldCharType="begin"/>
      </w:r>
      <w:r w:rsidR="001E5886">
        <w:instrText xml:space="preserve"> REF _Ref68327680 \h </w:instrText>
      </w:r>
      <w:r w:rsidR="001E5886">
        <w:fldChar w:fldCharType="separate"/>
      </w:r>
      <w:r w:rsidR="003B43AD">
        <w:t>Figure </w:t>
      </w:r>
      <w:r w:rsidR="003B43AD">
        <w:rPr>
          <w:noProof/>
        </w:rPr>
        <w:t>1</w:t>
      </w:r>
      <w:r w:rsidR="001E5886">
        <w:fldChar w:fldCharType="end"/>
      </w:r>
      <w:r w:rsidR="00880A9A">
        <w:t>.</w:t>
      </w:r>
    </w:p>
    <w:p w14:paraId="12F2305D" w14:textId="6107EC85" w:rsidR="00717443" w:rsidRPr="00490FBB" w:rsidRDefault="00215A0F" w:rsidP="009B31CC">
      <w:pPr>
        <w:keepNext/>
      </w:pPr>
      <w:r>
        <w:rPr>
          <w:noProof/>
        </w:rPr>
        <w:drawing>
          <wp:inline distT="0" distB="0" distL="0" distR="0" wp14:anchorId="366CA63E" wp14:editId="060395BE">
            <wp:extent cx="6705600" cy="2952750"/>
            <wp:effectExtent l="0" t="0" r="0" b="0"/>
            <wp:docPr id="6" name="ClipboardAsImage" descr="Figure 1 Generic assessment framework showing the links from the test population to health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ipboardAsImage" descr="A diagram of a business process&#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790" t="22048" r="22461" b="24132"/>
                    <a:stretch/>
                  </pic:blipFill>
                  <pic:spPr bwMode="auto">
                    <a:xfrm>
                      <a:off x="0" y="0"/>
                      <a:ext cx="6705600" cy="2952750"/>
                    </a:xfrm>
                    <a:prstGeom prst="rect">
                      <a:avLst/>
                    </a:prstGeom>
                    <a:noFill/>
                    <a:ln>
                      <a:noFill/>
                    </a:ln>
                    <a:extLst>
                      <a:ext uri="{53640926-AAD7-44D8-BBD7-CCE9431645EC}">
                        <a14:shadowObscured xmlns:a14="http://schemas.microsoft.com/office/drawing/2010/main"/>
                      </a:ext>
                    </a:extLst>
                  </pic:spPr>
                </pic:pic>
              </a:graphicData>
            </a:graphic>
          </wp:inline>
        </w:drawing>
      </w:r>
    </w:p>
    <w:p w14:paraId="58E23E9A" w14:textId="2FCAC9E1" w:rsidR="009B31CC" w:rsidRDefault="00AE6FE0" w:rsidP="00C40CC4">
      <w:pPr>
        <w:pStyle w:val="Caption"/>
      </w:pPr>
      <w:bookmarkStart w:id="3" w:name="_Ref68327593"/>
      <w:bookmarkStart w:id="4" w:name="_Ref68327680"/>
      <w:r>
        <w:t>Figure</w:t>
      </w:r>
      <w:bookmarkEnd w:id="3"/>
      <w:r w:rsidR="00E607F3">
        <w:t> </w:t>
      </w:r>
      <w:r>
        <w:fldChar w:fldCharType="begin"/>
      </w:r>
      <w:r>
        <w:instrText xml:space="preserve"> SEQ Figure \* ARABIC </w:instrText>
      </w:r>
      <w:r>
        <w:fldChar w:fldCharType="separate"/>
      </w:r>
      <w:r w:rsidR="003B43AD">
        <w:rPr>
          <w:noProof/>
        </w:rPr>
        <w:t>1</w:t>
      </w:r>
      <w:r>
        <w:fldChar w:fldCharType="end"/>
      </w:r>
      <w:bookmarkEnd w:id="4"/>
      <w:r w:rsidR="009B31CC" w:rsidRPr="00490FBB">
        <w:tab/>
        <w:t>Generic assessment framework showing the links from the test population to health outcomes</w:t>
      </w:r>
    </w:p>
    <w:p w14:paraId="534738C5" w14:textId="208DFD13" w:rsidR="00C40CC4" w:rsidRDefault="00C40CC4" w:rsidP="0032737E">
      <w:pPr>
        <w:pStyle w:val="Tablenotes"/>
        <w:keepLines/>
        <w:spacing w:after="200"/>
        <w:rPr>
          <w:szCs w:val="18"/>
        </w:rPr>
      </w:pPr>
      <w:r w:rsidRPr="00C40CC4">
        <w:rPr>
          <w:szCs w:val="18"/>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r w:rsidR="001F60A5">
        <w:rPr>
          <w:szCs w:val="18"/>
        </w:rPr>
        <w:br/>
        <w:t>HRQoL: health-related quality of life, IHC: Immunohistochemistry, ORR: objective response rate, OS: overall survival, PFS: progression free survival</w:t>
      </w:r>
    </w:p>
    <w:p w14:paraId="7B8F7ABB" w14:textId="5E66C58F" w:rsidR="00F26C18" w:rsidRPr="00932FCD" w:rsidRDefault="00932FCD" w:rsidP="00486257">
      <w:pPr>
        <w:ind w:left="-20" w:right="-20"/>
        <w:rPr>
          <w:rFonts w:cs="Calibri"/>
        </w:rPr>
      </w:pPr>
      <w:r w:rsidRPr="0032737E">
        <w:rPr>
          <w:rFonts w:asciiTheme="minorHAnsi" w:hAnsiTheme="minorHAnsi" w:cstheme="minorHAnsi"/>
          <w:i/>
          <w:szCs w:val="20"/>
        </w:rPr>
        <w:t>PASC confirmed that the assessment framework was appropriately described in the PICO and agreed that a linked evidence approach will be required.</w:t>
      </w:r>
    </w:p>
    <w:p w14:paraId="723ECFE5" w14:textId="7761BCA8" w:rsidR="00486257" w:rsidRPr="00A74972" w:rsidRDefault="00486257" w:rsidP="00486257">
      <w:pPr>
        <w:ind w:left="-20" w:right="-20"/>
      </w:pPr>
      <w:r w:rsidRPr="00A74972">
        <w:rPr>
          <w:rFonts w:cs="Calibri"/>
        </w:rPr>
        <w:t>Questions relevant to this assessment framework are as follows:</w:t>
      </w:r>
    </w:p>
    <w:p w14:paraId="6EBA7601" w14:textId="21BA14A6" w:rsidR="00486257" w:rsidRPr="00A74972" w:rsidRDefault="00486257" w:rsidP="00842ED8">
      <w:pPr>
        <w:pStyle w:val="ListParagraph"/>
        <w:numPr>
          <w:ilvl w:val="0"/>
          <w:numId w:val="14"/>
        </w:numPr>
      </w:pPr>
      <w:r w:rsidRPr="00A74972">
        <w:t xml:space="preserve">Does the use of </w:t>
      </w:r>
      <w:r>
        <w:t>FR</w:t>
      </w:r>
      <w:r>
        <w:rPr>
          <w:rFonts w:cs="Calibri"/>
        </w:rPr>
        <w:t>α</w:t>
      </w:r>
      <w:r w:rsidRPr="00A74972">
        <w:t xml:space="preserve"> testing in place of no testing result in the claimed </w:t>
      </w:r>
      <w:r>
        <w:t>superior</w:t>
      </w:r>
      <w:r w:rsidRPr="00A74972">
        <w:t xml:space="preserve"> health outcomes?</w:t>
      </w:r>
    </w:p>
    <w:p w14:paraId="024E0146" w14:textId="28C9CDA9" w:rsidR="00486257" w:rsidRPr="00A74972" w:rsidRDefault="00486257" w:rsidP="00842ED8">
      <w:pPr>
        <w:pStyle w:val="ListParagraph"/>
        <w:numPr>
          <w:ilvl w:val="0"/>
          <w:numId w:val="14"/>
        </w:numPr>
      </w:pPr>
      <w:r w:rsidRPr="00A74972">
        <w:t xml:space="preserve">What is the accuracy of the proposed testing? </w:t>
      </w:r>
    </w:p>
    <w:p w14:paraId="0593861E" w14:textId="6E33ECE8" w:rsidR="00486257" w:rsidRPr="00A74972" w:rsidRDefault="00486257" w:rsidP="00842ED8">
      <w:pPr>
        <w:pStyle w:val="ListParagraph"/>
        <w:numPr>
          <w:ilvl w:val="0"/>
          <w:numId w:val="14"/>
        </w:numPr>
      </w:pPr>
      <w:r w:rsidRPr="00A74972">
        <w:t>Does the availability of new information (</w:t>
      </w:r>
      <w:r>
        <w:t>FR</w:t>
      </w:r>
      <w:r>
        <w:rPr>
          <w:rFonts w:cs="Calibri"/>
        </w:rPr>
        <w:t>α</w:t>
      </w:r>
      <w:r w:rsidRPr="00A74972">
        <w:t xml:space="preserve"> status) from </w:t>
      </w:r>
      <w:r>
        <w:t>FR</w:t>
      </w:r>
      <w:r>
        <w:rPr>
          <w:rFonts w:cs="Calibri"/>
        </w:rPr>
        <w:t>α</w:t>
      </w:r>
      <w:r w:rsidRPr="00A74972">
        <w:t xml:space="preserve"> testing lead to a change in management of the patient?</w:t>
      </w:r>
    </w:p>
    <w:p w14:paraId="078CDC69" w14:textId="1401CE0A" w:rsidR="00486257" w:rsidRPr="00A74972" w:rsidRDefault="00486257" w:rsidP="00842ED8">
      <w:pPr>
        <w:pStyle w:val="ListParagraph"/>
        <w:numPr>
          <w:ilvl w:val="0"/>
          <w:numId w:val="14"/>
        </w:numPr>
      </w:pPr>
      <w:r w:rsidRPr="00A74972">
        <w:lastRenderedPageBreak/>
        <w:t xml:space="preserve">Do the differences in the management derived from </w:t>
      </w:r>
      <w:r>
        <w:t>FR</w:t>
      </w:r>
      <w:r>
        <w:rPr>
          <w:rFonts w:cs="Calibri"/>
        </w:rPr>
        <w:t>α</w:t>
      </w:r>
      <w:r w:rsidRPr="00A74972">
        <w:t xml:space="preserve"> testing result in the claimed </w:t>
      </w:r>
      <w:r>
        <w:t xml:space="preserve">superior </w:t>
      </w:r>
      <w:r w:rsidRPr="00A74972">
        <w:t>health outcomes (</w:t>
      </w:r>
      <w:r w:rsidR="000B35F2">
        <w:t xml:space="preserve">ORR, </w:t>
      </w:r>
      <w:r w:rsidRPr="00A74972">
        <w:t>OS,</w:t>
      </w:r>
      <w:r w:rsidR="000B35F2">
        <w:t xml:space="preserve"> PFS,</w:t>
      </w:r>
      <w:r w:rsidRPr="00A74972">
        <w:t xml:space="preserve"> HRQoL)?</w:t>
      </w:r>
    </w:p>
    <w:p w14:paraId="7C3431EF" w14:textId="65492ACD" w:rsidR="00486257" w:rsidRPr="00A74972" w:rsidRDefault="00486257" w:rsidP="00842ED8">
      <w:pPr>
        <w:pStyle w:val="ListParagraph"/>
        <w:numPr>
          <w:ilvl w:val="0"/>
          <w:numId w:val="14"/>
        </w:numPr>
      </w:pPr>
      <w:r w:rsidRPr="00A74972">
        <w:t xml:space="preserve">What are the adverse events associated with </w:t>
      </w:r>
      <w:r>
        <w:t>FR</w:t>
      </w:r>
      <w:r>
        <w:rPr>
          <w:rFonts w:cs="Calibri"/>
        </w:rPr>
        <w:t>α</w:t>
      </w:r>
      <w:r w:rsidRPr="00A74972">
        <w:t xml:space="preserve"> testing compared to a no testing strategy?</w:t>
      </w:r>
    </w:p>
    <w:p w14:paraId="4F50A78F" w14:textId="2AB5E9A2" w:rsidR="00486257" w:rsidRPr="00486257" w:rsidRDefault="00486257" w:rsidP="0032737E">
      <w:pPr>
        <w:pStyle w:val="ListParagraph"/>
        <w:numPr>
          <w:ilvl w:val="0"/>
          <w:numId w:val="14"/>
        </w:numPr>
        <w:ind w:left="714" w:hanging="357"/>
        <w:contextualSpacing w:val="0"/>
      </w:pPr>
      <w:r w:rsidRPr="00A74972">
        <w:t xml:space="preserve">What are the adverse events associated with treatment with </w:t>
      </w:r>
      <w:r w:rsidR="00FC6002" w:rsidRPr="00353F11">
        <w:t>mirvetuximab soravtansine</w:t>
      </w:r>
      <w:r w:rsidRPr="00A74972">
        <w:t xml:space="preserve"> and </w:t>
      </w:r>
      <w:r>
        <w:t>other alternative treatments</w:t>
      </w:r>
      <w:r w:rsidRPr="00A74972">
        <w:t>?</w:t>
      </w:r>
    </w:p>
    <w:p w14:paraId="60F0C60D" w14:textId="1EBAC16E" w:rsidR="00AD131B" w:rsidRDefault="00AD131B" w:rsidP="0032737E">
      <w:pPr>
        <w:rPr>
          <w:rFonts w:asciiTheme="minorHAnsi" w:hAnsiTheme="minorHAnsi" w:cstheme="minorHAnsi"/>
        </w:rPr>
      </w:pPr>
      <w:r w:rsidRPr="007B0E17">
        <w:rPr>
          <w:rFonts w:asciiTheme="minorHAnsi" w:hAnsiTheme="minorHAnsi" w:cstheme="minorHAnsi"/>
        </w:rPr>
        <w:t>FRα testing to determine eligibility for mirvetuximab soravtansine is expected to lead to a change in clinical management, as patients who have high-grade serous epithelial ovarian cancer with high FRα expression will be eligible for targeted treatment. The incremental benefit (or not) of mirvetuximab soravtansine in patients not meeting this threshold cannot be informed with current data. The key trial (MIRASOL) enrolled only those who met the threshold of ≥75% of viable TCs expressing the receptor at moderate</w:t>
      </w:r>
      <w:r>
        <w:rPr>
          <w:rFonts w:asciiTheme="minorHAnsi" w:hAnsiTheme="minorHAnsi" w:cstheme="minorHAnsi"/>
        </w:rPr>
        <w:t xml:space="preserve"> </w:t>
      </w:r>
      <w:r w:rsidR="005A51E7">
        <w:rPr>
          <w:rFonts w:asciiTheme="minorHAnsi" w:hAnsiTheme="minorHAnsi" w:cstheme="minorHAnsi"/>
        </w:rPr>
        <w:t>[2+]</w:t>
      </w:r>
      <w:r w:rsidRPr="007B0E17">
        <w:rPr>
          <w:rFonts w:asciiTheme="minorHAnsi" w:hAnsiTheme="minorHAnsi" w:cstheme="minorHAnsi"/>
        </w:rPr>
        <w:t xml:space="preserve"> to </w:t>
      </w:r>
      <w:r w:rsidR="005A51E7">
        <w:rPr>
          <w:rFonts w:asciiTheme="minorHAnsi" w:hAnsiTheme="minorHAnsi" w:cstheme="minorHAnsi"/>
        </w:rPr>
        <w:t>strong [3+]</w:t>
      </w:r>
      <w:r w:rsidRPr="007B0E17">
        <w:rPr>
          <w:rFonts w:asciiTheme="minorHAnsi" w:hAnsiTheme="minorHAnsi" w:cstheme="minorHAnsi"/>
        </w:rPr>
        <w:t xml:space="preserve"> staining intensity (PS2+) and subsequently randomised them to treatment with mirvetuximab soravtansine or standard of care therapy (non-platinum chemotherapy). Therefore, codependency of the test and drug combination is uncertain. Additionally, the MIRASOL trial cannot inform the clinical claim of superiority of FRα test and mirvetuximab soravtansine versus no testing and standard of care therapy (non-platinum chemotherapy).</w:t>
      </w:r>
    </w:p>
    <w:p w14:paraId="28221FED" w14:textId="63B31AA9" w:rsidR="00932FCD" w:rsidRPr="0032737E" w:rsidRDefault="00932FCD" w:rsidP="0032737E">
      <w:pPr>
        <w:autoSpaceDE w:val="0"/>
        <w:autoSpaceDN w:val="0"/>
        <w:adjustRightInd w:val="0"/>
        <w:rPr>
          <w:rFonts w:asciiTheme="minorHAnsi" w:hAnsiTheme="minorHAnsi" w:cstheme="minorBidi"/>
          <w:i/>
          <w:iCs/>
        </w:rPr>
      </w:pPr>
      <w:r w:rsidRPr="0032737E">
        <w:rPr>
          <w:i/>
          <w:iCs/>
        </w:rPr>
        <w:t xml:space="preserve">PASC noted that the MIRASOL trial is insufficient for either establishing a codependency or justifying the </w:t>
      </w:r>
      <w:r w:rsidRPr="0032737E">
        <w:rPr>
          <w:rFonts w:cs="Calibri"/>
          <w:i/>
          <w:iCs/>
        </w:rPr>
        <w:t>≥</w:t>
      </w:r>
      <w:r w:rsidRPr="0032737E">
        <w:rPr>
          <w:i/>
          <w:iCs/>
        </w:rPr>
        <w:t xml:space="preserve">75% of viable tumour cells with moderate [2+] or strong [3+] staining as the optimal clinical threshold, since the trial enrolled only those who met the above criteria and subsequently randomised them to treatment with mirvetuximab soravtansine or standard of care therapy (non-platinum chemotherapy). </w:t>
      </w:r>
      <w:r w:rsidRPr="0032737E">
        <w:rPr>
          <w:rFonts w:cstheme="minorHAnsi"/>
          <w:i/>
          <w:szCs w:val="20"/>
        </w:rPr>
        <w:t>Based on the results of the Phase 1 expansion study (Martin</w:t>
      </w:r>
      <w:r w:rsidR="00F703C1">
        <w:rPr>
          <w:rFonts w:cstheme="minorHAnsi"/>
          <w:i/>
          <w:szCs w:val="20"/>
        </w:rPr>
        <w:t xml:space="preserve">, </w:t>
      </w:r>
      <w:r w:rsidRPr="0032737E">
        <w:rPr>
          <w:rFonts w:cstheme="minorHAnsi"/>
          <w:i/>
          <w:szCs w:val="20"/>
        </w:rPr>
        <w:t xml:space="preserve">2017) and the Phase </w:t>
      </w:r>
      <w:r w:rsidR="00F703C1">
        <w:rPr>
          <w:rFonts w:cstheme="minorHAnsi"/>
          <w:i/>
          <w:szCs w:val="20"/>
        </w:rPr>
        <w:t>3</w:t>
      </w:r>
      <w:r w:rsidRPr="0032737E">
        <w:rPr>
          <w:rFonts w:cstheme="minorHAnsi"/>
          <w:i/>
          <w:szCs w:val="20"/>
        </w:rPr>
        <w:t xml:space="preserve"> FORWARD </w:t>
      </w:r>
      <w:r w:rsidR="00F703C1">
        <w:rPr>
          <w:rFonts w:cstheme="minorHAnsi"/>
          <w:i/>
          <w:szCs w:val="20"/>
        </w:rPr>
        <w:t>I</w:t>
      </w:r>
      <w:r w:rsidRPr="0032737E">
        <w:rPr>
          <w:rFonts w:cstheme="minorHAnsi"/>
          <w:i/>
          <w:szCs w:val="20"/>
        </w:rPr>
        <w:t xml:space="preserve"> trial, PASC noted that there is a trend towards patients with high </w:t>
      </w:r>
      <w:r w:rsidRPr="0032737E">
        <w:rPr>
          <w:rFonts w:asciiTheme="minorHAnsi" w:hAnsiTheme="minorHAnsi" w:cstheme="minorHAnsi"/>
          <w:i/>
          <w:szCs w:val="20"/>
        </w:rPr>
        <w:t>FR</w:t>
      </w:r>
      <w:r w:rsidRPr="0032737E">
        <w:rPr>
          <w:rFonts w:cs="Calibri"/>
          <w:i/>
          <w:szCs w:val="20"/>
        </w:rPr>
        <w:t xml:space="preserve">α expression having more benefit with treatment with </w:t>
      </w:r>
      <w:r w:rsidRPr="0032737E">
        <w:rPr>
          <w:rFonts w:asciiTheme="minorHAnsi" w:hAnsiTheme="minorHAnsi" w:cstheme="minorHAnsi"/>
          <w:i/>
          <w:szCs w:val="20"/>
        </w:rPr>
        <w:t>mirvetuximab soravtansine compared to patients with low/medium FR</w:t>
      </w:r>
      <w:r w:rsidRPr="0032737E">
        <w:rPr>
          <w:rFonts w:cs="Calibri"/>
          <w:i/>
          <w:szCs w:val="20"/>
        </w:rPr>
        <w:t xml:space="preserve">α expression. Therefore, PASC considered that codependency of the test and drug combination is </w:t>
      </w:r>
      <w:r w:rsidR="00B10435">
        <w:rPr>
          <w:rFonts w:cs="Calibri"/>
          <w:i/>
          <w:szCs w:val="20"/>
        </w:rPr>
        <w:t xml:space="preserve">likely </w:t>
      </w:r>
      <w:r w:rsidRPr="0032737E">
        <w:rPr>
          <w:rFonts w:cs="Calibri"/>
          <w:i/>
          <w:szCs w:val="20"/>
        </w:rPr>
        <w:t xml:space="preserve">justified. </w:t>
      </w:r>
      <w:r w:rsidRPr="0032737E">
        <w:rPr>
          <w:rFonts w:asciiTheme="minorHAnsi" w:hAnsiTheme="minorHAnsi" w:cstheme="minorHAnsi"/>
          <w:i/>
        </w:rPr>
        <w:t xml:space="preserve">PASC noted from the </w:t>
      </w:r>
      <w:r w:rsidR="00F703C1">
        <w:rPr>
          <w:rFonts w:asciiTheme="minorHAnsi" w:hAnsiTheme="minorHAnsi" w:cstheme="minorHAnsi"/>
          <w:i/>
        </w:rPr>
        <w:t>P</w:t>
      </w:r>
      <w:r w:rsidRPr="0032737E">
        <w:rPr>
          <w:rFonts w:asciiTheme="minorHAnsi" w:hAnsiTheme="minorHAnsi" w:cstheme="minorHAnsi"/>
          <w:i/>
        </w:rPr>
        <w:t xml:space="preserve">hase </w:t>
      </w:r>
      <w:r w:rsidR="00F703C1">
        <w:rPr>
          <w:rFonts w:asciiTheme="minorHAnsi" w:hAnsiTheme="minorHAnsi" w:cstheme="minorHAnsi"/>
          <w:i/>
        </w:rPr>
        <w:t>3</w:t>
      </w:r>
      <w:r w:rsidRPr="0032737E">
        <w:rPr>
          <w:rFonts w:asciiTheme="minorHAnsi" w:hAnsiTheme="minorHAnsi" w:cstheme="minorHAnsi"/>
          <w:i/>
        </w:rPr>
        <w:t xml:space="preserve"> MIRASOL key trial that patients with high FR</w:t>
      </w:r>
      <w:r w:rsidRPr="0032737E">
        <w:rPr>
          <w:rFonts w:cs="Calibri"/>
          <w:i/>
        </w:rPr>
        <w:t xml:space="preserve">α expression (defined in the trial as </w:t>
      </w:r>
      <w:r w:rsidRPr="0032737E">
        <w:rPr>
          <w:rFonts w:asciiTheme="minorHAnsi" w:hAnsiTheme="minorHAnsi" w:cstheme="minorHAnsi"/>
          <w:i/>
          <w:iCs/>
        </w:rPr>
        <w:t>≥75% of viable TCs expressing the receptor at moderate [2+] to strong [3+] staining intensity)</w:t>
      </w:r>
      <w:r w:rsidRPr="0032737E">
        <w:rPr>
          <w:rFonts w:asciiTheme="minorHAnsi" w:hAnsiTheme="minorHAnsi" w:cstheme="minorHAnsi"/>
          <w:i/>
        </w:rPr>
        <w:t xml:space="preserve"> treated with</w:t>
      </w:r>
      <w:r w:rsidRPr="0032737E">
        <w:t xml:space="preserve"> </w:t>
      </w:r>
      <w:r w:rsidRPr="0032737E">
        <w:rPr>
          <w:rFonts w:asciiTheme="minorHAnsi" w:hAnsiTheme="minorHAnsi" w:cstheme="minorHAnsi"/>
          <w:i/>
        </w:rPr>
        <w:t>mirvetuximab soravtansine demonstrated a statistically significant increase in progression free survival compared to patients with high FR</w:t>
      </w:r>
      <w:r w:rsidRPr="0032737E">
        <w:rPr>
          <w:rFonts w:cs="Calibri"/>
          <w:i/>
        </w:rPr>
        <w:t xml:space="preserve">α expression treated with chemotherapy. However, </w:t>
      </w:r>
      <w:r w:rsidRPr="0032737E">
        <w:rPr>
          <w:rFonts w:asciiTheme="minorHAnsi" w:hAnsiTheme="minorHAnsi" w:cstheme="minorBidi"/>
          <w:i/>
        </w:rPr>
        <w:t xml:space="preserve">PASC acknowledged that the incremental benefit (or lack thereof) of mirvetuximab soravtansine in patients not meeting the nominated threshold cannot be informed with </w:t>
      </w:r>
      <w:r w:rsidR="0061170A">
        <w:rPr>
          <w:rFonts w:asciiTheme="minorHAnsi" w:hAnsiTheme="minorHAnsi" w:cstheme="minorBidi"/>
          <w:i/>
        </w:rPr>
        <w:t>th</w:t>
      </w:r>
      <w:r w:rsidR="002D2122">
        <w:rPr>
          <w:rFonts w:asciiTheme="minorHAnsi" w:hAnsiTheme="minorHAnsi" w:cstheme="minorBidi"/>
          <w:i/>
        </w:rPr>
        <w:t>ese</w:t>
      </w:r>
      <w:r w:rsidR="0061170A" w:rsidRPr="0032737E">
        <w:rPr>
          <w:rFonts w:asciiTheme="minorHAnsi" w:hAnsiTheme="minorHAnsi" w:cstheme="minorBidi"/>
          <w:i/>
        </w:rPr>
        <w:t xml:space="preserve"> </w:t>
      </w:r>
      <w:r w:rsidRPr="0032737E">
        <w:rPr>
          <w:rFonts w:asciiTheme="minorHAnsi" w:hAnsiTheme="minorHAnsi" w:cstheme="minorBidi"/>
          <w:i/>
        </w:rPr>
        <w:t xml:space="preserve">data. </w:t>
      </w:r>
    </w:p>
    <w:p w14:paraId="4720AE55" w14:textId="3CBAC6AD" w:rsidR="007C7EC1" w:rsidRPr="007B0E17" w:rsidRDefault="00932FCD" w:rsidP="007B0E17">
      <w:pPr>
        <w:spacing w:after="0"/>
        <w:rPr>
          <w:rFonts w:asciiTheme="minorHAnsi" w:hAnsiTheme="minorHAnsi" w:cstheme="minorHAnsi"/>
        </w:rPr>
      </w:pPr>
      <w:r w:rsidRPr="0032737E">
        <w:rPr>
          <w:rFonts w:asciiTheme="minorHAnsi" w:hAnsiTheme="minorHAnsi" w:cstheme="minorBidi"/>
          <w:i/>
          <w:iCs/>
        </w:rPr>
        <w:t>PASC considered</w:t>
      </w:r>
      <w:r w:rsidR="002D2122">
        <w:rPr>
          <w:rFonts w:asciiTheme="minorHAnsi" w:hAnsiTheme="minorHAnsi" w:cstheme="minorBidi"/>
          <w:i/>
        </w:rPr>
        <w:t xml:space="preserve"> that</w:t>
      </w:r>
      <w:r w:rsidRPr="0032737E">
        <w:rPr>
          <w:rFonts w:asciiTheme="minorHAnsi" w:hAnsiTheme="minorHAnsi" w:cstheme="minorBidi"/>
          <w:i/>
        </w:rPr>
        <w:t xml:space="preserve"> the MIRASOL trial cannot inform the clinical claim of superiority of FRα test and mirvetuximab soravtansine versus no testing and standard of care therapy as the trial only enrolled patients who had high </w:t>
      </w:r>
      <w:r w:rsidRPr="0032737E">
        <w:rPr>
          <w:rFonts w:asciiTheme="minorHAnsi" w:hAnsiTheme="minorHAnsi" w:cstheme="minorHAnsi"/>
          <w:i/>
        </w:rPr>
        <w:t>FR</w:t>
      </w:r>
      <w:r w:rsidRPr="0032737E">
        <w:rPr>
          <w:rFonts w:cs="Calibri"/>
          <w:i/>
        </w:rPr>
        <w:t xml:space="preserve">α expression and did not include any patients who were not tested for </w:t>
      </w:r>
      <w:r w:rsidRPr="0032737E">
        <w:rPr>
          <w:rFonts w:asciiTheme="minorHAnsi" w:hAnsiTheme="minorHAnsi" w:cstheme="minorHAnsi"/>
          <w:i/>
        </w:rPr>
        <w:t>FR</w:t>
      </w:r>
      <w:r w:rsidRPr="0032737E">
        <w:rPr>
          <w:rFonts w:cs="Calibri"/>
          <w:i/>
        </w:rPr>
        <w:t>α expression. Therefore, as noted above, PASC considered that the clinical claim would be informed by indirect evidence.</w:t>
      </w:r>
    </w:p>
    <w:p w14:paraId="6069F0B5" w14:textId="77777777" w:rsidR="00D73332" w:rsidRPr="00B76399" w:rsidRDefault="00D73332" w:rsidP="00713728">
      <w:pPr>
        <w:pStyle w:val="Heading2"/>
        <w:rPr>
          <w:b/>
          <w:bCs/>
          <w:i/>
        </w:rPr>
      </w:pPr>
      <w:r w:rsidRPr="00B76399">
        <w:t>Clinical management algorithms</w:t>
      </w:r>
    </w:p>
    <w:p w14:paraId="5259AC5C" w14:textId="32AD0D14" w:rsidR="00A520C1" w:rsidRPr="00B76399" w:rsidRDefault="00A520C1" w:rsidP="00880A9A">
      <w:pPr>
        <w:rPr>
          <w:u w:val="single"/>
        </w:rPr>
      </w:pPr>
      <w:r w:rsidRPr="00B76399">
        <w:rPr>
          <w:u w:val="single"/>
        </w:rPr>
        <w:t>Current clinical management algorithm</w:t>
      </w:r>
      <w:r w:rsidR="00AC0459" w:rsidRPr="00B76399">
        <w:rPr>
          <w:u w:val="single"/>
        </w:rPr>
        <w:t xml:space="preserve"> </w:t>
      </w:r>
    </w:p>
    <w:p w14:paraId="098E989D" w14:textId="16A77CFE" w:rsidR="007F6CF0" w:rsidRDefault="00B46E71" w:rsidP="00880A9A">
      <w:r>
        <w:t xml:space="preserve">The application </w:t>
      </w:r>
      <w:r w:rsidR="0069209C">
        <w:t xml:space="preserve">outlined the </w:t>
      </w:r>
      <w:r w:rsidR="0069209C" w:rsidRPr="0069209C">
        <w:t>clinical management algorithm</w:t>
      </w:r>
      <w:r w:rsidR="0069209C">
        <w:t xml:space="preserve"> </w:t>
      </w:r>
      <w:r w:rsidR="00880A9A">
        <w:t>in the</w:t>
      </w:r>
      <w:r w:rsidR="00786AAD">
        <w:t xml:space="preserve"> PICO</w:t>
      </w:r>
      <w:r w:rsidR="00880A9A">
        <w:t xml:space="preserve"> Set Document</w:t>
      </w:r>
      <w:r w:rsidR="00786AAD">
        <w:t xml:space="preserve"> (p.9). This </w:t>
      </w:r>
      <w:r w:rsidR="000A48AD">
        <w:t>text is complemented with recommendation</w:t>
      </w:r>
      <w:r w:rsidR="00E81B1E">
        <w:t>s</w:t>
      </w:r>
      <w:r w:rsidR="000A48AD">
        <w:t xml:space="preserve"> from the</w:t>
      </w:r>
      <w:r w:rsidR="00615977">
        <w:t xml:space="preserve"> latest </w:t>
      </w:r>
      <w:r w:rsidR="00FF27C7" w:rsidRPr="00FF27C7">
        <w:t>European Society of Gynaecological Oncology</w:t>
      </w:r>
      <w:r w:rsidR="00FF27C7">
        <w:t xml:space="preserve"> (ESGO)</w:t>
      </w:r>
      <w:r w:rsidR="00FF27C7" w:rsidRPr="00FF27C7">
        <w:t>, European Society for Medical Oncology (ESMO) and European Society of Pathology</w:t>
      </w:r>
      <w:r w:rsidR="00FF27C7" w:rsidRPr="00FF27C7" w:rsidDel="00FF27C7">
        <w:t xml:space="preserve"> </w:t>
      </w:r>
      <w:r w:rsidR="00FF27C7">
        <w:t xml:space="preserve">(ESP) </w:t>
      </w:r>
      <w:r w:rsidR="00615977" w:rsidRPr="00615977">
        <w:lastRenderedPageBreak/>
        <w:t>consensus conference on ovarian</w:t>
      </w:r>
      <w:r w:rsidR="00B87D76">
        <w:t xml:space="preserve"> </w:t>
      </w:r>
      <w:r w:rsidR="00615977" w:rsidRPr="00615977">
        <w:t>cancer</w:t>
      </w:r>
      <w:r w:rsidR="00B87D76">
        <w:t xml:space="preserve"> (</w:t>
      </w:r>
      <w:r w:rsidR="0008573B" w:rsidRPr="0008573B">
        <w:t>Ledermann</w:t>
      </w:r>
      <w:r w:rsidR="0008573B">
        <w:t>, 2024)</w:t>
      </w:r>
      <w:r w:rsidR="00235616">
        <w:t xml:space="preserve"> and other sources</w:t>
      </w:r>
      <w:r w:rsidR="00B87D76">
        <w:t>.</w:t>
      </w:r>
      <w:r w:rsidR="0069209C">
        <w:t xml:space="preserve"> </w:t>
      </w:r>
      <w:r w:rsidR="003D7B98" w:rsidRPr="003D7B98">
        <w:t xml:space="preserve">The gold standard for initial management of advanced EOC management is primary cytoreductive surgery, if patients are physically able to undergo surgery and complete resection, followed by systemic neoadjuvant chemotherapy. Standard </w:t>
      </w:r>
      <w:r w:rsidR="003A5157">
        <w:t xml:space="preserve">chemotherapy </w:t>
      </w:r>
      <w:r w:rsidR="006C1B85">
        <w:t>in</w:t>
      </w:r>
      <w:r w:rsidR="006C1B85" w:rsidRPr="003D7B98">
        <w:t>cludes</w:t>
      </w:r>
      <w:r w:rsidR="003D7B98" w:rsidRPr="003D7B98">
        <w:t xml:space="preserve"> </w:t>
      </w:r>
      <w:r w:rsidR="00FE05CC">
        <w:t>platinum</w:t>
      </w:r>
      <w:r w:rsidR="003A5157">
        <w:t>-</w:t>
      </w:r>
      <w:r w:rsidR="003D7B98" w:rsidRPr="003D7B98">
        <w:t xml:space="preserve">based regimens such as carboplatin with paclitaxel, or alternatively with docetaxel or pegylated liposomal doxorubicin if paclitaxel is contraindicated. This can be given with or without concomitant bevacizumab. </w:t>
      </w:r>
      <w:r w:rsidR="00022DA6" w:rsidRPr="00FA4235">
        <w:t xml:space="preserve">Bevacizumab added to </w:t>
      </w:r>
      <w:r w:rsidR="00FE05CC" w:rsidRPr="00FA4235">
        <w:t>platinum</w:t>
      </w:r>
      <w:r w:rsidR="00DC02F6">
        <w:t>-</w:t>
      </w:r>
      <w:r w:rsidR="00022DA6" w:rsidRPr="00FA4235">
        <w:t xml:space="preserve">based </w:t>
      </w:r>
      <w:r w:rsidR="003A5157">
        <w:t xml:space="preserve">chemotherapy </w:t>
      </w:r>
      <w:r w:rsidR="00022DA6" w:rsidRPr="00FA4235">
        <w:t>and continued as maintenance increases the tumour response rate and PFS without an OS benefit (Lederman</w:t>
      </w:r>
      <w:r w:rsidR="001D1F9E" w:rsidRPr="00FA4235">
        <w:t>n, 2024)</w:t>
      </w:r>
      <w:r w:rsidR="00022DA6" w:rsidRPr="00022DA6">
        <w:t>.</w:t>
      </w:r>
      <w:r w:rsidR="00022DA6">
        <w:t xml:space="preserve"> </w:t>
      </w:r>
      <w:r w:rsidR="003D7B98" w:rsidRPr="003D7B98">
        <w:t>Following induction</w:t>
      </w:r>
      <w:r w:rsidR="000D1F7B">
        <w:t xml:space="preserve"> of</w:t>
      </w:r>
      <w:r w:rsidR="003D7B98" w:rsidRPr="003D7B98">
        <w:t xml:space="preserve"> </w:t>
      </w:r>
      <w:r w:rsidR="003A5157">
        <w:t>chemotherapy</w:t>
      </w:r>
      <w:r w:rsidR="003A5157" w:rsidRPr="003D7B98">
        <w:t xml:space="preserve"> </w:t>
      </w:r>
      <w:r w:rsidR="003D7B98" w:rsidRPr="003D7B98">
        <w:t>treatment with or without bevacizumab,</w:t>
      </w:r>
      <w:r w:rsidR="00E8638B" w:rsidRPr="00E8638B">
        <w:t xml:space="preserve"> </w:t>
      </w:r>
      <w:r w:rsidR="005218EA">
        <w:t xml:space="preserve">poly-ADP ribose </w:t>
      </w:r>
      <w:r w:rsidR="00E8638B">
        <w:t>p</w:t>
      </w:r>
      <w:r w:rsidR="00E8638B" w:rsidRPr="00E8638B">
        <w:t xml:space="preserve">olymerase inhibitors </w:t>
      </w:r>
      <w:r w:rsidR="005218EA">
        <w:t>(</w:t>
      </w:r>
      <w:r w:rsidR="00E8638B" w:rsidRPr="00E8638B">
        <w:t>PARPis</w:t>
      </w:r>
      <w:r w:rsidR="005218EA">
        <w:t xml:space="preserve">: </w:t>
      </w:r>
      <w:r w:rsidR="00E8638B" w:rsidRPr="00E8638B">
        <w:t>olaparib, niraparib and rucaparib)</w:t>
      </w:r>
      <w:r w:rsidR="003D7B98" w:rsidRPr="003D7B98">
        <w:t xml:space="preserve"> are recommended for maintenance treatment in patients with </w:t>
      </w:r>
      <w:r w:rsidR="003D7B98" w:rsidRPr="00880A9A">
        <w:rPr>
          <w:i/>
          <w:iCs/>
        </w:rPr>
        <w:t>BRCA1/2</w:t>
      </w:r>
      <w:r w:rsidR="003D7B98" w:rsidRPr="003D7B98">
        <w:t xml:space="preserve"> mutation or with homologous recombination deficiency (HRD+) </w:t>
      </w:r>
      <w:r w:rsidR="003D7B98" w:rsidRPr="00880A9A">
        <w:rPr>
          <w:i/>
          <w:iCs/>
        </w:rPr>
        <w:t>BRCA</w:t>
      </w:r>
      <w:r w:rsidR="003D7B98" w:rsidRPr="003D7B98">
        <w:t xml:space="preserve"> wildtype (wt) tumours. Under the latest PBS restrictions, these PARPis can also be given with or without bevacizumab</w:t>
      </w:r>
      <w:r w:rsidR="007F6CF0">
        <w:t>.</w:t>
      </w:r>
      <w:r w:rsidR="001A4B91" w:rsidRPr="001A4B91">
        <w:t xml:space="preserve"> </w:t>
      </w:r>
      <w:r w:rsidR="001A4B91" w:rsidRPr="00FA4235">
        <w:t xml:space="preserve">PARPis significantly prolonged PFS in the recurrent setting, when given as </w:t>
      </w:r>
      <w:r w:rsidR="001A4B91" w:rsidRPr="003A5157">
        <w:t xml:space="preserve">maintenance after </w:t>
      </w:r>
      <w:r w:rsidR="00BA5216">
        <w:t>treatment with</w:t>
      </w:r>
      <w:r w:rsidR="001A4B91" w:rsidRPr="003A5157">
        <w:t xml:space="preserve"> platinum until progression or unacceptable toxicity. T</w:t>
      </w:r>
      <w:r w:rsidR="001A4B91" w:rsidRPr="00FA4235">
        <w:t xml:space="preserve">his benefit was more pronounced in patients with a </w:t>
      </w:r>
      <w:r w:rsidR="001A4B91" w:rsidRPr="00FA4235">
        <w:rPr>
          <w:i/>
          <w:iCs/>
        </w:rPr>
        <w:t>BRCA</w:t>
      </w:r>
      <w:r w:rsidR="00E5119A" w:rsidRPr="00FA4235">
        <w:rPr>
          <w:i/>
          <w:iCs/>
        </w:rPr>
        <w:t>1/2</w:t>
      </w:r>
      <w:r w:rsidR="00E5119A" w:rsidRPr="00FA4235">
        <w:t xml:space="preserve"> </w:t>
      </w:r>
      <w:r w:rsidR="001A4B91" w:rsidRPr="00FA4235">
        <w:t>mut</w:t>
      </w:r>
      <w:r w:rsidR="00E5119A" w:rsidRPr="00FA4235">
        <w:t>ation</w:t>
      </w:r>
      <w:r w:rsidR="001A4B91" w:rsidRPr="00FA4235">
        <w:t xml:space="preserve"> but still relevant in patients with </w:t>
      </w:r>
      <w:r w:rsidR="001A4B91" w:rsidRPr="00FA4235">
        <w:rPr>
          <w:i/>
          <w:iCs/>
        </w:rPr>
        <w:t>BRCA</w:t>
      </w:r>
      <w:r w:rsidR="001A4B91" w:rsidRPr="00FA4235">
        <w:t>-wt tumours regardless of HRD status</w:t>
      </w:r>
      <w:r w:rsidR="003D4405" w:rsidRPr="00FA4235">
        <w:t xml:space="preserve"> (Ledermann, 2024)</w:t>
      </w:r>
      <w:r w:rsidR="001A4B91" w:rsidRPr="00FA4235">
        <w:t>.</w:t>
      </w:r>
    </w:p>
    <w:p w14:paraId="47628EA5" w14:textId="7DC60F7D" w:rsidR="003D7B98" w:rsidRPr="00880A9A" w:rsidRDefault="007F6CF0" w:rsidP="00880A9A">
      <w:r w:rsidRPr="007F6CF0">
        <w:t xml:space="preserve">In patients who are considered </w:t>
      </w:r>
      <w:r w:rsidR="00FE05CC">
        <w:t xml:space="preserve">platinum </w:t>
      </w:r>
      <w:r w:rsidRPr="007F6CF0">
        <w:t>sensitive and platinum is an option, carboplatin with paclitaxel, pegylated liposomal doxorubicin, or gemcitabine is recommended, with or without bevacizumab. Following induction treatment in this relapsed (second line) setting, bevacizumab can also be used for maintenance or alternatively</w:t>
      </w:r>
      <w:r w:rsidR="00FF27C7">
        <w:t>,</w:t>
      </w:r>
      <w:r w:rsidRPr="007F6CF0">
        <w:t xml:space="preserve"> olaparib monotherapy is PBS-funded for maintenance treatment in this setting for patients who have </w:t>
      </w:r>
      <w:r w:rsidRPr="00880A9A">
        <w:rPr>
          <w:i/>
          <w:iCs/>
        </w:rPr>
        <w:t>BRCA1/2</w:t>
      </w:r>
      <w:r w:rsidRPr="007F6CF0">
        <w:t xml:space="preserve"> mutations</w:t>
      </w:r>
      <w:r w:rsidR="00B67ABB">
        <w:t xml:space="preserve">. </w:t>
      </w:r>
      <w:r w:rsidR="00745007" w:rsidRPr="00454E76">
        <w:t>Of those eligible for maintenance therapy, about one-quarter of the patients initiated a maintenance regimen, and approximately 10% of those who initiated maintenance therapy completed at least 40 weeks (</w:t>
      </w:r>
      <w:r w:rsidR="00745007" w:rsidRPr="00880A9A">
        <w:t>Johnson, 2014</w:t>
      </w:r>
      <w:r w:rsidR="004A661A">
        <w:t>).</w:t>
      </w:r>
    </w:p>
    <w:p w14:paraId="355DE753" w14:textId="7851C967" w:rsidR="009234F7" w:rsidRDefault="009234F7" w:rsidP="00880A9A">
      <w:r>
        <w:t>T</w:t>
      </w:r>
      <w:r w:rsidRPr="00EA1E3B">
        <w:t>wo new classes of targeted agents have been approved for EOC</w:t>
      </w:r>
      <w:r>
        <w:t xml:space="preserve"> </w:t>
      </w:r>
      <w:r w:rsidRPr="00EA1E3B">
        <w:t xml:space="preserve">therapy in the last </w:t>
      </w:r>
      <w:r>
        <w:t>10</w:t>
      </w:r>
      <w:r w:rsidRPr="00EA1E3B">
        <w:t xml:space="preserve"> years – angiogenesis inhibitors (</w:t>
      </w:r>
      <w:r>
        <w:t>e.g.</w:t>
      </w:r>
      <w:r w:rsidR="003A186C">
        <w:t>,</w:t>
      </w:r>
      <w:r>
        <w:t xml:space="preserve"> </w:t>
      </w:r>
      <w:r w:rsidRPr="00EA1E3B">
        <w:t>bevacizumab) and PARP inhibitors (</w:t>
      </w:r>
      <w:r>
        <w:t>e.g.</w:t>
      </w:r>
      <w:r w:rsidR="003A186C">
        <w:t>,</w:t>
      </w:r>
      <w:r>
        <w:t xml:space="preserve"> </w:t>
      </w:r>
      <w:r w:rsidRPr="00EA1E3B">
        <w:t>olaparib)</w:t>
      </w:r>
      <w:r w:rsidR="00DD0C09">
        <w:t xml:space="preserve"> </w:t>
      </w:r>
      <w:r w:rsidRPr="00EA1E3B">
        <w:t>– each of which selectively impact oncogenic pathways linked to ovarian tumorigenesis</w:t>
      </w:r>
      <w:r>
        <w:t>.</w:t>
      </w:r>
      <w:r w:rsidRPr="008C71C8">
        <w:t xml:space="preserve"> One strategy designed to improve patient outcomes involves combining targeted agents, which possess distinct</w:t>
      </w:r>
      <w:r>
        <w:t xml:space="preserve"> </w:t>
      </w:r>
      <w:r w:rsidRPr="008C71C8">
        <w:t>mechanisms of action and favo</w:t>
      </w:r>
      <w:r>
        <w:t>u</w:t>
      </w:r>
      <w:r w:rsidRPr="008C71C8">
        <w:t>rable tolerability, with established chemotherapeutics</w:t>
      </w:r>
      <w:r w:rsidR="00E81B1E">
        <w:t>.</w:t>
      </w:r>
      <w:r w:rsidRPr="008C71C8">
        <w:t xml:space="preserve"> Validation of this approach</w:t>
      </w:r>
      <w:r>
        <w:t xml:space="preserve"> </w:t>
      </w:r>
      <w:r w:rsidRPr="008C71C8">
        <w:t xml:space="preserve">is exemplified by </w:t>
      </w:r>
      <w:r w:rsidR="003A5157">
        <w:t>use</w:t>
      </w:r>
      <w:r w:rsidRPr="008C71C8">
        <w:t xml:space="preserve"> of bevacizumab alongside paclitaxel, </w:t>
      </w:r>
      <w:r w:rsidR="003A5157" w:rsidRPr="007F6CF0">
        <w:t>pegylated liposomal doxorubicin</w:t>
      </w:r>
      <w:r w:rsidRPr="008C71C8">
        <w:t xml:space="preserve"> or topotecan in </w:t>
      </w:r>
      <w:r w:rsidR="00FE05CC">
        <w:t xml:space="preserve">platinum </w:t>
      </w:r>
      <w:r w:rsidRPr="008C71C8">
        <w:t>resistant,</w:t>
      </w:r>
      <w:r>
        <w:t xml:space="preserve"> </w:t>
      </w:r>
      <w:r w:rsidRPr="008C71C8">
        <w:t>recurrent disease</w:t>
      </w:r>
      <w:r>
        <w:t xml:space="preserve"> </w:t>
      </w:r>
      <w:r w:rsidR="00DD0C09">
        <w:t>(</w:t>
      </w:r>
      <w:r w:rsidR="00DD0C09" w:rsidRPr="00EE6E1E">
        <w:t>Moore, 2018)</w:t>
      </w:r>
      <w:r w:rsidR="003A5157">
        <w:t>.</w:t>
      </w:r>
    </w:p>
    <w:p w14:paraId="48AB985E" w14:textId="79F00480" w:rsidR="009234F7" w:rsidRDefault="009234F7" w:rsidP="00880A9A">
      <w:r>
        <w:t>B</w:t>
      </w:r>
      <w:r w:rsidRPr="008C71C8">
        <w:t>evacizumab</w:t>
      </w:r>
      <w:r>
        <w:t xml:space="preserve"> </w:t>
      </w:r>
      <w:r w:rsidRPr="00F17399">
        <w:t>(a vascular endothelial growth factor inhibitor</w:t>
      </w:r>
      <w:r w:rsidR="00FE679E">
        <w:t>)</w:t>
      </w:r>
      <w:r>
        <w:t xml:space="preserve"> was first listed on PBS on 1 August 2014 initially as a restricted listing.</w:t>
      </w:r>
      <w:r w:rsidRPr="00DF1069">
        <w:t xml:space="preserve"> As of 1 June 2021, bevacizumab is available on the PBS as an unrestricted </w:t>
      </w:r>
      <w:r w:rsidRPr="00880A9A">
        <w:t>benefit.</w:t>
      </w:r>
      <w:r w:rsidR="00356E14" w:rsidRPr="00880A9A">
        <w:t xml:space="preserve"> </w:t>
      </w:r>
      <w:r w:rsidR="00880A9A" w:rsidRPr="00880A9A">
        <w:t>The r</w:t>
      </w:r>
      <w:r w:rsidRPr="00880A9A">
        <w:t xml:space="preserve">ecommended dose </w:t>
      </w:r>
      <w:r w:rsidR="00880A9A" w:rsidRPr="00880A9A">
        <w:t xml:space="preserve">is </w:t>
      </w:r>
      <w:r w:rsidRPr="00880A9A">
        <w:t>10 mg</w:t>
      </w:r>
      <w:r w:rsidRPr="005C51C1">
        <w:t xml:space="preserve">/kg body weight given once every </w:t>
      </w:r>
      <w:r w:rsidR="001E5886">
        <w:t>two</w:t>
      </w:r>
      <w:r w:rsidRPr="005C51C1">
        <w:t xml:space="preserve"> weeks when administered in combination with one of the following agents – paclitaxel or topotecan (given weekly) or pegylated liposomal doxorubicin. Alternatively, 15 mg/kg every</w:t>
      </w:r>
      <w:r w:rsidR="001E5886">
        <w:t xml:space="preserve"> three</w:t>
      </w:r>
      <w:r w:rsidRPr="005C51C1">
        <w:t xml:space="preserve"> weeks when administered in combination with topotecan given on days 1-5, every </w:t>
      </w:r>
      <w:r w:rsidR="001E5886">
        <w:t>three</w:t>
      </w:r>
      <w:r w:rsidR="001E5886" w:rsidRPr="005C51C1">
        <w:t xml:space="preserve"> </w:t>
      </w:r>
      <w:r w:rsidRPr="005C51C1">
        <w:t>weeks</w:t>
      </w:r>
      <w:r w:rsidR="00356E14">
        <w:t xml:space="preserve"> (TGA, 2022)</w:t>
      </w:r>
      <w:r w:rsidRPr="005C51C1">
        <w:t>.</w:t>
      </w:r>
    </w:p>
    <w:p w14:paraId="58C18662" w14:textId="506342E1" w:rsidR="00584535" w:rsidRPr="00FE2746" w:rsidRDefault="001D650C" w:rsidP="00880A9A">
      <w:r w:rsidRPr="00A84582">
        <w:t xml:space="preserve">In the </w:t>
      </w:r>
      <w:r w:rsidR="00FE05CC">
        <w:t xml:space="preserve">platinum </w:t>
      </w:r>
      <w:r w:rsidRPr="00A84582">
        <w:t>resistant setting, treatment involves a number of non</w:t>
      </w:r>
      <w:r w:rsidR="00BA5216">
        <w:t>-</w:t>
      </w:r>
      <w:r w:rsidRPr="00A84582">
        <w:t xml:space="preserve">platinum </w:t>
      </w:r>
      <w:r w:rsidRPr="00320D02">
        <w:t>cytotoxic</w:t>
      </w:r>
      <w:r w:rsidRPr="00A84582">
        <w:t xml:space="preserve"> agents including paclitaxel, </w:t>
      </w:r>
      <w:r w:rsidRPr="00F56521">
        <w:t>docetaxel,</w:t>
      </w:r>
      <w:r w:rsidRPr="00A84582">
        <w:t xml:space="preserve"> </w:t>
      </w:r>
      <w:r w:rsidR="003A5157" w:rsidRPr="007F6CF0">
        <w:t>pegylated liposomal doxorubicin</w:t>
      </w:r>
      <w:r w:rsidRPr="00A84582">
        <w:t>, gemcitabine and topotecan</w:t>
      </w:r>
      <w:r w:rsidR="00A809CB">
        <w:t>.</w:t>
      </w:r>
      <w:r>
        <w:t xml:space="preserve"> </w:t>
      </w:r>
      <w:r w:rsidR="00FE679E">
        <w:t xml:space="preserve">The </w:t>
      </w:r>
      <w:r w:rsidR="00D11B70" w:rsidRPr="003A5157">
        <w:t>choice of non-platinum chemothera</w:t>
      </w:r>
      <w:r w:rsidR="00D11B70" w:rsidRPr="00FA4235">
        <w:t>py is dependent on patient characteristics, previous treatment and clinician and patient’s preferences</w:t>
      </w:r>
      <w:r w:rsidR="00B5453F" w:rsidRPr="00FA4235">
        <w:t xml:space="preserve">. </w:t>
      </w:r>
      <w:r w:rsidR="00626E2F" w:rsidRPr="00FA4235">
        <w:t>Non</w:t>
      </w:r>
      <w:r w:rsidR="00880A9A" w:rsidRPr="00FA4235">
        <w:t>-</w:t>
      </w:r>
      <w:r w:rsidR="00626E2F" w:rsidRPr="00FA4235">
        <w:t xml:space="preserve">platinum chemotherapy is given alone or with bevacizumab (González-Martín, </w:t>
      </w:r>
      <w:r w:rsidR="00626E2F" w:rsidRPr="00FA4235">
        <w:lastRenderedPageBreak/>
        <w:t>2013; Pujade-Lauraine 2014</w:t>
      </w:r>
      <w:r w:rsidR="00626E2F" w:rsidRPr="004E4BD3">
        <w:t xml:space="preserve">). </w:t>
      </w:r>
      <w:r w:rsidR="002C3CEB" w:rsidRPr="00FA4235">
        <w:t>The PROC</w:t>
      </w:r>
      <w:r w:rsidR="00572AE0" w:rsidRPr="00FA4235">
        <w:t xml:space="preserve"> chemotherapies</w:t>
      </w:r>
      <w:r w:rsidR="00021B2E" w:rsidRPr="00FA4235">
        <w:t xml:space="preserve"> are associated with increased </w:t>
      </w:r>
      <w:r w:rsidR="00021B2E" w:rsidRPr="003A5157">
        <w:t xml:space="preserve">toxicity </w:t>
      </w:r>
      <w:r w:rsidR="00FE679E" w:rsidRPr="003A5157">
        <w:t>and</w:t>
      </w:r>
      <w:r w:rsidR="00021B2E" w:rsidRPr="003A5157">
        <w:t xml:space="preserve"> response rates are below 20%, PFS of </w:t>
      </w:r>
      <w:r w:rsidR="00880A9A" w:rsidRPr="003A5157">
        <w:t>three to four</w:t>
      </w:r>
      <w:r w:rsidR="00021B2E" w:rsidRPr="003A5157">
        <w:t xml:space="preserve"> months and median OS less than a year (Moore, 2018).</w:t>
      </w:r>
      <w:r w:rsidR="00021B2E" w:rsidRPr="00C86EA1">
        <w:t xml:space="preserve"> </w:t>
      </w:r>
    </w:p>
    <w:p w14:paraId="279163E7" w14:textId="34E166E6" w:rsidR="00D603EC" w:rsidRDefault="00584535" w:rsidP="00880A9A">
      <w:r w:rsidRPr="00F369F6">
        <w:t>Each successive line of therapy in PROC is associated with progressively lower response rates</w:t>
      </w:r>
      <w:r>
        <w:t>.</w:t>
      </w:r>
      <w:r w:rsidRPr="00F369F6">
        <w:t xml:space="preserve"> Approval of bevacizumab in combination with chemotherapy for patients with PROC was based on the AURELIA study, in which the control arm of single-agent chemotherapy was associated with an ORR of 11.8% and a median </w:t>
      </w:r>
      <w:r w:rsidR="00FF27C7">
        <w:t>duration of response</w:t>
      </w:r>
      <w:r w:rsidR="00FF27C7" w:rsidRPr="00F369F6">
        <w:t xml:space="preserve"> </w:t>
      </w:r>
      <w:r w:rsidRPr="00F369F6">
        <w:t xml:space="preserve">of 5.4 months. </w:t>
      </w:r>
      <w:r>
        <w:t>Three</w:t>
      </w:r>
      <w:r w:rsidRPr="00F369F6">
        <w:t xml:space="preserve"> recent </w:t>
      </w:r>
      <w:r w:rsidR="00FF27C7">
        <w:t>P</w:t>
      </w:r>
      <w:r w:rsidRPr="00F369F6">
        <w:t xml:space="preserve">hase </w:t>
      </w:r>
      <w:r w:rsidR="00FF27C7">
        <w:t>3</w:t>
      </w:r>
      <w:r w:rsidR="00FF27C7" w:rsidRPr="00F369F6">
        <w:t xml:space="preserve"> </w:t>
      </w:r>
      <w:r w:rsidRPr="00F369F6">
        <w:t xml:space="preserve">studies (CORAIL, NINJA, and JAVELIN Ovarian 200) conducted in patients with PROC have reported similar outcomes for </w:t>
      </w:r>
      <w:r w:rsidRPr="007E173A">
        <w:t>non</w:t>
      </w:r>
      <w:r w:rsidR="00880A9A">
        <w:t>-</w:t>
      </w:r>
      <w:r w:rsidRPr="007E173A">
        <w:t>platinum chemotherapy alone</w:t>
      </w:r>
      <w:r w:rsidRPr="00827675">
        <w:t xml:space="preserve"> </w:t>
      </w:r>
      <w:r w:rsidRPr="00F369F6">
        <w:t>(ORR range, 4%-13%; DOR range, 3.7-13.1 months)</w:t>
      </w:r>
      <w:r>
        <w:t xml:space="preserve"> (</w:t>
      </w:r>
      <w:r w:rsidRPr="00B92B5C">
        <w:t>Gaillard</w:t>
      </w:r>
      <w:r>
        <w:t>, 2021;</w:t>
      </w:r>
      <w:r w:rsidRPr="00B92B5C">
        <w:rPr>
          <w:rFonts w:ascii="Segoe UI" w:hAnsi="Segoe UI" w:cs="Segoe UI"/>
          <w:color w:val="505050"/>
          <w:spacing w:val="5"/>
          <w:sz w:val="21"/>
          <w:szCs w:val="21"/>
          <w:shd w:val="clear" w:color="auto" w:fill="FFFFFF"/>
        </w:rPr>
        <w:t xml:space="preserve"> </w:t>
      </w:r>
      <w:r w:rsidRPr="00B92B5C">
        <w:t>Hamanishi</w:t>
      </w:r>
      <w:r>
        <w:t xml:space="preserve"> 2021;</w:t>
      </w:r>
      <w:r w:rsidRPr="00951343">
        <w:rPr>
          <w:rFonts w:ascii="Segoe UI" w:hAnsi="Segoe UI" w:cs="Segoe UI"/>
          <w:color w:val="505050"/>
          <w:spacing w:val="5"/>
          <w:sz w:val="21"/>
          <w:szCs w:val="21"/>
          <w:shd w:val="clear" w:color="auto" w:fill="FFFFFF"/>
        </w:rPr>
        <w:t xml:space="preserve"> </w:t>
      </w:r>
      <w:r w:rsidRPr="00CF2A6F">
        <w:t>Pujade-Lauraine</w:t>
      </w:r>
      <w:r>
        <w:t xml:space="preserve"> 2021)</w:t>
      </w:r>
      <w:r w:rsidRPr="00F369F6">
        <w:t>.</w:t>
      </w:r>
      <w:r w:rsidR="00D603EC">
        <w:t xml:space="preserve"> </w:t>
      </w:r>
    </w:p>
    <w:p w14:paraId="6CE85995" w14:textId="68768CB1" w:rsidR="00ED541F" w:rsidRDefault="005218EA" w:rsidP="00880A9A">
      <w:r>
        <w:t>PSOC</w:t>
      </w:r>
      <w:r w:rsidR="00ED541F" w:rsidRPr="004A375F">
        <w:t xml:space="preserve"> has a median survival of 2 years, with a range of 3 months to over 10 years. </w:t>
      </w:r>
      <w:r>
        <w:t>PROC</w:t>
      </w:r>
      <w:r w:rsidR="00ED541F" w:rsidRPr="004A375F">
        <w:t xml:space="preserve"> has a median survival of </w:t>
      </w:r>
      <w:r w:rsidR="00880A9A">
        <w:t xml:space="preserve">nine to </w:t>
      </w:r>
      <w:r w:rsidR="00ED541F" w:rsidRPr="004A375F">
        <w:t>12 months and less than 15% respond to subsequent chemotherapy (Davis</w:t>
      </w:r>
      <w:r w:rsidR="00880A9A">
        <w:t>,</w:t>
      </w:r>
      <w:r w:rsidR="00ED541F" w:rsidRPr="004A375F">
        <w:t xml:space="preserve"> 2014)</w:t>
      </w:r>
      <w:r w:rsidR="00E84811">
        <w:t>.</w:t>
      </w:r>
    </w:p>
    <w:p w14:paraId="7EC88163" w14:textId="5C771A72" w:rsidR="004C34C9" w:rsidRDefault="00880A9A" w:rsidP="00880A9A">
      <w:r>
        <w:fldChar w:fldCharType="begin"/>
      </w:r>
      <w:r>
        <w:instrText xml:space="preserve"> REF _Ref181925901 \h  \* MERGEFORMAT </w:instrText>
      </w:r>
      <w:r>
        <w:fldChar w:fldCharType="separate"/>
      </w:r>
      <w:r w:rsidR="003B43AD" w:rsidRPr="003B43AD">
        <w:t xml:space="preserve">Figure </w:t>
      </w:r>
      <w:r w:rsidR="003B43AD" w:rsidRPr="0032737E">
        <w:t>2</w:t>
      </w:r>
      <w:r>
        <w:fldChar w:fldCharType="end"/>
      </w:r>
      <w:r>
        <w:t xml:space="preserve"> </w:t>
      </w:r>
      <w:r w:rsidR="00E103F3">
        <w:t>reproduces</w:t>
      </w:r>
      <w:r w:rsidR="004C34C9">
        <w:t xml:space="preserve"> the </w:t>
      </w:r>
      <w:r w:rsidR="004C34C9" w:rsidRPr="00E103F3">
        <w:t xml:space="preserve">current </w:t>
      </w:r>
      <w:r w:rsidR="00712BAB" w:rsidRPr="00E103F3">
        <w:t xml:space="preserve">clinical management </w:t>
      </w:r>
      <w:r w:rsidR="00D926B4" w:rsidRPr="00E103F3">
        <w:t>algorithm</w:t>
      </w:r>
      <w:r w:rsidR="00E103F3">
        <w:t xml:space="preserve"> as </w:t>
      </w:r>
      <w:r w:rsidR="00ED12F3">
        <w:t>presented in the PICO</w:t>
      </w:r>
      <w:r w:rsidR="00C26C93">
        <w:t xml:space="preserve"> </w:t>
      </w:r>
      <w:r>
        <w:t>Set Document</w:t>
      </w:r>
      <w:r w:rsidR="00D926B4">
        <w:t>.</w:t>
      </w:r>
    </w:p>
    <w:p w14:paraId="7579C621" w14:textId="77777777" w:rsidR="00C212C6" w:rsidRDefault="00C212C6" w:rsidP="00C212C6">
      <w:pPr>
        <w:keepNext/>
        <w:keepLines/>
        <w:rPr>
          <w:rFonts w:ascii="Arial" w:hAnsi="Arial" w:cs="Arial"/>
          <w:noProof/>
        </w:rPr>
      </w:pPr>
      <w:r>
        <w:rPr>
          <w:rFonts w:ascii="Arial" w:hAnsi="Arial" w:cs="Arial"/>
          <w:noProof/>
        </w:rPr>
        <w:lastRenderedPageBreak/>
        <w:drawing>
          <wp:inline distT="0" distB="0" distL="0" distR="0" wp14:anchorId="6E975841" wp14:editId="236B51CC">
            <wp:extent cx="5897880" cy="5676485"/>
            <wp:effectExtent l="19050" t="19050" r="26670" b="19685"/>
            <wp:docPr id="1497394160" name="Picture 3" descr="Figure 2 Current treatment algorithm for epithelial ovarian cancer.&#10;&#10;Provides a flowchart depicting current treatment options as patients progress through various lines of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94160" name="Picture 3" descr="Figure 2 Current treatment algorithm for epithelial ovarian cancer.&#10;&#10;Provides a flowchart depicting current treatment options as patients progress through various lines of treatmen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897880" cy="567648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41D5C5C" w14:textId="4856D75C" w:rsidR="00880A9A" w:rsidRPr="004B3C12" w:rsidRDefault="00880A9A" w:rsidP="00880A9A">
      <w:pPr>
        <w:pStyle w:val="Caption"/>
        <w:keepLines/>
        <w:spacing w:before="240"/>
        <w:rPr>
          <w:rFonts w:cs="Arial"/>
          <w:b w:val="0"/>
          <w:bCs/>
          <w:i/>
          <w:iCs/>
        </w:rPr>
      </w:pPr>
      <w:bookmarkStart w:id="5" w:name="_Ref181925901"/>
      <w:r w:rsidRPr="004B3C12">
        <w:rPr>
          <w:rFonts w:cs="Arial"/>
          <w:bCs/>
        </w:rPr>
        <w:t xml:space="preserve">Figure </w:t>
      </w:r>
      <w:r w:rsidRPr="004B3C12">
        <w:rPr>
          <w:rFonts w:cs="Arial"/>
          <w:b w:val="0"/>
          <w:bCs/>
          <w:i/>
          <w:iCs/>
        </w:rPr>
        <w:fldChar w:fldCharType="begin"/>
      </w:r>
      <w:r w:rsidRPr="004B3C12">
        <w:rPr>
          <w:rFonts w:cs="Arial"/>
          <w:bCs/>
        </w:rPr>
        <w:instrText xml:space="preserve"> SEQ Figure \* ARABIC </w:instrText>
      </w:r>
      <w:r w:rsidRPr="004B3C12">
        <w:rPr>
          <w:rFonts w:cs="Arial"/>
          <w:b w:val="0"/>
          <w:bCs/>
          <w:i/>
          <w:iCs/>
        </w:rPr>
        <w:fldChar w:fldCharType="separate"/>
      </w:r>
      <w:r w:rsidR="003B43AD">
        <w:rPr>
          <w:rFonts w:cs="Arial"/>
          <w:bCs/>
          <w:noProof/>
        </w:rPr>
        <w:t>2</w:t>
      </w:r>
      <w:r w:rsidRPr="004B3C12">
        <w:rPr>
          <w:rFonts w:cs="Arial"/>
          <w:b w:val="0"/>
          <w:bCs/>
          <w:i/>
          <w:iCs/>
        </w:rPr>
        <w:fldChar w:fldCharType="end"/>
      </w:r>
      <w:bookmarkEnd w:id="5"/>
      <w:r w:rsidRPr="004B3C12">
        <w:rPr>
          <w:rFonts w:cs="Arial"/>
          <w:bCs/>
        </w:rPr>
        <w:tab/>
        <w:t>Current treatment algorithm for epithelial ovarian cancer</w:t>
      </w:r>
    </w:p>
    <w:p w14:paraId="5BB2CC1C" w14:textId="2370E666" w:rsidR="00C212C6" w:rsidRPr="004B3C12" w:rsidRDefault="00C212C6" w:rsidP="00C212C6">
      <w:pPr>
        <w:keepNext/>
        <w:spacing w:after="0"/>
        <w:rPr>
          <w:rFonts w:ascii="Arial Narrow" w:hAnsi="Arial Narrow" w:cs="Arial"/>
          <w:sz w:val="18"/>
          <w:szCs w:val="18"/>
          <w:lang w:val="en-US"/>
        </w:rPr>
      </w:pPr>
      <w:r w:rsidRPr="004B3C12">
        <w:rPr>
          <w:rFonts w:ascii="Arial Narrow" w:hAnsi="Arial Narrow" w:cs="Arial"/>
          <w:sz w:val="18"/>
          <w:szCs w:val="18"/>
        </w:rPr>
        <w:t xml:space="preserve">Source: </w:t>
      </w:r>
      <w:r w:rsidR="005218EA">
        <w:rPr>
          <w:rFonts w:ascii="Arial Narrow" w:hAnsi="Arial Narrow" w:cs="Arial"/>
          <w:sz w:val="18"/>
          <w:szCs w:val="18"/>
        </w:rPr>
        <w:t>PICO Set Figure 1</w:t>
      </w:r>
      <w:r w:rsidRPr="004B3C12">
        <w:rPr>
          <w:rFonts w:ascii="Arial Narrow" w:hAnsi="Arial Narrow" w:cs="Arial"/>
          <w:sz w:val="18"/>
          <w:szCs w:val="18"/>
        </w:rPr>
        <w:t xml:space="preserve">. </w:t>
      </w:r>
      <w:r w:rsidRPr="004B3C12">
        <w:rPr>
          <w:rFonts w:ascii="Arial Narrow" w:hAnsi="Arial Narrow" w:cs="Arial"/>
          <w:sz w:val="18"/>
          <w:szCs w:val="18"/>
        </w:rPr>
        <w:br/>
        <w:t xml:space="preserve">Abbreviations: </w:t>
      </w:r>
      <w:r w:rsidR="00932FCD">
        <w:rPr>
          <w:rFonts w:ascii="Arial Narrow" w:hAnsi="Arial Narrow" w:cs="Arial"/>
          <w:sz w:val="18"/>
          <w:szCs w:val="18"/>
        </w:rPr>
        <w:t xml:space="preserve">+, positive; </w:t>
      </w:r>
      <w:r w:rsidRPr="004B3C12">
        <w:rPr>
          <w:rFonts w:ascii="Arial Narrow" w:hAnsi="Arial Narrow" w:cs="Arial"/>
          <w:sz w:val="18"/>
          <w:szCs w:val="18"/>
        </w:rPr>
        <w:t xml:space="preserve">+/-, with or without; BRCA, breast cancer gene; </w:t>
      </w:r>
      <w:r w:rsidR="00932FCD" w:rsidRPr="004B3C12">
        <w:rPr>
          <w:rFonts w:ascii="Arial Narrow" w:hAnsi="Arial Narrow" w:cs="Arial"/>
          <w:sz w:val="18"/>
          <w:szCs w:val="18"/>
        </w:rPr>
        <w:t>HRD, homologous recombination deficiency</w:t>
      </w:r>
      <w:r w:rsidR="00932FCD">
        <w:rPr>
          <w:rFonts w:ascii="Arial Narrow" w:hAnsi="Arial Narrow" w:cs="Arial"/>
          <w:sz w:val="18"/>
          <w:szCs w:val="18"/>
        </w:rPr>
        <w:t>;</w:t>
      </w:r>
      <w:r w:rsidR="00932FCD" w:rsidRPr="004B3C12">
        <w:rPr>
          <w:rFonts w:ascii="Arial Narrow" w:hAnsi="Arial Narrow" w:cs="Arial"/>
          <w:sz w:val="18"/>
          <w:szCs w:val="18"/>
        </w:rPr>
        <w:t xml:space="preserve"> </w:t>
      </w:r>
      <w:r w:rsidRPr="004B3C12">
        <w:rPr>
          <w:rFonts w:ascii="Arial Narrow" w:hAnsi="Arial Narrow" w:cs="Arial"/>
          <w:sz w:val="18"/>
          <w:szCs w:val="18"/>
        </w:rPr>
        <w:t xml:space="preserve">PARPi, poly (ADP-ribose) polymerase inhibitor; PFI, </w:t>
      </w:r>
      <w:r w:rsidR="00FE05CC" w:rsidRPr="00880A9A">
        <w:rPr>
          <w:rFonts w:ascii="Arial Narrow" w:hAnsi="Arial Narrow" w:cs="Arial"/>
          <w:sz w:val="18"/>
          <w:szCs w:val="18"/>
        </w:rPr>
        <w:t xml:space="preserve">platinum </w:t>
      </w:r>
      <w:r w:rsidRPr="004B3C12">
        <w:rPr>
          <w:rFonts w:ascii="Arial Narrow" w:hAnsi="Arial Narrow" w:cs="Arial"/>
          <w:sz w:val="18"/>
          <w:szCs w:val="18"/>
        </w:rPr>
        <w:t>free interval until relapse; PLD, pegylated liposomal doxorubicin</w:t>
      </w:r>
      <w:r w:rsidR="00932FCD">
        <w:rPr>
          <w:rFonts w:ascii="Arial Narrow" w:hAnsi="Arial Narrow" w:cs="Arial"/>
          <w:sz w:val="18"/>
          <w:szCs w:val="18"/>
        </w:rPr>
        <w:t>; PROC, platinum resistant ovarian cancer; PSOC, platinum sensitive ovarian cancer; wt, wild-type</w:t>
      </w:r>
      <w:r w:rsidRPr="004B3C12">
        <w:rPr>
          <w:rFonts w:ascii="Arial Narrow" w:hAnsi="Arial Narrow" w:cs="Arial"/>
          <w:sz w:val="18"/>
          <w:szCs w:val="18"/>
        </w:rPr>
        <w:t>..</w:t>
      </w:r>
      <w:r w:rsidRPr="004B3C12">
        <w:rPr>
          <w:rFonts w:ascii="Arial Narrow" w:hAnsi="Arial Narrow" w:cs="Arial"/>
          <w:sz w:val="18"/>
          <w:szCs w:val="18"/>
        </w:rPr>
        <w:br/>
      </w:r>
      <w:r w:rsidRPr="004B3C12">
        <w:rPr>
          <w:rFonts w:ascii="Arial Narrow" w:hAnsi="Arial Narrow" w:cs="Arial"/>
          <w:sz w:val="18"/>
          <w:szCs w:val="18"/>
          <w:lang w:val="en-US"/>
        </w:rPr>
        <w:t xml:space="preserve">1. PSOC = platinum sensitive ovarian cancer. Traditionally defined as a </w:t>
      </w:r>
      <w:r w:rsidR="00FE05CC" w:rsidRPr="00880A9A">
        <w:rPr>
          <w:rFonts w:ascii="Arial Narrow" w:hAnsi="Arial Narrow" w:cs="Arial"/>
          <w:sz w:val="18"/>
          <w:szCs w:val="18"/>
          <w:lang w:val="en-US"/>
        </w:rPr>
        <w:t xml:space="preserve">platinum </w:t>
      </w:r>
      <w:r w:rsidRPr="004B3C12">
        <w:rPr>
          <w:rFonts w:ascii="Arial Narrow" w:hAnsi="Arial Narrow" w:cs="Arial"/>
          <w:sz w:val="18"/>
          <w:szCs w:val="18"/>
          <w:lang w:val="en-US"/>
        </w:rPr>
        <w:t>free interval before recurrence of ≥6 months. Latest guidelines by ESMO indicate this decision is driven by several patient characteristics.</w:t>
      </w:r>
    </w:p>
    <w:p w14:paraId="754D2C34" w14:textId="5311F17B" w:rsidR="00C212C6" w:rsidRPr="004B3C12" w:rsidRDefault="00C212C6" w:rsidP="00C212C6">
      <w:pPr>
        <w:keepNext/>
        <w:spacing w:after="0"/>
        <w:rPr>
          <w:rFonts w:ascii="Arial Narrow" w:hAnsi="Arial Narrow" w:cs="Arial"/>
          <w:sz w:val="18"/>
          <w:szCs w:val="18"/>
          <w:lang w:val="en-US"/>
        </w:rPr>
      </w:pPr>
      <w:r w:rsidRPr="004B3C12">
        <w:rPr>
          <w:rFonts w:ascii="Arial Narrow" w:hAnsi="Arial Narrow" w:cs="Arial"/>
          <w:sz w:val="18"/>
          <w:szCs w:val="18"/>
          <w:lang w:val="en-US"/>
        </w:rPr>
        <w:t xml:space="preserve">2. PROC = </w:t>
      </w:r>
      <w:r w:rsidR="00FE05CC" w:rsidRPr="00880A9A">
        <w:rPr>
          <w:rFonts w:ascii="Arial Narrow" w:hAnsi="Arial Narrow" w:cs="Arial"/>
          <w:sz w:val="18"/>
          <w:szCs w:val="18"/>
          <w:lang w:val="en-US"/>
        </w:rPr>
        <w:t xml:space="preserve">platinum </w:t>
      </w:r>
      <w:r w:rsidRPr="004B3C12">
        <w:rPr>
          <w:rFonts w:ascii="Arial Narrow" w:hAnsi="Arial Narrow" w:cs="Arial"/>
          <w:sz w:val="18"/>
          <w:szCs w:val="18"/>
          <w:lang w:val="en-US"/>
        </w:rPr>
        <w:t xml:space="preserve">resistant ovarian cancer. Traditionally defined as a </w:t>
      </w:r>
      <w:r w:rsidR="00FE05CC" w:rsidRPr="00880A9A">
        <w:rPr>
          <w:rFonts w:ascii="Arial Narrow" w:hAnsi="Arial Narrow" w:cs="Arial"/>
          <w:sz w:val="18"/>
          <w:szCs w:val="18"/>
          <w:lang w:val="en-US"/>
        </w:rPr>
        <w:t xml:space="preserve">platinum </w:t>
      </w:r>
      <w:r w:rsidRPr="004B3C12">
        <w:rPr>
          <w:rFonts w:ascii="Arial Narrow" w:hAnsi="Arial Narrow" w:cs="Arial"/>
          <w:sz w:val="18"/>
          <w:szCs w:val="18"/>
          <w:lang w:val="en-US"/>
        </w:rPr>
        <w:t>free interval before recurrence of ≤6 months. Latest guidelines by ESMO (2023) indicate this decision is driven by several patient characteristics.</w:t>
      </w:r>
    </w:p>
    <w:p w14:paraId="32C83037" w14:textId="34735425" w:rsidR="00E103F3" w:rsidRPr="004B3C12" w:rsidRDefault="00C212C6" w:rsidP="007649DC">
      <w:pPr>
        <w:keepNext/>
        <w:spacing w:after="0"/>
        <w:rPr>
          <w:rFonts w:ascii="Arial Narrow" w:hAnsi="Arial Narrow" w:cs="Arial"/>
          <w:sz w:val="20"/>
          <w:szCs w:val="20"/>
        </w:rPr>
      </w:pPr>
      <w:r w:rsidRPr="00DC02F6">
        <w:rPr>
          <w:rFonts w:ascii="Arial Narrow" w:hAnsi="Arial Narrow" w:cs="Arial"/>
          <w:sz w:val="18"/>
          <w:szCs w:val="18"/>
          <w:lang w:val="en-US"/>
        </w:rPr>
        <w:t>Dashed lines</w:t>
      </w:r>
      <w:r w:rsidRPr="004B3C12">
        <w:rPr>
          <w:rFonts w:ascii="Arial Narrow" w:hAnsi="Arial Narrow" w:cs="Arial"/>
          <w:sz w:val="18"/>
          <w:szCs w:val="18"/>
          <w:lang w:val="en-US"/>
        </w:rPr>
        <w:t xml:space="preserve"> indicate how </w:t>
      </w:r>
      <w:r w:rsidR="00FE05CC" w:rsidRPr="00880A9A">
        <w:rPr>
          <w:rFonts w:ascii="Arial Narrow" w:hAnsi="Arial Narrow" w:cs="Arial"/>
          <w:sz w:val="18"/>
          <w:szCs w:val="18"/>
          <w:lang w:val="en-US"/>
        </w:rPr>
        <w:t xml:space="preserve">platinum </w:t>
      </w:r>
      <w:r w:rsidRPr="004B3C12">
        <w:rPr>
          <w:rFonts w:ascii="Arial Narrow" w:hAnsi="Arial Narrow" w:cs="Arial"/>
          <w:sz w:val="18"/>
          <w:szCs w:val="18"/>
          <w:lang w:val="en-US"/>
        </w:rPr>
        <w:t>sensitive patients may become platinum resistant while progressing through therapy lines.</w:t>
      </w:r>
    </w:p>
    <w:p w14:paraId="1484DDB4" w14:textId="5471F4C6" w:rsidR="00E2397A" w:rsidRDefault="00276F55" w:rsidP="008C71C8">
      <w:pPr>
        <w:pStyle w:val="Instructionaltext"/>
        <w:rPr>
          <w:color w:val="auto"/>
        </w:rPr>
      </w:pPr>
      <w:bookmarkStart w:id="6" w:name="_Hlk181303554"/>
      <w:r>
        <w:rPr>
          <w:color w:val="auto"/>
          <w:u w:val="single"/>
        </w:rPr>
        <w:t>Proposed</w:t>
      </w:r>
      <w:r w:rsidR="00E2397A" w:rsidRPr="00E2397A">
        <w:rPr>
          <w:color w:val="auto"/>
          <w:u w:val="single"/>
        </w:rPr>
        <w:t xml:space="preserve"> clinical management </w:t>
      </w:r>
      <w:bookmarkEnd w:id="6"/>
      <w:r w:rsidR="00E2397A" w:rsidRPr="00E2397A">
        <w:rPr>
          <w:color w:val="auto"/>
          <w:u w:val="single"/>
        </w:rPr>
        <w:t>algorithm</w:t>
      </w:r>
    </w:p>
    <w:p w14:paraId="3888B6E3" w14:textId="2AE33DE7" w:rsidR="00276F55" w:rsidRDefault="00B33BD4" w:rsidP="004B3C12">
      <w:r w:rsidRPr="00B33BD4">
        <w:t>The application position</w:t>
      </w:r>
      <w:r w:rsidR="008B430C">
        <w:t xml:space="preserve">ed </w:t>
      </w:r>
      <w:r w:rsidRPr="00B33BD4">
        <w:t xml:space="preserve">mirvetuximab soravtansine </w:t>
      </w:r>
      <w:r w:rsidR="001812F4">
        <w:t xml:space="preserve">in </w:t>
      </w:r>
      <w:r w:rsidR="009C7F6B" w:rsidRPr="009C7F6B">
        <w:t xml:space="preserve">the </w:t>
      </w:r>
      <w:r w:rsidR="002B65E7">
        <w:t xml:space="preserve">new </w:t>
      </w:r>
      <w:r w:rsidR="009C7F6B" w:rsidRPr="009C7F6B">
        <w:t xml:space="preserve">clinical management algorithm </w:t>
      </w:r>
      <w:r w:rsidR="007E55E8">
        <w:t xml:space="preserve">assuming </w:t>
      </w:r>
      <w:r w:rsidR="00551188">
        <w:t xml:space="preserve">a </w:t>
      </w:r>
      <w:r w:rsidR="007E55E8">
        <w:t xml:space="preserve">successful listing </w:t>
      </w:r>
      <w:r w:rsidR="00551188">
        <w:t xml:space="preserve">and a </w:t>
      </w:r>
      <w:r w:rsidRPr="00B33BD4">
        <w:t>new proposed MBS item</w:t>
      </w:r>
      <w:r w:rsidR="007E55E8" w:rsidRPr="007E55E8">
        <w:t xml:space="preserve"> </w:t>
      </w:r>
      <w:r w:rsidR="00551188">
        <w:t xml:space="preserve">for </w:t>
      </w:r>
      <w:r w:rsidR="004B137F" w:rsidRPr="00B33BD4">
        <w:t xml:space="preserve">patients with </w:t>
      </w:r>
      <w:r w:rsidR="00FE05CC">
        <w:t xml:space="preserve">platinum </w:t>
      </w:r>
      <w:r w:rsidR="004B137F" w:rsidRPr="00B33BD4">
        <w:t xml:space="preserve">resistant advanced </w:t>
      </w:r>
      <w:r w:rsidR="00E84811">
        <w:t>(</w:t>
      </w:r>
      <w:r w:rsidR="00551D89" w:rsidRPr="00FA4235">
        <w:t>high-grade</w:t>
      </w:r>
      <w:r w:rsidR="004B3C12" w:rsidRPr="00FA4235">
        <w:t xml:space="preserve"> serous</w:t>
      </w:r>
      <w:r w:rsidR="00E84811">
        <w:t>)</w:t>
      </w:r>
      <w:r w:rsidR="00551D89" w:rsidRPr="00E84811">
        <w:t xml:space="preserve"> </w:t>
      </w:r>
      <w:r w:rsidR="004B137F" w:rsidRPr="00B33BD4">
        <w:t>ovarian cancer</w:t>
      </w:r>
      <w:r w:rsidR="004B137F">
        <w:t xml:space="preserve"> </w:t>
      </w:r>
      <w:r w:rsidR="00B90D91">
        <w:t xml:space="preserve">and </w:t>
      </w:r>
      <w:r w:rsidR="007E55E8" w:rsidRPr="00B33BD4">
        <w:t>with FRα high tumour expression</w:t>
      </w:r>
      <w:r w:rsidR="004B137F">
        <w:t>.</w:t>
      </w:r>
      <w:r w:rsidRPr="00B33BD4">
        <w:t xml:space="preserve"> </w:t>
      </w:r>
      <w:r w:rsidR="001B18CA">
        <w:t xml:space="preserve">Since </w:t>
      </w:r>
      <w:r w:rsidR="001B18CA" w:rsidRPr="00B33BD4">
        <w:t xml:space="preserve">mirvetuximab soravtansine </w:t>
      </w:r>
      <w:r w:rsidR="001B18CA">
        <w:t xml:space="preserve">is </w:t>
      </w:r>
      <w:r w:rsidR="001B18CA">
        <w:lastRenderedPageBreak/>
        <w:t xml:space="preserve">intended for </w:t>
      </w:r>
      <w:r w:rsidR="00F433B0">
        <w:t xml:space="preserve">the </w:t>
      </w:r>
      <w:r w:rsidR="00FE05CC">
        <w:t xml:space="preserve">platinum </w:t>
      </w:r>
      <w:r w:rsidR="001B18CA" w:rsidRPr="00B33BD4">
        <w:t xml:space="preserve">resistant </w:t>
      </w:r>
      <w:r w:rsidR="00F433B0">
        <w:t>patient</w:t>
      </w:r>
      <w:r w:rsidR="001B18CA" w:rsidRPr="00B33BD4">
        <w:t xml:space="preserve"> </w:t>
      </w:r>
      <w:r w:rsidR="001B18CA">
        <w:t xml:space="preserve">population, it could not be offered </w:t>
      </w:r>
      <w:r w:rsidR="007953F5">
        <w:t xml:space="preserve">before platinum resistance is established, therefore </w:t>
      </w:r>
      <w:r w:rsidR="00434B3B">
        <w:t xml:space="preserve">the earliest position of </w:t>
      </w:r>
      <w:r w:rsidR="00A123FE" w:rsidRPr="00B33BD4">
        <w:t>mirvetuximab soravtansine</w:t>
      </w:r>
      <w:r w:rsidR="00A123FE">
        <w:t xml:space="preserve"> is the second line of treatment, depicted in </w:t>
      </w:r>
      <w:r w:rsidR="004B3C12">
        <w:fldChar w:fldCharType="begin"/>
      </w:r>
      <w:r w:rsidR="004B3C12">
        <w:instrText xml:space="preserve"> REF _Ref162466931 \h  \* MERGEFORMAT </w:instrText>
      </w:r>
      <w:r w:rsidR="004B3C12">
        <w:fldChar w:fldCharType="separate"/>
      </w:r>
      <w:r w:rsidR="003B43AD" w:rsidRPr="003B43AD">
        <w:t xml:space="preserve">Figure </w:t>
      </w:r>
      <w:r w:rsidR="003B43AD" w:rsidRPr="0032737E">
        <w:t>3</w:t>
      </w:r>
      <w:r w:rsidR="004B3C12">
        <w:fldChar w:fldCharType="end"/>
      </w:r>
      <w:r w:rsidR="00F8572B">
        <w:t>.</w:t>
      </w:r>
      <w:r w:rsidR="00434B3B">
        <w:t xml:space="preserve"> </w:t>
      </w:r>
      <w:r w:rsidR="00E84811">
        <w:t>M</w:t>
      </w:r>
      <w:r w:rsidR="001B18CA" w:rsidRPr="00B33BD4">
        <w:t>irvetuximab soravtansine</w:t>
      </w:r>
      <w:r w:rsidR="001B18CA">
        <w:t xml:space="preserve"> (as a monotherapy)</w:t>
      </w:r>
      <w:r w:rsidR="001B18CA" w:rsidRPr="00B33BD4">
        <w:t xml:space="preserve"> </w:t>
      </w:r>
      <w:r w:rsidR="00E84811">
        <w:t>is intended as</w:t>
      </w:r>
      <w:r w:rsidR="001B18CA" w:rsidRPr="00B33BD4">
        <w:t xml:space="preserve"> an alternative treatment </w:t>
      </w:r>
      <w:r w:rsidR="001B18CA">
        <w:t>option</w:t>
      </w:r>
      <w:r w:rsidR="001B18CA" w:rsidRPr="00B33BD4">
        <w:t xml:space="preserve"> to single agent chemotherapy in </w:t>
      </w:r>
      <w:r w:rsidR="001B18CA">
        <w:t xml:space="preserve">PROC </w:t>
      </w:r>
      <w:r w:rsidR="001B18CA" w:rsidRPr="00B33BD4">
        <w:t xml:space="preserve">patients. </w:t>
      </w:r>
      <w:r w:rsidR="00F8572B">
        <w:t xml:space="preserve">The application also stated that </w:t>
      </w:r>
      <w:r w:rsidRPr="00B33BD4">
        <w:t>patients who receive mirvetuximab soravtansine in second</w:t>
      </w:r>
      <w:r w:rsidR="00FF27C7">
        <w:t xml:space="preserve"> </w:t>
      </w:r>
      <w:r w:rsidRPr="00B33BD4">
        <w:t xml:space="preserve">line or beyond may still receive other existing options in preceding or subsequent lines of therapy. </w:t>
      </w:r>
      <w:r w:rsidR="00160B6F" w:rsidRPr="00E84811">
        <w:t>The</w:t>
      </w:r>
      <w:r w:rsidR="003913B8" w:rsidRPr="00E84811">
        <w:t xml:space="preserve"> positioning of mirvetuximab soravtansine </w:t>
      </w:r>
      <w:r w:rsidR="001E5886">
        <w:t>i</w:t>
      </w:r>
      <w:r w:rsidR="003913B8" w:rsidRPr="00E84811">
        <w:t>n the proposed clinical management pathway</w:t>
      </w:r>
      <w:r w:rsidR="00160B6F" w:rsidRPr="00E84811">
        <w:t xml:space="preserve"> </w:t>
      </w:r>
      <w:r w:rsidR="009B1C1E" w:rsidRPr="00E84811">
        <w:t xml:space="preserve">is expected to be </w:t>
      </w:r>
      <w:r w:rsidR="00160B6F" w:rsidRPr="00E84811">
        <w:t xml:space="preserve">finalised </w:t>
      </w:r>
      <w:r w:rsidR="009B1C1E" w:rsidRPr="00E84811">
        <w:t xml:space="preserve">in the </w:t>
      </w:r>
      <w:r w:rsidR="004B3C12" w:rsidRPr="00E84811">
        <w:t xml:space="preserve">integrated </w:t>
      </w:r>
      <w:r w:rsidR="00C81EC2" w:rsidRPr="00E84811">
        <w:t>codependent submission.</w:t>
      </w:r>
      <w:r w:rsidR="009B1C1E" w:rsidRPr="00E84811">
        <w:t xml:space="preserve"> </w:t>
      </w:r>
      <w:r w:rsidR="00C81EC2">
        <w:t>The applica</w:t>
      </w:r>
      <w:r w:rsidR="004B3C12">
        <w:t>tion</w:t>
      </w:r>
      <w:r w:rsidR="00C81EC2">
        <w:t xml:space="preserve"> indicated that t</w:t>
      </w:r>
      <w:r w:rsidRPr="00B33BD4">
        <w:t xml:space="preserve">he proposed algorithm may evolve based on clinician/expert feedback, which will be incorporated into the </w:t>
      </w:r>
      <w:r w:rsidR="00E84811">
        <w:t xml:space="preserve">integrated </w:t>
      </w:r>
      <w:r w:rsidRPr="00B33BD4">
        <w:t>codependent submission.</w:t>
      </w:r>
    </w:p>
    <w:p w14:paraId="13534330" w14:textId="14ED6134" w:rsidR="00D44E2B" w:rsidRDefault="00BB2AC0" w:rsidP="004B3C12">
      <w:r>
        <w:t xml:space="preserve">The </w:t>
      </w:r>
      <w:r w:rsidR="00262282">
        <w:t xml:space="preserve">two alternative timepoints for </w:t>
      </w:r>
      <w:r>
        <w:t>FR</w:t>
      </w:r>
      <w:r>
        <w:rPr>
          <w:rFonts w:cs="Calibri"/>
        </w:rPr>
        <w:t>α</w:t>
      </w:r>
      <w:r>
        <w:t xml:space="preserve"> testing </w:t>
      </w:r>
      <w:r w:rsidR="00FF27C7">
        <w:t xml:space="preserve">are </w:t>
      </w:r>
      <w:r>
        <w:t xml:space="preserve">depicted in red boxes </w:t>
      </w:r>
      <w:r w:rsidR="001E5886">
        <w:t xml:space="preserve">in </w:t>
      </w:r>
      <w:r w:rsidR="001E5886">
        <w:fldChar w:fldCharType="begin"/>
      </w:r>
      <w:r w:rsidR="001E5886">
        <w:instrText xml:space="preserve"> REF _Ref162466931 \h </w:instrText>
      </w:r>
      <w:r w:rsidR="001E5886">
        <w:fldChar w:fldCharType="separate"/>
      </w:r>
      <w:r w:rsidR="003B43AD" w:rsidRPr="330F10D8">
        <w:rPr>
          <w:rFonts w:cs="Arial"/>
        </w:rPr>
        <w:t xml:space="preserve">Figure </w:t>
      </w:r>
      <w:r w:rsidR="003B43AD">
        <w:rPr>
          <w:rFonts w:cs="Arial"/>
          <w:noProof/>
        </w:rPr>
        <w:t>3</w:t>
      </w:r>
      <w:r w:rsidR="001E5886">
        <w:fldChar w:fldCharType="end"/>
      </w:r>
      <w:r w:rsidR="001E5886">
        <w:t xml:space="preserve"> </w:t>
      </w:r>
      <w:r>
        <w:t xml:space="preserve">where </w:t>
      </w:r>
      <w:r w:rsidR="00262282">
        <w:t>testing can either occur at platinum resistance (as proposed in the application) or at diagnosis (an alternative testing timepoint proposed by the applicant’s clinical experts at the pre-PASC teleconference)</w:t>
      </w:r>
      <w:r>
        <w:t>.</w:t>
      </w:r>
    </w:p>
    <w:p w14:paraId="561A3B59" w14:textId="77777777" w:rsidR="00D44E2B" w:rsidRDefault="00D44E2B">
      <w:pPr>
        <w:spacing w:after="160" w:line="259" w:lineRule="auto"/>
      </w:pPr>
      <w:r>
        <w:br w:type="page"/>
      </w:r>
    </w:p>
    <w:p w14:paraId="7F3E65A4" w14:textId="54142758" w:rsidR="00DE010F" w:rsidRPr="00DE010F" w:rsidRDefault="008C5CEA" w:rsidP="00DE010F">
      <w:pPr>
        <w:rPr>
          <w:rFonts w:ascii="Arial" w:hAnsi="Arial" w:cs="Arial"/>
          <w:sz w:val="18"/>
          <w:szCs w:val="18"/>
        </w:rPr>
      </w:pPr>
      <w:r w:rsidRPr="008C5CEA">
        <w:rPr>
          <w:noProof/>
        </w:rPr>
        <w:lastRenderedPageBreak/>
        <w:t xml:space="preserve"> </w:t>
      </w:r>
      <w:r w:rsidR="00DE010F" w:rsidRPr="00DE010F">
        <w:rPr>
          <w:rFonts w:ascii="Arial" w:hAnsi="Arial" w:cs="Arial"/>
          <w:noProof/>
          <w:sz w:val="18"/>
          <w:szCs w:val="18"/>
        </w:rPr>
        <w:drawing>
          <wp:inline distT="0" distB="0" distL="0" distR="0" wp14:anchorId="3F8C2A45" wp14:editId="1AF372BB">
            <wp:extent cx="6083935" cy="5890260"/>
            <wp:effectExtent l="0" t="0" r="0" b="0"/>
            <wp:docPr id="1564438779" name="Picture 2" descr="Figure 3 Proposed treatment algorithm&#10;&#10;Provides a flowchart depicting proposed treatment options as patients progress through various lines of treatment including FR alpha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38779" name="Picture 2" descr="Figure 3 Proposed treatment algorithm&#10;&#10;Provides a flowchart depicting proposed treatment options as patients progress through various lines of treatment including FR alpha test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3935" cy="5890260"/>
                    </a:xfrm>
                    <a:prstGeom prst="rect">
                      <a:avLst/>
                    </a:prstGeom>
                    <a:noFill/>
                    <a:ln>
                      <a:noFill/>
                    </a:ln>
                  </pic:spPr>
                </pic:pic>
              </a:graphicData>
            </a:graphic>
          </wp:inline>
        </w:drawing>
      </w:r>
    </w:p>
    <w:p w14:paraId="163C02C6" w14:textId="33FF73E2" w:rsidR="004B3C12" w:rsidRPr="004B3C12" w:rsidRDefault="004B3C12" w:rsidP="330F10D8">
      <w:pPr>
        <w:pStyle w:val="Caption"/>
        <w:keepLines/>
        <w:spacing w:before="240"/>
        <w:ind w:left="0" w:firstLine="0"/>
        <w:rPr>
          <w:rFonts w:cs="Arial"/>
          <w:b w:val="0"/>
          <w:i/>
          <w:iCs/>
        </w:rPr>
      </w:pPr>
      <w:bookmarkStart w:id="7" w:name="_Ref162466931"/>
      <w:r w:rsidRPr="330F10D8">
        <w:rPr>
          <w:rFonts w:cs="Arial"/>
        </w:rPr>
        <w:t xml:space="preserve">Figure </w:t>
      </w:r>
      <w:r w:rsidRPr="330F10D8">
        <w:rPr>
          <w:rFonts w:cs="Arial"/>
          <w:b w:val="0"/>
          <w:i/>
          <w:iCs/>
        </w:rPr>
        <w:fldChar w:fldCharType="begin"/>
      </w:r>
      <w:r w:rsidRPr="330F10D8">
        <w:rPr>
          <w:rFonts w:cs="Arial"/>
        </w:rPr>
        <w:instrText xml:space="preserve"> SEQ Figure \* ARABIC </w:instrText>
      </w:r>
      <w:r w:rsidRPr="330F10D8">
        <w:rPr>
          <w:rFonts w:cs="Arial"/>
          <w:b w:val="0"/>
          <w:i/>
          <w:iCs/>
        </w:rPr>
        <w:fldChar w:fldCharType="separate"/>
      </w:r>
      <w:r w:rsidR="003B43AD">
        <w:rPr>
          <w:rFonts w:cs="Arial"/>
          <w:noProof/>
        </w:rPr>
        <w:t>3</w:t>
      </w:r>
      <w:r w:rsidRPr="330F10D8">
        <w:rPr>
          <w:rFonts w:cs="Arial"/>
          <w:b w:val="0"/>
          <w:i/>
          <w:iCs/>
        </w:rPr>
        <w:fldChar w:fldCharType="end"/>
      </w:r>
      <w:bookmarkEnd w:id="7"/>
      <w:r>
        <w:tab/>
      </w:r>
      <w:r w:rsidRPr="330F10D8">
        <w:rPr>
          <w:rFonts w:cs="Arial"/>
        </w:rPr>
        <w:t>Proposed treatment algorithm</w:t>
      </w:r>
    </w:p>
    <w:p w14:paraId="029B7E2C" w14:textId="7B73CA35" w:rsidR="00716652" w:rsidRPr="004B3C12" w:rsidRDefault="00716652" w:rsidP="00CD72DA">
      <w:pPr>
        <w:spacing w:after="0" w:line="240" w:lineRule="auto"/>
        <w:rPr>
          <w:rFonts w:ascii="Arial Narrow" w:hAnsi="Arial Narrow" w:cs="Arial"/>
          <w:sz w:val="18"/>
          <w:szCs w:val="18"/>
        </w:rPr>
      </w:pPr>
      <w:r w:rsidRPr="004B3C12">
        <w:rPr>
          <w:rFonts w:ascii="Arial Narrow" w:hAnsi="Arial Narrow" w:cs="Arial"/>
          <w:sz w:val="18"/>
          <w:szCs w:val="18"/>
        </w:rPr>
        <w:t xml:space="preserve">Source: </w:t>
      </w:r>
      <w:r w:rsidR="00972397">
        <w:rPr>
          <w:rFonts w:ascii="Arial Narrow" w:hAnsi="Arial Narrow" w:cs="Arial"/>
          <w:sz w:val="18"/>
          <w:szCs w:val="18"/>
        </w:rPr>
        <w:t>PICO Set Figure 2 with updates to</w:t>
      </w:r>
      <w:r w:rsidR="00C116BD">
        <w:rPr>
          <w:rFonts w:ascii="Arial Narrow" w:hAnsi="Arial Narrow" w:cs="Arial"/>
          <w:sz w:val="18"/>
          <w:szCs w:val="18"/>
        </w:rPr>
        <w:t xml:space="preserve"> proposed patient population and</w:t>
      </w:r>
      <w:r w:rsidR="00972397">
        <w:rPr>
          <w:rFonts w:ascii="Arial Narrow" w:hAnsi="Arial Narrow" w:cs="Arial"/>
          <w:sz w:val="18"/>
          <w:szCs w:val="18"/>
        </w:rPr>
        <w:t xml:space="preserve"> FR</w:t>
      </w:r>
      <w:r w:rsidR="00972397">
        <w:rPr>
          <w:rFonts w:cs="Calibri"/>
        </w:rPr>
        <w:t>α</w:t>
      </w:r>
      <w:r w:rsidR="00972397">
        <w:rPr>
          <w:rFonts w:ascii="Arial Narrow" w:hAnsi="Arial Narrow" w:cs="Arial"/>
          <w:sz w:val="18"/>
          <w:szCs w:val="18"/>
        </w:rPr>
        <w:t xml:space="preserve"> testing</w:t>
      </w:r>
      <w:r w:rsidRPr="004B3C12">
        <w:rPr>
          <w:rFonts w:ascii="Arial Narrow" w:hAnsi="Arial Narrow" w:cs="Arial"/>
          <w:sz w:val="18"/>
          <w:szCs w:val="18"/>
        </w:rPr>
        <w:t>.</w:t>
      </w:r>
      <w:r w:rsidRPr="004B3C12">
        <w:rPr>
          <w:rFonts w:ascii="Arial Narrow" w:hAnsi="Arial Narrow" w:cs="Arial"/>
          <w:sz w:val="18"/>
          <w:szCs w:val="18"/>
        </w:rPr>
        <w:br/>
        <w:t xml:space="preserve">Abbreviations: </w:t>
      </w:r>
      <w:r w:rsidR="003B43AD">
        <w:rPr>
          <w:rFonts w:ascii="Arial Narrow" w:hAnsi="Arial Narrow" w:cs="Arial"/>
          <w:sz w:val="18"/>
          <w:szCs w:val="18"/>
        </w:rPr>
        <w:t xml:space="preserve">+, positive; </w:t>
      </w:r>
      <w:r w:rsidRPr="004B3C12">
        <w:rPr>
          <w:rFonts w:ascii="Arial Narrow" w:hAnsi="Arial Narrow" w:cs="Arial"/>
          <w:sz w:val="18"/>
          <w:szCs w:val="18"/>
        </w:rPr>
        <w:t xml:space="preserve">+/-, with or without; BRCA, breast cancer gene; </w:t>
      </w:r>
      <w:r w:rsidR="003B43AD">
        <w:rPr>
          <w:rFonts w:ascii="Arial Narrow" w:hAnsi="Arial Narrow" w:cs="Arial"/>
          <w:sz w:val="18"/>
          <w:szCs w:val="18"/>
        </w:rPr>
        <w:t xml:space="preserve">FRα, folate receptor alpha; </w:t>
      </w:r>
      <w:r w:rsidR="008C5CEA" w:rsidRPr="004B3C12">
        <w:rPr>
          <w:rFonts w:ascii="Arial Narrow" w:hAnsi="Arial Narrow" w:cs="Arial"/>
          <w:sz w:val="18"/>
          <w:szCs w:val="18"/>
        </w:rPr>
        <w:t>HRD, homologous recombination deficiency</w:t>
      </w:r>
      <w:r w:rsidR="008C5CEA">
        <w:rPr>
          <w:rFonts w:ascii="Arial Narrow" w:hAnsi="Arial Narrow" w:cs="Arial"/>
          <w:sz w:val="18"/>
          <w:szCs w:val="18"/>
        </w:rPr>
        <w:t>;</w:t>
      </w:r>
      <w:r w:rsidR="008C5CEA" w:rsidRPr="004B3C12">
        <w:rPr>
          <w:rFonts w:ascii="Arial Narrow" w:hAnsi="Arial Narrow" w:cs="Arial"/>
          <w:sz w:val="18"/>
          <w:szCs w:val="18"/>
        </w:rPr>
        <w:t xml:space="preserve"> </w:t>
      </w:r>
      <w:r w:rsidRPr="004B3C12">
        <w:rPr>
          <w:rFonts w:ascii="Arial Narrow" w:hAnsi="Arial Narrow" w:cs="Arial"/>
          <w:sz w:val="18"/>
          <w:szCs w:val="18"/>
        </w:rPr>
        <w:t xml:space="preserve">PARPi, poly (ADP-ribose) polymerase inhibitor; PFI, </w:t>
      </w:r>
      <w:r w:rsidR="00FE05CC" w:rsidRPr="004B3C12">
        <w:rPr>
          <w:rFonts w:ascii="Arial Narrow" w:hAnsi="Arial Narrow" w:cs="Arial"/>
          <w:sz w:val="18"/>
          <w:szCs w:val="18"/>
        </w:rPr>
        <w:t xml:space="preserve">platinum </w:t>
      </w:r>
      <w:r w:rsidRPr="004B3C12">
        <w:rPr>
          <w:rFonts w:ascii="Arial Narrow" w:hAnsi="Arial Narrow" w:cs="Arial"/>
          <w:sz w:val="18"/>
          <w:szCs w:val="18"/>
        </w:rPr>
        <w:t>free interval until relapse; PLD, pegylated liposomal doxorubicin</w:t>
      </w:r>
      <w:r w:rsidR="003B43AD">
        <w:rPr>
          <w:rFonts w:ascii="Arial Narrow" w:hAnsi="Arial Narrow" w:cs="Arial"/>
          <w:sz w:val="18"/>
          <w:szCs w:val="18"/>
        </w:rPr>
        <w:t>, PROC, platinum resistant ovarian cancer; PSOC, platinum sensitive ovarian cancer; wt, wild-type</w:t>
      </w:r>
      <w:r w:rsidRPr="004B3C12">
        <w:rPr>
          <w:rFonts w:ascii="Arial Narrow" w:hAnsi="Arial Narrow" w:cs="Arial"/>
          <w:sz w:val="18"/>
          <w:szCs w:val="18"/>
        </w:rPr>
        <w:t>.</w:t>
      </w:r>
      <w:r w:rsidR="008C5CEA">
        <w:rPr>
          <w:rFonts w:ascii="Arial Narrow" w:hAnsi="Arial Narrow" w:cs="Arial"/>
          <w:sz w:val="18"/>
          <w:szCs w:val="18"/>
        </w:rPr>
        <w:t>;</w:t>
      </w:r>
      <w:r w:rsidRPr="004B3C12">
        <w:rPr>
          <w:rFonts w:ascii="Arial Narrow" w:hAnsi="Arial Narrow" w:cs="Arial"/>
          <w:sz w:val="18"/>
          <w:szCs w:val="18"/>
        </w:rPr>
        <w:t>.</w:t>
      </w:r>
    </w:p>
    <w:p w14:paraId="22440360" w14:textId="44DED0E7" w:rsidR="00716652" w:rsidRPr="004B3C12" w:rsidRDefault="00716652" w:rsidP="00716652">
      <w:pPr>
        <w:spacing w:after="0"/>
        <w:rPr>
          <w:rFonts w:ascii="Arial Narrow" w:hAnsi="Arial Narrow" w:cs="Arial"/>
          <w:sz w:val="18"/>
          <w:szCs w:val="18"/>
        </w:rPr>
      </w:pPr>
      <w:r w:rsidRPr="004B3C12">
        <w:rPr>
          <w:rFonts w:ascii="Arial Narrow" w:hAnsi="Arial Narrow" w:cs="Arial"/>
          <w:sz w:val="18"/>
          <w:szCs w:val="18"/>
        </w:rPr>
        <w:t xml:space="preserve">1. PSOC = platinum sensitive ovarian cancer. Traditionally defined as a </w:t>
      </w:r>
      <w:r w:rsidR="00FE05CC" w:rsidRPr="004B3C12">
        <w:rPr>
          <w:rFonts w:ascii="Arial Narrow" w:hAnsi="Arial Narrow" w:cs="Arial"/>
          <w:sz w:val="18"/>
          <w:szCs w:val="18"/>
        </w:rPr>
        <w:t xml:space="preserve">platinum </w:t>
      </w:r>
      <w:r w:rsidRPr="004B3C12">
        <w:rPr>
          <w:rFonts w:ascii="Arial Narrow" w:hAnsi="Arial Narrow" w:cs="Arial"/>
          <w:sz w:val="18"/>
          <w:szCs w:val="18"/>
        </w:rPr>
        <w:t>free interval before recurrence of ≥6 months. Latest guidelines by ESMO indicate this decision is driven by patient characteristics/not solely by 6 month time period.</w:t>
      </w:r>
    </w:p>
    <w:p w14:paraId="264245DB" w14:textId="02564F0E" w:rsidR="00716652" w:rsidRPr="004B3C12" w:rsidRDefault="00716652" w:rsidP="00716652">
      <w:pPr>
        <w:spacing w:after="0"/>
        <w:rPr>
          <w:rFonts w:ascii="Arial Narrow" w:hAnsi="Arial Narrow" w:cs="Arial"/>
          <w:sz w:val="18"/>
          <w:szCs w:val="18"/>
        </w:rPr>
      </w:pPr>
      <w:r w:rsidRPr="004B3C12">
        <w:rPr>
          <w:rFonts w:ascii="Arial Narrow" w:hAnsi="Arial Narrow" w:cs="Arial"/>
          <w:sz w:val="18"/>
          <w:szCs w:val="18"/>
        </w:rPr>
        <w:t xml:space="preserve">2. PROC = </w:t>
      </w:r>
      <w:r w:rsidR="00FE05CC" w:rsidRPr="004B3C12">
        <w:rPr>
          <w:rFonts w:ascii="Arial Narrow" w:hAnsi="Arial Narrow" w:cs="Arial"/>
          <w:sz w:val="18"/>
          <w:szCs w:val="18"/>
        </w:rPr>
        <w:t xml:space="preserve">platinum </w:t>
      </w:r>
      <w:r w:rsidRPr="004B3C12">
        <w:rPr>
          <w:rFonts w:ascii="Arial Narrow" w:hAnsi="Arial Narrow" w:cs="Arial"/>
          <w:sz w:val="18"/>
          <w:szCs w:val="18"/>
        </w:rPr>
        <w:t xml:space="preserve">resistant ovarian cancer. Traditionally defined as a </w:t>
      </w:r>
      <w:r w:rsidR="00FE05CC" w:rsidRPr="004B3C12">
        <w:rPr>
          <w:rFonts w:ascii="Arial Narrow" w:hAnsi="Arial Narrow" w:cs="Arial"/>
          <w:sz w:val="18"/>
          <w:szCs w:val="18"/>
        </w:rPr>
        <w:t xml:space="preserve">platinum </w:t>
      </w:r>
      <w:r w:rsidRPr="004B3C12">
        <w:rPr>
          <w:rFonts w:ascii="Arial Narrow" w:hAnsi="Arial Narrow" w:cs="Arial"/>
          <w:sz w:val="18"/>
          <w:szCs w:val="18"/>
        </w:rPr>
        <w:t>free interval before recurrence of ≤6 months. Latest guidelines by ESMO (2023) indicate this decision is driven by patient characteristics/not solely by 6 month time period, e.g., this group represents all patients where “platinum is not the best option” including for patient choice/quality of life reasons.</w:t>
      </w:r>
      <w:r w:rsidRPr="004B3C12">
        <w:rPr>
          <w:rFonts w:ascii="Arial Narrow" w:hAnsi="Arial Narrow" w:cs="Arial"/>
          <w:sz w:val="18"/>
          <w:szCs w:val="18"/>
        </w:rPr>
        <w:br/>
        <w:t>3. High FRα expression to be determined by new MBS item - immunohistochemistry test, with ≥75% of expression on tumour cells.</w:t>
      </w:r>
    </w:p>
    <w:p w14:paraId="6BC1A3C4" w14:textId="6B0BA3C6" w:rsidR="00716652" w:rsidRDefault="00716652" w:rsidP="002C0D15">
      <w:pPr>
        <w:spacing w:after="0"/>
        <w:rPr>
          <w:rFonts w:ascii="Arial Narrow" w:hAnsi="Arial Narrow" w:cs="Arial"/>
          <w:sz w:val="18"/>
          <w:szCs w:val="18"/>
        </w:rPr>
      </w:pPr>
      <w:r w:rsidRPr="00DC02F6">
        <w:rPr>
          <w:rFonts w:ascii="Arial Narrow" w:hAnsi="Arial Narrow" w:cs="Arial"/>
          <w:sz w:val="18"/>
          <w:szCs w:val="18"/>
        </w:rPr>
        <w:t>Dashed lines</w:t>
      </w:r>
      <w:r w:rsidRPr="004B3C12">
        <w:rPr>
          <w:rFonts w:ascii="Arial Narrow" w:hAnsi="Arial Narrow" w:cs="Arial"/>
          <w:sz w:val="18"/>
          <w:szCs w:val="18"/>
        </w:rPr>
        <w:t xml:space="preserve"> indicate how </w:t>
      </w:r>
      <w:r w:rsidR="00FE05CC" w:rsidRPr="004B3C12">
        <w:rPr>
          <w:rFonts w:ascii="Arial Narrow" w:hAnsi="Arial Narrow" w:cs="Arial"/>
          <w:sz w:val="18"/>
          <w:szCs w:val="18"/>
        </w:rPr>
        <w:t xml:space="preserve">platinum </w:t>
      </w:r>
      <w:r w:rsidRPr="004B3C12">
        <w:rPr>
          <w:rFonts w:ascii="Arial Narrow" w:hAnsi="Arial Narrow" w:cs="Arial"/>
          <w:sz w:val="18"/>
          <w:szCs w:val="18"/>
        </w:rPr>
        <w:t>sensitive patients may become platinum resistant while progressing through therapy lines.</w:t>
      </w:r>
    </w:p>
    <w:p w14:paraId="7ED102D2" w14:textId="4270C4AC" w:rsidR="00EA7C12" w:rsidRPr="004B3C12" w:rsidRDefault="00EA7C12" w:rsidP="002C0D15">
      <w:pPr>
        <w:spacing w:after="0"/>
        <w:rPr>
          <w:rFonts w:ascii="Arial Narrow" w:hAnsi="Arial Narrow" w:cs="Arial"/>
          <w:sz w:val="18"/>
          <w:szCs w:val="18"/>
        </w:rPr>
      </w:pPr>
      <w:r>
        <w:rPr>
          <w:rFonts w:ascii="Arial Narrow" w:hAnsi="Arial Narrow" w:cs="Arial"/>
          <w:sz w:val="18"/>
          <w:szCs w:val="18"/>
        </w:rPr>
        <w:t>Red boxes indicate the two alternative timepoints for FRα testing</w:t>
      </w:r>
      <w:r w:rsidR="00262282">
        <w:rPr>
          <w:rFonts w:ascii="Arial Narrow" w:hAnsi="Arial Narrow" w:cs="Arial"/>
          <w:sz w:val="18"/>
          <w:szCs w:val="18"/>
        </w:rPr>
        <w:t>:</w:t>
      </w:r>
      <w:r w:rsidR="0056696E">
        <w:rPr>
          <w:rFonts w:ascii="Arial Narrow" w:hAnsi="Arial Narrow" w:cs="Arial"/>
          <w:sz w:val="18"/>
          <w:szCs w:val="18"/>
        </w:rPr>
        <w:t xml:space="preserve"> (</w:t>
      </w:r>
      <w:r w:rsidR="00FD5268">
        <w:rPr>
          <w:rFonts w:ascii="Arial Narrow" w:hAnsi="Arial Narrow" w:cs="Arial"/>
          <w:sz w:val="18"/>
          <w:szCs w:val="18"/>
        </w:rPr>
        <w:t>a</w:t>
      </w:r>
      <w:r w:rsidR="0056696E">
        <w:rPr>
          <w:rFonts w:ascii="Arial Narrow" w:hAnsi="Arial Narrow" w:cs="Arial"/>
          <w:sz w:val="18"/>
          <w:szCs w:val="18"/>
        </w:rPr>
        <w:t>) at platinum resistance</w:t>
      </w:r>
      <w:r w:rsidR="00262282">
        <w:rPr>
          <w:rFonts w:ascii="Arial Narrow" w:hAnsi="Arial Narrow" w:cs="Arial"/>
          <w:sz w:val="18"/>
          <w:szCs w:val="18"/>
        </w:rPr>
        <w:t xml:space="preserve"> (as proposed in the application) or</w:t>
      </w:r>
      <w:r w:rsidR="0056696E">
        <w:rPr>
          <w:rFonts w:ascii="Arial Narrow" w:hAnsi="Arial Narrow" w:cs="Arial"/>
          <w:sz w:val="18"/>
          <w:szCs w:val="18"/>
        </w:rPr>
        <w:t xml:space="preserve"> (</w:t>
      </w:r>
      <w:r w:rsidR="00FD5268">
        <w:rPr>
          <w:rFonts w:ascii="Arial Narrow" w:hAnsi="Arial Narrow" w:cs="Arial"/>
          <w:sz w:val="18"/>
          <w:szCs w:val="18"/>
        </w:rPr>
        <w:t>b</w:t>
      </w:r>
      <w:r w:rsidR="0056696E">
        <w:rPr>
          <w:rFonts w:ascii="Arial Narrow" w:hAnsi="Arial Narrow" w:cs="Arial"/>
          <w:sz w:val="18"/>
          <w:szCs w:val="18"/>
        </w:rPr>
        <w:t>) at diagnosis</w:t>
      </w:r>
      <w:r w:rsidR="00262282">
        <w:rPr>
          <w:rFonts w:ascii="Arial Narrow" w:hAnsi="Arial Narrow" w:cs="Arial"/>
          <w:sz w:val="18"/>
          <w:szCs w:val="18"/>
        </w:rPr>
        <w:t xml:space="preserve"> (an alternative timepoint proposed by the applicant’s clinical experts at the pre-PASC teleconference)</w:t>
      </w:r>
      <w:r w:rsidR="007B100F">
        <w:rPr>
          <w:rFonts w:ascii="Arial Narrow" w:hAnsi="Arial Narrow" w:cs="Arial"/>
          <w:sz w:val="18"/>
          <w:szCs w:val="18"/>
        </w:rPr>
        <w:t>.</w:t>
      </w:r>
    </w:p>
    <w:p w14:paraId="1D57BABF" w14:textId="77777777" w:rsidR="00096220" w:rsidRDefault="00096220" w:rsidP="002C0D15">
      <w:pPr>
        <w:spacing w:after="0"/>
        <w:rPr>
          <w:rFonts w:ascii="Arial" w:hAnsi="Arial" w:cs="Arial"/>
          <w:sz w:val="16"/>
          <w:szCs w:val="16"/>
        </w:rPr>
      </w:pPr>
    </w:p>
    <w:p w14:paraId="6F45A884" w14:textId="2F095E49" w:rsidR="009F15DE" w:rsidRDefault="00932FCD" w:rsidP="00932FCD">
      <w:pPr>
        <w:autoSpaceDE w:val="0"/>
        <w:autoSpaceDN w:val="0"/>
        <w:adjustRightInd w:val="0"/>
        <w:rPr>
          <w:rFonts w:asciiTheme="minorHAnsi" w:hAnsiTheme="minorHAnsi" w:cstheme="minorHAnsi"/>
          <w:i/>
          <w:iCs/>
        </w:rPr>
      </w:pPr>
      <w:r w:rsidRPr="0032737E">
        <w:rPr>
          <w:rFonts w:asciiTheme="minorHAnsi" w:hAnsiTheme="minorHAnsi" w:cstheme="minorHAnsi"/>
          <w:i/>
          <w:iCs/>
        </w:rPr>
        <w:lastRenderedPageBreak/>
        <w:t xml:space="preserve">PASC accepted the current and proposed treatment algorithms. </w:t>
      </w:r>
      <w:r w:rsidR="00A64C32" w:rsidRPr="00A64C32">
        <w:rPr>
          <w:rFonts w:asciiTheme="minorHAnsi" w:hAnsiTheme="minorHAnsi" w:cstheme="minorHAnsi"/>
          <w:i/>
          <w:iCs/>
        </w:rPr>
        <w:t>PASC considered that if testing is performed at diagnosis</w:t>
      </w:r>
      <w:r w:rsidR="0087379D">
        <w:rPr>
          <w:rFonts w:asciiTheme="minorHAnsi" w:hAnsiTheme="minorHAnsi" w:cstheme="minorHAnsi"/>
          <w:i/>
          <w:iCs/>
        </w:rPr>
        <w:t>,</w:t>
      </w:r>
      <w:r w:rsidR="00A64C32" w:rsidRPr="00A64C32">
        <w:rPr>
          <w:rFonts w:asciiTheme="minorHAnsi" w:hAnsiTheme="minorHAnsi" w:cstheme="minorHAnsi"/>
          <w:i/>
          <w:iCs/>
        </w:rPr>
        <w:t xml:space="preserve"> it will likely be performed after the primary cytoreductive surgery (if this surgery is performed in the patient).</w:t>
      </w:r>
    </w:p>
    <w:p w14:paraId="4D1ADD5A" w14:textId="77777777" w:rsidR="007C7EC1" w:rsidRDefault="00932FCD" w:rsidP="002E63D9">
      <w:pPr>
        <w:autoSpaceDE w:val="0"/>
        <w:autoSpaceDN w:val="0"/>
        <w:adjustRightInd w:val="0"/>
        <w:rPr>
          <w:rFonts w:ascii="Arial" w:hAnsi="Arial" w:cs="Arial"/>
          <w:sz w:val="16"/>
          <w:szCs w:val="16"/>
        </w:rPr>
      </w:pPr>
      <w:r w:rsidRPr="0032737E">
        <w:rPr>
          <w:rFonts w:asciiTheme="minorHAnsi" w:hAnsiTheme="minorHAnsi" w:cstheme="minorHAnsi"/>
          <w:i/>
          <w:iCs/>
        </w:rPr>
        <w:t>PASC considered that both testing timepoints (at cancer diagnosis and at platinum resistance) should be explored in the assessment so that MSAC is able to provide well informed advice regarding the time at which the test should be performed.</w:t>
      </w:r>
    </w:p>
    <w:p w14:paraId="2BDE22B9" w14:textId="7327AF5B" w:rsidR="00D73332" w:rsidRDefault="00D73332" w:rsidP="00713728">
      <w:pPr>
        <w:pStyle w:val="Heading2"/>
        <w:rPr>
          <w:b/>
          <w:bCs/>
          <w:i/>
        </w:rPr>
      </w:pPr>
      <w:r w:rsidRPr="00490FBB">
        <w:t>Proposed economic evaluation</w:t>
      </w:r>
    </w:p>
    <w:p w14:paraId="384466D5" w14:textId="333E666C" w:rsidR="004B3C12" w:rsidRPr="004B3C12" w:rsidRDefault="004B3C12" w:rsidP="004B3C12">
      <w:r w:rsidRPr="004B3C12">
        <w:t>The application claims superiority of FRα expression status test</w:t>
      </w:r>
      <w:r w:rsidR="004234C5">
        <w:t>ing</w:t>
      </w:r>
      <w:r w:rsidRPr="004B3C12">
        <w:t xml:space="preserve"> </w:t>
      </w:r>
      <w:r w:rsidR="00EA5ADD">
        <w:t>and</w:t>
      </w:r>
      <w:r w:rsidRPr="004B3C12">
        <w:t xml:space="preserve"> mirvetuximab soravtansine versus no testing </w:t>
      </w:r>
      <w:r w:rsidR="00EA5ADD">
        <w:t>and</w:t>
      </w:r>
      <w:r w:rsidRPr="004B3C12">
        <w:t xml:space="preserve"> standard of care therapy (non-platinum chemotherapy). Neither the application nor the PICO </w:t>
      </w:r>
      <w:r w:rsidR="00E73FC6">
        <w:t>S</w:t>
      </w:r>
      <w:r w:rsidRPr="004B3C12">
        <w:t xml:space="preserve">et </w:t>
      </w:r>
      <w:r w:rsidR="00E73FC6">
        <w:t xml:space="preserve">Document </w:t>
      </w:r>
      <w:r w:rsidRPr="004B3C12">
        <w:t xml:space="preserve">provided </w:t>
      </w:r>
      <w:r w:rsidR="00A91316">
        <w:t xml:space="preserve">information </w:t>
      </w:r>
      <w:r w:rsidRPr="004B3C12">
        <w:t>about relevant safety (harms) of FRα expression status test</w:t>
      </w:r>
      <w:r w:rsidR="00A91316">
        <w:t>ing</w:t>
      </w:r>
      <w:r w:rsidRPr="004B3C12">
        <w:t xml:space="preserve"> </w:t>
      </w:r>
      <w:r w:rsidR="002B24B7">
        <w:t>and</w:t>
      </w:r>
      <w:r w:rsidRPr="004B3C12">
        <w:t xml:space="preserve"> mirvetuximab soravtansine versus no testing </w:t>
      </w:r>
      <w:r w:rsidR="002B24B7">
        <w:t>and</w:t>
      </w:r>
      <w:r w:rsidRPr="004B3C12">
        <w:t xml:space="preserve"> standard of care therapy. </w:t>
      </w:r>
    </w:p>
    <w:p w14:paraId="17B63AD7" w14:textId="2EDB1AD6" w:rsidR="004B3C12" w:rsidRDefault="004B3C12" w:rsidP="004B3C12">
      <w:r w:rsidRPr="00FC6002">
        <w:t xml:space="preserve">On the basis of a claim of superior effectiveness, a cost-effectiveness (CEA), or a cost-utility analysis (CUA) would be appropriate according to </w:t>
      </w:r>
      <w:r w:rsidR="00223EAC" w:rsidRPr="00FC6002">
        <w:fldChar w:fldCharType="begin"/>
      </w:r>
      <w:r w:rsidR="00223EAC" w:rsidRPr="00FC6002">
        <w:instrText xml:space="preserve"> REF _Ref54260209 \h </w:instrText>
      </w:r>
      <w:r w:rsidR="002B24B7">
        <w:instrText xml:space="preserve"> \* MERGEFORMAT </w:instrText>
      </w:r>
      <w:r w:rsidR="00223EAC" w:rsidRPr="00FC6002">
        <w:fldChar w:fldCharType="separate"/>
      </w:r>
      <w:r w:rsidR="003B43AD">
        <w:t xml:space="preserve">Table </w:t>
      </w:r>
      <w:r w:rsidR="003B43AD">
        <w:rPr>
          <w:noProof/>
        </w:rPr>
        <w:t>2</w:t>
      </w:r>
      <w:r w:rsidR="00223EAC" w:rsidRPr="00FC6002">
        <w:fldChar w:fldCharType="end"/>
      </w:r>
      <w:r w:rsidRPr="00FC6002">
        <w:t>.</w:t>
      </w:r>
    </w:p>
    <w:p w14:paraId="0C4143EB" w14:textId="1D6E0043" w:rsidR="00444562" w:rsidRPr="00444562" w:rsidRDefault="00444562" w:rsidP="004B3C12">
      <w:r w:rsidRPr="0032737E">
        <w:rPr>
          <w:i/>
          <w:iCs/>
        </w:rPr>
        <w:t>PASC agreed that on the basis of a claim of superior effectiveness, a cost-effectiveness (CEA), or a cost-utility analysis (CUA) would be an appropriate type of economic evaluation.</w:t>
      </w:r>
    </w:p>
    <w:p w14:paraId="6DAB2DBD" w14:textId="2032D990" w:rsidR="000939E0" w:rsidRPr="00490FBB" w:rsidRDefault="00223EAC" w:rsidP="00C40CC4">
      <w:pPr>
        <w:pStyle w:val="Caption"/>
      </w:pPr>
      <w:bookmarkStart w:id="8" w:name="_Ref54260209"/>
      <w:bookmarkStart w:id="9" w:name="_Toc423450289"/>
      <w:r>
        <w:t xml:space="preserve">Table </w:t>
      </w:r>
      <w:r>
        <w:fldChar w:fldCharType="begin"/>
      </w:r>
      <w:r>
        <w:instrText xml:space="preserve"> SEQ Table \* ARABIC </w:instrText>
      </w:r>
      <w:r>
        <w:fldChar w:fldCharType="separate"/>
      </w:r>
      <w:r w:rsidR="003B43AD">
        <w:rPr>
          <w:noProof/>
        </w:rPr>
        <w:t>2</w:t>
      </w:r>
      <w:r>
        <w:fldChar w:fldCharType="end"/>
      </w:r>
      <w:bookmarkEnd w:id="8"/>
      <w:r w:rsidR="001A5D2F">
        <w:tab/>
        <w:t>Classification of</w:t>
      </w:r>
      <w:r w:rsidR="000939E0" w:rsidRPr="00490FBB">
        <w:t xml:space="preserve"> comparative effectiveness and safety of the proposed intervention</w:t>
      </w:r>
      <w:r w:rsidR="001A5D2F">
        <w:t>,</w:t>
      </w:r>
      <w:r w:rsidR="000939E0" w:rsidRPr="00490FBB">
        <w:t xml:space="preserve"> compared with its main comparator</w:t>
      </w:r>
      <w:r w:rsidR="001A5D2F">
        <w:t>,</w:t>
      </w:r>
      <w:r w:rsidR="000939E0" w:rsidRPr="00490FBB">
        <w:t xml:space="preserve"> and guide to the suitable type of economic evaluation</w:t>
      </w:r>
      <w:bookmarkEnd w:id="9"/>
    </w:p>
    <w:tbl>
      <w:tblPr>
        <w:tblW w:w="4872" w:type="pct"/>
        <w:tblInd w:w="115" w:type="dxa"/>
        <w:tblLayout w:type="fixed"/>
        <w:tblCellMar>
          <w:left w:w="115" w:type="dxa"/>
          <w:right w:w="115" w:type="dxa"/>
        </w:tblCellMar>
        <w:tblLook w:val="01E0" w:firstRow="1" w:lastRow="1" w:firstColumn="1" w:lastColumn="1" w:noHBand="0" w:noVBand="0"/>
        <w:tblCaption w:val="Table 2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10" w:name="Title_Table2" w:colFirst="0" w:colLast="0"/>
            <w:r w:rsidRPr="00490FBB">
              <w:t>Comparative safety</w:t>
            </w:r>
            <w:r w:rsidRPr="0032737E">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0"/>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8A348F" w:rsidRDefault="000939E0" w:rsidP="004B3C12">
      <w:pPr>
        <w:pStyle w:val="Tablenotes"/>
        <w:keepNext/>
        <w:spacing w:before="120" w:after="0"/>
        <w:rPr>
          <w:szCs w:val="18"/>
        </w:rPr>
      </w:pPr>
      <w:r w:rsidRPr="008A348F">
        <w:rPr>
          <w:szCs w:val="18"/>
        </w:rPr>
        <w:t>CEA=cost-effectiveness analysis; CMA=cost-minimisation analysis; CUA=cost-utility analysis</w:t>
      </w:r>
    </w:p>
    <w:p w14:paraId="48F7CED7" w14:textId="77777777" w:rsidR="000939E0" w:rsidRPr="008A348F" w:rsidRDefault="000939E0" w:rsidP="004B3C12">
      <w:pPr>
        <w:pStyle w:val="Tablenotes"/>
        <w:keepNext/>
        <w:spacing w:after="0"/>
        <w:rPr>
          <w:b/>
          <w:szCs w:val="18"/>
        </w:rPr>
      </w:pPr>
      <w:r w:rsidRPr="008A348F">
        <w:rPr>
          <w:szCs w:val="18"/>
        </w:rPr>
        <w:t xml:space="preserve">? = reflect uncertainties and any identified health trade-offs in the economic evaluation, as a minimum in a cost-consequences analysis </w:t>
      </w:r>
    </w:p>
    <w:p w14:paraId="65C6F534" w14:textId="77777777" w:rsidR="000939E0" w:rsidRPr="008A348F" w:rsidRDefault="000939E0" w:rsidP="004B3C12">
      <w:pPr>
        <w:pStyle w:val="Tablenotes"/>
        <w:keepNext/>
        <w:spacing w:after="0"/>
        <w:rPr>
          <w:b/>
          <w:szCs w:val="18"/>
        </w:rPr>
      </w:pPr>
      <w:r w:rsidRPr="008A348F">
        <w:rPr>
          <w:szCs w:val="18"/>
          <w:vertAlign w:val="superscript"/>
        </w:rPr>
        <w:t>a</w:t>
      </w:r>
      <w:r w:rsidRPr="008A348F">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7AD24E6B" w14:textId="60E6E494" w:rsidR="00D54065" w:rsidRPr="00FF7184" w:rsidRDefault="000939E0" w:rsidP="00FF7184">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2010CAD9" w14:textId="30CF00A0" w:rsidR="00D54065" w:rsidRPr="00D54065" w:rsidRDefault="00D73332" w:rsidP="00D54065">
      <w:pPr>
        <w:pStyle w:val="Heading2"/>
      </w:pPr>
      <w:r w:rsidRPr="00DE762F">
        <w:t>Propos</w:t>
      </w:r>
      <w:r w:rsidR="000D1FCF" w:rsidRPr="00DE762F">
        <w:t>al for public funding</w:t>
      </w:r>
    </w:p>
    <w:p w14:paraId="6FDCBA15" w14:textId="08F21200" w:rsidR="00092BEE" w:rsidRDefault="00092BEE" w:rsidP="00092BEE">
      <w:r>
        <w:t>T</w:t>
      </w:r>
      <w:r w:rsidR="00B12A91">
        <w:t>he applicant noted that</w:t>
      </w:r>
      <w:r>
        <w:t xml:space="preserve"> </w:t>
      </w:r>
      <w:r w:rsidR="009F15DE">
        <w:t>the Royal College of Pathologists of Australasia (</w:t>
      </w:r>
      <w:r w:rsidRPr="00092BEE">
        <w:t>RCPA</w:t>
      </w:r>
      <w:r w:rsidR="009F15DE">
        <w:t>)</w:t>
      </w:r>
      <w:r w:rsidRPr="00092BEE">
        <w:t xml:space="preserve"> Cancer Advisory Committee</w:t>
      </w:r>
      <w:r>
        <w:t xml:space="preserve"> advised that the association’s position has consistently been that</w:t>
      </w:r>
      <w:r w:rsidR="00B12A91">
        <w:t xml:space="preserve"> </w:t>
      </w:r>
      <w:r w:rsidR="00B12A91" w:rsidRPr="00B12A91">
        <w:t>predictive biomarkers which determine access to therapy</w:t>
      </w:r>
      <w:r w:rsidR="00B12A91">
        <w:t xml:space="preserve">, </w:t>
      </w:r>
      <w:r w:rsidR="00B12A91" w:rsidRPr="00B12A91">
        <w:t>such as FRα-testing</w:t>
      </w:r>
      <w:r w:rsidR="00B12A91">
        <w:t xml:space="preserve">, </w:t>
      </w:r>
      <w:r w:rsidR="00B12A91" w:rsidRPr="00B12A91">
        <w:t xml:space="preserve">require a different MBS item </w:t>
      </w:r>
      <w:r>
        <w:t xml:space="preserve">rather </w:t>
      </w:r>
      <w:r w:rsidR="00B12A91" w:rsidRPr="00B12A91">
        <w:t xml:space="preserve">than </w:t>
      </w:r>
      <w:r w:rsidR="00B12A91">
        <w:t>existing</w:t>
      </w:r>
      <w:r>
        <w:t xml:space="preserve"> items for</w:t>
      </w:r>
      <w:r w:rsidR="00B12A91">
        <w:t xml:space="preserve"> </w:t>
      </w:r>
      <w:r w:rsidR="00B12A91" w:rsidRPr="00B12A91">
        <w:t>routine diagnostic IHCs</w:t>
      </w:r>
      <w:r w:rsidR="00B12A91">
        <w:t xml:space="preserve">. </w:t>
      </w:r>
      <w:r w:rsidRPr="00092BEE">
        <w:t>This is because the testing approach is more complex</w:t>
      </w:r>
      <w:r>
        <w:t xml:space="preserve">, </w:t>
      </w:r>
      <w:r w:rsidRPr="00092BEE">
        <w:t xml:space="preserve">including the need to </w:t>
      </w:r>
      <w:r w:rsidRPr="00092BEE">
        <w:lastRenderedPageBreak/>
        <w:t>score both a proportion of cells affected and staining intensity, as well as the need for more rigorous validation, often more costly companion diagnostic assays, and the need for specific quality assurance program participation. </w:t>
      </w:r>
      <w:r>
        <w:t>Therefore, the applicant noted that the use of existing IHC examination MBS items (e.g.</w:t>
      </w:r>
      <w:r w:rsidR="009F15DE">
        <w:t>,</w:t>
      </w:r>
      <w:r>
        <w:t xml:space="preserve"> 72846) to be unsuitable for use for the current proposed test.</w:t>
      </w:r>
    </w:p>
    <w:p w14:paraId="58B9247E" w14:textId="465B5C96" w:rsidR="00ED08BF" w:rsidRPr="00092BEE" w:rsidRDefault="00ED08BF" w:rsidP="00092BEE">
      <w:r w:rsidRPr="00373A0F">
        <w:rPr>
          <w:rFonts w:asciiTheme="minorHAnsi" w:hAnsiTheme="minorHAnsi" w:cstheme="minorHAnsi"/>
          <w:i/>
        </w:rPr>
        <w:t>As stated previously, PASC considered that the integrated codependent submission should explore both testing timepoints: at cancer diagnosis and at platinum resistance. PASC noted that there are several ongoing studies related to FRα testing to determine eligibility to treatment and considered that the item descriptors should remain reasonably generic where appropriate to allow for future changes that are informed by new data.</w:t>
      </w:r>
    </w:p>
    <w:p w14:paraId="6624F87C" w14:textId="694234D7" w:rsidR="00ED08BF" w:rsidRDefault="004B3C12" w:rsidP="004B3C12">
      <w:r>
        <w:t xml:space="preserve">The </w:t>
      </w:r>
      <w:r w:rsidR="004E658A">
        <w:t xml:space="preserve">MBS </w:t>
      </w:r>
      <w:r>
        <w:t>item descriptor</w:t>
      </w:r>
      <w:r w:rsidR="004E658A">
        <w:t xml:space="preserve"> proposed</w:t>
      </w:r>
      <w:r>
        <w:t xml:space="preserve"> </w:t>
      </w:r>
      <w:r w:rsidR="00ED08BF">
        <w:t>for FR</w:t>
      </w:r>
      <w:r w:rsidR="00ED08BF">
        <w:rPr>
          <w:rFonts w:cs="Calibri"/>
        </w:rPr>
        <w:t>α</w:t>
      </w:r>
      <w:r w:rsidR="00ED08BF">
        <w:t xml:space="preserve"> testing at confirmation of platinum resistance </w:t>
      </w:r>
      <w:r w:rsidR="002D6233">
        <w:t>is</w:t>
      </w:r>
      <w:r w:rsidR="004E658A">
        <w:t xml:space="preserve"> </w:t>
      </w:r>
      <w:r>
        <w:t xml:space="preserve">provided in </w:t>
      </w:r>
      <w:r w:rsidR="00F70EA6">
        <w:fldChar w:fldCharType="begin"/>
      </w:r>
      <w:r w:rsidR="00F70EA6">
        <w:instrText xml:space="preserve"> REF _Ref181926594 \h </w:instrText>
      </w:r>
      <w:r w:rsidR="00F70EA6">
        <w:fldChar w:fldCharType="separate"/>
      </w:r>
      <w:r w:rsidR="003B43AD">
        <w:t xml:space="preserve">Table </w:t>
      </w:r>
      <w:r w:rsidR="003B43AD">
        <w:rPr>
          <w:noProof/>
        </w:rPr>
        <w:t>3</w:t>
      </w:r>
      <w:r w:rsidR="00F70EA6">
        <w:fldChar w:fldCharType="end"/>
      </w:r>
      <w:r w:rsidR="00C80532">
        <w:t>.</w:t>
      </w:r>
      <w:r w:rsidR="00B12A91" w:rsidRPr="00B12A91">
        <w:t xml:space="preserve"> The application initially proposed a fee of $74.50 based on comparable IHC item 72814 for </w:t>
      </w:r>
      <w:r w:rsidR="009F15DE">
        <w:t>programmed death-ligand 1 (</w:t>
      </w:r>
      <w:r w:rsidR="00B12A91" w:rsidRPr="00B12A91">
        <w:t>PD-L1</w:t>
      </w:r>
      <w:r w:rsidR="009F15DE">
        <w:t>)</w:t>
      </w:r>
      <w:r w:rsidR="00B12A91" w:rsidRPr="00B12A91">
        <w:t xml:space="preserve"> testing. Subsequently, the applicant noted that this fee does not adequately cover the costs associated with comparable IHC tests and have indicated that the fee is likely to be approximately $130.00 based on a cost build up approach.</w:t>
      </w:r>
    </w:p>
    <w:p w14:paraId="1F7DB6F3" w14:textId="77777777" w:rsidR="00896A7D" w:rsidRPr="00896A7D" w:rsidRDefault="00C31737" w:rsidP="00896A7D">
      <w:pPr>
        <w:rPr>
          <w:i/>
          <w:iCs/>
        </w:rPr>
      </w:pPr>
      <w:r w:rsidRPr="00896A7D">
        <w:rPr>
          <w:i/>
          <w:iCs/>
        </w:rPr>
        <w:t>PASC noted the application initially proposed a fee of $74.50 based on comparable IHC item 72814 for PD- L1 testing. The applicant’s clinical expert suggested that the originally proposed fee is likely too low and is dependent on the cost of the test assigned by the sponsor of the test. PASC advised the applicant to present the proposed fee in the integrated codependent submission along with appropriate justification for the increased fee compared to comparable MBS items.</w:t>
      </w:r>
    </w:p>
    <w:p w14:paraId="06DAE073" w14:textId="008C6347" w:rsidR="004B3C12" w:rsidRPr="004B3C12" w:rsidRDefault="004B3C12" w:rsidP="004B3C12">
      <w:pPr>
        <w:pStyle w:val="Caption"/>
        <w:rPr>
          <w:i/>
          <w:iCs/>
        </w:rPr>
      </w:pPr>
      <w:bookmarkStart w:id="11" w:name="_Ref181926594"/>
      <w:r>
        <w:t xml:space="preserve">Table </w:t>
      </w:r>
      <w:r>
        <w:fldChar w:fldCharType="begin"/>
      </w:r>
      <w:r>
        <w:instrText xml:space="preserve"> SEQ Table \* ARABIC </w:instrText>
      </w:r>
      <w:r>
        <w:fldChar w:fldCharType="separate"/>
      </w:r>
      <w:r w:rsidR="003B43AD">
        <w:rPr>
          <w:noProof/>
        </w:rPr>
        <w:t>3</w:t>
      </w:r>
      <w:r>
        <w:fldChar w:fldCharType="end"/>
      </w:r>
      <w:bookmarkEnd w:id="11"/>
      <w:r>
        <w:tab/>
        <w:t xml:space="preserve">Proposed item descriptor </w:t>
      </w:r>
      <w:r w:rsidR="000C6B62">
        <w:t>for testing at platinum resistance</w:t>
      </w:r>
    </w:p>
    <w:tbl>
      <w:tblPr>
        <w:tblStyle w:val="TableGrid"/>
        <w:tblW w:w="0" w:type="auto"/>
        <w:tblInd w:w="0" w:type="dxa"/>
        <w:tblLook w:val="04A0" w:firstRow="1" w:lastRow="0" w:firstColumn="1" w:lastColumn="0" w:noHBand="0" w:noVBand="1"/>
        <w:tblCaption w:val="Table 3 Proposed item descriptor in the application"/>
        <w:tblDescription w:val="The item is proposed to be MBS Category 6 - Pathology Services to test tumour tissue for the detection of FRα tumour expression, in a patient with platinum resistant high-grade serous epithelial ovarian, fallopian tube or primary peritoneal cancer. The proposed fee is to be confirmed.&#10;&#10;1. proposed category 6 from the MBS;&#10;2. proposed categroy description from the MBS;&#10;3. proposed item descriptor; and&#10;4. proposed fee."/>
      </w:tblPr>
      <w:tblGrid>
        <w:gridCol w:w="9242"/>
      </w:tblGrid>
      <w:tr w:rsidR="00F70EA6" w:rsidRPr="00F70EA6" w14:paraId="4034848D" w14:textId="77777777" w:rsidTr="005A4DF2">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46D5D174" w:rsidR="002F3E40" w:rsidRPr="00F70EA6" w:rsidRDefault="002F3E40" w:rsidP="00D2670B">
            <w:pPr>
              <w:spacing w:before="40" w:after="40" w:line="240" w:lineRule="auto"/>
              <w:rPr>
                <w:rFonts w:ascii="Arial Narrow" w:hAnsi="Arial Narrow"/>
                <w:sz w:val="20"/>
                <w:szCs w:val="20"/>
              </w:rPr>
            </w:pPr>
            <w:r w:rsidRPr="00F70EA6">
              <w:rPr>
                <w:rFonts w:ascii="Arial Narrow" w:hAnsi="Arial Narrow"/>
                <w:sz w:val="20"/>
                <w:szCs w:val="20"/>
              </w:rPr>
              <w:t>Category (</w:t>
            </w:r>
            <w:r w:rsidR="00EF6B43" w:rsidRPr="00F70EA6">
              <w:rPr>
                <w:rFonts w:ascii="Arial Narrow" w:hAnsi="Arial Narrow"/>
                <w:sz w:val="20"/>
                <w:szCs w:val="20"/>
              </w:rPr>
              <w:t xml:space="preserve">Category 6 </w:t>
            </w:r>
            <w:r w:rsidRPr="00F70EA6">
              <w:rPr>
                <w:rFonts w:ascii="Arial Narrow" w:hAnsi="Arial Narrow"/>
                <w:sz w:val="20"/>
                <w:szCs w:val="20"/>
              </w:rPr>
              <w:t xml:space="preserve">– </w:t>
            </w:r>
            <w:r w:rsidR="003B2732" w:rsidRPr="00F70EA6">
              <w:rPr>
                <w:rFonts w:ascii="Arial Narrow" w:hAnsi="Arial Narrow"/>
                <w:sz w:val="20"/>
                <w:szCs w:val="20"/>
              </w:rPr>
              <w:t>Pathology Services</w:t>
            </w:r>
            <w:r w:rsidRPr="00F70EA6">
              <w:rPr>
                <w:rFonts w:ascii="Arial Narrow" w:hAnsi="Arial Narrow"/>
                <w:sz w:val="20"/>
                <w:szCs w:val="20"/>
              </w:rPr>
              <w:t>)</w:t>
            </w:r>
            <w:r w:rsidR="00FD037B" w:rsidRPr="00F70EA6">
              <w:rPr>
                <w:rFonts w:ascii="Arial Narrow" w:hAnsi="Arial Narrow"/>
                <w:sz w:val="20"/>
                <w:szCs w:val="20"/>
              </w:rPr>
              <w:t xml:space="preserve"> </w:t>
            </w:r>
          </w:p>
        </w:tc>
      </w:tr>
      <w:tr w:rsidR="00F70EA6" w:rsidRPr="00F70EA6" w14:paraId="028C0CFB" w14:textId="77777777" w:rsidTr="005A4DF2">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26B97890" w:rsidR="002F3E40" w:rsidRPr="00F70EA6" w:rsidRDefault="000D1FCF" w:rsidP="00D2670B">
            <w:pPr>
              <w:spacing w:before="120" w:after="120" w:line="240" w:lineRule="auto"/>
              <w:rPr>
                <w:rFonts w:ascii="Arial Narrow" w:hAnsi="Arial Narrow"/>
                <w:sz w:val="20"/>
                <w:szCs w:val="20"/>
              </w:rPr>
            </w:pPr>
            <w:r w:rsidRPr="00F70EA6">
              <w:rPr>
                <w:rFonts w:ascii="Arial Narrow" w:hAnsi="Arial Narrow"/>
                <w:sz w:val="20"/>
                <w:szCs w:val="20"/>
              </w:rPr>
              <w:t xml:space="preserve">MBS item </w:t>
            </w:r>
            <w:r w:rsidR="004E3ABF" w:rsidRPr="00F70EA6">
              <w:rPr>
                <w:rFonts w:ascii="Arial Narrow" w:hAnsi="Arial Narrow"/>
                <w:sz w:val="20"/>
                <w:szCs w:val="20"/>
              </w:rPr>
              <w:t>*</w:t>
            </w:r>
            <w:r w:rsidRPr="00F70EA6">
              <w:rPr>
                <w:rFonts w:ascii="Arial Narrow" w:hAnsi="Arial Narrow"/>
                <w:sz w:val="20"/>
                <w:szCs w:val="20"/>
              </w:rPr>
              <w:t>XXXX</w:t>
            </w:r>
          </w:p>
          <w:p w14:paraId="074AC7D1" w14:textId="172C3372" w:rsidR="0048255D" w:rsidRPr="00F70EA6" w:rsidRDefault="0048255D" w:rsidP="0048255D">
            <w:pPr>
              <w:spacing w:before="120" w:after="120" w:line="240" w:lineRule="auto"/>
              <w:rPr>
                <w:rFonts w:ascii="Arial Narrow" w:hAnsi="Arial Narrow"/>
                <w:sz w:val="20"/>
                <w:szCs w:val="20"/>
              </w:rPr>
            </w:pPr>
            <w:r w:rsidRPr="00F70EA6">
              <w:rPr>
                <w:rFonts w:ascii="Arial Narrow" w:hAnsi="Arial Narrow"/>
                <w:sz w:val="20"/>
                <w:szCs w:val="20"/>
              </w:rPr>
              <w:t xml:space="preserve">A test of tumour tissue </w:t>
            </w:r>
            <w:r w:rsidR="0087379D">
              <w:rPr>
                <w:rFonts w:ascii="Arial Narrow" w:hAnsi="Arial Narrow"/>
                <w:sz w:val="20"/>
                <w:szCs w:val="20"/>
              </w:rPr>
              <w:t xml:space="preserve">using immunohistochemistry </w:t>
            </w:r>
            <w:r w:rsidRPr="00F70EA6">
              <w:rPr>
                <w:rFonts w:ascii="Arial Narrow" w:hAnsi="Arial Narrow"/>
                <w:sz w:val="20"/>
                <w:szCs w:val="20"/>
              </w:rPr>
              <w:t xml:space="preserve">for the detection of </w:t>
            </w:r>
            <w:r w:rsidR="0087379D">
              <w:rPr>
                <w:rFonts w:ascii="Arial Narrow" w:hAnsi="Arial Narrow"/>
                <w:sz w:val="20"/>
                <w:szCs w:val="20"/>
              </w:rPr>
              <w:t xml:space="preserve">membrane </w:t>
            </w:r>
            <w:r w:rsidRPr="00F70EA6">
              <w:rPr>
                <w:rFonts w:ascii="Arial Narrow" w:hAnsi="Arial Narrow"/>
                <w:sz w:val="20"/>
                <w:szCs w:val="20"/>
              </w:rPr>
              <w:t>FRα tumour expression</w:t>
            </w:r>
            <w:r w:rsidR="00F70EA6">
              <w:rPr>
                <w:rFonts w:ascii="Arial Narrow" w:hAnsi="Arial Narrow"/>
                <w:sz w:val="20"/>
                <w:szCs w:val="20"/>
              </w:rPr>
              <w:t>,</w:t>
            </w:r>
            <w:r w:rsidR="00A15009" w:rsidRPr="00F70EA6">
              <w:rPr>
                <w:rFonts w:ascii="Arial Narrow" w:hAnsi="Arial Narrow"/>
                <w:sz w:val="20"/>
                <w:szCs w:val="20"/>
              </w:rPr>
              <w:t xml:space="preserve"> </w:t>
            </w:r>
            <w:r w:rsidRPr="00F70EA6">
              <w:rPr>
                <w:rFonts w:ascii="Arial Narrow" w:hAnsi="Arial Narrow"/>
                <w:sz w:val="20"/>
                <w:szCs w:val="20"/>
              </w:rPr>
              <w:t>in a patient with:</w:t>
            </w:r>
          </w:p>
          <w:p w14:paraId="5AE042FD" w14:textId="65E4D2BF" w:rsidR="0048255D" w:rsidRPr="00F70EA6" w:rsidRDefault="00FE05CC" w:rsidP="00842ED8">
            <w:pPr>
              <w:pStyle w:val="ListParagraph"/>
              <w:numPr>
                <w:ilvl w:val="0"/>
                <w:numId w:val="8"/>
              </w:numPr>
              <w:spacing w:before="120" w:after="120" w:line="240" w:lineRule="auto"/>
              <w:rPr>
                <w:rFonts w:ascii="Arial Narrow" w:hAnsi="Arial Narrow"/>
                <w:sz w:val="20"/>
                <w:szCs w:val="20"/>
              </w:rPr>
            </w:pPr>
            <w:r w:rsidRPr="00F70EA6">
              <w:rPr>
                <w:rFonts w:ascii="Arial Narrow" w:hAnsi="Arial Narrow"/>
                <w:sz w:val="20"/>
                <w:szCs w:val="20"/>
              </w:rPr>
              <w:t xml:space="preserve">platinum </w:t>
            </w:r>
            <w:r w:rsidR="0048255D" w:rsidRPr="00F70EA6">
              <w:rPr>
                <w:rFonts w:ascii="Arial Narrow" w:hAnsi="Arial Narrow"/>
                <w:sz w:val="20"/>
                <w:szCs w:val="20"/>
              </w:rPr>
              <w:t>resistant</w:t>
            </w:r>
            <w:r w:rsidR="00DD2776" w:rsidRPr="00F70EA6">
              <w:rPr>
                <w:rFonts w:ascii="Arial Narrow" w:hAnsi="Arial Narrow"/>
                <w:sz w:val="20"/>
                <w:szCs w:val="20"/>
              </w:rPr>
              <w:t xml:space="preserve"> </w:t>
            </w:r>
            <w:r w:rsidR="00DD2776" w:rsidRPr="002D6233">
              <w:rPr>
                <w:rFonts w:ascii="Arial Narrow" w:hAnsi="Arial Narrow"/>
                <w:sz w:val="20"/>
                <w:szCs w:val="20"/>
              </w:rPr>
              <w:t xml:space="preserve">high-grade </w:t>
            </w:r>
            <w:r w:rsidR="0057171F" w:rsidRPr="002D6233">
              <w:rPr>
                <w:rFonts w:ascii="Arial Narrow" w:hAnsi="Arial Narrow"/>
                <w:sz w:val="20"/>
                <w:szCs w:val="20"/>
              </w:rPr>
              <w:t>serous</w:t>
            </w:r>
            <w:r w:rsidR="0057171F" w:rsidRPr="000C6B62">
              <w:rPr>
                <w:rFonts w:ascii="Arial Narrow" w:hAnsi="Arial Narrow"/>
                <w:sz w:val="20"/>
                <w:szCs w:val="20"/>
              </w:rPr>
              <w:t xml:space="preserve"> </w:t>
            </w:r>
            <w:r w:rsidR="00F70EA6" w:rsidRPr="002D6233">
              <w:rPr>
                <w:rFonts w:ascii="Arial Narrow" w:hAnsi="Arial Narrow"/>
                <w:sz w:val="20"/>
                <w:szCs w:val="20"/>
              </w:rPr>
              <w:t xml:space="preserve">epithelial </w:t>
            </w:r>
            <w:r w:rsidR="0048255D" w:rsidRPr="000C6B62">
              <w:rPr>
                <w:rFonts w:ascii="Arial Narrow" w:hAnsi="Arial Narrow"/>
                <w:sz w:val="20"/>
                <w:szCs w:val="20"/>
              </w:rPr>
              <w:t>ovarian</w:t>
            </w:r>
            <w:r w:rsidR="00F70EA6" w:rsidRPr="000C6B62">
              <w:rPr>
                <w:rFonts w:ascii="Arial Narrow" w:hAnsi="Arial Narrow"/>
                <w:sz w:val="20"/>
                <w:szCs w:val="20"/>
              </w:rPr>
              <w:t xml:space="preserve">, </w:t>
            </w:r>
            <w:r w:rsidR="00F70EA6" w:rsidRPr="002D6233">
              <w:rPr>
                <w:rFonts w:ascii="Arial Narrow" w:hAnsi="Arial Narrow"/>
                <w:sz w:val="20"/>
                <w:szCs w:val="20"/>
              </w:rPr>
              <w:t>fallopian tube or primary peritoneal</w:t>
            </w:r>
            <w:r w:rsidR="00F70EA6" w:rsidRPr="000C6B62">
              <w:rPr>
                <w:rFonts w:ascii="Arial Narrow" w:hAnsi="Arial Narrow"/>
                <w:sz w:val="20"/>
                <w:szCs w:val="20"/>
              </w:rPr>
              <w:t xml:space="preserve"> cancer</w:t>
            </w:r>
            <w:r w:rsidR="0048255D" w:rsidRPr="00F70EA6">
              <w:rPr>
                <w:rFonts w:ascii="Arial Narrow" w:hAnsi="Arial Narrow"/>
                <w:sz w:val="20"/>
                <w:szCs w:val="20"/>
              </w:rPr>
              <w:t xml:space="preserve"> </w:t>
            </w:r>
          </w:p>
          <w:p w14:paraId="5379CBCB" w14:textId="57683A49" w:rsidR="00B02B33" w:rsidRPr="00F70EA6" w:rsidRDefault="0048255D" w:rsidP="00F70EA6">
            <w:pPr>
              <w:spacing w:before="120" w:after="120" w:line="240" w:lineRule="auto"/>
              <w:rPr>
                <w:rFonts w:ascii="Arial Narrow" w:hAnsi="Arial Narrow"/>
                <w:sz w:val="20"/>
                <w:szCs w:val="20"/>
              </w:rPr>
            </w:pPr>
            <w:r w:rsidRPr="00F70EA6">
              <w:rPr>
                <w:rFonts w:ascii="Arial Narrow" w:hAnsi="Arial Narrow"/>
                <w:sz w:val="20"/>
                <w:szCs w:val="20"/>
              </w:rPr>
              <w:t xml:space="preserve">As requested by a specialist or consultant physician, to determine eligibility for treatment with </w:t>
            </w:r>
            <w:r w:rsidR="00A619C1" w:rsidRPr="002D6233">
              <w:rPr>
                <w:rFonts w:ascii="Arial Narrow" w:hAnsi="Arial Narrow"/>
                <w:sz w:val="20"/>
                <w:szCs w:val="20"/>
              </w:rPr>
              <w:t>a relevant treatment</w:t>
            </w:r>
            <w:r w:rsidR="00A619C1">
              <w:rPr>
                <w:rFonts w:ascii="Arial Narrow" w:hAnsi="Arial Narrow"/>
                <w:sz w:val="20"/>
                <w:szCs w:val="20"/>
              </w:rPr>
              <w:t xml:space="preserve"> </w:t>
            </w:r>
            <w:r w:rsidRPr="00F70EA6">
              <w:rPr>
                <w:rFonts w:ascii="Arial Narrow" w:hAnsi="Arial Narrow"/>
                <w:sz w:val="20"/>
                <w:szCs w:val="20"/>
              </w:rPr>
              <w:t>under the Pharmaceutical Benefits Scheme (PBS)</w:t>
            </w:r>
            <w:r w:rsidR="00F70EA6">
              <w:rPr>
                <w:rFonts w:ascii="Arial Narrow" w:hAnsi="Arial Narrow"/>
                <w:sz w:val="20"/>
                <w:szCs w:val="20"/>
              </w:rPr>
              <w:t>.</w:t>
            </w:r>
          </w:p>
        </w:tc>
      </w:tr>
      <w:tr w:rsidR="00F70EA6" w:rsidRPr="00F70EA6" w14:paraId="4130676A" w14:textId="77777777" w:rsidTr="005A4DF2">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1BE9D949" w:rsidR="00D2670B" w:rsidRPr="001B67A8" w:rsidRDefault="00D2670B" w:rsidP="00D2670B">
            <w:pPr>
              <w:spacing w:before="40" w:after="40" w:line="240" w:lineRule="auto"/>
              <w:rPr>
                <w:rFonts w:ascii="Arial Narrow" w:hAnsi="Arial Narrow"/>
                <w:i/>
                <w:iCs/>
                <w:sz w:val="20"/>
                <w:szCs w:val="20"/>
              </w:rPr>
            </w:pPr>
            <w:r w:rsidRPr="00F70EA6">
              <w:rPr>
                <w:rFonts w:ascii="Arial Narrow" w:hAnsi="Arial Narrow"/>
                <w:sz w:val="20"/>
                <w:szCs w:val="20"/>
              </w:rPr>
              <w:t xml:space="preserve">Fee: </w:t>
            </w:r>
            <w:r w:rsidR="00A619C1">
              <w:rPr>
                <w:rFonts w:ascii="Arial Narrow" w:hAnsi="Arial Narrow"/>
                <w:sz w:val="20"/>
                <w:szCs w:val="20"/>
              </w:rPr>
              <w:t>TBC</w:t>
            </w:r>
            <w:r w:rsidR="00F70EA6" w:rsidRPr="00F70EA6">
              <w:rPr>
                <w:rFonts w:ascii="Arial Narrow" w:hAnsi="Arial Narrow"/>
                <w:sz w:val="20"/>
                <w:szCs w:val="20"/>
              </w:rPr>
              <w:t xml:space="preserve"> </w:t>
            </w:r>
            <w:r w:rsidR="001B67A8" w:rsidRPr="007B0E17">
              <w:rPr>
                <w:rFonts w:ascii="Arial Narrow" w:hAnsi="Arial Narrow"/>
                <w:b/>
                <w:bCs/>
                <w:sz w:val="20"/>
                <w:szCs w:val="20"/>
              </w:rPr>
              <w:t>Benefit:</w:t>
            </w:r>
            <w:r w:rsidR="001B67A8" w:rsidRPr="007B0E17">
              <w:rPr>
                <w:rFonts w:ascii="Arial Narrow" w:hAnsi="Arial Narrow"/>
                <w:sz w:val="20"/>
                <w:szCs w:val="20"/>
              </w:rPr>
              <w:t xml:space="preserve"> 75% = </w:t>
            </w:r>
            <w:r w:rsidR="009E554A" w:rsidRPr="007B0E17">
              <w:rPr>
                <w:rFonts w:ascii="Arial Narrow" w:hAnsi="Arial Narrow"/>
                <w:sz w:val="20"/>
                <w:szCs w:val="20"/>
              </w:rPr>
              <w:t>TBC</w:t>
            </w:r>
            <w:r w:rsidR="001B67A8" w:rsidRPr="007B0E17">
              <w:rPr>
                <w:rFonts w:ascii="Arial Narrow" w:hAnsi="Arial Narrow"/>
                <w:sz w:val="20"/>
                <w:szCs w:val="20"/>
              </w:rPr>
              <w:t xml:space="preserve">; 85% = </w:t>
            </w:r>
            <w:r w:rsidR="009E554A" w:rsidRPr="00EC76AF">
              <w:rPr>
                <w:rFonts w:ascii="Arial Narrow" w:hAnsi="Arial Narrow"/>
                <w:sz w:val="20"/>
                <w:szCs w:val="20"/>
              </w:rPr>
              <w:t>TBC</w:t>
            </w:r>
          </w:p>
        </w:tc>
      </w:tr>
    </w:tbl>
    <w:p w14:paraId="4FEBA604" w14:textId="7A7BE3D7" w:rsidR="0060556D" w:rsidRPr="00896A7D" w:rsidRDefault="0060556D" w:rsidP="00896A7D">
      <w:pPr>
        <w:spacing w:after="0"/>
        <w:rPr>
          <w:rFonts w:ascii="Arial Narrow" w:hAnsi="Arial Narrow"/>
          <w:sz w:val="18"/>
          <w:szCs w:val="18"/>
        </w:rPr>
      </w:pPr>
      <w:r w:rsidRPr="00896A7D">
        <w:rPr>
          <w:rFonts w:ascii="Arial Narrow" w:hAnsi="Arial Narrow"/>
          <w:sz w:val="18"/>
          <w:szCs w:val="18"/>
        </w:rPr>
        <w:t xml:space="preserve">Abbreviations: </w:t>
      </w:r>
      <w:r>
        <w:rPr>
          <w:rFonts w:ascii="Arial Narrow" w:hAnsi="Arial Narrow" w:cs="Arial"/>
          <w:sz w:val="18"/>
          <w:szCs w:val="18"/>
        </w:rPr>
        <w:t>FRα, folate receptor alpha;</w:t>
      </w:r>
      <w:r w:rsidRPr="0060556D">
        <w:rPr>
          <w:rFonts w:ascii="Arial Narrow" w:hAnsi="Arial Narrow"/>
          <w:sz w:val="18"/>
          <w:szCs w:val="18"/>
        </w:rPr>
        <w:t xml:space="preserve"> </w:t>
      </w:r>
      <w:r w:rsidRPr="00896A7D">
        <w:rPr>
          <w:rFonts w:ascii="Arial Narrow" w:hAnsi="Arial Narrow"/>
          <w:sz w:val="18"/>
          <w:szCs w:val="18"/>
        </w:rPr>
        <w:t>TBC, to be confirmed.</w:t>
      </w:r>
    </w:p>
    <w:p w14:paraId="2521F153" w14:textId="77777777" w:rsidR="002D6233" w:rsidRDefault="002D6233" w:rsidP="0060556D">
      <w:pPr>
        <w:autoSpaceDE w:val="0"/>
        <w:autoSpaceDN w:val="0"/>
        <w:adjustRightInd w:val="0"/>
        <w:rPr>
          <w:rFonts w:asciiTheme="minorHAnsi" w:hAnsiTheme="minorHAnsi" w:cstheme="minorBidi"/>
          <w:i/>
        </w:rPr>
      </w:pPr>
    </w:p>
    <w:p w14:paraId="4EB00906" w14:textId="72B85857" w:rsidR="0060556D" w:rsidRPr="003E1233" w:rsidRDefault="0060556D" w:rsidP="0060556D">
      <w:pPr>
        <w:autoSpaceDE w:val="0"/>
        <w:autoSpaceDN w:val="0"/>
        <w:adjustRightInd w:val="0"/>
        <w:rPr>
          <w:rFonts w:asciiTheme="minorHAnsi" w:hAnsiTheme="minorHAnsi" w:cstheme="minorBidi"/>
          <w:i/>
        </w:rPr>
      </w:pPr>
      <w:r w:rsidRPr="00373A0F">
        <w:rPr>
          <w:rFonts w:asciiTheme="minorHAnsi" w:hAnsiTheme="minorHAnsi" w:cstheme="minorBidi"/>
          <w:i/>
        </w:rPr>
        <w:t>PASC noted the evolution of understanding of platinum resistance</w:t>
      </w:r>
      <w:r w:rsidRPr="003E1233">
        <w:rPr>
          <w:rFonts w:asciiTheme="minorHAnsi" w:hAnsiTheme="minorHAnsi" w:cstheme="minorBidi"/>
          <w:i/>
        </w:rPr>
        <w:t xml:space="preserve">. </w:t>
      </w:r>
      <w:r w:rsidR="003E1233" w:rsidRPr="00896A7D">
        <w:rPr>
          <w:rFonts w:asciiTheme="minorHAnsi" w:hAnsiTheme="minorHAnsi" w:cstheme="minorBidi"/>
          <w:i/>
        </w:rPr>
        <w:t xml:space="preserve">PASC considered the item descriptor should not define </w:t>
      </w:r>
      <w:r w:rsidR="00896A7D">
        <w:rPr>
          <w:rFonts w:asciiTheme="minorHAnsi" w:hAnsiTheme="minorHAnsi" w:cstheme="minorBidi"/>
          <w:i/>
        </w:rPr>
        <w:t>‘</w:t>
      </w:r>
      <w:r w:rsidR="003E1233" w:rsidRPr="00896A7D">
        <w:rPr>
          <w:rFonts w:asciiTheme="minorHAnsi" w:hAnsiTheme="minorHAnsi" w:cstheme="minorBidi"/>
          <w:i/>
        </w:rPr>
        <w:t xml:space="preserve">platinum </w:t>
      </w:r>
      <w:r w:rsidR="00896A7D" w:rsidRPr="00896A7D">
        <w:rPr>
          <w:rFonts w:asciiTheme="minorHAnsi" w:hAnsiTheme="minorHAnsi" w:cstheme="minorBidi"/>
          <w:i/>
        </w:rPr>
        <w:t>resistan</w:t>
      </w:r>
      <w:r w:rsidR="00896A7D">
        <w:rPr>
          <w:rFonts w:asciiTheme="minorHAnsi" w:hAnsiTheme="minorHAnsi" w:cstheme="minorBidi"/>
          <w:i/>
        </w:rPr>
        <w:t>t’</w:t>
      </w:r>
      <w:r w:rsidR="003E1233" w:rsidRPr="00896A7D">
        <w:rPr>
          <w:rFonts w:asciiTheme="minorHAnsi" w:hAnsiTheme="minorHAnsi" w:cstheme="minorBidi"/>
          <w:i/>
        </w:rPr>
        <w:t>.</w:t>
      </w:r>
    </w:p>
    <w:p w14:paraId="215218D9" w14:textId="3B310DF2" w:rsidR="00771847" w:rsidRPr="00FA4235" w:rsidRDefault="00771847" w:rsidP="00771847">
      <w:r w:rsidRPr="00FA4235">
        <w:fldChar w:fldCharType="begin"/>
      </w:r>
      <w:r w:rsidRPr="00FA4235">
        <w:instrText xml:space="preserve"> REF _Ref181927581 \h </w:instrText>
      </w:r>
      <w:r w:rsidR="00FC6002">
        <w:instrText xml:space="preserve"> \* MERGEFORMAT </w:instrText>
      </w:r>
      <w:r w:rsidRPr="00FA4235">
        <w:fldChar w:fldCharType="separate"/>
      </w:r>
      <w:r w:rsidR="003B43AD" w:rsidRPr="007B0E17">
        <w:t xml:space="preserve">Table </w:t>
      </w:r>
      <w:r w:rsidR="003B43AD">
        <w:rPr>
          <w:noProof/>
        </w:rPr>
        <w:t>4</w:t>
      </w:r>
      <w:r w:rsidRPr="00FA4235">
        <w:fldChar w:fldCharType="end"/>
      </w:r>
      <w:r w:rsidRPr="00FA4235">
        <w:t xml:space="preserve"> presents potential wording for </w:t>
      </w:r>
      <w:r w:rsidR="009F15DE">
        <w:t>an</w:t>
      </w:r>
      <w:r w:rsidR="009F15DE" w:rsidRPr="00FA4235">
        <w:t xml:space="preserve"> </w:t>
      </w:r>
      <w:r w:rsidRPr="00FA4235">
        <w:t>item descriptor</w:t>
      </w:r>
      <w:r w:rsidR="00FC6002">
        <w:t xml:space="preserve"> </w:t>
      </w:r>
      <w:r w:rsidR="009F15DE">
        <w:t>reflecting FR</w:t>
      </w:r>
      <w:r w:rsidR="009F15DE">
        <w:rPr>
          <w:rFonts w:cs="Calibri"/>
        </w:rPr>
        <w:t>α</w:t>
      </w:r>
      <w:r w:rsidR="009F15DE">
        <w:t xml:space="preserve"> testing </w:t>
      </w:r>
      <w:r w:rsidR="009F15DE" w:rsidRPr="009F15DE">
        <w:t>at the time of primary diagnosis of ovarian cancer</w:t>
      </w:r>
      <w:r w:rsidRPr="00FA4235">
        <w:t>.</w:t>
      </w:r>
    </w:p>
    <w:p w14:paraId="048FEFC9" w14:textId="4AB2449F" w:rsidR="00771847" w:rsidRPr="007B0E17" w:rsidRDefault="00771847" w:rsidP="0060556D">
      <w:pPr>
        <w:pStyle w:val="Caption"/>
      </w:pPr>
      <w:bookmarkStart w:id="12" w:name="_Ref181927581"/>
      <w:r>
        <w:lastRenderedPageBreak/>
        <w:t xml:space="preserve">Table </w:t>
      </w:r>
      <w:r>
        <w:fldChar w:fldCharType="begin"/>
      </w:r>
      <w:r>
        <w:instrText xml:space="preserve"> SEQ Table \* ARABIC </w:instrText>
      </w:r>
      <w:r>
        <w:fldChar w:fldCharType="separate"/>
      </w:r>
      <w:r w:rsidR="003B43AD" w:rsidRPr="31668593">
        <w:rPr>
          <w:noProof/>
        </w:rPr>
        <w:t>4</w:t>
      </w:r>
      <w:r>
        <w:fldChar w:fldCharType="end"/>
      </w:r>
      <w:bookmarkEnd w:id="12"/>
      <w:r>
        <w:tab/>
        <w:t>Proposed item descriptor for testing upon primary diagnosis of ovarian cancer</w:t>
      </w:r>
      <w:r w:rsidR="00424B65">
        <w:t xml:space="preserve"> </w:t>
      </w:r>
    </w:p>
    <w:tbl>
      <w:tblPr>
        <w:tblStyle w:val="TableGrid"/>
        <w:tblW w:w="0" w:type="auto"/>
        <w:tblInd w:w="0" w:type="dxa"/>
        <w:tblLook w:val="04A0" w:firstRow="1" w:lastRow="0" w:firstColumn="1" w:lastColumn="0" w:noHBand="0" w:noVBand="1"/>
        <w:tblCaption w:val="Table 4 Proposed item descriptor for testing upon primary diagnosis of ovarian cancer  "/>
        <w:tblDescription w:val="The item is proposed to be MBS Category 6 - Pathology Services to test tumour tissue for the detection of FRα tumour expression, in a patient with high-grade serous epithelial ovarian, fallopian tube or primary peritoneal, high-grade endometrioid, or undifferentiated epithelial ovarian cancer. The proposed fee is to be confirmed."/>
      </w:tblPr>
      <w:tblGrid>
        <w:gridCol w:w="9242"/>
      </w:tblGrid>
      <w:tr w:rsidR="00771847" w:rsidRPr="00771847" w14:paraId="758AD4FD" w14:textId="77777777" w:rsidTr="31668593">
        <w:tc>
          <w:tcPr>
            <w:tcW w:w="9242" w:type="dxa"/>
            <w:hideMark/>
          </w:tcPr>
          <w:p w14:paraId="2570DAE9" w14:textId="5C24A50F" w:rsidR="00771847" w:rsidRPr="007B0E17" w:rsidRDefault="00771847" w:rsidP="00896A7D">
            <w:pPr>
              <w:keepNext/>
              <w:spacing w:before="40" w:after="40" w:line="240" w:lineRule="auto"/>
              <w:rPr>
                <w:rFonts w:ascii="Arial Narrow" w:hAnsi="Arial Narrow"/>
                <w:sz w:val="20"/>
                <w:szCs w:val="20"/>
              </w:rPr>
            </w:pPr>
            <w:r w:rsidRPr="007B0E17">
              <w:rPr>
                <w:rFonts w:ascii="Arial Narrow" w:hAnsi="Arial Narrow"/>
                <w:sz w:val="20"/>
                <w:szCs w:val="20"/>
              </w:rPr>
              <w:t xml:space="preserve">Category (Category 6 – Pathology Services) </w:t>
            </w:r>
          </w:p>
        </w:tc>
      </w:tr>
      <w:tr w:rsidR="00771847" w:rsidRPr="00771847" w14:paraId="4DA597AC" w14:textId="77777777" w:rsidTr="31668593">
        <w:tc>
          <w:tcPr>
            <w:tcW w:w="9242" w:type="dxa"/>
          </w:tcPr>
          <w:p w14:paraId="6A19DE86" w14:textId="77777777" w:rsidR="00771847" w:rsidRPr="007B0E17" w:rsidRDefault="00771847" w:rsidP="00896A7D">
            <w:pPr>
              <w:keepNext/>
              <w:spacing w:before="120" w:after="120" w:line="240" w:lineRule="auto"/>
              <w:rPr>
                <w:rFonts w:ascii="Arial Narrow" w:hAnsi="Arial Narrow"/>
                <w:sz w:val="20"/>
                <w:szCs w:val="20"/>
              </w:rPr>
            </w:pPr>
            <w:r w:rsidRPr="007B0E17">
              <w:rPr>
                <w:rFonts w:ascii="Arial Narrow" w:hAnsi="Arial Narrow"/>
                <w:sz w:val="20"/>
                <w:szCs w:val="20"/>
              </w:rPr>
              <w:t>MBS item *XXXX</w:t>
            </w:r>
          </w:p>
          <w:p w14:paraId="1B60F94E" w14:textId="61F8BAF1" w:rsidR="00771847" w:rsidRPr="007B0E17" w:rsidRDefault="00771847" w:rsidP="00896A7D">
            <w:pPr>
              <w:keepNext/>
              <w:spacing w:before="120" w:after="120" w:line="240" w:lineRule="auto"/>
              <w:rPr>
                <w:rFonts w:ascii="Arial Narrow" w:hAnsi="Arial Narrow"/>
                <w:sz w:val="20"/>
                <w:szCs w:val="20"/>
              </w:rPr>
            </w:pPr>
            <w:r w:rsidRPr="31668593">
              <w:rPr>
                <w:rFonts w:ascii="Arial Narrow" w:hAnsi="Arial Narrow"/>
                <w:sz w:val="20"/>
                <w:szCs w:val="20"/>
              </w:rPr>
              <w:t>A test of tumour tissue</w:t>
            </w:r>
            <w:r w:rsidR="0087379D">
              <w:rPr>
                <w:rFonts w:ascii="Arial Narrow" w:hAnsi="Arial Narrow"/>
                <w:sz w:val="20"/>
                <w:szCs w:val="20"/>
              </w:rPr>
              <w:t xml:space="preserve"> using immunohistochemistry</w:t>
            </w:r>
            <w:r w:rsidRPr="31668593">
              <w:rPr>
                <w:rFonts w:ascii="Arial Narrow" w:hAnsi="Arial Narrow"/>
                <w:sz w:val="20"/>
                <w:szCs w:val="20"/>
              </w:rPr>
              <w:t xml:space="preserve"> in a patient with</w:t>
            </w:r>
            <w:r w:rsidR="00A80D2D">
              <w:rPr>
                <w:rFonts w:ascii="Arial Narrow" w:hAnsi="Arial Narrow"/>
                <w:sz w:val="20"/>
                <w:szCs w:val="20"/>
              </w:rPr>
              <w:t xml:space="preserve"> </w:t>
            </w:r>
            <w:r w:rsidRPr="31668593">
              <w:rPr>
                <w:rFonts w:ascii="Arial Narrow" w:hAnsi="Arial Narrow"/>
                <w:sz w:val="20"/>
                <w:szCs w:val="20"/>
              </w:rPr>
              <w:t xml:space="preserve">high-grade serous epithelial ovarian, fallopian tube or primary peritoneal, high-grade </w:t>
            </w:r>
            <w:r w:rsidR="006B192B" w:rsidRPr="31668593">
              <w:rPr>
                <w:rFonts w:ascii="Arial Narrow" w:hAnsi="Arial Narrow"/>
                <w:sz w:val="20"/>
                <w:szCs w:val="20"/>
              </w:rPr>
              <w:t>endometrioid</w:t>
            </w:r>
            <w:r w:rsidRPr="31668593">
              <w:rPr>
                <w:rFonts w:ascii="Arial Narrow" w:hAnsi="Arial Narrow"/>
                <w:sz w:val="20"/>
                <w:szCs w:val="20"/>
              </w:rPr>
              <w:t>, or undifferentiated epithelial</w:t>
            </w:r>
            <w:r w:rsidR="009D3DAB" w:rsidRPr="31668593">
              <w:rPr>
                <w:rFonts w:ascii="Arial Narrow" w:hAnsi="Arial Narrow"/>
                <w:sz w:val="20"/>
                <w:szCs w:val="20"/>
              </w:rPr>
              <w:t xml:space="preserve"> ovarian</w:t>
            </w:r>
            <w:r w:rsidRPr="31668593">
              <w:rPr>
                <w:rFonts w:ascii="Arial Narrow" w:hAnsi="Arial Narrow"/>
                <w:sz w:val="20"/>
                <w:szCs w:val="20"/>
              </w:rPr>
              <w:t xml:space="preserve"> cancer</w:t>
            </w:r>
            <w:r w:rsidR="0748A68B" w:rsidRPr="31668593">
              <w:rPr>
                <w:rFonts w:ascii="Arial Narrow" w:hAnsi="Arial Narrow"/>
                <w:sz w:val="20"/>
                <w:szCs w:val="20"/>
              </w:rPr>
              <w:t>,</w:t>
            </w:r>
            <w:r w:rsidRPr="31668593">
              <w:rPr>
                <w:rFonts w:ascii="Arial Narrow" w:hAnsi="Arial Narrow"/>
                <w:sz w:val="20"/>
                <w:szCs w:val="20"/>
              </w:rPr>
              <w:t xml:space="preserve"> requested by a </w:t>
            </w:r>
            <w:r w:rsidR="46D42EA2" w:rsidRPr="31668593">
              <w:rPr>
                <w:rFonts w:ascii="Arial Narrow" w:eastAsia="Arial Narrow" w:hAnsi="Arial Narrow" w:cs="Arial Narrow"/>
                <w:sz w:val="20"/>
                <w:szCs w:val="20"/>
              </w:rPr>
              <w:t>specialist or consultant physician</w:t>
            </w:r>
            <w:r w:rsidRPr="31668593">
              <w:rPr>
                <w:rFonts w:ascii="Arial Narrow" w:hAnsi="Arial Narrow"/>
                <w:sz w:val="20"/>
                <w:szCs w:val="20"/>
              </w:rPr>
              <w:t xml:space="preserve"> to determine </w:t>
            </w:r>
            <w:r w:rsidR="0087379D">
              <w:rPr>
                <w:rFonts w:ascii="Arial Narrow" w:hAnsi="Arial Narrow"/>
                <w:sz w:val="20"/>
                <w:szCs w:val="20"/>
              </w:rPr>
              <w:t xml:space="preserve">membrane </w:t>
            </w:r>
            <w:r w:rsidRPr="31668593">
              <w:rPr>
                <w:rFonts w:ascii="Arial Narrow" w:hAnsi="Arial Narrow"/>
                <w:sz w:val="20"/>
                <w:szCs w:val="20"/>
              </w:rPr>
              <w:t>FRα expression status</w:t>
            </w:r>
            <w:r w:rsidR="61E168FA" w:rsidRPr="6AB5A88F">
              <w:rPr>
                <w:rFonts w:ascii="Arial Narrow" w:hAnsi="Arial Narrow"/>
                <w:sz w:val="20"/>
                <w:szCs w:val="20"/>
              </w:rPr>
              <w:t xml:space="preserve"> for access to </w:t>
            </w:r>
            <w:r w:rsidR="7D341296" w:rsidRPr="6AB5A88F">
              <w:rPr>
                <w:rFonts w:ascii="Arial Narrow" w:hAnsi="Arial Narrow"/>
                <w:sz w:val="20"/>
                <w:szCs w:val="20"/>
              </w:rPr>
              <w:t>a relevant treatment under the Pharmaceutical Benefits Scheme (PBS)</w:t>
            </w:r>
            <w:r w:rsidR="5C977F20" w:rsidRPr="6AB5A88F">
              <w:rPr>
                <w:rFonts w:ascii="Arial Narrow" w:hAnsi="Arial Narrow"/>
                <w:sz w:val="20"/>
                <w:szCs w:val="20"/>
              </w:rPr>
              <w:t>.</w:t>
            </w:r>
            <w:r w:rsidRPr="6AB5A88F">
              <w:rPr>
                <w:rFonts w:ascii="Arial Narrow" w:hAnsi="Arial Narrow"/>
                <w:sz w:val="20"/>
                <w:szCs w:val="20"/>
              </w:rPr>
              <w:t xml:space="preserve"> </w:t>
            </w:r>
          </w:p>
          <w:p w14:paraId="44BC0362" w14:textId="1BADA9AD" w:rsidR="00771847" w:rsidRPr="007B0E17" w:rsidRDefault="00771847" w:rsidP="00896A7D">
            <w:pPr>
              <w:keepNext/>
              <w:spacing w:before="120" w:after="120" w:line="240" w:lineRule="auto"/>
              <w:rPr>
                <w:rFonts w:ascii="Arial Narrow" w:hAnsi="Arial Narrow"/>
                <w:sz w:val="20"/>
                <w:szCs w:val="20"/>
              </w:rPr>
            </w:pPr>
          </w:p>
          <w:p w14:paraId="39069C43" w14:textId="2F71A738" w:rsidR="00771847" w:rsidRPr="007B0E17" w:rsidRDefault="0E038444" w:rsidP="00896A7D">
            <w:pPr>
              <w:keepNext/>
              <w:spacing w:before="120" w:after="120" w:line="240" w:lineRule="auto"/>
              <w:rPr>
                <w:rFonts w:ascii="Arial Narrow" w:eastAsia="Arial Narrow" w:hAnsi="Arial Narrow" w:cs="Arial Narrow"/>
                <w:sz w:val="20"/>
                <w:szCs w:val="20"/>
              </w:rPr>
            </w:pPr>
            <w:r w:rsidRPr="60090CC8">
              <w:rPr>
                <w:rFonts w:ascii="Arial Narrow" w:eastAsia="Arial Narrow" w:hAnsi="Arial Narrow" w:cs="Arial Narrow"/>
                <w:sz w:val="20"/>
                <w:szCs w:val="20"/>
              </w:rPr>
              <w:t>(See para PN.1.2 of explanatory notes to this Category)</w:t>
            </w:r>
          </w:p>
        </w:tc>
      </w:tr>
      <w:tr w:rsidR="00771847" w:rsidRPr="005771DC" w14:paraId="1418140F" w14:textId="77777777" w:rsidTr="31668593">
        <w:tc>
          <w:tcPr>
            <w:tcW w:w="9242" w:type="dxa"/>
          </w:tcPr>
          <w:p w14:paraId="64B87973" w14:textId="65965C0C" w:rsidR="00771847" w:rsidRPr="00DE762F" w:rsidRDefault="00771847" w:rsidP="00896A7D">
            <w:pPr>
              <w:keepNext/>
              <w:spacing w:before="40" w:after="40" w:line="240" w:lineRule="auto"/>
              <w:rPr>
                <w:rFonts w:ascii="Arial Narrow" w:hAnsi="Arial Narrow"/>
                <w:sz w:val="20"/>
                <w:szCs w:val="20"/>
              </w:rPr>
            </w:pPr>
            <w:r w:rsidRPr="00DE762F">
              <w:rPr>
                <w:rFonts w:ascii="Arial Narrow" w:hAnsi="Arial Narrow"/>
                <w:sz w:val="20"/>
                <w:szCs w:val="20"/>
              </w:rPr>
              <w:t xml:space="preserve">Fee: </w:t>
            </w:r>
            <w:r w:rsidR="008345B8">
              <w:rPr>
                <w:rFonts w:ascii="Arial Narrow" w:hAnsi="Arial Narrow"/>
                <w:sz w:val="20"/>
                <w:szCs w:val="20"/>
              </w:rPr>
              <w:t>TBC</w:t>
            </w:r>
            <w:r w:rsidR="001B67A8">
              <w:rPr>
                <w:rFonts w:ascii="Arial Narrow" w:hAnsi="Arial Narrow"/>
                <w:sz w:val="20"/>
                <w:szCs w:val="20"/>
              </w:rPr>
              <w:t xml:space="preserve"> </w:t>
            </w:r>
            <w:r w:rsidR="001B67A8" w:rsidRPr="007B0E17">
              <w:rPr>
                <w:rFonts w:ascii="Arial Narrow" w:hAnsi="Arial Narrow"/>
                <w:b/>
                <w:bCs/>
                <w:sz w:val="20"/>
                <w:szCs w:val="20"/>
              </w:rPr>
              <w:t>Benefit:</w:t>
            </w:r>
            <w:r w:rsidR="001B67A8" w:rsidRPr="007B0E17">
              <w:rPr>
                <w:rFonts w:ascii="Arial Narrow" w:hAnsi="Arial Narrow"/>
                <w:sz w:val="20"/>
                <w:szCs w:val="20"/>
              </w:rPr>
              <w:t xml:space="preserve"> 75% = </w:t>
            </w:r>
            <w:r w:rsidR="009E554A" w:rsidRPr="00EC76AF">
              <w:rPr>
                <w:rFonts w:ascii="Arial Narrow" w:hAnsi="Arial Narrow"/>
                <w:sz w:val="20"/>
                <w:szCs w:val="20"/>
              </w:rPr>
              <w:t>TBC</w:t>
            </w:r>
            <w:r w:rsidR="001B67A8" w:rsidRPr="007B0E17">
              <w:rPr>
                <w:rFonts w:ascii="Arial Narrow" w:hAnsi="Arial Narrow"/>
                <w:sz w:val="20"/>
                <w:szCs w:val="20"/>
              </w:rPr>
              <w:t xml:space="preserve">; 85% = </w:t>
            </w:r>
            <w:r w:rsidR="009E554A" w:rsidRPr="00EC76AF">
              <w:rPr>
                <w:rFonts w:ascii="Arial Narrow" w:hAnsi="Arial Narrow"/>
                <w:sz w:val="20"/>
                <w:szCs w:val="20"/>
              </w:rPr>
              <w:t>TBC</w:t>
            </w:r>
          </w:p>
        </w:tc>
      </w:tr>
    </w:tbl>
    <w:p w14:paraId="5AEFE89A" w14:textId="77777777" w:rsidR="0060556D" w:rsidRPr="00373A0F" w:rsidRDefault="0060556D" w:rsidP="00896A7D">
      <w:pPr>
        <w:keepNext/>
        <w:rPr>
          <w:rFonts w:ascii="Arial Narrow" w:hAnsi="Arial Narrow"/>
          <w:sz w:val="18"/>
          <w:szCs w:val="18"/>
        </w:rPr>
      </w:pPr>
      <w:r w:rsidRPr="00373A0F">
        <w:rPr>
          <w:rFonts w:ascii="Arial Narrow" w:hAnsi="Arial Narrow"/>
          <w:sz w:val="18"/>
          <w:szCs w:val="18"/>
        </w:rPr>
        <w:t xml:space="preserve">Abbreviations: </w:t>
      </w:r>
      <w:r>
        <w:rPr>
          <w:rFonts w:ascii="Arial Narrow" w:hAnsi="Arial Narrow" w:cs="Arial"/>
          <w:sz w:val="18"/>
          <w:szCs w:val="18"/>
        </w:rPr>
        <w:t>FRα, folate receptor alpha;</w:t>
      </w:r>
      <w:r w:rsidRPr="0060556D">
        <w:rPr>
          <w:rFonts w:ascii="Arial Narrow" w:hAnsi="Arial Narrow"/>
          <w:sz w:val="18"/>
          <w:szCs w:val="18"/>
        </w:rPr>
        <w:t xml:space="preserve"> </w:t>
      </w:r>
      <w:r w:rsidRPr="00373A0F">
        <w:rPr>
          <w:rFonts w:ascii="Arial Narrow" w:hAnsi="Arial Narrow"/>
          <w:sz w:val="18"/>
          <w:szCs w:val="18"/>
        </w:rPr>
        <w:t>TBC, to be confirmed.</w:t>
      </w:r>
    </w:p>
    <w:p w14:paraId="5389CEE7" w14:textId="49FC5DBD" w:rsidR="00956BA8" w:rsidRDefault="000C6B62" w:rsidP="00ED08BF">
      <w:pPr>
        <w:autoSpaceDE w:val="0"/>
        <w:autoSpaceDN w:val="0"/>
        <w:adjustRightInd w:val="0"/>
      </w:pPr>
      <w:r w:rsidRPr="4272FAF9">
        <w:rPr>
          <w:rFonts w:asciiTheme="minorHAnsi" w:hAnsiTheme="minorHAnsi" w:cstheme="minorBidi"/>
          <w:i/>
          <w:iCs/>
        </w:rPr>
        <w:t xml:space="preserve">PASC </w:t>
      </w:r>
      <w:r w:rsidR="00BD42FE" w:rsidRPr="4272FAF9">
        <w:rPr>
          <w:rFonts w:asciiTheme="minorHAnsi" w:hAnsiTheme="minorHAnsi" w:cstheme="minorBidi"/>
          <w:i/>
          <w:iCs/>
        </w:rPr>
        <w:t>favoured the inclusion of the test methodology (i.e.</w:t>
      </w:r>
      <w:r w:rsidR="00BA6894" w:rsidRPr="4272FAF9">
        <w:rPr>
          <w:rFonts w:asciiTheme="minorHAnsi" w:hAnsiTheme="minorHAnsi" w:cstheme="minorBidi"/>
          <w:i/>
          <w:iCs/>
        </w:rPr>
        <w:t xml:space="preserve"> </w:t>
      </w:r>
      <w:r w:rsidR="00BD42FE" w:rsidRPr="4272FAF9">
        <w:rPr>
          <w:rFonts w:asciiTheme="minorHAnsi" w:hAnsiTheme="minorHAnsi" w:cstheme="minorBidi"/>
          <w:i/>
          <w:iCs/>
        </w:rPr>
        <w:t xml:space="preserve">immunohistochemistry) in the item descriptor as this method is able to distinguish between cytoplasmic and cell membrane </w:t>
      </w:r>
      <w:r w:rsidR="00DF5D6F" w:rsidRPr="4272FAF9">
        <w:rPr>
          <w:rFonts w:asciiTheme="minorHAnsi" w:hAnsiTheme="minorHAnsi" w:cstheme="minorBidi"/>
          <w:i/>
          <w:iCs/>
        </w:rPr>
        <w:t>FRα</w:t>
      </w:r>
      <w:r w:rsidR="00BA6894" w:rsidRPr="4272FAF9">
        <w:rPr>
          <w:rFonts w:asciiTheme="minorHAnsi" w:hAnsiTheme="minorHAnsi" w:cstheme="minorBidi"/>
          <w:i/>
          <w:iCs/>
        </w:rPr>
        <w:t xml:space="preserve"> </w:t>
      </w:r>
      <w:r w:rsidR="00DF5D6F" w:rsidRPr="4272FAF9">
        <w:rPr>
          <w:rFonts w:asciiTheme="minorHAnsi" w:hAnsiTheme="minorHAnsi" w:cstheme="minorBidi"/>
          <w:i/>
          <w:iCs/>
        </w:rPr>
        <w:t xml:space="preserve">as opposed to other methodologies such as </w:t>
      </w:r>
      <w:r w:rsidR="00F7106D" w:rsidRPr="4272FAF9">
        <w:rPr>
          <w:rFonts w:asciiTheme="minorHAnsi" w:hAnsiTheme="minorHAnsi" w:cstheme="minorBidi"/>
          <w:i/>
          <w:iCs/>
        </w:rPr>
        <w:t xml:space="preserve">tumour </w:t>
      </w:r>
      <w:r w:rsidR="00F7106D" w:rsidRPr="005471CB">
        <w:rPr>
          <w:rFonts w:asciiTheme="minorHAnsi" w:hAnsiTheme="minorHAnsi" w:cstheme="minorBidi"/>
        </w:rPr>
        <w:t>FOLR1</w:t>
      </w:r>
      <w:r w:rsidR="00F7106D" w:rsidRPr="4272FAF9">
        <w:rPr>
          <w:rFonts w:asciiTheme="minorHAnsi" w:hAnsiTheme="minorHAnsi" w:cstheme="minorBidi"/>
          <w:i/>
          <w:iCs/>
        </w:rPr>
        <w:t xml:space="preserve"> </w:t>
      </w:r>
      <w:r w:rsidR="00DF5D6F" w:rsidRPr="4272FAF9">
        <w:rPr>
          <w:rFonts w:asciiTheme="minorHAnsi" w:hAnsiTheme="minorHAnsi" w:cstheme="minorBidi"/>
          <w:i/>
          <w:iCs/>
        </w:rPr>
        <w:t>mRNA expression analys</w:t>
      </w:r>
      <w:r w:rsidR="00F7106D" w:rsidRPr="4272FAF9">
        <w:rPr>
          <w:rFonts w:asciiTheme="minorHAnsi" w:hAnsiTheme="minorHAnsi" w:cstheme="minorBidi"/>
          <w:i/>
          <w:iCs/>
        </w:rPr>
        <w:t>e</w:t>
      </w:r>
      <w:r w:rsidR="00DF5D6F" w:rsidRPr="4272FAF9">
        <w:rPr>
          <w:rFonts w:asciiTheme="minorHAnsi" w:hAnsiTheme="minorHAnsi" w:cstheme="minorBidi"/>
          <w:i/>
          <w:iCs/>
        </w:rPr>
        <w:t>s. PASC considered that the item descriptor should specify ‘membrane’ FRα expression</w:t>
      </w:r>
      <w:r w:rsidR="00F7106D" w:rsidRPr="4272FAF9">
        <w:rPr>
          <w:rFonts w:asciiTheme="minorHAnsi" w:hAnsiTheme="minorHAnsi" w:cstheme="minorBidi"/>
          <w:i/>
          <w:iCs/>
        </w:rPr>
        <w:t xml:space="preserve"> as this is considered to be the target of the drug. </w:t>
      </w:r>
      <w:r w:rsidR="00956BA8" w:rsidRPr="4272FAF9">
        <w:rPr>
          <w:i/>
          <w:iCs/>
        </w:rPr>
        <w:fldChar w:fldCharType="begin"/>
      </w:r>
      <w:r w:rsidR="00956BA8" w:rsidRPr="4272FAF9">
        <w:rPr>
          <w:i/>
          <w:iCs/>
        </w:rPr>
        <w:instrText xml:space="preserve"> REF _Ref181927581 \h  \* MERGEFORMAT </w:instrText>
      </w:r>
      <w:r w:rsidR="00956BA8" w:rsidRPr="4272FAF9">
        <w:rPr>
          <w:i/>
          <w:iCs/>
        </w:rPr>
      </w:r>
      <w:r w:rsidR="00956BA8" w:rsidRPr="4272FAF9">
        <w:rPr>
          <w:i/>
          <w:iCs/>
        </w:rPr>
        <w:fldChar w:fldCharType="separate"/>
      </w:r>
      <w:r w:rsidR="00956BA8" w:rsidRPr="4272FAF9">
        <w:rPr>
          <w:i/>
          <w:iCs/>
        </w:rPr>
        <w:fldChar w:fldCharType="end"/>
      </w:r>
    </w:p>
    <w:p w14:paraId="4C168495" w14:textId="128F0687" w:rsidR="0060334B" w:rsidRPr="00896A7D" w:rsidRDefault="00014AE8" w:rsidP="00014AE8">
      <w:pPr>
        <w:autoSpaceDE w:val="0"/>
        <w:autoSpaceDN w:val="0"/>
        <w:adjustRightInd w:val="0"/>
        <w:rPr>
          <w:i/>
        </w:rPr>
      </w:pPr>
      <w:r w:rsidRPr="00896A7D">
        <w:rPr>
          <w:i/>
        </w:rPr>
        <w:t>PASC noted that the key MIRASOL trial was restricted to patients with high grade serous ovarian cancer. The applicant’s clinical experts noted that there is no biological rationale as to why the benefit of treatment would only be restricted to the high grade serous subgroup and that the broader epithelial ovarian cancer patient population may potentially benefit from treatment, with studies currently underway. The applicant’s clinical experts further noted that in a proportion of patients there may be difficulty in distinguishing histotypes, and therefore a broader term of ‘epithelial ovarian cancer’ will ensure that all patients who may potentially benefit from mirvetuximab will have testing for FRα expression and those with high expression and who meet all other eligibility criteria will be able to obtain access to mirvetuximab. PASC advised that if the broader patient population is proposed, the integrated codependent submission would need to provide evidence of clinical benefit of treatment in this population. The population in the item descriptor would be updated accordingly.</w:t>
      </w:r>
    </w:p>
    <w:p w14:paraId="7AE8A017" w14:textId="214AD259" w:rsidR="00EF2FC7" w:rsidRDefault="00ED08BF" w:rsidP="00ED08BF">
      <w:pPr>
        <w:autoSpaceDE w:val="0"/>
        <w:autoSpaceDN w:val="0"/>
        <w:adjustRightInd w:val="0"/>
        <w:rPr>
          <w:rFonts w:asciiTheme="minorHAnsi" w:eastAsiaTheme="minorEastAsia" w:hAnsiTheme="minorHAnsi" w:cstheme="minorBidi"/>
          <w:i/>
          <w:iCs/>
        </w:rPr>
      </w:pPr>
      <w:r w:rsidRPr="00896A7D" w:rsidDel="0060334B">
        <w:rPr>
          <w:rFonts w:asciiTheme="minorHAnsi" w:hAnsiTheme="minorHAnsi" w:cstheme="minorBidi"/>
          <w:i/>
        </w:rPr>
        <w:t>PASC acknowledged the risk of a once per diagnosis strategy. The sources of uncertainty of an accurate test result include:</w:t>
      </w:r>
      <w:r w:rsidRPr="00896A7D" w:rsidDel="0060334B">
        <w:rPr>
          <w:i/>
          <w:iCs/>
        </w:rPr>
        <w:t xml:space="preserve"> subjectivity in </w:t>
      </w:r>
      <w:r w:rsidRPr="00896A7D" w:rsidDel="0060334B">
        <w:rPr>
          <w:rFonts w:asciiTheme="minorHAnsi" w:hAnsiTheme="minorHAnsi" w:cstheme="minorBidi"/>
          <w:i/>
        </w:rPr>
        <w:t>interpretation of the test, which may be addressed by use of the VENTANA protocol and appropriate training; and stochastic uncertainty of whether the lesion</w:t>
      </w:r>
      <w:r w:rsidR="000A56FD">
        <w:rPr>
          <w:rFonts w:asciiTheme="minorHAnsi" w:hAnsiTheme="minorHAnsi" w:cstheme="minorBidi"/>
          <w:i/>
        </w:rPr>
        <w:t xml:space="preserve"> sampled was representative of the </w:t>
      </w:r>
      <w:r w:rsidR="000A56FD" w:rsidRPr="00896A7D">
        <w:rPr>
          <w:i/>
        </w:rPr>
        <w:t>FRα</w:t>
      </w:r>
      <w:r w:rsidR="000A56FD" w:rsidRPr="00896A7D" w:rsidDel="0060334B">
        <w:rPr>
          <w:rFonts w:asciiTheme="minorHAnsi" w:hAnsiTheme="minorHAnsi" w:cstheme="minorBidi"/>
          <w:i/>
        </w:rPr>
        <w:t xml:space="preserve"> </w:t>
      </w:r>
      <w:r w:rsidR="000A56FD">
        <w:rPr>
          <w:rFonts w:asciiTheme="minorHAnsi" w:hAnsiTheme="minorHAnsi" w:cstheme="minorBidi"/>
          <w:i/>
        </w:rPr>
        <w:t>expression</w:t>
      </w:r>
      <w:r w:rsidR="004526EE">
        <w:rPr>
          <w:rFonts w:asciiTheme="minorHAnsi" w:hAnsiTheme="minorHAnsi" w:cstheme="minorBidi"/>
          <w:i/>
        </w:rPr>
        <w:t xml:space="preserve"> levels</w:t>
      </w:r>
      <w:r w:rsidR="000A56FD">
        <w:rPr>
          <w:rFonts w:asciiTheme="minorHAnsi" w:hAnsiTheme="minorHAnsi" w:cstheme="minorBidi"/>
          <w:i/>
        </w:rPr>
        <w:t xml:space="preserve"> of the </w:t>
      </w:r>
      <w:r w:rsidR="004526EE">
        <w:rPr>
          <w:rFonts w:asciiTheme="minorHAnsi" w:hAnsiTheme="minorHAnsi" w:cstheme="minorBidi"/>
          <w:i/>
        </w:rPr>
        <w:t xml:space="preserve">majority </w:t>
      </w:r>
      <w:r w:rsidRPr="00896A7D" w:rsidDel="0060334B">
        <w:rPr>
          <w:rFonts w:asciiTheme="minorHAnsi" w:hAnsiTheme="minorHAnsi" w:cstheme="minorBidi"/>
          <w:i/>
        </w:rPr>
        <w:t>disease burden</w:t>
      </w:r>
      <w:r w:rsidR="000A56FD">
        <w:rPr>
          <w:rFonts w:asciiTheme="minorHAnsi" w:hAnsiTheme="minorHAnsi" w:cstheme="minorBidi"/>
          <w:i/>
        </w:rPr>
        <w:t>.</w:t>
      </w:r>
      <w:r w:rsidRPr="00896A7D" w:rsidDel="0060334B">
        <w:rPr>
          <w:rFonts w:asciiTheme="minorHAnsi" w:hAnsiTheme="minorHAnsi" w:cstheme="minorBidi"/>
          <w:i/>
        </w:rPr>
        <w:t xml:space="preserve"> PASC considered that the assessment should explore these different sources of uncertainty and assess whether multiple testing would reduce this uncertainty. </w:t>
      </w:r>
      <w:r w:rsidRPr="00896A7D" w:rsidDel="0060334B">
        <w:rPr>
          <w:i/>
        </w:rPr>
        <w:t>PASC advised that a frequency of testing is not to be included in the item descriptor [at this point in time].</w:t>
      </w:r>
      <w:r w:rsidRPr="00896A7D" w:rsidDel="0060334B">
        <w:t xml:space="preserve"> </w:t>
      </w:r>
      <w:r w:rsidRPr="0060334B" w:rsidDel="0060334B">
        <w:rPr>
          <w:rFonts w:asciiTheme="minorHAnsi" w:eastAsiaTheme="minorEastAsia" w:hAnsiTheme="minorHAnsi" w:cstheme="minorBidi"/>
          <w:i/>
          <w:iCs/>
        </w:rPr>
        <w:t xml:space="preserve">The amended item descriptor proposed in </w:t>
      </w:r>
      <w:r w:rsidRPr="0060334B" w:rsidDel="0060334B">
        <w:rPr>
          <w:rFonts w:asciiTheme="minorHAnsi" w:eastAsiaTheme="minorEastAsia" w:hAnsiTheme="minorHAnsi" w:cstheme="minorBidi"/>
          <w:i/>
          <w:iCs/>
        </w:rPr>
        <w:fldChar w:fldCharType="begin"/>
      </w:r>
      <w:r w:rsidRPr="0060334B" w:rsidDel="0060334B">
        <w:rPr>
          <w:rFonts w:asciiTheme="minorHAnsi" w:eastAsiaTheme="minorEastAsia" w:hAnsiTheme="minorHAnsi" w:cstheme="minorBidi"/>
          <w:i/>
          <w:iCs/>
        </w:rPr>
        <w:instrText xml:space="preserve"> REF _Ref181927581 \h </w:instrText>
      </w:r>
      <w:r w:rsidR="00231FD7" w:rsidDel="0060334B">
        <w:rPr>
          <w:rFonts w:asciiTheme="minorHAnsi" w:eastAsiaTheme="minorEastAsia" w:hAnsiTheme="minorHAnsi" w:cstheme="minorBidi"/>
          <w:i/>
          <w:iCs/>
        </w:rPr>
        <w:instrText xml:space="preserve"> \* MERGEFORMAT </w:instrText>
      </w:r>
      <w:r w:rsidRPr="0060334B" w:rsidDel="0060334B">
        <w:rPr>
          <w:rFonts w:asciiTheme="minorHAnsi" w:eastAsiaTheme="minorEastAsia" w:hAnsiTheme="minorHAnsi" w:cstheme="minorBidi"/>
          <w:i/>
          <w:iCs/>
        </w:rPr>
      </w:r>
      <w:r w:rsidRPr="0060334B" w:rsidDel="0060334B">
        <w:rPr>
          <w:rFonts w:asciiTheme="minorHAnsi" w:eastAsiaTheme="minorEastAsia" w:hAnsiTheme="minorHAnsi" w:cstheme="minorBidi"/>
          <w:i/>
          <w:iCs/>
        </w:rPr>
        <w:fldChar w:fldCharType="separate"/>
      </w:r>
      <w:r w:rsidRPr="0060334B" w:rsidDel="0060334B">
        <w:rPr>
          <w:i/>
          <w:iCs/>
        </w:rPr>
        <w:t xml:space="preserve">Table </w:t>
      </w:r>
      <w:r w:rsidRPr="0060334B" w:rsidDel="0060334B">
        <w:rPr>
          <w:i/>
          <w:iCs/>
          <w:noProof/>
        </w:rPr>
        <w:t>4</w:t>
      </w:r>
      <w:r w:rsidRPr="0060334B" w:rsidDel="0060334B">
        <w:rPr>
          <w:rFonts w:asciiTheme="minorHAnsi" w:eastAsiaTheme="minorEastAsia" w:hAnsiTheme="minorHAnsi" w:cstheme="minorBidi"/>
          <w:i/>
          <w:iCs/>
        </w:rPr>
        <w:fldChar w:fldCharType="end"/>
      </w:r>
      <w:r w:rsidR="00C31737" w:rsidRPr="0060334B" w:rsidDel="0060334B">
        <w:rPr>
          <w:rFonts w:asciiTheme="minorHAnsi" w:eastAsiaTheme="minorEastAsia" w:hAnsiTheme="minorHAnsi" w:cstheme="minorBidi"/>
          <w:i/>
          <w:iCs/>
        </w:rPr>
        <w:t xml:space="preserve"> </w:t>
      </w:r>
      <w:r w:rsidRPr="0060334B" w:rsidDel="0060334B">
        <w:rPr>
          <w:rFonts w:asciiTheme="minorHAnsi" w:eastAsiaTheme="minorEastAsia" w:hAnsiTheme="minorHAnsi" w:cstheme="minorBidi"/>
          <w:i/>
          <w:iCs/>
        </w:rPr>
        <w:t>does not include a frequency restrictor and would enable testing at diagnosis as well as re-testing of patients at a later stage. It would also enable testing of patients who have already been diagnosed at the time of PBS/MBS listing, should this item be supported.</w:t>
      </w:r>
      <w:r w:rsidR="005E472D">
        <w:rPr>
          <w:rFonts w:asciiTheme="minorHAnsi" w:eastAsiaTheme="minorEastAsia" w:hAnsiTheme="minorHAnsi" w:cstheme="minorBidi"/>
          <w:i/>
          <w:iCs/>
        </w:rPr>
        <w:t xml:space="preserve"> </w:t>
      </w:r>
    </w:p>
    <w:p w14:paraId="513A649B" w14:textId="2D981756" w:rsidR="0060556D" w:rsidRDefault="00E140BC" w:rsidP="002E63D9">
      <w:pPr>
        <w:autoSpaceDE w:val="0"/>
        <w:autoSpaceDN w:val="0"/>
        <w:adjustRightInd w:val="0"/>
        <w:rPr>
          <w:rFonts w:asciiTheme="minorHAnsi" w:hAnsiTheme="minorHAnsi" w:cstheme="minorHAnsi"/>
        </w:rPr>
      </w:pPr>
      <w:r w:rsidRPr="0060334B">
        <w:rPr>
          <w:i/>
        </w:rPr>
        <w:t xml:space="preserve">PASC </w:t>
      </w:r>
      <w:r w:rsidRPr="0060334B">
        <w:rPr>
          <w:i/>
          <w:iCs/>
        </w:rPr>
        <w:t xml:space="preserve">considered that if </w:t>
      </w:r>
      <w:r w:rsidRPr="0060334B">
        <w:rPr>
          <w:i/>
        </w:rPr>
        <w:t>FR</w:t>
      </w:r>
      <w:r w:rsidRPr="0060334B">
        <w:rPr>
          <w:rFonts w:cs="Calibri"/>
          <w:i/>
        </w:rPr>
        <w:t>α</w:t>
      </w:r>
      <w:r w:rsidRPr="0060334B">
        <w:rPr>
          <w:i/>
          <w:iCs/>
        </w:rPr>
        <w:t xml:space="preserve"> testing is done at diagnosis, then the testing </w:t>
      </w:r>
      <w:r w:rsidR="099C91FA" w:rsidRPr="64B1EFBF">
        <w:rPr>
          <w:i/>
          <w:iCs/>
        </w:rPr>
        <w:t>sh</w:t>
      </w:r>
      <w:r w:rsidRPr="64B1EFBF">
        <w:rPr>
          <w:i/>
          <w:iCs/>
        </w:rPr>
        <w:t>ould</w:t>
      </w:r>
      <w:r w:rsidRPr="0060334B">
        <w:rPr>
          <w:i/>
          <w:iCs/>
        </w:rPr>
        <w:t xml:space="preserve"> be pathologist determinable and</w:t>
      </w:r>
      <w:r w:rsidRPr="0060334B">
        <w:rPr>
          <w:i/>
        </w:rPr>
        <w:t xml:space="preserve"> would need to be included in the list of pathologist-determinable services.</w:t>
      </w:r>
      <w:r w:rsidRPr="0060334B">
        <w:rPr>
          <w:rFonts w:asciiTheme="minorHAnsi" w:hAnsiTheme="minorHAnsi" w:cstheme="minorBidi"/>
          <w:i/>
        </w:rPr>
        <w:t xml:space="preserve"> PASC noted that in this instance, the item descriptor would not make reference to a ‘certified pathologist’ as the requestor, instead include a reference to the pathologist determinable practice note PN.1.2.</w:t>
      </w:r>
    </w:p>
    <w:p w14:paraId="65260CDA" w14:textId="77777777" w:rsidR="003E1233" w:rsidRDefault="003E1233" w:rsidP="003E1233">
      <w:pPr>
        <w:tabs>
          <w:tab w:val="left" w:pos="72"/>
        </w:tabs>
        <w:autoSpaceDE w:val="0"/>
        <w:autoSpaceDN w:val="0"/>
        <w:adjustRightInd w:val="0"/>
        <w:rPr>
          <w:i/>
          <w:iCs/>
        </w:rPr>
      </w:pPr>
      <w:r w:rsidRPr="00373A0F">
        <w:rPr>
          <w:i/>
          <w:iCs/>
        </w:rPr>
        <w:lastRenderedPageBreak/>
        <w:t xml:space="preserve">PASC noted the </w:t>
      </w:r>
      <w:r>
        <w:rPr>
          <w:i/>
          <w:iCs/>
        </w:rPr>
        <w:t>D</w:t>
      </w:r>
      <w:r w:rsidRPr="00373A0F">
        <w:rPr>
          <w:i/>
          <w:iCs/>
        </w:rPr>
        <w:t>epartment’s advice that the PBS restriction would incorporate the testing threshold where necessary and that this would not usually be duplicated in the MBS item descriptor.</w:t>
      </w:r>
    </w:p>
    <w:p w14:paraId="54418842" w14:textId="4FAEFAA2" w:rsidR="00C31737" w:rsidRPr="00896A7D" w:rsidRDefault="00C31737" w:rsidP="00C31737">
      <w:pPr>
        <w:autoSpaceDE w:val="0"/>
        <w:autoSpaceDN w:val="0"/>
        <w:adjustRightInd w:val="0"/>
        <w:rPr>
          <w:rFonts w:asciiTheme="minorHAnsi" w:hAnsiTheme="minorHAnsi" w:cstheme="minorHAnsi"/>
          <w:i/>
        </w:rPr>
      </w:pPr>
      <w:r w:rsidRPr="00896A7D">
        <w:rPr>
          <w:rFonts w:asciiTheme="minorHAnsi" w:hAnsiTheme="minorHAnsi" w:cstheme="minorHAnsi"/>
          <w:i/>
        </w:rPr>
        <w:t>PASC noted that a quality assessment program for FR</w:t>
      </w:r>
      <w:r w:rsidRPr="00896A7D">
        <w:rPr>
          <w:rFonts w:cs="Calibri"/>
          <w:i/>
        </w:rPr>
        <w:t>α</w:t>
      </w:r>
      <w:r w:rsidRPr="00896A7D">
        <w:rPr>
          <w:rFonts w:asciiTheme="minorHAnsi" w:hAnsiTheme="minorHAnsi" w:cstheme="minorHAnsi"/>
          <w:i/>
        </w:rPr>
        <w:t xml:space="preserve"> expression testing will be required.</w:t>
      </w:r>
    </w:p>
    <w:p w14:paraId="62338695" w14:textId="775A0FF4" w:rsidR="00D37A3F" w:rsidRPr="00D37A3F" w:rsidRDefault="003F0A39" w:rsidP="00713728">
      <w:pPr>
        <w:pStyle w:val="Heading2"/>
      </w:pPr>
      <w:r>
        <w:t>Summary of public consultation</w:t>
      </w:r>
      <w:r w:rsidRPr="00D37A3F">
        <w:t xml:space="preserve"> </w:t>
      </w:r>
      <w:r w:rsidR="00E470B0">
        <w:t>input</w:t>
      </w:r>
    </w:p>
    <w:p w14:paraId="5265E8D7" w14:textId="658BAA64" w:rsidR="002B6E76" w:rsidRDefault="002B6E76" w:rsidP="002B6E76">
      <w:pPr>
        <w:spacing w:after="120"/>
      </w:pPr>
      <w:r w:rsidRPr="00E95336">
        <w:rPr>
          <w:i/>
          <w:iCs/>
        </w:rPr>
        <w:t>PASC noted and welcomed consultation input from</w:t>
      </w:r>
      <w:r w:rsidRPr="00D7667B">
        <w:t xml:space="preserve"> </w:t>
      </w:r>
      <w:r w:rsidR="008C5CEA" w:rsidRPr="00896A7D">
        <w:rPr>
          <w:i/>
          <w:iCs/>
        </w:rPr>
        <w:t>two</w:t>
      </w:r>
      <w:r w:rsidR="008C5CEA" w:rsidRPr="00647D9E">
        <w:rPr>
          <w:i/>
          <w:iCs/>
        </w:rPr>
        <w:t xml:space="preserve"> </w:t>
      </w:r>
      <w:r w:rsidRPr="00647D9E">
        <w:rPr>
          <w:i/>
          <w:iCs/>
        </w:rPr>
        <w:t xml:space="preserve">organisations. The </w:t>
      </w:r>
      <w:r w:rsidR="008C5CEA">
        <w:rPr>
          <w:i/>
          <w:iCs/>
        </w:rPr>
        <w:t>two</w:t>
      </w:r>
      <w:r w:rsidRPr="00647D9E">
        <w:rPr>
          <w:i/>
          <w:iCs/>
        </w:rPr>
        <w:t xml:space="preserve"> organisations that submitted input were:</w:t>
      </w:r>
      <w:r w:rsidRPr="00D7667B">
        <w:t xml:space="preserve"> </w:t>
      </w:r>
    </w:p>
    <w:p w14:paraId="2AA24F62" w14:textId="77777777" w:rsidR="002B6E76" w:rsidRDefault="002B6E76" w:rsidP="002B6E76">
      <w:pPr>
        <w:pStyle w:val="ListParagraph"/>
        <w:numPr>
          <w:ilvl w:val="0"/>
          <w:numId w:val="25"/>
        </w:numPr>
        <w:spacing w:after="120" w:line="259" w:lineRule="auto"/>
      </w:pPr>
      <w:r w:rsidRPr="00C812CA">
        <w:t>Rare Cancers Australia</w:t>
      </w:r>
      <w:r>
        <w:t xml:space="preserve"> (RCA)</w:t>
      </w:r>
    </w:p>
    <w:p w14:paraId="2FCC1CD2" w14:textId="77777777" w:rsidR="002B6E76" w:rsidRPr="00D7667B" w:rsidRDefault="002B6E76" w:rsidP="002B6E76">
      <w:pPr>
        <w:pStyle w:val="ListParagraph"/>
        <w:numPr>
          <w:ilvl w:val="0"/>
          <w:numId w:val="25"/>
        </w:numPr>
        <w:spacing w:after="120" w:line="259" w:lineRule="auto"/>
      </w:pPr>
      <w:r>
        <w:t>Ovarian Cancer Australia (OCA)</w:t>
      </w:r>
    </w:p>
    <w:p w14:paraId="447A834C" w14:textId="3A14B2FC" w:rsidR="002B6E76" w:rsidRDefault="002B6E76" w:rsidP="002B6E76">
      <w:pPr>
        <w:rPr>
          <w:color w:val="5B9BD5" w:themeColor="accent1"/>
        </w:rPr>
      </w:pPr>
      <w:r>
        <w:t xml:space="preserve">The consultation input received was all supportive of public funding for </w:t>
      </w:r>
      <w:r>
        <w:rPr>
          <w:bCs/>
        </w:rPr>
        <w:t>IHC</w:t>
      </w:r>
      <w:r w:rsidRPr="00F17213">
        <w:rPr>
          <w:bCs/>
        </w:rPr>
        <w:t xml:space="preserve"> testing of solid tumour tissue to determine FRɑ expression status in adults with platinum</w:t>
      </w:r>
      <w:r w:rsidR="00AC071C">
        <w:rPr>
          <w:bCs/>
        </w:rPr>
        <w:t xml:space="preserve"> </w:t>
      </w:r>
      <w:r w:rsidRPr="00F17213">
        <w:rPr>
          <w:bCs/>
        </w:rPr>
        <w:t>resistant ovarian cancer, to determine eligibility for treatment with PBS subsidised mirvetuximab soravtansine</w:t>
      </w:r>
      <w:r>
        <w:t xml:space="preserve">. </w:t>
      </w:r>
    </w:p>
    <w:p w14:paraId="2B0BE0BD" w14:textId="77777777" w:rsidR="002B6E76" w:rsidRDefault="002B6E76" w:rsidP="002B6E76">
      <w:pPr>
        <w:rPr>
          <w:b/>
          <w:bCs/>
        </w:rPr>
      </w:pPr>
      <w:r w:rsidRPr="00D811C1">
        <w:rPr>
          <w:b/>
          <w:bCs/>
        </w:rPr>
        <w:t xml:space="preserve">Consumer </w:t>
      </w:r>
      <w:r>
        <w:rPr>
          <w:b/>
          <w:bCs/>
        </w:rPr>
        <w:t>Input</w:t>
      </w:r>
    </w:p>
    <w:p w14:paraId="01B97C3E" w14:textId="77777777" w:rsidR="002B6E76" w:rsidRDefault="002B6E76" w:rsidP="002B6E76">
      <w:r>
        <w:t>Ovarian Cancer Australia (OCA) input included statements from women with ovarian cancer that captured the impact on themselves and their families. The women described the anxiety surrounding the condition, living with the fear of recurrence and the challenge of holding onto hope for new drugs that are affordable and offer a positive outcome.</w:t>
      </w:r>
    </w:p>
    <w:p w14:paraId="43E0183C" w14:textId="77777777" w:rsidR="002B6E76" w:rsidRPr="007709B8" w:rsidRDefault="002B6E76" w:rsidP="002B6E76">
      <w:r>
        <w:t xml:space="preserve">Rare Cancers Australia (RCA) input included patient experiences, with one woman describing a profound loss of dignity as a result of frequent medical procedures and exploratory surgeries, resulting in not having the strength to face the side effects of the medical treatment recommended. RCA also included that carers feel overwhelmed at the loss of a loved one’s health and the financial strain of medical costs. </w:t>
      </w:r>
    </w:p>
    <w:p w14:paraId="070E9B1B" w14:textId="77777777" w:rsidR="002B6E76" w:rsidRDefault="002B6E76" w:rsidP="002B6E76">
      <w:pPr>
        <w:rPr>
          <w:b/>
          <w:bCs/>
        </w:rPr>
      </w:pPr>
      <w:r>
        <w:rPr>
          <w:b/>
          <w:bCs/>
        </w:rPr>
        <w:t>Benefits and Disadvantages</w:t>
      </w:r>
    </w:p>
    <w:p w14:paraId="5661151A" w14:textId="77777777" w:rsidR="002B6E76" w:rsidRDefault="002B6E76" w:rsidP="002B6E76">
      <w:r>
        <w:t xml:space="preserve">The main benefits of public funding received in the consultation input included hope for patients and the potential option for a targeted therapy in this population. Targeted therapy offers the potential to slow disease progression and improve quality of life by lessening the physical and psychological toll from non-specific treatments. </w:t>
      </w:r>
    </w:p>
    <w:p w14:paraId="65736C6C" w14:textId="736AC20B" w:rsidR="002B6E76" w:rsidRDefault="002B6E76" w:rsidP="002B6E76">
      <w:r>
        <w:t xml:space="preserve">A potential disadvantage of public funding received in the consultation input was that adverse effects of the treatment could impact quality of life but appeared manageable with appropriate patient support and monitoring protocols. </w:t>
      </w:r>
    </w:p>
    <w:p w14:paraId="18134D3E" w14:textId="77777777" w:rsidR="002B6E76" w:rsidRDefault="002B6E76" w:rsidP="00896A7D">
      <w:pPr>
        <w:keepNext/>
        <w:rPr>
          <w:b/>
          <w:bCs/>
        </w:rPr>
      </w:pPr>
      <w:r>
        <w:rPr>
          <w:b/>
          <w:bCs/>
        </w:rPr>
        <w:t>Population, Comparator (current management) and Delivery</w:t>
      </w:r>
    </w:p>
    <w:p w14:paraId="37870D7A" w14:textId="77777777" w:rsidR="002B6E76" w:rsidRDefault="002B6E76" w:rsidP="00896A7D">
      <w:pPr>
        <w:keepNext/>
      </w:pPr>
      <w:r>
        <w:t xml:space="preserve">The consultation input agreed with the proposed population. RCA considered that whilst the eligibility requirement of platinum resistance for treatment was appropriate, consideration should be given to </w:t>
      </w:r>
      <w:r>
        <w:lastRenderedPageBreak/>
        <w:t>whether patients with earlier signs of platinum resistance would also benefit from the targeted intervention.</w:t>
      </w:r>
      <w:r w:rsidRPr="00657DD5">
        <w:rPr>
          <w:color w:val="FF0000"/>
        </w:rPr>
        <w:t xml:space="preserve"> </w:t>
      </w:r>
    </w:p>
    <w:p w14:paraId="531CE5E0" w14:textId="77777777" w:rsidR="002B6E76" w:rsidRDefault="002B6E76" w:rsidP="002B6E76">
      <w:pPr>
        <w:rPr>
          <w:color w:val="FF0000"/>
        </w:rPr>
      </w:pPr>
      <w:r>
        <w:t>The consultation input stated that there are no publicly funded targeted therapies currently available for patients with platinum resistant ovarian cancer that could be seen to be a comparator.</w:t>
      </w:r>
    </w:p>
    <w:p w14:paraId="16AB9313" w14:textId="77777777" w:rsidR="002B6E76" w:rsidRDefault="002B6E76" w:rsidP="002B6E76">
      <w:r>
        <w:t>Other services identified in the consultation input as being needed to be delivered before or after the intervention included counselling and pain management support services for patients undergoing IHC testing and subsequent therapy.</w:t>
      </w:r>
    </w:p>
    <w:p w14:paraId="4F360B6E" w14:textId="77777777" w:rsidR="002B6E76" w:rsidRDefault="002B6E76" w:rsidP="002B6E76">
      <w:pPr>
        <w:rPr>
          <w:b/>
          <w:bCs/>
        </w:rPr>
      </w:pPr>
      <w:r w:rsidRPr="00866442">
        <w:rPr>
          <w:b/>
          <w:bCs/>
        </w:rPr>
        <w:t>MBS Item Descriptor and Fee</w:t>
      </w:r>
    </w:p>
    <w:p w14:paraId="67615865" w14:textId="77777777" w:rsidR="002B6E76" w:rsidRPr="00183EDC" w:rsidRDefault="002B6E76" w:rsidP="002B6E76">
      <w:r>
        <w:t>The consultation input partially agreed with the proposed service descriptor. RCA and OCA stated that the timing of FR</w:t>
      </w:r>
      <w:r>
        <w:rPr>
          <w:rFonts w:cstheme="minorHAnsi"/>
        </w:rPr>
        <w:t>α</w:t>
      </w:r>
      <w:r>
        <w:t xml:space="preserve"> testing should be considered in the context of clinical management. OCA stated that tumour testing at recurrence is not standard of care and that testing after platinum resistance had been established may be a barrier to appropriate access to the therapy. RCA stated that testing at diagnosis should be considered to overcome potential barriers to implementation including geographic disparities in testing access. RCA advocates for pan-tumour approval pathways.</w:t>
      </w:r>
    </w:p>
    <w:p w14:paraId="6DBEDE70" w14:textId="2CD965D9" w:rsidR="00D37A3F" w:rsidRDefault="002B6E76" w:rsidP="00896A7D">
      <w:r w:rsidRPr="002B6E76">
        <w:t xml:space="preserve">RCA stated that the MBS fee should not place undue burden on patients and that any out of pocket costs should be made transparent. </w:t>
      </w:r>
    </w:p>
    <w:p w14:paraId="091A4619" w14:textId="4245B764" w:rsidR="00AD32AC" w:rsidRPr="00AD32AC" w:rsidRDefault="00AD32AC" w:rsidP="00896A7D">
      <w:pPr>
        <w:pStyle w:val="Instructionaltext"/>
        <w:spacing w:line="276" w:lineRule="auto"/>
        <w:rPr>
          <w:color w:val="auto"/>
        </w:rPr>
      </w:pPr>
      <w:r w:rsidRPr="00896A7D">
        <w:rPr>
          <w:rFonts w:asciiTheme="minorHAnsi" w:hAnsiTheme="minorHAnsi" w:cstheme="minorHAnsi"/>
          <w:i/>
          <w:iCs/>
          <w:color w:val="auto"/>
        </w:rPr>
        <w:t>PASC noted from the consultation input that vision problems and liver toxicity are side effects of the treatment. PASC noted from the applicant’s clinical expert that patients may use steroid drops, eye lubricants and dark glasses to mitigate the risks associated with the drug and that patient and clinician education on these side effects is vital. The applicant’s clinical expert further raised that expert ophthalmologists would be required to review these patients and that this could raise access issues to patients especially those living in regional and rural areas with limited access to specialists. In order to circumvent issues with limited access, the applicant’s clinical expert noted that optometrists could be trained to review patients and to refer to ophthalmologist only when needed.</w:t>
      </w:r>
    </w:p>
    <w:p w14:paraId="4E68667F" w14:textId="77777777" w:rsidR="00D37A3F" w:rsidRPr="00D37A3F" w:rsidRDefault="00D37A3F" w:rsidP="00713728">
      <w:pPr>
        <w:pStyle w:val="Heading2"/>
      </w:pPr>
      <w:r w:rsidRPr="00D37A3F">
        <w:t>Next steps</w:t>
      </w:r>
    </w:p>
    <w:p w14:paraId="429DBFCE" w14:textId="77777777" w:rsidR="00AD32AC" w:rsidRPr="00896A7D" w:rsidRDefault="00AD32AC" w:rsidP="00896A7D">
      <w:pPr>
        <w:autoSpaceDE w:val="0"/>
        <w:autoSpaceDN w:val="0"/>
        <w:adjustRightInd w:val="0"/>
        <w:rPr>
          <w:rFonts w:asciiTheme="minorHAnsi" w:hAnsiTheme="minorHAnsi" w:cstheme="minorHAnsi"/>
          <w:i/>
          <w:sz w:val="20"/>
          <w:szCs w:val="20"/>
        </w:rPr>
      </w:pPr>
      <w:bookmarkStart w:id="13" w:name="_Hlk143691641"/>
      <w:r w:rsidRPr="00896A7D">
        <w:rPr>
          <w:rFonts w:asciiTheme="minorHAnsi" w:hAnsiTheme="minorHAnsi" w:cstheme="minorHAnsi"/>
          <w:i/>
          <w:szCs w:val="20"/>
        </w:rPr>
        <w:t>PASC advised that, upon ratification of the post-PASC PICO, the application can proceed to the Evaluation Sub-Committee (ESC) stage of the MSAC process.</w:t>
      </w:r>
    </w:p>
    <w:p w14:paraId="0369945C" w14:textId="77777777" w:rsidR="001F382E" w:rsidRPr="00AD32AC" w:rsidRDefault="00AD32AC" w:rsidP="00896A7D">
      <w:r w:rsidRPr="00896A7D">
        <w:rPr>
          <w:rFonts w:asciiTheme="minorHAnsi" w:hAnsiTheme="minorHAnsi" w:cstheme="minorHAnsi"/>
          <w:i/>
          <w:szCs w:val="20"/>
        </w:rPr>
        <w:t>PASC noted the applicant has elected to progress its application as an Applicant Developed Assessment Report (integrated codependent submission).</w:t>
      </w:r>
      <w:r w:rsidRPr="00896A7D">
        <w:rPr>
          <w:rFonts w:asciiTheme="minorHAnsi" w:hAnsiTheme="minorHAnsi" w:cstheme="minorHAnsi"/>
          <w:szCs w:val="20"/>
        </w:rPr>
        <w:t xml:space="preserve">  </w:t>
      </w:r>
    </w:p>
    <w:p w14:paraId="3CABA465" w14:textId="77777777" w:rsidR="00DC5C9F" w:rsidRDefault="00DC5C9F" w:rsidP="00DC5C9F">
      <w:pPr>
        <w:pStyle w:val="Heading2"/>
      </w:pPr>
      <w:r>
        <w:t>Applicant Comments on Ratified PICO</w:t>
      </w:r>
    </w:p>
    <w:p w14:paraId="1FCE80F3" w14:textId="6AFEF8C3" w:rsidR="00DC5C9F" w:rsidRPr="00B76399" w:rsidRDefault="00B76399" w:rsidP="00DC5C9F">
      <w:bookmarkStart w:id="14" w:name="_Hlk167437372"/>
      <w:r w:rsidRPr="00B76399">
        <w:t>The applicant had no comment.</w:t>
      </w:r>
    </w:p>
    <w:bookmarkEnd w:id="14"/>
    <w:p w14:paraId="7BDA0E3B" w14:textId="77777777" w:rsidR="00F82CF7" w:rsidRPr="000073AA" w:rsidRDefault="00F82CF7" w:rsidP="00E01349">
      <w:pPr>
        <w:pStyle w:val="Instructionaltext"/>
      </w:pPr>
    </w:p>
    <w:bookmarkEnd w:id="13"/>
    <w:p w14:paraId="73A2A9C9" w14:textId="50E8A266" w:rsidR="006478E7" w:rsidRDefault="00A33126" w:rsidP="00713728">
      <w:pPr>
        <w:pStyle w:val="Heading2"/>
      </w:pPr>
      <w:r w:rsidRPr="00A33126">
        <w:lastRenderedPageBreak/>
        <w:t>References</w:t>
      </w:r>
    </w:p>
    <w:p w14:paraId="481A4BB9"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Ab O, Whiteman KR, Bartle LM, et al. (2015) IMGN853, a folate receptor-α (FRα)–targeting antibody–drug conjugate, exhibits potent targeted antitumor activity against FRα-expressing tumors, </w:t>
      </w:r>
      <w:r w:rsidRPr="0083355C">
        <w:rPr>
          <w:rFonts w:asciiTheme="minorHAnsi" w:hAnsiTheme="minorHAnsi" w:cstheme="minorHAnsi"/>
          <w:i/>
          <w:iCs/>
        </w:rPr>
        <w:t>Mol Cancer Ther</w:t>
      </w:r>
      <w:r w:rsidRPr="0083355C">
        <w:rPr>
          <w:rFonts w:asciiTheme="minorHAnsi" w:hAnsiTheme="minorHAnsi" w:cstheme="minorHAnsi"/>
        </w:rPr>
        <w:t xml:space="preserve"> 14:1605-1613. </w:t>
      </w:r>
    </w:p>
    <w:p w14:paraId="77E17C34"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 xml:space="preserve">Atallah GA, Kampan NC, Chew KT, Mohd Mokhtar N, Md Zin RR, Shafiee MNB, Abd Aziz NHB (2023) Predicting Prognosis and Platinum Resistance in Ovarian Cancer: Role of Immunohistochemistry Biomarkers. </w:t>
      </w:r>
      <w:r w:rsidRPr="0083355C">
        <w:rPr>
          <w:rFonts w:asciiTheme="minorHAnsi" w:hAnsiTheme="minorHAnsi" w:cstheme="minorHAnsi"/>
          <w:i/>
          <w:iCs/>
        </w:rPr>
        <w:t>Int J Mol Sci</w:t>
      </w:r>
      <w:r w:rsidRPr="0083355C">
        <w:rPr>
          <w:rFonts w:asciiTheme="minorHAnsi" w:hAnsiTheme="minorHAnsi" w:cstheme="minorHAnsi"/>
        </w:rPr>
        <w:t>. 24(3):1973.</w:t>
      </w:r>
    </w:p>
    <w:p w14:paraId="2066CD5B"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Baert T, Ferrero A, Sehouli J, O′Donnell DM, González-Martín A, Joly F, van der Velden J, Blecharz P, et al. (2021) The systemic treatment of recurrent ovarian cancer revisited. </w:t>
      </w:r>
      <w:r w:rsidRPr="0083355C">
        <w:rPr>
          <w:rFonts w:asciiTheme="minorHAnsi" w:hAnsiTheme="minorHAnsi" w:cstheme="minorHAnsi"/>
          <w:i/>
          <w:iCs/>
        </w:rPr>
        <w:t>Ann. Oncol.</w:t>
      </w:r>
      <w:r w:rsidRPr="0083355C">
        <w:rPr>
          <w:rFonts w:asciiTheme="minorHAnsi" w:hAnsiTheme="minorHAnsi" w:cstheme="minorHAnsi"/>
        </w:rPr>
        <w:t xml:space="preserve">, 32:710–725. </w:t>
      </w:r>
    </w:p>
    <w:p w14:paraId="22E0D648"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B76399">
        <w:rPr>
          <w:rFonts w:asciiTheme="minorHAnsi" w:hAnsiTheme="minorHAnsi" w:cstheme="minorHAnsi"/>
        </w:rPr>
        <w:t>Basal E, Eghbali-</w:t>
      </w:r>
      <w:proofErr w:type="spellStart"/>
      <w:r w:rsidRPr="00B76399">
        <w:rPr>
          <w:rFonts w:asciiTheme="minorHAnsi" w:hAnsiTheme="minorHAnsi" w:cstheme="minorHAnsi"/>
        </w:rPr>
        <w:t>Fatourechi</w:t>
      </w:r>
      <w:proofErr w:type="spellEnd"/>
      <w:r w:rsidRPr="00B76399">
        <w:rPr>
          <w:rFonts w:asciiTheme="minorHAnsi" w:hAnsiTheme="minorHAnsi" w:cstheme="minorHAnsi"/>
        </w:rPr>
        <w:t xml:space="preserve"> GZ, Kalli KR, et al. </w:t>
      </w:r>
      <w:r w:rsidRPr="0083355C">
        <w:rPr>
          <w:rFonts w:asciiTheme="minorHAnsi" w:hAnsiTheme="minorHAnsi" w:cstheme="minorHAnsi"/>
        </w:rPr>
        <w:t>(2009) Functional folate receptor alpha is elevated in the blood of ovarian cancer patients. </w:t>
      </w:r>
      <w:r w:rsidRPr="0083355C">
        <w:rPr>
          <w:rFonts w:asciiTheme="minorHAnsi" w:hAnsiTheme="minorHAnsi" w:cstheme="minorHAnsi"/>
          <w:i/>
          <w:iCs/>
        </w:rPr>
        <w:t>PLoS One,</w:t>
      </w:r>
      <w:r w:rsidRPr="0083355C">
        <w:rPr>
          <w:rFonts w:asciiTheme="minorHAnsi" w:hAnsiTheme="minorHAnsi" w:cstheme="minorHAnsi"/>
        </w:rPr>
        <w:t xml:space="preserve"> 4:e6292. </w:t>
      </w:r>
    </w:p>
    <w:p w14:paraId="33EF9BDF" w14:textId="35B91B0F" w:rsidR="006B4ECE" w:rsidRPr="0083355C" w:rsidRDefault="006B4ECE" w:rsidP="00B4146C">
      <w:pPr>
        <w:pStyle w:val="ListParagraph"/>
        <w:spacing w:after="160" w:line="240" w:lineRule="auto"/>
        <w:ind w:left="0"/>
        <w:contextualSpacing w:val="0"/>
        <w:rPr>
          <w:rFonts w:asciiTheme="minorHAnsi" w:hAnsiTheme="minorHAnsi" w:cstheme="minorHAnsi"/>
          <w:i/>
          <w:iCs/>
        </w:rPr>
      </w:pPr>
      <w:r w:rsidRPr="0083355C">
        <w:rPr>
          <w:rFonts w:asciiTheme="minorHAnsi" w:hAnsiTheme="minorHAnsi" w:cstheme="minorHAnsi"/>
        </w:rPr>
        <w:t xml:space="preserve">Beachler DC, Lamy FX, Russo L, Taylor DH, Dinh J, Yin R, Allial AJ, Dychter S, Lanes S, Verpillat P. (2020). A real-world study on characteristics, treatments and outcomes in US patients with advanced stage ovarian cancer. </w:t>
      </w:r>
      <w:r w:rsidRPr="0083355C">
        <w:rPr>
          <w:rFonts w:asciiTheme="minorHAnsi" w:hAnsiTheme="minorHAnsi" w:cstheme="minorHAnsi"/>
          <w:i/>
          <w:iCs/>
        </w:rPr>
        <w:t xml:space="preserve">J. Ovarian Res., </w:t>
      </w:r>
      <w:r w:rsidR="00A706AB" w:rsidRPr="0083355C">
        <w:rPr>
          <w:rFonts w:asciiTheme="minorHAnsi" w:hAnsiTheme="minorHAnsi" w:cstheme="minorHAnsi"/>
          <w:i/>
          <w:iCs/>
        </w:rPr>
        <w:t>13:101.</w:t>
      </w:r>
    </w:p>
    <w:p w14:paraId="268940CE"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Bookman MA. (1999) Extending the platinum free interval in recurrent ovarian cancer: the role of topotecan in second-line chemotherapy. </w:t>
      </w:r>
      <w:r w:rsidRPr="0083355C">
        <w:rPr>
          <w:rFonts w:asciiTheme="minorHAnsi" w:hAnsiTheme="minorHAnsi" w:cstheme="minorHAnsi"/>
          <w:i/>
          <w:iCs/>
        </w:rPr>
        <w:t>Oncologist</w:t>
      </w:r>
      <w:r w:rsidRPr="0083355C">
        <w:rPr>
          <w:rFonts w:asciiTheme="minorHAnsi" w:hAnsiTheme="minorHAnsi" w:cstheme="minorHAnsi"/>
        </w:rPr>
        <w:t>, 4:87–94.</w:t>
      </w:r>
    </w:p>
    <w:p w14:paraId="7A87DE99"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Cooke SL, Brenton JD. (2011) Evolution of platinum resistance in high-grade serous ovarian cancer. </w:t>
      </w:r>
      <w:r w:rsidRPr="0083355C">
        <w:rPr>
          <w:rFonts w:asciiTheme="minorHAnsi" w:hAnsiTheme="minorHAnsi" w:cstheme="minorHAnsi"/>
          <w:i/>
          <w:iCs/>
        </w:rPr>
        <w:t>Lancet Oncol</w:t>
      </w:r>
      <w:r w:rsidRPr="0083355C">
        <w:rPr>
          <w:rFonts w:asciiTheme="minorHAnsi" w:hAnsiTheme="minorHAnsi" w:cstheme="minorHAnsi"/>
        </w:rPr>
        <w:t>, 12(12):1169–74.</w:t>
      </w:r>
    </w:p>
    <w:p w14:paraId="49738386" w14:textId="77777777" w:rsidR="00B4146C" w:rsidRPr="0083355C" w:rsidRDefault="00B4146C" w:rsidP="00B4146C">
      <w:pPr>
        <w:pStyle w:val="Body"/>
        <w:spacing w:after="160" w:line="240" w:lineRule="auto"/>
        <w:rPr>
          <w:rFonts w:asciiTheme="minorHAnsi" w:eastAsia="Times New Roman" w:hAnsiTheme="minorHAnsi" w:cstheme="minorHAnsi"/>
          <w:color w:val="000000"/>
          <w:szCs w:val="22"/>
        </w:rPr>
      </w:pPr>
      <w:r w:rsidRPr="0083355C">
        <w:rPr>
          <w:rFonts w:asciiTheme="minorHAnsi" w:eastAsia="Times New Roman" w:hAnsiTheme="minorHAnsi" w:cstheme="minorHAnsi"/>
          <w:color w:val="000000"/>
          <w:szCs w:val="22"/>
        </w:rPr>
        <w:t xml:space="preserve">Crane LMA, et al. (2012) The effect of chemotherapy on expression of folate receptor-alpha in ovarian cancer. </w:t>
      </w:r>
      <w:r w:rsidRPr="0083355C">
        <w:rPr>
          <w:rFonts w:asciiTheme="minorHAnsi" w:eastAsia="Times New Roman" w:hAnsiTheme="minorHAnsi" w:cstheme="minorHAnsi"/>
          <w:i/>
          <w:iCs/>
          <w:color w:val="000000"/>
          <w:szCs w:val="22"/>
        </w:rPr>
        <w:t>Cellular oncology (Dordrecht)</w:t>
      </w:r>
      <w:r w:rsidRPr="0083355C">
        <w:rPr>
          <w:rFonts w:asciiTheme="minorHAnsi" w:eastAsia="Times New Roman" w:hAnsiTheme="minorHAnsi" w:cstheme="minorHAnsi"/>
          <w:color w:val="000000"/>
          <w:szCs w:val="22"/>
        </w:rPr>
        <w:t>, 35(1):9–18.</w:t>
      </w:r>
    </w:p>
    <w:p w14:paraId="6F8993E7" w14:textId="77777777" w:rsidR="00B4146C" w:rsidRPr="00B76399"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Davis A et al. (2014) “Platinum resistant” ovarian cancer: What is it, who to treat and how to measure benefit? </w:t>
      </w:r>
      <w:r w:rsidRPr="00B76399">
        <w:rPr>
          <w:rFonts w:asciiTheme="minorHAnsi" w:hAnsiTheme="minorHAnsi" w:cstheme="minorHAnsi"/>
          <w:i/>
          <w:iCs/>
        </w:rPr>
        <w:t>Gynaecologic oncology</w:t>
      </w:r>
      <w:r w:rsidRPr="00B76399">
        <w:rPr>
          <w:rFonts w:asciiTheme="minorHAnsi" w:hAnsiTheme="minorHAnsi" w:cstheme="minorHAnsi"/>
        </w:rPr>
        <w:t>, 133(3):624–631.</w:t>
      </w:r>
    </w:p>
    <w:p w14:paraId="0BFBF829"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proofErr w:type="spellStart"/>
      <w:r w:rsidRPr="00B76399">
        <w:rPr>
          <w:rFonts w:asciiTheme="minorHAnsi" w:hAnsiTheme="minorHAnsi" w:cstheme="minorHAnsi"/>
        </w:rPr>
        <w:t>Despierre</w:t>
      </w:r>
      <w:proofErr w:type="spellEnd"/>
      <w:r w:rsidRPr="00B76399">
        <w:rPr>
          <w:rFonts w:asciiTheme="minorHAnsi" w:hAnsiTheme="minorHAnsi" w:cstheme="minorHAnsi"/>
        </w:rPr>
        <w:t xml:space="preserve"> E, Lambrechts S, </w:t>
      </w:r>
      <w:proofErr w:type="spellStart"/>
      <w:r w:rsidRPr="00B76399">
        <w:rPr>
          <w:rFonts w:asciiTheme="minorHAnsi" w:hAnsiTheme="minorHAnsi" w:cstheme="minorHAnsi"/>
        </w:rPr>
        <w:t>Leunen</w:t>
      </w:r>
      <w:proofErr w:type="spellEnd"/>
      <w:r w:rsidRPr="00B76399">
        <w:rPr>
          <w:rFonts w:asciiTheme="minorHAnsi" w:hAnsiTheme="minorHAnsi" w:cstheme="minorHAnsi"/>
        </w:rPr>
        <w:t xml:space="preserve"> K, et al. </w:t>
      </w:r>
      <w:r w:rsidRPr="0083355C">
        <w:rPr>
          <w:rFonts w:asciiTheme="minorHAnsi" w:hAnsiTheme="minorHAnsi" w:cstheme="minorHAnsi"/>
        </w:rPr>
        <w:t xml:space="preserve">(2013) Folate receptor alpha (FRA) expression remains unchanged in epithelial ovarian and endometrial cancer after chemotherapy. </w:t>
      </w:r>
      <w:r w:rsidRPr="0083355C">
        <w:rPr>
          <w:rFonts w:asciiTheme="minorHAnsi" w:hAnsiTheme="minorHAnsi" w:cstheme="minorHAnsi"/>
          <w:i/>
          <w:iCs/>
        </w:rPr>
        <w:t>Gynecologic Oncology</w:t>
      </w:r>
      <w:r w:rsidRPr="0083355C">
        <w:rPr>
          <w:rFonts w:asciiTheme="minorHAnsi" w:hAnsiTheme="minorHAnsi" w:cstheme="minorHAnsi"/>
        </w:rPr>
        <w:t xml:space="preserve">, 130(1):192–199 </w:t>
      </w:r>
    </w:p>
    <w:p w14:paraId="360DA5DF"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 xml:space="preserve">Deutschman, E. et al (2024). Folate Receptor Alpha Prevalence and Association With Ovarian Cancer Patient and Disease Characteristics. European Congress of Pathology Italy 2024. </w:t>
      </w:r>
    </w:p>
    <w:p w14:paraId="44A12DE9"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Dilawari A, Shah M, Ison G, Gittleman H, Fiero MH, et al. (2023) FDA Approval Summary: Mirvetuximab Soravtansine-Gynx for FRα-Positive, Platinum Resistant Ovarian Cancer. </w:t>
      </w:r>
      <w:r w:rsidRPr="0083355C">
        <w:rPr>
          <w:rFonts w:asciiTheme="minorHAnsi" w:hAnsiTheme="minorHAnsi" w:cstheme="minorHAnsi"/>
          <w:i/>
          <w:iCs/>
        </w:rPr>
        <w:t>Clin Cancer Res,</w:t>
      </w:r>
      <w:r w:rsidRPr="0083355C">
        <w:rPr>
          <w:rFonts w:asciiTheme="minorHAnsi" w:hAnsiTheme="minorHAnsi" w:cstheme="minorHAnsi"/>
        </w:rPr>
        <w:t xml:space="preserve"> 29(19):3835-3840.</w:t>
      </w:r>
    </w:p>
    <w:p w14:paraId="766B0B93" w14:textId="73AE00DE"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FDA (14 Nov 2022) PMA P220006: FDA Summary of Safety and Effectiveness Data: VENTANA FOLR1 (FOLR1-2.1) RxDx Assay. </w:t>
      </w:r>
      <w:hyperlink r:id="rId11" w:history="1">
        <w:r w:rsidRPr="0083355C">
          <w:rPr>
            <w:rStyle w:val="Hyperlink"/>
            <w:rFonts w:asciiTheme="minorHAnsi" w:hAnsiTheme="minorHAnsi" w:cstheme="minorHAnsi"/>
          </w:rPr>
          <w:t>https://www.accessdata.fda.gov/cdrh_docs/pdf22/P220006B.pdf</w:t>
        </w:r>
      </w:hyperlink>
    </w:p>
    <w:p w14:paraId="03A7EEA2" w14:textId="27AF5782" w:rsidR="00B4146C" w:rsidRPr="0083355C" w:rsidRDefault="00B4146C" w:rsidP="00B4146C">
      <w:pPr>
        <w:spacing w:after="160" w:line="240" w:lineRule="auto"/>
        <w:rPr>
          <w:rFonts w:asciiTheme="minorHAnsi" w:hAnsiTheme="minorHAnsi" w:cstheme="minorHAnsi"/>
        </w:rPr>
      </w:pPr>
      <w:r w:rsidRPr="0083355C">
        <w:rPr>
          <w:rFonts w:asciiTheme="minorHAnsi" w:hAnsiTheme="minorHAnsi" w:cstheme="minorHAnsi"/>
        </w:rPr>
        <w:t xml:space="preserve">First-in-Human Study to Evaluate the Safety, Tolerability, Pharmacokinetics and Pharmacodynamics of Mirvetuximab Soravtansine in Adults with Ovarian Cancer and Other Folate Receptor 1 (FOLR1)-Positive Solid Tumors (IMGN853-0401/ NCT01609556).  </w:t>
      </w:r>
      <w:hyperlink r:id="rId12" w:history="1">
        <w:r w:rsidR="003A1BC8" w:rsidRPr="0083355C">
          <w:rPr>
            <w:rStyle w:val="Hyperlink"/>
            <w:rFonts w:ascii="Calibri" w:hAnsi="Calibri"/>
          </w:rPr>
          <w:t>https://clinicaltrials.gov/study/NCT01609556</w:t>
        </w:r>
      </w:hyperlink>
      <w:r w:rsidR="003A1BC8" w:rsidRPr="0083355C">
        <w:t xml:space="preserve"> </w:t>
      </w:r>
    </w:p>
    <w:p w14:paraId="5C7A6370"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Gaillard S, Oaknin A, Ray-Coquard I, et al. (2021) Lurbinectedin versus pegylated liposomal doxorubicin or topotecan in patients with platinum resistant ovarian cancer: A multicenter, randomized, controlled, open-label phase 3 study (CORAIL), </w:t>
      </w:r>
      <w:r w:rsidRPr="0083355C">
        <w:rPr>
          <w:rFonts w:asciiTheme="minorHAnsi" w:hAnsiTheme="minorHAnsi" w:cstheme="minorHAnsi"/>
          <w:i/>
          <w:iCs/>
        </w:rPr>
        <w:t>Gynecol Oncol</w:t>
      </w:r>
      <w:r w:rsidRPr="0083355C">
        <w:rPr>
          <w:rFonts w:asciiTheme="minorHAnsi" w:hAnsiTheme="minorHAnsi" w:cstheme="minorHAnsi"/>
        </w:rPr>
        <w:t xml:space="preserve">, 163:237-245. </w:t>
      </w:r>
    </w:p>
    <w:p w14:paraId="32419DA2"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 xml:space="preserve">Gershenson DM, Miller A, Brady WE, et al. (2022) Trametinib versus standard of care in patients with recurrent low-grade serous ovarian cancer (GOG 281/LOGS): an international, randomised, open-label, multicentre, phase 2/3 trial, </w:t>
      </w:r>
      <w:r w:rsidRPr="0083355C">
        <w:rPr>
          <w:rFonts w:asciiTheme="minorHAnsi" w:hAnsiTheme="minorHAnsi" w:cstheme="minorHAnsi"/>
          <w:i/>
          <w:iCs/>
        </w:rPr>
        <w:t>Lancet</w:t>
      </w:r>
      <w:r w:rsidRPr="0083355C">
        <w:rPr>
          <w:rFonts w:asciiTheme="minorHAnsi" w:hAnsiTheme="minorHAnsi" w:cstheme="minorHAnsi"/>
        </w:rPr>
        <w:t>, 399(10324):541-553.</w:t>
      </w:r>
    </w:p>
    <w:p w14:paraId="1A492A5E"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lastRenderedPageBreak/>
        <w:t xml:space="preserve">González-Martín A, Harter P, Leary A, Lorusso D, Miller RE, Pothuri B, Ray-Coquard I, Tan DSP, Bellet E, Oaknin A, Ledermann JA; ESMO Guidelines Committee (2023) Newly diagnosed and relapsed epithelial ovarian cancer: ESMO Clinical Practice Guideline for diagnosis, treatment and follow-up, </w:t>
      </w:r>
      <w:r w:rsidRPr="0083355C">
        <w:rPr>
          <w:rFonts w:asciiTheme="minorHAnsi" w:hAnsiTheme="minorHAnsi" w:cstheme="minorHAnsi"/>
          <w:i/>
          <w:iCs/>
        </w:rPr>
        <w:t>Ann Oncol</w:t>
      </w:r>
      <w:r w:rsidRPr="0083355C">
        <w:rPr>
          <w:rFonts w:asciiTheme="minorHAnsi" w:hAnsiTheme="minorHAnsi" w:cstheme="minorHAnsi"/>
        </w:rPr>
        <w:t>, 34(10):833-848.</w:t>
      </w:r>
    </w:p>
    <w:p w14:paraId="03EB1BD0"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 xml:space="preserve">González-Martín A. (2013) Update on randomized trials on recurrent disease. </w:t>
      </w:r>
      <w:r w:rsidRPr="0083355C">
        <w:rPr>
          <w:rFonts w:asciiTheme="minorHAnsi" w:hAnsiTheme="minorHAnsi" w:cstheme="minorHAnsi"/>
          <w:i/>
          <w:iCs/>
        </w:rPr>
        <w:t>Ann Oncol,</w:t>
      </w:r>
      <w:r w:rsidRPr="0083355C">
        <w:rPr>
          <w:rFonts w:asciiTheme="minorHAnsi" w:hAnsiTheme="minorHAnsi" w:cstheme="minorHAnsi"/>
        </w:rPr>
        <w:t xml:space="preserve"> 24(suppl 10):x48-x52. </w:t>
      </w:r>
    </w:p>
    <w:p w14:paraId="6D96AEDC"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Gosney JR, Paz-Ares L, Jänne P, Kerr KM, Leighl NB, Lozano MD, Malapelle U, Mok T, Sheffield BS, Tufman A, Wistuba II, Peters S. (2023) Pathologist-initiated reflex testing for biomarkers in non-small-cell lung cancer: expert consensus on the rationale and considerations for implementation, </w:t>
      </w:r>
      <w:r w:rsidRPr="0083355C">
        <w:rPr>
          <w:rFonts w:asciiTheme="minorHAnsi" w:hAnsiTheme="minorHAnsi" w:cstheme="minorHAnsi"/>
          <w:i/>
          <w:iCs/>
        </w:rPr>
        <w:t>ESMO Open</w:t>
      </w:r>
      <w:r w:rsidRPr="0083355C">
        <w:rPr>
          <w:rFonts w:asciiTheme="minorHAnsi" w:hAnsiTheme="minorHAnsi" w:cstheme="minorHAnsi"/>
        </w:rPr>
        <w:t>, 8(4):101587.</w:t>
      </w:r>
    </w:p>
    <w:p w14:paraId="48BF25E2"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B76399">
        <w:rPr>
          <w:rFonts w:asciiTheme="minorHAnsi" w:hAnsiTheme="minorHAnsi" w:cstheme="minorHAnsi"/>
        </w:rPr>
        <w:t xml:space="preserve">Hamanishi J, Takeshima N, Katsumata N, et al. </w:t>
      </w:r>
      <w:r w:rsidRPr="0083355C">
        <w:rPr>
          <w:rFonts w:asciiTheme="minorHAnsi" w:hAnsiTheme="minorHAnsi" w:cstheme="minorHAnsi"/>
        </w:rPr>
        <w:t>(2021) Nivolumab versus gemcitabine or pegylated liposomal doxorubicin for patients with platinum resistant ovarian cancer: Open-label, randomized trial in Japan (NINJA), </w:t>
      </w:r>
      <w:r w:rsidRPr="0083355C">
        <w:rPr>
          <w:rFonts w:asciiTheme="minorHAnsi" w:hAnsiTheme="minorHAnsi" w:cstheme="minorHAnsi"/>
          <w:i/>
          <w:iCs/>
        </w:rPr>
        <w:t>J Clin Oncol,</w:t>
      </w:r>
      <w:r w:rsidRPr="0083355C">
        <w:rPr>
          <w:rFonts w:asciiTheme="minorHAnsi" w:hAnsiTheme="minorHAnsi" w:cstheme="minorHAnsi"/>
        </w:rPr>
        <w:t xml:space="preserve"> 39:3671-3681. </w:t>
      </w:r>
    </w:p>
    <w:p w14:paraId="681D2198"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Johnson SJ, Sorg RA, Borker RD, Duh MS. (2012) Chemotherapy Treatment Patterns in Elderly Patients Initially Diagnosed With Advanced Ovarian Cancer, </w:t>
      </w:r>
      <w:r w:rsidRPr="0083355C">
        <w:rPr>
          <w:rFonts w:asciiTheme="minorHAnsi" w:hAnsiTheme="minorHAnsi" w:cstheme="minorHAnsi"/>
          <w:i/>
          <w:iCs/>
        </w:rPr>
        <w:t>Clin Ovarian Gynecol Cancer</w:t>
      </w:r>
      <w:r w:rsidRPr="0083355C">
        <w:rPr>
          <w:rFonts w:asciiTheme="minorHAnsi" w:hAnsiTheme="minorHAnsi" w:cstheme="minorHAnsi"/>
        </w:rPr>
        <w:t>, 5(2):67–77.</w:t>
      </w:r>
    </w:p>
    <w:p w14:paraId="409EC3E6"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Kalli KR, Oberg AL, Keeney GL, Christianson TJ, Low PS, Knutson KL, et al. (2008) Folate receptor alpha as a tumor target in epithelial ovarian cancer, </w:t>
      </w:r>
      <w:r w:rsidRPr="0083355C">
        <w:rPr>
          <w:rFonts w:asciiTheme="minorHAnsi" w:hAnsiTheme="minorHAnsi" w:cstheme="minorHAnsi"/>
          <w:i/>
          <w:iCs/>
        </w:rPr>
        <w:t>Gynecol. Oncol</w:t>
      </w:r>
      <w:r w:rsidRPr="0083355C">
        <w:rPr>
          <w:rFonts w:asciiTheme="minorHAnsi" w:hAnsiTheme="minorHAnsi" w:cstheme="minorHAnsi"/>
        </w:rPr>
        <w:t>, 108:619–626.</w:t>
      </w:r>
    </w:p>
    <w:p w14:paraId="6E279C6F"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 xml:space="preserve">Kobel M et al. (2014) Evidence for a time- dependent association between FOLR1 expression and survival from ovarian carcinoma: implications for clinical testing. An ovarian tumour tissue analysis consortium study, </w:t>
      </w:r>
      <w:r w:rsidRPr="0083355C">
        <w:rPr>
          <w:rFonts w:asciiTheme="minorHAnsi" w:hAnsiTheme="minorHAnsi" w:cstheme="minorHAnsi"/>
          <w:i/>
          <w:iCs/>
        </w:rPr>
        <w:t xml:space="preserve">Br. J. Cancer, </w:t>
      </w:r>
      <w:r w:rsidRPr="0083355C">
        <w:rPr>
          <w:rFonts w:asciiTheme="minorHAnsi" w:hAnsiTheme="minorHAnsi" w:cstheme="minorHAnsi"/>
        </w:rPr>
        <w:t xml:space="preserve">111:2297–2307. </w:t>
      </w:r>
    </w:p>
    <w:p w14:paraId="78143B5C"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Ledermann JA, Canevari S, Thigpen T (2015) Targeting the folate receptor: Diagnostic and therapeutic approaches to personalize cancer treatments, </w:t>
      </w:r>
      <w:r w:rsidRPr="0083355C">
        <w:rPr>
          <w:rFonts w:asciiTheme="minorHAnsi" w:hAnsiTheme="minorHAnsi" w:cstheme="minorHAnsi"/>
          <w:i/>
          <w:iCs/>
        </w:rPr>
        <w:t>Ann Oncol,</w:t>
      </w:r>
      <w:r w:rsidRPr="0083355C">
        <w:rPr>
          <w:rFonts w:asciiTheme="minorHAnsi" w:hAnsiTheme="minorHAnsi" w:cstheme="minorHAnsi"/>
        </w:rPr>
        <w:t xml:space="preserve"> 26:2034-2043. </w:t>
      </w:r>
    </w:p>
    <w:p w14:paraId="27BD2B25"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 xml:space="preserve">Lokadasan R, et al. (2016) Targeted agents in epithelial ovarian cancer: review on emerging therapies and future developments, </w:t>
      </w:r>
      <w:r w:rsidRPr="0083355C">
        <w:rPr>
          <w:rFonts w:asciiTheme="minorHAnsi" w:hAnsiTheme="minorHAnsi" w:cstheme="minorHAnsi"/>
          <w:i/>
          <w:iCs/>
        </w:rPr>
        <w:t>Ecancermedicalscience,</w:t>
      </w:r>
      <w:r w:rsidRPr="0083355C">
        <w:rPr>
          <w:rFonts w:asciiTheme="minorHAnsi" w:hAnsiTheme="minorHAnsi" w:cstheme="minorHAnsi"/>
        </w:rPr>
        <w:t xml:space="preserve"> 10:626–626.</w:t>
      </w:r>
    </w:p>
    <w:p w14:paraId="1F2CE018"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Markman M, Rothman R, Hakes T et al. (1991) Second-line platinum therapy in patients with ovarian cancer previously treated with cisplatin, </w:t>
      </w:r>
      <w:r w:rsidRPr="0083355C">
        <w:rPr>
          <w:rFonts w:asciiTheme="minorHAnsi" w:hAnsiTheme="minorHAnsi" w:cstheme="minorHAnsi"/>
          <w:i/>
          <w:iCs/>
        </w:rPr>
        <w:t>J Clin Oncol Off J Am Soc Clin Oncol,</w:t>
      </w:r>
      <w:r w:rsidRPr="0083355C">
        <w:rPr>
          <w:rFonts w:asciiTheme="minorHAnsi" w:hAnsiTheme="minorHAnsi" w:cstheme="minorHAnsi"/>
        </w:rPr>
        <w:t xml:space="preserve"> 9(3):389–393.</w:t>
      </w:r>
    </w:p>
    <w:p w14:paraId="179DAE4C"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B76399">
        <w:rPr>
          <w:rFonts w:asciiTheme="minorHAnsi" w:hAnsiTheme="minorHAnsi" w:cstheme="minorHAnsi"/>
        </w:rPr>
        <w:t xml:space="preserve">Martin LP, Konner J, Moore KN et al. </w:t>
      </w:r>
      <w:r w:rsidRPr="0083355C">
        <w:rPr>
          <w:rFonts w:asciiTheme="minorHAnsi" w:hAnsiTheme="minorHAnsi" w:cstheme="minorHAnsi"/>
        </w:rPr>
        <w:t xml:space="preserve">(2017) Characterization of folate receptor alpha (FRα) expression in archival tumor and biopsy samples in a Phase I study of mirvetuximab soravtansine, a FRα-targeting antibody–drug conjugate (ADC), in relapsed epithelial ovarian cancer patients, </w:t>
      </w:r>
      <w:r w:rsidRPr="0083355C">
        <w:rPr>
          <w:rFonts w:asciiTheme="minorHAnsi" w:hAnsiTheme="minorHAnsi" w:cstheme="minorHAnsi"/>
          <w:i/>
          <w:iCs/>
        </w:rPr>
        <w:t>Gynecol. Oncol,</w:t>
      </w:r>
      <w:r w:rsidRPr="0083355C">
        <w:rPr>
          <w:rFonts w:asciiTheme="minorHAnsi" w:hAnsiTheme="minorHAnsi" w:cstheme="minorHAnsi"/>
        </w:rPr>
        <w:t xml:space="preserve"> 145:34. </w:t>
      </w:r>
    </w:p>
    <w:p w14:paraId="4BC33F12"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 xml:space="preserve">Matulonis UA et al. (2023) Efficacy and Safety of Mirvetuximab Soravtansine in Patients With Platinum Resistant Ovarian Cancer With High Folate Receptor Alpha Expression: Results From the SORAYA Study, </w:t>
      </w:r>
      <w:r w:rsidRPr="0083355C">
        <w:rPr>
          <w:rFonts w:asciiTheme="minorHAnsi" w:hAnsiTheme="minorHAnsi" w:cstheme="minorHAnsi"/>
          <w:i/>
          <w:iCs/>
        </w:rPr>
        <w:t>Journal of clinical oncology</w:t>
      </w:r>
      <w:r w:rsidRPr="0083355C">
        <w:rPr>
          <w:rFonts w:asciiTheme="minorHAnsi" w:hAnsiTheme="minorHAnsi" w:cstheme="minorHAnsi"/>
        </w:rPr>
        <w:t>, 41(13):2436–2445.</w:t>
      </w:r>
    </w:p>
    <w:p w14:paraId="612D8FD9"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B76399">
        <w:rPr>
          <w:rFonts w:asciiTheme="minorHAnsi" w:hAnsiTheme="minorHAnsi" w:cstheme="minorHAnsi"/>
        </w:rPr>
        <w:t xml:space="preserve">Moore K, Oza A, Colombo N, et al. </w:t>
      </w:r>
      <w:r w:rsidRPr="0083355C">
        <w:rPr>
          <w:rFonts w:asciiTheme="minorHAnsi" w:hAnsiTheme="minorHAnsi" w:cstheme="minorHAnsi"/>
        </w:rPr>
        <w:t xml:space="preserve">(2019) FORWARD I (GOG 3011): A phase III study of mirvetuximab soravtansine, a folate receptor alpha (FRa)-targeting antibody-drug conjugate (ADC), versus chemotherapy in patients (pts) with platinum resistant ovarian cancer (PROC), </w:t>
      </w:r>
      <w:r w:rsidRPr="0083355C">
        <w:rPr>
          <w:rFonts w:asciiTheme="minorHAnsi" w:hAnsiTheme="minorHAnsi" w:cstheme="minorHAnsi"/>
          <w:i/>
          <w:iCs/>
        </w:rPr>
        <w:t>Ann Oncol</w:t>
      </w:r>
      <w:r w:rsidRPr="0083355C">
        <w:rPr>
          <w:rFonts w:asciiTheme="minorHAnsi" w:hAnsiTheme="minorHAnsi" w:cstheme="minorHAnsi"/>
        </w:rPr>
        <w:t>, 30(Suppl 5):v403–v434.</w:t>
      </w:r>
    </w:p>
    <w:p w14:paraId="5A607D74"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 xml:space="preserve">Moore KN, Martin LP, O’Malley DM et al. (2017) Safety and activity of mirvetuximab soravtansine (IMGN853), a folate receptor alpha-targeting antibody–drug conjugate, in platinum resistant ovarian, fallopian tube, or primary peritoneal cancer: a Phase I expansion study, </w:t>
      </w:r>
      <w:r w:rsidRPr="0083355C">
        <w:rPr>
          <w:rFonts w:asciiTheme="minorHAnsi" w:hAnsiTheme="minorHAnsi" w:cstheme="minorHAnsi"/>
          <w:i/>
          <w:iCs/>
        </w:rPr>
        <w:t>J. Clin. Oncol,</w:t>
      </w:r>
      <w:r w:rsidRPr="0083355C">
        <w:rPr>
          <w:rFonts w:asciiTheme="minorHAnsi" w:hAnsiTheme="minorHAnsi" w:cstheme="minorHAnsi"/>
        </w:rPr>
        <w:t xml:space="preserve"> 35(10):1112–1118. </w:t>
      </w:r>
    </w:p>
    <w:p w14:paraId="67096235"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 xml:space="preserve">Moore KN, Martin LP, O’Malley DM, et al. (2018) A review of mirvetuximab soravtansine in the treatment of platinum resistant ovarian cancer, </w:t>
      </w:r>
      <w:r w:rsidRPr="0083355C">
        <w:rPr>
          <w:rFonts w:asciiTheme="minorHAnsi" w:hAnsiTheme="minorHAnsi" w:cstheme="minorHAnsi"/>
          <w:i/>
          <w:iCs/>
        </w:rPr>
        <w:t>Future Oncol</w:t>
      </w:r>
      <w:r w:rsidRPr="0083355C">
        <w:rPr>
          <w:rFonts w:asciiTheme="minorHAnsi" w:hAnsiTheme="minorHAnsi" w:cstheme="minorHAnsi"/>
        </w:rPr>
        <w:t>, 14:123-136.</w:t>
      </w:r>
    </w:p>
    <w:p w14:paraId="7C101D83"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lastRenderedPageBreak/>
        <w:t>Moore KN, Oza AM, Colombo N, et al. (2021) Phase III, randomized trial of mirvetuximab soravtansine versus chemotherapy in patients with platinum resistant ovarian cancer: Primary analysis of FORWARD I, </w:t>
      </w:r>
      <w:r w:rsidRPr="0083355C">
        <w:rPr>
          <w:rFonts w:asciiTheme="minorHAnsi" w:hAnsiTheme="minorHAnsi" w:cstheme="minorHAnsi"/>
          <w:i/>
          <w:iCs/>
        </w:rPr>
        <w:t>Ann Oncol</w:t>
      </w:r>
      <w:r w:rsidRPr="0083355C">
        <w:rPr>
          <w:rFonts w:asciiTheme="minorHAnsi" w:hAnsiTheme="minorHAnsi" w:cstheme="minorHAnsi"/>
        </w:rPr>
        <w:t xml:space="preserve">, 32:757-765. </w:t>
      </w:r>
    </w:p>
    <w:p w14:paraId="1149318A"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PICCOLO trial. NIH, U.S National Library of Medicine ClinicalTrial.gov. Mirvetuximab soravtansine monotherapy in platinum sensitive epithelial, peritoneal, and fallopian tube cancers. </w:t>
      </w:r>
      <w:r w:rsidRPr="0083355C">
        <w:rPr>
          <w:rStyle w:val="Hyperlink"/>
          <w:rFonts w:asciiTheme="minorHAnsi" w:hAnsiTheme="minorHAnsi" w:cstheme="minorHAnsi"/>
        </w:rPr>
        <w:t>https://clinicaltrials.gov/study/ NCT05041257.</w:t>
      </w:r>
      <w:r w:rsidRPr="0083355C">
        <w:rPr>
          <w:rFonts w:asciiTheme="minorHAnsi" w:hAnsiTheme="minorHAnsi" w:cstheme="minorHAnsi"/>
        </w:rPr>
        <w:t xml:space="preserve"> </w:t>
      </w:r>
    </w:p>
    <w:p w14:paraId="3FFE33DB"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MIROVA trial. NIH, U.S National Library of Medicine ClinicalTrial.gov. Mirvetuximab soravtansine (IMGN853), in folate receptor alpha (FRα) high recurrent ovarian cancer. </w:t>
      </w:r>
      <w:r w:rsidRPr="0083355C">
        <w:rPr>
          <w:rStyle w:val="Hyperlink"/>
          <w:rFonts w:asciiTheme="minorHAnsi" w:hAnsiTheme="minorHAnsi" w:cstheme="minorHAnsi"/>
        </w:rPr>
        <w:t>https://clinicaltrials.gov/study/NCT04274426</w:t>
      </w:r>
      <w:r w:rsidRPr="0083355C">
        <w:rPr>
          <w:rFonts w:asciiTheme="minorHAnsi" w:hAnsiTheme="minorHAnsi" w:cstheme="minorHAnsi"/>
        </w:rPr>
        <w:t>.</w:t>
      </w:r>
    </w:p>
    <w:p w14:paraId="16181F4B"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GLORIOSA trial. NIH, U.S National Library of Medicine ClinicalTrial.gov. Mirvetuximab soravtansine with bevacizumab versus bevacizumab as maintenance in platinum sensitive ovarian, fallopian tube, or peritoneal cancer. </w:t>
      </w:r>
      <w:r w:rsidRPr="0083355C">
        <w:rPr>
          <w:rStyle w:val="Hyperlink"/>
          <w:rFonts w:asciiTheme="minorHAnsi" w:hAnsiTheme="minorHAnsi" w:cstheme="minorHAnsi"/>
        </w:rPr>
        <w:t>https://clinicaltrials.gov/study/NCT05445778</w:t>
      </w:r>
      <w:r w:rsidRPr="0083355C">
        <w:rPr>
          <w:rFonts w:asciiTheme="minorHAnsi" w:hAnsiTheme="minorHAnsi" w:cstheme="minorHAnsi"/>
        </w:rPr>
        <w:t xml:space="preserve"> </w:t>
      </w:r>
    </w:p>
    <w:p w14:paraId="367545B5"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Study-420. NIH, U.S. National Library of Medicine ClinicalTrial.gov. Study of carboplatin and mirvetuximab soravtansine in first-line treatment of patients receiving neoadjuvant chemotherapy with advanced-stage ovarian, fallopian tube or primary peritoneal cancer. </w:t>
      </w:r>
      <w:r w:rsidRPr="0083355C">
        <w:rPr>
          <w:rStyle w:val="Hyperlink"/>
          <w:rFonts w:asciiTheme="minorHAnsi" w:hAnsiTheme="minorHAnsi" w:cstheme="minorHAnsi"/>
        </w:rPr>
        <w:t>https://clinicaltrials.gov/study/NCT04606914</w:t>
      </w:r>
      <w:r w:rsidRPr="0083355C">
        <w:rPr>
          <w:rFonts w:asciiTheme="minorHAnsi" w:hAnsiTheme="minorHAnsi" w:cstheme="minorHAnsi"/>
        </w:rPr>
        <w:t xml:space="preserve"> </w:t>
      </w:r>
    </w:p>
    <w:p w14:paraId="4BFFF2D7"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O’Malley DM, Oaknin A, Matulonis UA, et al. (2021) Mirvetuximab soravtansine, a folate receptor alpha (FRα)-targeting antibody-drug conjugate (ADC), in combination with bevacizumab in patients (pts) with platinum agnostic ovarian cancer: Final analysis, </w:t>
      </w:r>
      <w:r w:rsidRPr="0083355C">
        <w:rPr>
          <w:rFonts w:asciiTheme="minorHAnsi" w:hAnsiTheme="minorHAnsi" w:cstheme="minorHAnsi"/>
          <w:i/>
          <w:iCs/>
        </w:rPr>
        <w:t>J Clin Oncol</w:t>
      </w:r>
      <w:r w:rsidRPr="0083355C">
        <w:rPr>
          <w:rFonts w:asciiTheme="minorHAnsi" w:hAnsiTheme="minorHAnsi" w:cstheme="minorHAnsi"/>
        </w:rPr>
        <w:t>, 39 (suppl 15) abstr 5504.</w:t>
      </w:r>
    </w:p>
    <w:p w14:paraId="351403E3"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O'Malley, David M, et al. Phase Ib study of mirvetuximab soravtansine, a folate receptor alpha (FRα)-targeting antibody-drug conjugate (ADC), in combination with bevacizumab in patients with platinum resistant ovarian cancer, </w:t>
      </w:r>
      <w:r w:rsidRPr="0083355C">
        <w:rPr>
          <w:rFonts w:asciiTheme="minorHAnsi" w:hAnsiTheme="minorHAnsi" w:cstheme="minorHAnsi"/>
          <w:i/>
          <w:iCs/>
        </w:rPr>
        <w:t>Gynecologic Oncology</w:t>
      </w:r>
      <w:r w:rsidRPr="0083355C">
        <w:rPr>
          <w:rFonts w:asciiTheme="minorHAnsi" w:hAnsiTheme="minorHAnsi" w:cstheme="minorHAnsi"/>
        </w:rPr>
        <w:t>, 157(2):379-385.</w:t>
      </w:r>
    </w:p>
    <w:p w14:paraId="5BE5F6E0"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 xml:space="preserve">O'Shannessy DJ, Somers EB, Smale R, Fu YS (2013) Expression of folate receptor-α (FRA) in gynecologic malignancies and its relationship to the tumor type, </w:t>
      </w:r>
      <w:r w:rsidRPr="0083355C">
        <w:rPr>
          <w:rFonts w:asciiTheme="minorHAnsi" w:hAnsiTheme="minorHAnsi" w:cstheme="minorHAnsi"/>
          <w:i/>
          <w:iCs/>
        </w:rPr>
        <w:t>Int J Gynecol Pathol,</w:t>
      </w:r>
      <w:r w:rsidRPr="0083355C">
        <w:rPr>
          <w:rFonts w:asciiTheme="minorHAnsi" w:hAnsiTheme="minorHAnsi" w:cstheme="minorHAnsi"/>
        </w:rPr>
        <w:t xml:space="preserve"> 32(3):258-68.</w:t>
      </w:r>
    </w:p>
    <w:p w14:paraId="5A756CD2"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B76399">
        <w:rPr>
          <w:rFonts w:asciiTheme="minorHAnsi" w:hAnsiTheme="minorHAnsi" w:cstheme="minorHAnsi"/>
        </w:rPr>
        <w:t xml:space="preserve">Oza AM, Castonguay V, Tsoref D, Diaz-Padilla I, et al. </w:t>
      </w:r>
      <w:r w:rsidRPr="0083355C">
        <w:rPr>
          <w:rFonts w:asciiTheme="minorHAnsi" w:hAnsiTheme="minorHAnsi" w:cstheme="minorHAnsi"/>
        </w:rPr>
        <w:t xml:space="preserve">(2011) Progression-free survival in advanced ovarian cancer: A Canadian review and expert panel perspective, </w:t>
      </w:r>
      <w:r w:rsidRPr="0083355C">
        <w:rPr>
          <w:rFonts w:asciiTheme="minorHAnsi" w:hAnsiTheme="minorHAnsi" w:cstheme="minorHAnsi"/>
          <w:i/>
          <w:iCs/>
        </w:rPr>
        <w:t>Curr. Oncol</w:t>
      </w:r>
      <w:r w:rsidRPr="0083355C">
        <w:rPr>
          <w:rFonts w:asciiTheme="minorHAnsi" w:hAnsiTheme="minorHAnsi" w:cstheme="minorHAnsi"/>
        </w:rPr>
        <w:t>, 18(Suppl. S2):S20–S27.</w:t>
      </w:r>
    </w:p>
    <w:p w14:paraId="58B5A020"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 xml:space="preserve">Oza AM, Lisyanskaya AS, Fedenko AA, et al. (2021) Subgroup analysis of rucaparib versus chemotherapy as treatment for BRCA-mutated, advanced, relapsed ovarian carcinoma: Effect of platinum sensitivity in the randomized, phase 3 study ARIEL4. </w:t>
      </w:r>
      <w:r w:rsidRPr="0083355C">
        <w:rPr>
          <w:rFonts w:asciiTheme="minorHAnsi" w:hAnsiTheme="minorHAnsi" w:cstheme="minorHAnsi"/>
          <w:i/>
          <w:iCs/>
        </w:rPr>
        <w:t>J Clin Oncol</w:t>
      </w:r>
      <w:r w:rsidRPr="0083355C">
        <w:rPr>
          <w:rFonts w:asciiTheme="minorHAnsi" w:hAnsiTheme="minorHAnsi" w:cstheme="minorHAnsi"/>
        </w:rPr>
        <w:t xml:space="preserve">, 39(15) Suppl:5517.  </w:t>
      </w:r>
    </w:p>
    <w:p w14:paraId="2ED1201C"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Pujade-Lauraine E, Fujiwara K, Ledermann JA, et al. (2021) Avelumab alone or in combination with chemotherapy versus chemotherapy alone in platinum resistant or platinum refractory ovarian cancer (JAVELIN Ovarian 200): An open-label, three-arm, randomised, phase 3 study, </w:t>
      </w:r>
      <w:r w:rsidRPr="0083355C">
        <w:rPr>
          <w:rFonts w:asciiTheme="minorHAnsi" w:hAnsiTheme="minorHAnsi" w:cstheme="minorHAnsi"/>
          <w:i/>
          <w:iCs/>
        </w:rPr>
        <w:t>Lancet Oncol</w:t>
      </w:r>
      <w:r w:rsidRPr="0083355C">
        <w:rPr>
          <w:rFonts w:asciiTheme="minorHAnsi" w:hAnsiTheme="minorHAnsi" w:cstheme="minorHAnsi"/>
        </w:rPr>
        <w:t xml:space="preserve">, 22:1034-1046, </w:t>
      </w:r>
    </w:p>
    <w:p w14:paraId="7A60B43B"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proofErr w:type="spellStart"/>
      <w:r w:rsidRPr="00B76399">
        <w:rPr>
          <w:rFonts w:asciiTheme="minorHAnsi" w:hAnsiTheme="minorHAnsi" w:cstheme="minorHAnsi"/>
        </w:rPr>
        <w:t>Pujade</w:t>
      </w:r>
      <w:proofErr w:type="spellEnd"/>
      <w:r w:rsidRPr="00B76399">
        <w:rPr>
          <w:rFonts w:asciiTheme="minorHAnsi" w:hAnsiTheme="minorHAnsi" w:cstheme="minorHAnsi"/>
        </w:rPr>
        <w:t xml:space="preserve">-Lauraine E, Hilpert F, Weber B, et al. </w:t>
      </w:r>
      <w:r w:rsidRPr="0083355C">
        <w:rPr>
          <w:rFonts w:asciiTheme="minorHAnsi" w:hAnsiTheme="minorHAnsi" w:cstheme="minorHAnsi"/>
        </w:rPr>
        <w:t xml:space="preserve">(2014) Bevacizumab combined with chemotherapy for platinum resistant recurrent ovarian cancer: the AURELIA open-label randomized phase III trial, </w:t>
      </w:r>
      <w:r w:rsidRPr="0083355C">
        <w:rPr>
          <w:rFonts w:asciiTheme="minorHAnsi" w:hAnsiTheme="minorHAnsi" w:cstheme="minorHAnsi"/>
          <w:i/>
          <w:iCs/>
        </w:rPr>
        <w:t xml:space="preserve">J Clin Oncol, </w:t>
      </w:r>
      <w:r w:rsidRPr="0083355C">
        <w:rPr>
          <w:rFonts w:asciiTheme="minorHAnsi" w:hAnsiTheme="minorHAnsi" w:cstheme="minorHAnsi"/>
        </w:rPr>
        <w:t>32(13):1302-1308.</w:t>
      </w:r>
    </w:p>
    <w:p w14:paraId="11B521F2" w14:textId="5E637EDA" w:rsidR="00814CAD" w:rsidRPr="0083355C" w:rsidRDefault="00CD545F" w:rsidP="008F2B9E">
      <w:pPr>
        <w:pStyle w:val="ListParagraph"/>
        <w:spacing w:after="160" w:line="240" w:lineRule="auto"/>
        <w:ind w:left="0"/>
        <w:contextualSpacing w:val="0"/>
        <w:rPr>
          <w:rFonts w:asciiTheme="minorHAnsi" w:hAnsiTheme="minorHAnsi" w:cstheme="minorHAnsi"/>
        </w:rPr>
      </w:pPr>
      <w:proofErr w:type="spellStart"/>
      <w:r w:rsidRPr="00B76399">
        <w:rPr>
          <w:rFonts w:asciiTheme="minorHAnsi" w:hAnsiTheme="minorHAnsi" w:cstheme="minorHAnsi"/>
        </w:rPr>
        <w:t>Rubinsak</w:t>
      </w:r>
      <w:proofErr w:type="spellEnd"/>
      <w:r w:rsidRPr="00B76399">
        <w:rPr>
          <w:rFonts w:asciiTheme="minorHAnsi" w:hAnsiTheme="minorHAnsi" w:cstheme="minorHAnsi"/>
        </w:rPr>
        <w:t xml:space="preserve"> LA, Cynthia Cohen C</w:t>
      </w:r>
      <w:r w:rsidR="00DD56F5" w:rsidRPr="00B76399">
        <w:rPr>
          <w:rFonts w:asciiTheme="minorHAnsi" w:hAnsiTheme="minorHAnsi" w:cstheme="minorHAnsi"/>
        </w:rPr>
        <w:t>,</w:t>
      </w:r>
      <w:r w:rsidRPr="00B76399">
        <w:rPr>
          <w:rFonts w:asciiTheme="minorHAnsi" w:hAnsiTheme="minorHAnsi" w:cstheme="minorHAnsi"/>
        </w:rPr>
        <w:t xml:space="preserve"> Khanna</w:t>
      </w:r>
      <w:r w:rsidR="00DD56F5" w:rsidRPr="00B76399">
        <w:rPr>
          <w:rFonts w:asciiTheme="minorHAnsi" w:hAnsiTheme="minorHAnsi" w:cstheme="minorHAnsi"/>
        </w:rPr>
        <w:t xml:space="preserve"> N, et al. </w:t>
      </w:r>
      <w:r w:rsidR="00DD56F5" w:rsidRPr="0083355C">
        <w:rPr>
          <w:rFonts w:asciiTheme="minorHAnsi" w:hAnsiTheme="minorHAnsi" w:cstheme="minorHAnsi"/>
        </w:rPr>
        <w:t>(2018)</w:t>
      </w:r>
      <w:r w:rsidR="008F2B9E" w:rsidRPr="0083355C">
        <w:rPr>
          <w:rFonts w:asciiTheme="minorHAnsi" w:hAnsiTheme="minorHAnsi" w:cstheme="minorHAnsi"/>
        </w:rPr>
        <w:t xml:space="preserve"> Folate Receptor Alpha Expression in Platinum Resistant/ Refractory Ovarian Carcinomas and Primary Endocervical Adenocarcinomas</w:t>
      </w:r>
      <w:r w:rsidR="002D77D0" w:rsidRPr="0083355C">
        <w:rPr>
          <w:rFonts w:asciiTheme="minorHAnsi" w:hAnsiTheme="minorHAnsi" w:cstheme="minorHAnsi"/>
        </w:rPr>
        <w:t>,</w:t>
      </w:r>
      <w:r w:rsidR="008F2B9E" w:rsidRPr="0083355C">
        <w:rPr>
          <w:rFonts w:asciiTheme="minorHAnsi" w:hAnsiTheme="minorHAnsi" w:cstheme="minorHAnsi"/>
        </w:rPr>
        <w:t xml:space="preserve"> </w:t>
      </w:r>
      <w:r w:rsidR="008F2B9E" w:rsidRPr="0083355C">
        <w:rPr>
          <w:rFonts w:asciiTheme="minorHAnsi" w:hAnsiTheme="minorHAnsi" w:cstheme="minorHAnsi"/>
          <w:i/>
          <w:iCs/>
        </w:rPr>
        <w:t>Appl Immunohistochem Mol Morphol</w:t>
      </w:r>
      <w:r w:rsidR="002D77D0" w:rsidRPr="0083355C">
        <w:rPr>
          <w:rFonts w:asciiTheme="minorHAnsi" w:hAnsiTheme="minorHAnsi" w:cstheme="minorHAnsi"/>
        </w:rPr>
        <w:t xml:space="preserve">, </w:t>
      </w:r>
      <w:r w:rsidR="008F2B9E" w:rsidRPr="0083355C">
        <w:rPr>
          <w:rFonts w:asciiTheme="minorHAnsi" w:hAnsiTheme="minorHAnsi" w:cstheme="minorHAnsi"/>
        </w:rPr>
        <w:t>26:567–572</w:t>
      </w:r>
      <w:r w:rsidR="002D77D0" w:rsidRPr="0083355C">
        <w:rPr>
          <w:rFonts w:asciiTheme="minorHAnsi" w:hAnsiTheme="minorHAnsi" w:cstheme="minorHAnsi"/>
        </w:rPr>
        <w:t>.</w:t>
      </w:r>
    </w:p>
    <w:p w14:paraId="6AEF31BE"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Scaranti M, Cojocaru E, Banerjee S, Banerji U (2020) Exploiting the folate receptor α in oncology. </w:t>
      </w:r>
      <w:r w:rsidRPr="0083355C">
        <w:rPr>
          <w:rFonts w:asciiTheme="minorHAnsi" w:hAnsiTheme="minorHAnsi" w:cstheme="minorHAnsi"/>
          <w:i/>
          <w:iCs/>
        </w:rPr>
        <w:t>Nat Rev Clin Oncol</w:t>
      </w:r>
      <w:r w:rsidRPr="0083355C">
        <w:rPr>
          <w:rFonts w:asciiTheme="minorHAnsi" w:hAnsiTheme="minorHAnsi" w:cstheme="minorHAnsi"/>
        </w:rPr>
        <w:t>, 17(6):349-359.</w:t>
      </w:r>
    </w:p>
    <w:p w14:paraId="75543F08"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Tewari KS, Burger RA, Enserro D, Norquist BM, Swisher EM, Brady MF, Bookman MA, Fleming GF, Huang H., Homesley H.D., et al. (2019) Final Overall Survival of a Randomized Trial of Bevacizumab for Primary Treatment of Ovarian Cancer,</w:t>
      </w:r>
      <w:r w:rsidRPr="0083355C">
        <w:rPr>
          <w:rFonts w:asciiTheme="minorHAnsi" w:hAnsiTheme="minorHAnsi" w:cstheme="minorHAnsi"/>
          <w:i/>
          <w:iCs/>
        </w:rPr>
        <w:t xml:space="preserve"> J. Clin. Oncol</w:t>
      </w:r>
      <w:r w:rsidRPr="0083355C">
        <w:rPr>
          <w:rFonts w:asciiTheme="minorHAnsi" w:hAnsiTheme="minorHAnsi" w:cstheme="minorHAnsi"/>
        </w:rPr>
        <w:t>, 37:2317–2328.</w:t>
      </w:r>
    </w:p>
    <w:p w14:paraId="3C02FD3C" w14:textId="77777777"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lastRenderedPageBreak/>
        <w:t xml:space="preserve">Trillsch F, Mahner S, Hilpert F, Davies L, García-Martínez E, Kristensen G, Savarese A, Vuylsteke P, Los M, Zagouri F, Gladieff L, Sehouli J, Khoon Lee C, Gebski V, Pujade-Lauraine E. (2016) Prognostic and predictive effects of primary versus secondary platinum resistance for bevacizumab treatment for platinum resistant ovarian cancer in the AURELIA trial, </w:t>
      </w:r>
      <w:r w:rsidRPr="0083355C">
        <w:rPr>
          <w:rFonts w:asciiTheme="minorHAnsi" w:hAnsiTheme="minorHAnsi" w:cstheme="minorHAnsi"/>
          <w:i/>
          <w:iCs/>
        </w:rPr>
        <w:t xml:space="preserve">Ann Oncol, </w:t>
      </w:r>
      <w:r w:rsidRPr="0083355C">
        <w:rPr>
          <w:rFonts w:asciiTheme="minorHAnsi" w:hAnsiTheme="minorHAnsi" w:cstheme="minorHAnsi"/>
        </w:rPr>
        <w:t>27(9):1733-9.</w:t>
      </w:r>
    </w:p>
    <w:p w14:paraId="59B9ACDB" w14:textId="00FBCDB6"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TGA Australian Public Assessment Report for Bevacizumab AusPAR Abevmy/Trucleva - bevacizumab - Alphapharm Pty Ltd - PM-2020-01736-1-4 Final 28 January 2022 </w:t>
      </w:r>
      <w:r w:rsidR="003A1BC8" w:rsidRPr="0083355C">
        <w:rPr>
          <w:rFonts w:asciiTheme="minorHAnsi" w:hAnsiTheme="minorHAnsi" w:cstheme="minorHAnsi"/>
        </w:rPr>
        <w:t xml:space="preserve"> </w:t>
      </w:r>
      <w:hyperlink r:id="rId13" w:history="1">
        <w:r w:rsidR="003A1BC8" w:rsidRPr="0083355C">
          <w:rPr>
            <w:rStyle w:val="Hyperlink"/>
            <w:rFonts w:asciiTheme="minorHAnsi" w:hAnsiTheme="minorHAnsi" w:cstheme="minorHAnsi"/>
          </w:rPr>
          <w:t>https://www.tga.gov.au/sites/default/files/auspar-bevacizumab-220202.pdf</w:t>
        </w:r>
      </w:hyperlink>
      <w:r w:rsidR="003A1BC8" w:rsidRPr="0083355C">
        <w:rPr>
          <w:rStyle w:val="Hyperlink"/>
          <w:rFonts w:asciiTheme="minorHAnsi" w:hAnsiTheme="minorHAnsi" w:cstheme="minorHAnsi"/>
        </w:rPr>
        <w:t xml:space="preserve"> </w:t>
      </w:r>
    </w:p>
    <w:p w14:paraId="43292107"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B76399">
        <w:rPr>
          <w:rFonts w:asciiTheme="minorHAnsi" w:hAnsiTheme="minorHAnsi" w:cstheme="minorHAnsi"/>
        </w:rPr>
        <w:t>Toffoli G, Russo A, Gallo A, Cernigoi C, Miotti S, Sorio R, et al. </w:t>
      </w:r>
      <w:r w:rsidRPr="0083355C">
        <w:rPr>
          <w:rFonts w:asciiTheme="minorHAnsi" w:hAnsiTheme="minorHAnsi" w:cstheme="minorHAnsi"/>
        </w:rPr>
        <w:t>(1998) Expression of folate binding protein as a prognostic factor for response to platinum containing chemotherapy and survival in human ovarian cancer, </w:t>
      </w:r>
      <w:r w:rsidRPr="0083355C">
        <w:rPr>
          <w:rFonts w:asciiTheme="minorHAnsi" w:hAnsiTheme="minorHAnsi" w:cstheme="minorHAnsi"/>
          <w:i/>
          <w:iCs/>
        </w:rPr>
        <w:t>Int. J. Cancer,</w:t>
      </w:r>
      <w:r w:rsidRPr="0083355C">
        <w:rPr>
          <w:rFonts w:asciiTheme="minorHAnsi" w:hAnsiTheme="minorHAnsi" w:cstheme="minorHAnsi"/>
        </w:rPr>
        <w:t> 79:121–126.</w:t>
      </w:r>
    </w:p>
    <w:p w14:paraId="38F3A141"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 xml:space="preserve">Torre LA, Trabert B, DeSantis CE, Miller KD, Samimi G, Runowicz CD, Gaudet MM, Jemal A, Siegel RL (2018) Ovarian cancer statistics, </w:t>
      </w:r>
      <w:r w:rsidRPr="0083355C">
        <w:rPr>
          <w:rFonts w:asciiTheme="minorHAnsi" w:hAnsiTheme="minorHAnsi" w:cstheme="minorHAnsi"/>
          <w:i/>
          <w:iCs/>
        </w:rPr>
        <w:t>CA Cancer J.</w:t>
      </w:r>
      <w:r w:rsidRPr="0083355C">
        <w:rPr>
          <w:rFonts w:asciiTheme="minorHAnsi" w:hAnsiTheme="minorHAnsi" w:cstheme="minorHAnsi"/>
        </w:rPr>
        <w:t xml:space="preserve"> </w:t>
      </w:r>
      <w:r w:rsidRPr="0083355C">
        <w:rPr>
          <w:rFonts w:asciiTheme="minorHAnsi" w:hAnsiTheme="minorHAnsi" w:cstheme="minorHAnsi"/>
          <w:i/>
          <w:iCs/>
        </w:rPr>
        <w:t>Clin,</w:t>
      </w:r>
      <w:r w:rsidRPr="0083355C">
        <w:rPr>
          <w:rFonts w:asciiTheme="minorHAnsi" w:hAnsiTheme="minorHAnsi" w:cstheme="minorHAnsi"/>
        </w:rPr>
        <w:t xml:space="preserve"> 68:284–296.</w:t>
      </w:r>
    </w:p>
    <w:p w14:paraId="0020009C" w14:textId="77777777" w:rsidR="00B4146C" w:rsidRPr="0083355C" w:rsidRDefault="00B4146C" w:rsidP="00B4146C">
      <w:pPr>
        <w:spacing w:after="160" w:line="240" w:lineRule="auto"/>
        <w:jc w:val="both"/>
        <w:rPr>
          <w:rFonts w:asciiTheme="minorHAnsi" w:hAnsiTheme="minorHAnsi" w:cstheme="minorHAnsi"/>
        </w:rPr>
      </w:pPr>
      <w:r w:rsidRPr="00B76399">
        <w:rPr>
          <w:rFonts w:asciiTheme="minorHAnsi" w:hAnsiTheme="minorHAnsi" w:cstheme="minorHAnsi"/>
        </w:rPr>
        <w:t xml:space="preserve">Vergote I, Gonzalez-Martin A, Lorusso D, et al. </w:t>
      </w:r>
      <w:r w:rsidRPr="0083355C">
        <w:rPr>
          <w:rFonts w:asciiTheme="minorHAnsi" w:hAnsiTheme="minorHAnsi" w:cstheme="minorHAnsi"/>
        </w:rPr>
        <w:t xml:space="preserve">(2022) Clinical research in ovarian cancer: consensus recommendations from the Gynecologic Cancer InterGroup, </w:t>
      </w:r>
      <w:r w:rsidRPr="0083355C">
        <w:rPr>
          <w:rFonts w:asciiTheme="minorHAnsi" w:hAnsiTheme="minorHAnsi" w:cstheme="minorHAnsi"/>
          <w:i/>
          <w:iCs/>
        </w:rPr>
        <w:t>Lancet Oncol,</w:t>
      </w:r>
      <w:r w:rsidRPr="0083355C">
        <w:rPr>
          <w:rFonts w:asciiTheme="minorHAnsi" w:hAnsiTheme="minorHAnsi" w:cstheme="minorHAnsi"/>
        </w:rPr>
        <w:t xml:space="preserve"> 23:e374–84. </w:t>
      </w:r>
    </w:p>
    <w:p w14:paraId="66C41F89" w14:textId="77777777" w:rsidR="00B4146C" w:rsidRPr="0083355C" w:rsidRDefault="00B4146C" w:rsidP="00B4146C">
      <w:pPr>
        <w:pStyle w:val="ListParagraph"/>
        <w:spacing w:after="160" w:line="240" w:lineRule="auto"/>
        <w:ind w:left="0"/>
        <w:contextualSpacing w:val="0"/>
        <w:rPr>
          <w:rFonts w:asciiTheme="minorHAnsi" w:hAnsiTheme="minorHAnsi" w:cstheme="minorHAnsi"/>
        </w:rPr>
      </w:pPr>
      <w:r w:rsidRPr="0083355C">
        <w:rPr>
          <w:rFonts w:asciiTheme="minorHAnsi" w:hAnsiTheme="minorHAnsi" w:cstheme="minorHAnsi"/>
        </w:rPr>
        <w:t>Vergote IB, Marth C, Coleman RL (2015) Role of the folate receptor in ovarian cancer treatment: evidence, mechanism, and clinical implications, </w:t>
      </w:r>
      <w:r w:rsidRPr="0083355C">
        <w:rPr>
          <w:rFonts w:asciiTheme="minorHAnsi" w:hAnsiTheme="minorHAnsi" w:cstheme="minorHAnsi"/>
          <w:i/>
          <w:iCs/>
        </w:rPr>
        <w:t>Cancer Metastasis Rev</w:t>
      </w:r>
      <w:r w:rsidRPr="0083355C">
        <w:rPr>
          <w:rFonts w:asciiTheme="minorHAnsi" w:hAnsiTheme="minorHAnsi" w:cstheme="minorHAnsi"/>
        </w:rPr>
        <w:t>, 34:41–52.</w:t>
      </w:r>
    </w:p>
    <w:p w14:paraId="0CFAB3D3" w14:textId="07279D56" w:rsidR="00B4146C" w:rsidRPr="0083355C" w:rsidRDefault="00B4146C" w:rsidP="00B4146C">
      <w:pPr>
        <w:spacing w:after="160" w:line="240" w:lineRule="auto"/>
        <w:jc w:val="both"/>
        <w:rPr>
          <w:rFonts w:asciiTheme="minorHAnsi" w:hAnsiTheme="minorHAnsi" w:cstheme="minorHAnsi"/>
        </w:rPr>
      </w:pPr>
      <w:r w:rsidRPr="0083355C">
        <w:rPr>
          <w:rFonts w:asciiTheme="minorHAnsi" w:hAnsiTheme="minorHAnsi" w:cstheme="minorHAnsi"/>
        </w:rPr>
        <w:t xml:space="preserve">Wang EW, Wei CH, Liu S, Lee SJ, Shehayeb S, Glaser S, Li R, Saadat S, Shen J, Dellinger T, et al. (2020) Frontline Management of Epithelial Ovarian Cancer—Combining Clinical Expertise with Community Practice Collaboration and Cutting-Edge Research, </w:t>
      </w:r>
      <w:r w:rsidRPr="0083355C">
        <w:rPr>
          <w:rFonts w:asciiTheme="minorHAnsi" w:hAnsiTheme="minorHAnsi" w:cstheme="minorHAnsi"/>
          <w:i/>
          <w:iCs/>
        </w:rPr>
        <w:t>J</w:t>
      </w:r>
      <w:r w:rsidR="006360EA" w:rsidRPr="0083355C">
        <w:rPr>
          <w:rFonts w:asciiTheme="minorHAnsi" w:hAnsiTheme="minorHAnsi" w:cstheme="minorHAnsi"/>
          <w:i/>
          <w:iCs/>
        </w:rPr>
        <w:t xml:space="preserve"> </w:t>
      </w:r>
      <w:r w:rsidRPr="0083355C">
        <w:rPr>
          <w:rFonts w:asciiTheme="minorHAnsi" w:hAnsiTheme="minorHAnsi" w:cstheme="minorHAnsi"/>
          <w:i/>
          <w:iCs/>
        </w:rPr>
        <w:t>Clin</w:t>
      </w:r>
      <w:r w:rsidR="006360EA" w:rsidRPr="0083355C">
        <w:rPr>
          <w:rFonts w:asciiTheme="minorHAnsi" w:hAnsiTheme="minorHAnsi" w:cstheme="minorHAnsi"/>
          <w:i/>
          <w:iCs/>
        </w:rPr>
        <w:t xml:space="preserve"> </w:t>
      </w:r>
      <w:r w:rsidRPr="0083355C">
        <w:rPr>
          <w:rFonts w:asciiTheme="minorHAnsi" w:hAnsiTheme="minorHAnsi" w:cstheme="minorHAnsi"/>
          <w:i/>
          <w:iCs/>
        </w:rPr>
        <w:t>Med,</w:t>
      </w:r>
      <w:r w:rsidRPr="0083355C">
        <w:rPr>
          <w:rFonts w:asciiTheme="minorHAnsi" w:hAnsiTheme="minorHAnsi" w:cstheme="minorHAnsi"/>
        </w:rPr>
        <w:t xml:space="preserve"> 9:2830. </w:t>
      </w:r>
    </w:p>
    <w:p w14:paraId="08D15A7B" w14:textId="77777777" w:rsidR="00B4146C" w:rsidRPr="0083355C" w:rsidRDefault="00B4146C" w:rsidP="00B4146C">
      <w:pPr>
        <w:spacing w:after="160" w:line="240" w:lineRule="auto"/>
        <w:jc w:val="both"/>
        <w:rPr>
          <w:rFonts w:asciiTheme="minorHAnsi" w:hAnsiTheme="minorHAnsi" w:cstheme="minorHAnsi"/>
        </w:rPr>
      </w:pPr>
      <w:r w:rsidRPr="00B76399">
        <w:rPr>
          <w:rFonts w:asciiTheme="minorHAnsi" w:hAnsiTheme="minorHAnsi" w:cstheme="minorHAnsi"/>
        </w:rPr>
        <w:t xml:space="preserve">Wilson MK, </w:t>
      </w:r>
      <w:proofErr w:type="spellStart"/>
      <w:r w:rsidRPr="00B76399">
        <w:rPr>
          <w:rFonts w:asciiTheme="minorHAnsi" w:hAnsiTheme="minorHAnsi" w:cstheme="minorHAnsi"/>
        </w:rPr>
        <w:t>Pujade</w:t>
      </w:r>
      <w:proofErr w:type="spellEnd"/>
      <w:r w:rsidRPr="00B76399">
        <w:rPr>
          <w:rFonts w:asciiTheme="minorHAnsi" w:hAnsiTheme="minorHAnsi" w:cstheme="minorHAnsi"/>
        </w:rPr>
        <w:t xml:space="preserve">-Lauraine E, Aoki D, et al. </w:t>
      </w:r>
      <w:r w:rsidRPr="0083355C">
        <w:rPr>
          <w:rFonts w:asciiTheme="minorHAnsi" w:hAnsiTheme="minorHAnsi" w:cstheme="minorHAnsi"/>
        </w:rPr>
        <w:t xml:space="preserve">(2017) Fifth Ovarian Cancer Consensus Conference of the Gynecologic Cancer Intergroup: recurrent disease, </w:t>
      </w:r>
      <w:r w:rsidRPr="0083355C">
        <w:rPr>
          <w:rFonts w:asciiTheme="minorHAnsi" w:hAnsiTheme="minorHAnsi" w:cstheme="minorHAnsi"/>
          <w:i/>
          <w:iCs/>
        </w:rPr>
        <w:t>Ann Oncol</w:t>
      </w:r>
      <w:r w:rsidRPr="0083355C">
        <w:rPr>
          <w:rFonts w:asciiTheme="minorHAnsi" w:hAnsiTheme="minorHAnsi" w:cstheme="minorHAnsi"/>
        </w:rPr>
        <w:t>; 28:727–32.</w:t>
      </w:r>
    </w:p>
    <w:sectPr w:rsidR="00B4146C" w:rsidRPr="0083355C" w:rsidSect="00215A0F">
      <w:headerReference w:type="even" r:id="rId14"/>
      <w:headerReference w:type="default" r:id="rId15"/>
      <w:footerReference w:type="even" r:id="rId16"/>
      <w:footerReference w:type="default" r:id="rId17"/>
      <w:headerReference w:type="first" r:id="rId18"/>
      <w:footerReference w:type="first" r:id="rId19"/>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1D784" w14:textId="77777777" w:rsidR="00C468A9" w:rsidRDefault="00C468A9" w:rsidP="0016315C">
      <w:pPr>
        <w:spacing w:after="0" w:line="240" w:lineRule="auto"/>
      </w:pPr>
      <w:r>
        <w:separator/>
      </w:r>
    </w:p>
  </w:endnote>
  <w:endnote w:type="continuationSeparator" w:id="0">
    <w:p w14:paraId="1606B903" w14:textId="77777777" w:rsidR="00C468A9" w:rsidRDefault="00C468A9" w:rsidP="0016315C">
      <w:pPr>
        <w:spacing w:after="0" w:line="240" w:lineRule="auto"/>
      </w:pPr>
      <w:r>
        <w:continuationSeparator/>
      </w:r>
    </w:p>
  </w:endnote>
  <w:endnote w:type="continuationNotice" w:id="1">
    <w:p w14:paraId="2E6BF8B1" w14:textId="77777777" w:rsidR="00C468A9" w:rsidRDefault="00C46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vOTdaafad64">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5DC89C04" w:rsidR="0016315C" w:rsidRPr="00685355" w:rsidRDefault="00CC196B" w:rsidP="00BB0FFB">
    <w:pPr>
      <w:jc w:val="center"/>
    </w:pPr>
    <w:r>
      <w:t>R</w:t>
    </w:r>
    <w:r w:rsidR="00733265">
      <w:t xml:space="preserve">atified </w:t>
    </w:r>
    <w:r w:rsidR="60009B8A" w:rsidRPr="00353F11">
      <w:t xml:space="preserve">PICO Confirmation – </w:t>
    </w:r>
    <w:r w:rsidR="00353F11" w:rsidRPr="008736D5">
      <w:t>December 2024</w:t>
    </w:r>
    <w:r w:rsidR="60009B8A" w:rsidRPr="008736D5">
      <w:t xml:space="preserve"> PASC Meeting</w:t>
    </w:r>
    <w:r w:rsidR="00BB0FFB" w:rsidRPr="00353F11">
      <w:br/>
    </w:r>
    <w:r w:rsidR="60009B8A" w:rsidRPr="00353F11">
      <w:t xml:space="preserve">Application </w:t>
    </w:r>
    <w:r w:rsidR="00353F11" w:rsidRPr="008736D5">
      <w:t xml:space="preserve">1787 </w:t>
    </w:r>
    <w:r w:rsidR="60009B8A" w:rsidRPr="008736D5">
      <w:t xml:space="preserve">– </w:t>
    </w:r>
    <w:r w:rsidR="00353F11" w:rsidRPr="00353F11">
      <w:t xml:space="preserve">Immunohistochemistry testing of solid tumour tissue to determine folate receptor alpha (FRα) expression status in adults with </w:t>
    </w:r>
    <w:r w:rsidR="00FE05CC">
      <w:t>platinum</w:t>
    </w:r>
    <w:r w:rsidR="00AC071C">
      <w:t xml:space="preserve"> </w:t>
    </w:r>
    <w:r w:rsidR="00353F11" w:rsidRPr="00353F11">
      <w:t xml:space="preserve">resistant ovarian cancer, </w:t>
    </w:r>
    <w:r w:rsidR="00A40184">
      <w:t>to determine eligibility for treatment with PBS subsidised</w:t>
    </w:r>
    <w:r w:rsidR="00353F11" w:rsidRPr="00353F11">
      <w:t xml:space="preserve"> mirvetuximab soravtansine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7CE0" w14:textId="77777777" w:rsidR="00AF4AE2" w:rsidRDefault="00AF4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FAB6A" w14:textId="77777777" w:rsidR="00C468A9" w:rsidRDefault="00C468A9" w:rsidP="0016315C">
      <w:pPr>
        <w:spacing w:after="0" w:line="240" w:lineRule="auto"/>
      </w:pPr>
      <w:r>
        <w:separator/>
      </w:r>
    </w:p>
  </w:footnote>
  <w:footnote w:type="continuationSeparator" w:id="0">
    <w:p w14:paraId="4CA7A17C" w14:textId="77777777" w:rsidR="00C468A9" w:rsidRDefault="00C468A9" w:rsidP="0016315C">
      <w:pPr>
        <w:spacing w:after="0" w:line="240" w:lineRule="auto"/>
      </w:pPr>
      <w:r>
        <w:continuationSeparator/>
      </w:r>
    </w:p>
  </w:footnote>
  <w:footnote w:type="continuationNotice" w:id="1">
    <w:p w14:paraId="2F1AC424" w14:textId="77777777" w:rsidR="00C468A9" w:rsidRDefault="00C468A9">
      <w:pPr>
        <w:spacing w:after="0" w:line="240" w:lineRule="auto"/>
      </w:pPr>
    </w:p>
  </w:footnote>
  <w:footnote w:id="2">
    <w:p w14:paraId="6AE53300" w14:textId="58E575A6" w:rsidR="003F3593" w:rsidRDefault="003F3593">
      <w:pPr>
        <w:pStyle w:val="FootnoteText"/>
      </w:pPr>
      <w:r>
        <w:rPr>
          <w:rStyle w:val="FootnoteReference"/>
        </w:rPr>
        <w:footnoteRef/>
      </w:r>
      <w:r>
        <w:t xml:space="preserve"> </w:t>
      </w:r>
      <w:r w:rsidR="008B446B" w:rsidRPr="008B446B">
        <w:t>https://clinicaltrials.gov/study/NCT05041257</w:t>
      </w:r>
    </w:p>
  </w:footnote>
  <w:footnote w:id="3">
    <w:p w14:paraId="1CBB07FE" w14:textId="48DA20E2" w:rsidR="008B446B" w:rsidRDefault="008B446B">
      <w:pPr>
        <w:pStyle w:val="FootnoteText"/>
      </w:pPr>
      <w:r>
        <w:rPr>
          <w:rStyle w:val="FootnoteReference"/>
        </w:rPr>
        <w:footnoteRef/>
      </w:r>
      <w:r>
        <w:t xml:space="preserve"> </w:t>
      </w:r>
      <w:r w:rsidRPr="008B446B">
        <w:t>https://clinicaltrials.gov/study/NCT04274426</w:t>
      </w:r>
    </w:p>
  </w:footnote>
  <w:footnote w:id="4">
    <w:p w14:paraId="77A989F2" w14:textId="26B2332A" w:rsidR="008B446B" w:rsidRDefault="008B446B">
      <w:pPr>
        <w:pStyle w:val="FootnoteText"/>
      </w:pPr>
      <w:r>
        <w:rPr>
          <w:rStyle w:val="FootnoteReference"/>
        </w:rPr>
        <w:footnoteRef/>
      </w:r>
      <w:r>
        <w:t xml:space="preserve"> </w:t>
      </w:r>
      <w:r w:rsidRPr="00FA4235">
        <w:t>https://clinicaltrials.gov/study/NCT04606914</w:t>
      </w:r>
    </w:p>
  </w:footnote>
  <w:footnote w:id="5">
    <w:p w14:paraId="64E39ED5" w14:textId="747BF521" w:rsidR="008B446B" w:rsidRDefault="008B446B">
      <w:pPr>
        <w:pStyle w:val="FootnoteText"/>
      </w:pPr>
      <w:r>
        <w:rPr>
          <w:rStyle w:val="FootnoteReference"/>
        </w:rPr>
        <w:footnoteRef/>
      </w:r>
      <w:r>
        <w:t xml:space="preserve"> </w:t>
      </w:r>
      <w:r w:rsidRPr="008B446B">
        <w:t>https://clinicaltrials.gov/study/NCT05445778</w:t>
      </w:r>
    </w:p>
  </w:footnote>
  <w:footnote w:id="6">
    <w:p w14:paraId="185B2E9E" w14:textId="5746552C" w:rsidR="008B446B" w:rsidRDefault="008B446B">
      <w:pPr>
        <w:pStyle w:val="FootnoteText"/>
      </w:pPr>
      <w:r>
        <w:rPr>
          <w:rStyle w:val="FootnoteReference"/>
        </w:rPr>
        <w:footnoteRef/>
      </w:r>
      <w:r>
        <w:t xml:space="preserve"> </w:t>
      </w:r>
      <w:r w:rsidRPr="008B446B">
        <w:t>https://clinicaltrials.gov/study/NCT02606305</w:t>
      </w:r>
    </w:p>
  </w:footnote>
  <w:footnote w:id="7">
    <w:p w14:paraId="08417901" w14:textId="5EF0FF08" w:rsidR="00D8304A" w:rsidRDefault="00D8304A">
      <w:pPr>
        <w:pStyle w:val="FootnoteText"/>
      </w:pPr>
      <w:r>
        <w:rPr>
          <w:rStyle w:val="FootnoteReference"/>
        </w:rPr>
        <w:footnoteRef/>
      </w:r>
      <w:r>
        <w:t xml:space="preserve"> </w:t>
      </w:r>
      <w:r w:rsidR="00A251BB">
        <w:t xml:space="preserve">From 2015-2019 data; </w:t>
      </w:r>
      <w:hyperlink r:id="rId1" w:history="1">
        <w:r w:rsidR="00A251BB" w:rsidRPr="008736D5">
          <w:rPr>
            <w:rStyle w:val="Hyperlink"/>
            <w:rFonts w:ascii="Calibri" w:hAnsi="Calibri" w:cstheme="minorBidi"/>
          </w:rPr>
          <w:t>https://www.canceraustralia.gov.au/cancer-types/ovarian-cancer/statistics</w:t>
        </w:r>
      </w:hyperlink>
    </w:p>
  </w:footnote>
  <w:footnote w:id="8">
    <w:p w14:paraId="1682DDCF" w14:textId="72D607C7" w:rsidR="00121DC9" w:rsidRDefault="00121DC9">
      <w:pPr>
        <w:pStyle w:val="FootnoteText"/>
      </w:pPr>
      <w:r>
        <w:rPr>
          <w:rStyle w:val="FootnoteReference"/>
        </w:rPr>
        <w:footnoteRef/>
      </w:r>
      <w:r>
        <w:t xml:space="preserve"> </w:t>
      </w:r>
      <w:hyperlink r:id="rId2" w:history="1">
        <w:r w:rsidRPr="00302042">
          <w:rPr>
            <w:rStyle w:val="Hyperlink"/>
            <w:rFonts w:ascii="Calibri" w:hAnsi="Calibri"/>
          </w:rPr>
          <w:t>https://seer.cancer.gov/archive/csr/1975_2017/results_merged/sect_21_ovary.pdf</w:t>
        </w:r>
      </w:hyperlink>
      <w:r>
        <w:t>. Assumed to be this resource, however values cited could not be independently verified.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FF6B" w14:textId="77777777" w:rsidR="00AF4AE2" w:rsidRDefault="00AF4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628F6C62" w14:paraId="30E3AEF3" w14:textId="77777777" w:rsidTr="009A4FFB">
      <w:trPr>
        <w:trHeight w:val="300"/>
      </w:trPr>
      <w:tc>
        <w:tcPr>
          <w:tcW w:w="3190" w:type="dxa"/>
        </w:tcPr>
        <w:p w14:paraId="49F52A5F" w14:textId="193E79C1" w:rsidR="628F6C62" w:rsidRDefault="628F6C62" w:rsidP="009A4FFB">
          <w:pPr>
            <w:pStyle w:val="Header"/>
            <w:ind w:left="-115"/>
          </w:pPr>
        </w:p>
      </w:tc>
      <w:tc>
        <w:tcPr>
          <w:tcW w:w="3190" w:type="dxa"/>
        </w:tcPr>
        <w:p w14:paraId="36E67869" w14:textId="784854AB" w:rsidR="628F6C62" w:rsidRDefault="628F6C62" w:rsidP="009A4FFB">
          <w:pPr>
            <w:pStyle w:val="Header"/>
            <w:jc w:val="center"/>
          </w:pPr>
        </w:p>
      </w:tc>
      <w:tc>
        <w:tcPr>
          <w:tcW w:w="3190" w:type="dxa"/>
        </w:tcPr>
        <w:p w14:paraId="7D0E02FB" w14:textId="1ED15B37" w:rsidR="628F6C62" w:rsidRDefault="628F6C62" w:rsidP="009A4FFB">
          <w:pPr>
            <w:pStyle w:val="Header"/>
            <w:ind w:right="-115"/>
            <w:jc w:val="right"/>
          </w:pPr>
        </w:p>
      </w:tc>
    </w:tr>
  </w:tbl>
  <w:p w14:paraId="1C2EB0F3" w14:textId="656C0405" w:rsidR="628F6C62" w:rsidRDefault="628F6C62" w:rsidP="009A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C72A" w14:textId="77777777" w:rsidR="00AF4AE2" w:rsidRDefault="00AF4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27D5"/>
    <w:multiLevelType w:val="hybridMultilevel"/>
    <w:tmpl w:val="AA180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A4634"/>
    <w:multiLevelType w:val="hybridMultilevel"/>
    <w:tmpl w:val="074896B8"/>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591E0D"/>
    <w:multiLevelType w:val="hybridMultilevel"/>
    <w:tmpl w:val="B06CD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D0AB3"/>
    <w:multiLevelType w:val="hybridMultilevel"/>
    <w:tmpl w:val="84AAEF84"/>
    <w:lvl w:ilvl="0" w:tplc="72CEE0A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246002"/>
    <w:multiLevelType w:val="hybridMultilevel"/>
    <w:tmpl w:val="118C6A74"/>
    <w:lvl w:ilvl="0" w:tplc="49DCF9FC">
      <w:start w:val="1"/>
      <w:numFmt w:val="bullet"/>
      <w:lvlText w:val=""/>
      <w:lvlJc w:val="left"/>
      <w:pPr>
        <w:ind w:left="720" w:hanging="360"/>
      </w:pPr>
      <w:rPr>
        <w:rFonts w:ascii="Symbol" w:hAnsi="Symbol"/>
      </w:rPr>
    </w:lvl>
    <w:lvl w:ilvl="1" w:tplc="044043CE">
      <w:start w:val="1"/>
      <w:numFmt w:val="bullet"/>
      <w:lvlText w:val=""/>
      <w:lvlJc w:val="left"/>
      <w:pPr>
        <w:ind w:left="720" w:hanging="360"/>
      </w:pPr>
      <w:rPr>
        <w:rFonts w:ascii="Symbol" w:hAnsi="Symbol"/>
      </w:rPr>
    </w:lvl>
    <w:lvl w:ilvl="2" w:tplc="C03C5418">
      <w:start w:val="1"/>
      <w:numFmt w:val="bullet"/>
      <w:lvlText w:val=""/>
      <w:lvlJc w:val="left"/>
      <w:pPr>
        <w:ind w:left="720" w:hanging="360"/>
      </w:pPr>
      <w:rPr>
        <w:rFonts w:ascii="Symbol" w:hAnsi="Symbol"/>
      </w:rPr>
    </w:lvl>
    <w:lvl w:ilvl="3" w:tplc="ACE68BF0">
      <w:start w:val="1"/>
      <w:numFmt w:val="bullet"/>
      <w:lvlText w:val=""/>
      <w:lvlJc w:val="left"/>
      <w:pPr>
        <w:ind w:left="720" w:hanging="360"/>
      </w:pPr>
      <w:rPr>
        <w:rFonts w:ascii="Symbol" w:hAnsi="Symbol"/>
      </w:rPr>
    </w:lvl>
    <w:lvl w:ilvl="4" w:tplc="E0244BC0">
      <w:start w:val="1"/>
      <w:numFmt w:val="bullet"/>
      <w:lvlText w:val=""/>
      <w:lvlJc w:val="left"/>
      <w:pPr>
        <w:ind w:left="720" w:hanging="360"/>
      </w:pPr>
      <w:rPr>
        <w:rFonts w:ascii="Symbol" w:hAnsi="Symbol"/>
      </w:rPr>
    </w:lvl>
    <w:lvl w:ilvl="5" w:tplc="90BAA820">
      <w:start w:val="1"/>
      <w:numFmt w:val="bullet"/>
      <w:lvlText w:val=""/>
      <w:lvlJc w:val="left"/>
      <w:pPr>
        <w:ind w:left="720" w:hanging="360"/>
      </w:pPr>
      <w:rPr>
        <w:rFonts w:ascii="Symbol" w:hAnsi="Symbol"/>
      </w:rPr>
    </w:lvl>
    <w:lvl w:ilvl="6" w:tplc="7B108DD0">
      <w:start w:val="1"/>
      <w:numFmt w:val="bullet"/>
      <w:lvlText w:val=""/>
      <w:lvlJc w:val="left"/>
      <w:pPr>
        <w:ind w:left="720" w:hanging="360"/>
      </w:pPr>
      <w:rPr>
        <w:rFonts w:ascii="Symbol" w:hAnsi="Symbol"/>
      </w:rPr>
    </w:lvl>
    <w:lvl w:ilvl="7" w:tplc="01C2C9B0">
      <w:start w:val="1"/>
      <w:numFmt w:val="bullet"/>
      <w:lvlText w:val=""/>
      <w:lvlJc w:val="left"/>
      <w:pPr>
        <w:ind w:left="720" w:hanging="360"/>
      </w:pPr>
      <w:rPr>
        <w:rFonts w:ascii="Symbol" w:hAnsi="Symbol"/>
      </w:rPr>
    </w:lvl>
    <w:lvl w:ilvl="8" w:tplc="1332E6C8">
      <w:start w:val="1"/>
      <w:numFmt w:val="bullet"/>
      <w:lvlText w:val=""/>
      <w:lvlJc w:val="left"/>
      <w:pPr>
        <w:ind w:left="720" w:hanging="360"/>
      </w:pPr>
      <w:rPr>
        <w:rFonts w:ascii="Symbol" w:hAnsi="Symbol"/>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2F3A2F"/>
    <w:multiLevelType w:val="hybridMultilevel"/>
    <w:tmpl w:val="003EA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CD2E79"/>
    <w:multiLevelType w:val="hybridMultilevel"/>
    <w:tmpl w:val="190E9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0464F9"/>
    <w:multiLevelType w:val="hybridMultilevel"/>
    <w:tmpl w:val="D014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41BD88"/>
    <w:multiLevelType w:val="hybridMultilevel"/>
    <w:tmpl w:val="32600396"/>
    <w:lvl w:ilvl="0" w:tplc="F3C0B6EE">
      <w:start w:val="1"/>
      <w:numFmt w:val="bullet"/>
      <w:lvlText w:val=""/>
      <w:lvlJc w:val="left"/>
      <w:pPr>
        <w:ind w:left="720" w:hanging="360"/>
      </w:pPr>
      <w:rPr>
        <w:rFonts w:ascii="Symbol" w:hAnsi="Symbol" w:hint="default"/>
      </w:rPr>
    </w:lvl>
    <w:lvl w:ilvl="1" w:tplc="7F24EBFC">
      <w:start w:val="1"/>
      <w:numFmt w:val="bullet"/>
      <w:lvlText w:val="o"/>
      <w:lvlJc w:val="left"/>
      <w:pPr>
        <w:ind w:left="1440" w:hanging="360"/>
      </w:pPr>
      <w:rPr>
        <w:rFonts w:ascii="Courier New" w:hAnsi="Courier New" w:hint="default"/>
      </w:rPr>
    </w:lvl>
    <w:lvl w:ilvl="2" w:tplc="C428E036">
      <w:start w:val="1"/>
      <w:numFmt w:val="bullet"/>
      <w:lvlText w:val=""/>
      <w:lvlJc w:val="left"/>
      <w:pPr>
        <w:ind w:left="2160" w:hanging="360"/>
      </w:pPr>
      <w:rPr>
        <w:rFonts w:ascii="Wingdings" w:hAnsi="Wingdings" w:hint="default"/>
      </w:rPr>
    </w:lvl>
    <w:lvl w:ilvl="3" w:tplc="20EA08A6">
      <w:start w:val="1"/>
      <w:numFmt w:val="bullet"/>
      <w:lvlText w:val=""/>
      <w:lvlJc w:val="left"/>
      <w:pPr>
        <w:ind w:left="2880" w:hanging="360"/>
      </w:pPr>
      <w:rPr>
        <w:rFonts w:ascii="Symbol" w:hAnsi="Symbol" w:hint="default"/>
      </w:rPr>
    </w:lvl>
    <w:lvl w:ilvl="4" w:tplc="0C72D578">
      <w:start w:val="1"/>
      <w:numFmt w:val="bullet"/>
      <w:lvlText w:val="o"/>
      <w:lvlJc w:val="left"/>
      <w:pPr>
        <w:ind w:left="3600" w:hanging="360"/>
      </w:pPr>
      <w:rPr>
        <w:rFonts w:ascii="Courier New" w:hAnsi="Courier New" w:hint="default"/>
      </w:rPr>
    </w:lvl>
    <w:lvl w:ilvl="5" w:tplc="0CB6F044">
      <w:start w:val="1"/>
      <w:numFmt w:val="bullet"/>
      <w:lvlText w:val=""/>
      <w:lvlJc w:val="left"/>
      <w:pPr>
        <w:ind w:left="4320" w:hanging="360"/>
      </w:pPr>
      <w:rPr>
        <w:rFonts w:ascii="Wingdings" w:hAnsi="Wingdings" w:hint="default"/>
      </w:rPr>
    </w:lvl>
    <w:lvl w:ilvl="6" w:tplc="24E23F76">
      <w:start w:val="1"/>
      <w:numFmt w:val="bullet"/>
      <w:lvlText w:val=""/>
      <w:lvlJc w:val="left"/>
      <w:pPr>
        <w:ind w:left="5040" w:hanging="360"/>
      </w:pPr>
      <w:rPr>
        <w:rFonts w:ascii="Symbol" w:hAnsi="Symbol" w:hint="default"/>
      </w:rPr>
    </w:lvl>
    <w:lvl w:ilvl="7" w:tplc="DC40FBFA">
      <w:start w:val="1"/>
      <w:numFmt w:val="bullet"/>
      <w:lvlText w:val="o"/>
      <w:lvlJc w:val="left"/>
      <w:pPr>
        <w:ind w:left="5760" w:hanging="360"/>
      </w:pPr>
      <w:rPr>
        <w:rFonts w:ascii="Courier New" w:hAnsi="Courier New" w:hint="default"/>
      </w:rPr>
    </w:lvl>
    <w:lvl w:ilvl="8" w:tplc="2CE0D6F4">
      <w:start w:val="1"/>
      <w:numFmt w:val="bullet"/>
      <w:lvlText w:val=""/>
      <w:lvlJc w:val="left"/>
      <w:pPr>
        <w:ind w:left="6480" w:hanging="360"/>
      </w:pPr>
      <w:rPr>
        <w:rFonts w:ascii="Wingdings" w:hAnsi="Wingdings" w:hint="default"/>
      </w:rPr>
    </w:lvl>
  </w:abstractNum>
  <w:abstractNum w:abstractNumId="11" w15:restartNumberingAfterBreak="0">
    <w:nsid w:val="2D7D46E8"/>
    <w:multiLevelType w:val="hybridMultilevel"/>
    <w:tmpl w:val="B6B490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6880C4"/>
    <w:multiLevelType w:val="hybridMultilevel"/>
    <w:tmpl w:val="1F2C5600"/>
    <w:lvl w:ilvl="0" w:tplc="923A687E">
      <w:start w:val="1"/>
      <w:numFmt w:val="decimal"/>
      <w:lvlText w:val="%1."/>
      <w:lvlJc w:val="left"/>
      <w:pPr>
        <w:ind w:left="720" w:hanging="360"/>
      </w:pPr>
    </w:lvl>
    <w:lvl w:ilvl="1" w:tplc="3F0E6970">
      <w:start w:val="1"/>
      <w:numFmt w:val="lowerLetter"/>
      <w:lvlText w:val="%2."/>
      <w:lvlJc w:val="left"/>
      <w:pPr>
        <w:ind w:left="1440" w:hanging="360"/>
      </w:pPr>
    </w:lvl>
    <w:lvl w:ilvl="2" w:tplc="75CC7B64">
      <w:start w:val="1"/>
      <w:numFmt w:val="lowerRoman"/>
      <w:lvlText w:val="%3."/>
      <w:lvlJc w:val="right"/>
      <w:pPr>
        <w:ind w:left="2160" w:hanging="180"/>
      </w:pPr>
    </w:lvl>
    <w:lvl w:ilvl="3" w:tplc="2B2A5AC2">
      <w:start w:val="1"/>
      <w:numFmt w:val="decimal"/>
      <w:lvlText w:val="%4."/>
      <w:lvlJc w:val="left"/>
      <w:pPr>
        <w:ind w:left="2880" w:hanging="360"/>
      </w:pPr>
    </w:lvl>
    <w:lvl w:ilvl="4" w:tplc="15D626F4">
      <w:start w:val="1"/>
      <w:numFmt w:val="lowerLetter"/>
      <w:lvlText w:val="%5."/>
      <w:lvlJc w:val="left"/>
      <w:pPr>
        <w:ind w:left="3600" w:hanging="360"/>
      </w:pPr>
    </w:lvl>
    <w:lvl w:ilvl="5" w:tplc="DEFE6B50">
      <w:start w:val="1"/>
      <w:numFmt w:val="lowerRoman"/>
      <w:lvlText w:val="%6."/>
      <w:lvlJc w:val="right"/>
      <w:pPr>
        <w:ind w:left="4320" w:hanging="180"/>
      </w:pPr>
    </w:lvl>
    <w:lvl w:ilvl="6" w:tplc="7D640354">
      <w:start w:val="1"/>
      <w:numFmt w:val="decimal"/>
      <w:lvlText w:val="%7."/>
      <w:lvlJc w:val="left"/>
      <w:pPr>
        <w:ind w:left="5040" w:hanging="360"/>
      </w:pPr>
    </w:lvl>
    <w:lvl w:ilvl="7" w:tplc="2F8EB86A">
      <w:start w:val="1"/>
      <w:numFmt w:val="lowerLetter"/>
      <w:lvlText w:val="%8."/>
      <w:lvlJc w:val="left"/>
      <w:pPr>
        <w:ind w:left="5760" w:hanging="360"/>
      </w:pPr>
    </w:lvl>
    <w:lvl w:ilvl="8" w:tplc="2D92BE66">
      <w:start w:val="1"/>
      <w:numFmt w:val="lowerRoman"/>
      <w:lvlText w:val="%9."/>
      <w:lvlJc w:val="right"/>
      <w:pPr>
        <w:ind w:left="6480" w:hanging="180"/>
      </w:pPr>
    </w:lvl>
  </w:abstractNum>
  <w:abstractNum w:abstractNumId="13" w15:restartNumberingAfterBreak="0">
    <w:nsid w:val="353906A8"/>
    <w:multiLevelType w:val="hybridMultilevel"/>
    <w:tmpl w:val="F93ADD20"/>
    <w:lvl w:ilvl="0" w:tplc="D8783192">
      <w:start w:val="1"/>
      <w:numFmt w:val="decimal"/>
      <w:lvlText w:val="%1."/>
      <w:lvlJc w:val="left"/>
      <w:pPr>
        <w:ind w:left="1020" w:hanging="360"/>
      </w:pPr>
    </w:lvl>
    <w:lvl w:ilvl="1" w:tplc="FCF4C936">
      <w:start w:val="1"/>
      <w:numFmt w:val="decimal"/>
      <w:lvlText w:val="%2."/>
      <w:lvlJc w:val="left"/>
      <w:pPr>
        <w:ind w:left="1020" w:hanging="360"/>
      </w:pPr>
    </w:lvl>
    <w:lvl w:ilvl="2" w:tplc="D41CAC4E">
      <w:start w:val="1"/>
      <w:numFmt w:val="decimal"/>
      <w:lvlText w:val="%3."/>
      <w:lvlJc w:val="left"/>
      <w:pPr>
        <w:ind w:left="1020" w:hanging="360"/>
      </w:pPr>
    </w:lvl>
    <w:lvl w:ilvl="3" w:tplc="C168299E">
      <w:start w:val="1"/>
      <w:numFmt w:val="decimal"/>
      <w:lvlText w:val="%4."/>
      <w:lvlJc w:val="left"/>
      <w:pPr>
        <w:ind w:left="1020" w:hanging="360"/>
      </w:pPr>
    </w:lvl>
    <w:lvl w:ilvl="4" w:tplc="FEC681C4">
      <w:start w:val="1"/>
      <w:numFmt w:val="decimal"/>
      <w:lvlText w:val="%5."/>
      <w:lvlJc w:val="left"/>
      <w:pPr>
        <w:ind w:left="1020" w:hanging="360"/>
      </w:pPr>
    </w:lvl>
    <w:lvl w:ilvl="5" w:tplc="A0B248C6">
      <w:start w:val="1"/>
      <w:numFmt w:val="decimal"/>
      <w:lvlText w:val="%6."/>
      <w:lvlJc w:val="left"/>
      <w:pPr>
        <w:ind w:left="1020" w:hanging="360"/>
      </w:pPr>
    </w:lvl>
    <w:lvl w:ilvl="6" w:tplc="5CB62084">
      <w:start w:val="1"/>
      <w:numFmt w:val="decimal"/>
      <w:lvlText w:val="%7."/>
      <w:lvlJc w:val="left"/>
      <w:pPr>
        <w:ind w:left="1020" w:hanging="360"/>
      </w:pPr>
    </w:lvl>
    <w:lvl w:ilvl="7" w:tplc="E22C2FAE">
      <w:start w:val="1"/>
      <w:numFmt w:val="decimal"/>
      <w:lvlText w:val="%8."/>
      <w:lvlJc w:val="left"/>
      <w:pPr>
        <w:ind w:left="1020" w:hanging="360"/>
      </w:pPr>
    </w:lvl>
    <w:lvl w:ilvl="8" w:tplc="8670E7D4">
      <w:start w:val="1"/>
      <w:numFmt w:val="decimal"/>
      <w:lvlText w:val="%9."/>
      <w:lvlJc w:val="left"/>
      <w:pPr>
        <w:ind w:left="1020" w:hanging="360"/>
      </w:pPr>
    </w:lvl>
  </w:abstractNum>
  <w:abstractNum w:abstractNumId="14" w15:restartNumberingAfterBreak="0">
    <w:nsid w:val="3FCF2BEC"/>
    <w:multiLevelType w:val="hybridMultilevel"/>
    <w:tmpl w:val="E03E57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1357B5"/>
    <w:multiLevelType w:val="hybridMultilevel"/>
    <w:tmpl w:val="81A286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656500"/>
    <w:multiLevelType w:val="hybridMultilevel"/>
    <w:tmpl w:val="72B4EC0C"/>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425E8F"/>
    <w:multiLevelType w:val="hybridMultilevel"/>
    <w:tmpl w:val="C6263760"/>
    <w:lvl w:ilvl="0" w:tplc="6B40ED1A">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12214"/>
    <w:multiLevelType w:val="hybridMultilevel"/>
    <w:tmpl w:val="38CE8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A964DA"/>
    <w:multiLevelType w:val="hybridMultilevel"/>
    <w:tmpl w:val="4BF8D00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F17650"/>
    <w:multiLevelType w:val="hybridMultilevel"/>
    <w:tmpl w:val="B42A2A26"/>
    <w:lvl w:ilvl="0" w:tplc="5E48767C">
      <w:start w:val="1"/>
      <w:numFmt w:val="bullet"/>
      <w:lvlText w:val="·"/>
      <w:lvlJc w:val="left"/>
      <w:pPr>
        <w:ind w:left="720" w:hanging="360"/>
      </w:pPr>
      <w:rPr>
        <w:rFonts w:ascii="Symbol" w:hAnsi="Symbol" w:hint="default"/>
      </w:rPr>
    </w:lvl>
    <w:lvl w:ilvl="1" w:tplc="1184660E">
      <w:start w:val="1"/>
      <w:numFmt w:val="bullet"/>
      <w:lvlText w:val="o"/>
      <w:lvlJc w:val="left"/>
      <w:pPr>
        <w:ind w:left="1440" w:hanging="360"/>
      </w:pPr>
      <w:rPr>
        <w:rFonts w:ascii="Courier New" w:hAnsi="Courier New" w:hint="default"/>
      </w:rPr>
    </w:lvl>
    <w:lvl w:ilvl="2" w:tplc="B0BCC6C0">
      <w:start w:val="1"/>
      <w:numFmt w:val="bullet"/>
      <w:lvlText w:val=""/>
      <w:lvlJc w:val="left"/>
      <w:pPr>
        <w:ind w:left="2160" w:hanging="360"/>
      </w:pPr>
      <w:rPr>
        <w:rFonts w:ascii="Wingdings" w:hAnsi="Wingdings" w:hint="default"/>
      </w:rPr>
    </w:lvl>
    <w:lvl w:ilvl="3" w:tplc="4F9EAF74">
      <w:start w:val="1"/>
      <w:numFmt w:val="bullet"/>
      <w:lvlText w:val=""/>
      <w:lvlJc w:val="left"/>
      <w:pPr>
        <w:ind w:left="2880" w:hanging="360"/>
      </w:pPr>
      <w:rPr>
        <w:rFonts w:ascii="Symbol" w:hAnsi="Symbol" w:hint="default"/>
      </w:rPr>
    </w:lvl>
    <w:lvl w:ilvl="4" w:tplc="808273BC">
      <w:start w:val="1"/>
      <w:numFmt w:val="bullet"/>
      <w:lvlText w:val="o"/>
      <w:lvlJc w:val="left"/>
      <w:pPr>
        <w:ind w:left="3600" w:hanging="360"/>
      </w:pPr>
      <w:rPr>
        <w:rFonts w:ascii="Courier New" w:hAnsi="Courier New" w:hint="default"/>
      </w:rPr>
    </w:lvl>
    <w:lvl w:ilvl="5" w:tplc="87D6B4E6">
      <w:start w:val="1"/>
      <w:numFmt w:val="bullet"/>
      <w:lvlText w:val=""/>
      <w:lvlJc w:val="left"/>
      <w:pPr>
        <w:ind w:left="4320" w:hanging="360"/>
      </w:pPr>
      <w:rPr>
        <w:rFonts w:ascii="Wingdings" w:hAnsi="Wingdings" w:hint="default"/>
      </w:rPr>
    </w:lvl>
    <w:lvl w:ilvl="6" w:tplc="5A968956">
      <w:start w:val="1"/>
      <w:numFmt w:val="bullet"/>
      <w:lvlText w:val=""/>
      <w:lvlJc w:val="left"/>
      <w:pPr>
        <w:ind w:left="5040" w:hanging="360"/>
      </w:pPr>
      <w:rPr>
        <w:rFonts w:ascii="Symbol" w:hAnsi="Symbol" w:hint="default"/>
      </w:rPr>
    </w:lvl>
    <w:lvl w:ilvl="7" w:tplc="140C6884">
      <w:start w:val="1"/>
      <w:numFmt w:val="bullet"/>
      <w:lvlText w:val="o"/>
      <w:lvlJc w:val="left"/>
      <w:pPr>
        <w:ind w:left="5760" w:hanging="360"/>
      </w:pPr>
      <w:rPr>
        <w:rFonts w:ascii="Courier New" w:hAnsi="Courier New" w:hint="default"/>
      </w:rPr>
    </w:lvl>
    <w:lvl w:ilvl="8" w:tplc="24682324">
      <w:start w:val="1"/>
      <w:numFmt w:val="bullet"/>
      <w:lvlText w:val=""/>
      <w:lvlJc w:val="left"/>
      <w:pPr>
        <w:ind w:left="6480" w:hanging="360"/>
      </w:pPr>
      <w:rPr>
        <w:rFonts w:ascii="Wingdings" w:hAnsi="Wingdings" w:hint="default"/>
      </w:rPr>
    </w:lvl>
  </w:abstractNum>
  <w:abstractNum w:abstractNumId="21" w15:restartNumberingAfterBreak="0">
    <w:nsid w:val="4C146B42"/>
    <w:multiLevelType w:val="hybridMultilevel"/>
    <w:tmpl w:val="828EFF52"/>
    <w:lvl w:ilvl="0" w:tplc="6B40ED1A">
      <w:start w:val="1"/>
      <w:numFmt w:val="bullet"/>
      <w:lvlText w:val="-"/>
      <w:lvlJc w:val="left"/>
      <w:pPr>
        <w:ind w:left="676" w:hanging="360"/>
      </w:pPr>
      <w:rPr>
        <w:rFonts w:ascii="Calibri" w:eastAsia="Calibri" w:hAnsi="Calibri" w:cs="Calibri" w:hint="default"/>
      </w:rPr>
    </w:lvl>
    <w:lvl w:ilvl="1" w:tplc="0C090003" w:tentative="1">
      <w:start w:val="1"/>
      <w:numFmt w:val="bullet"/>
      <w:lvlText w:val="o"/>
      <w:lvlJc w:val="left"/>
      <w:pPr>
        <w:ind w:left="1396" w:hanging="360"/>
      </w:pPr>
      <w:rPr>
        <w:rFonts w:ascii="Courier New" w:hAnsi="Courier New" w:cs="Courier New" w:hint="default"/>
      </w:rPr>
    </w:lvl>
    <w:lvl w:ilvl="2" w:tplc="0C090005" w:tentative="1">
      <w:start w:val="1"/>
      <w:numFmt w:val="bullet"/>
      <w:lvlText w:val=""/>
      <w:lvlJc w:val="left"/>
      <w:pPr>
        <w:ind w:left="2116" w:hanging="360"/>
      </w:pPr>
      <w:rPr>
        <w:rFonts w:ascii="Wingdings" w:hAnsi="Wingdings" w:hint="default"/>
      </w:rPr>
    </w:lvl>
    <w:lvl w:ilvl="3" w:tplc="0C090001" w:tentative="1">
      <w:start w:val="1"/>
      <w:numFmt w:val="bullet"/>
      <w:lvlText w:val=""/>
      <w:lvlJc w:val="left"/>
      <w:pPr>
        <w:ind w:left="2836" w:hanging="360"/>
      </w:pPr>
      <w:rPr>
        <w:rFonts w:ascii="Symbol" w:hAnsi="Symbol" w:hint="default"/>
      </w:rPr>
    </w:lvl>
    <w:lvl w:ilvl="4" w:tplc="0C090003" w:tentative="1">
      <w:start w:val="1"/>
      <w:numFmt w:val="bullet"/>
      <w:lvlText w:val="o"/>
      <w:lvlJc w:val="left"/>
      <w:pPr>
        <w:ind w:left="3556" w:hanging="360"/>
      </w:pPr>
      <w:rPr>
        <w:rFonts w:ascii="Courier New" w:hAnsi="Courier New" w:cs="Courier New" w:hint="default"/>
      </w:rPr>
    </w:lvl>
    <w:lvl w:ilvl="5" w:tplc="0C090005" w:tentative="1">
      <w:start w:val="1"/>
      <w:numFmt w:val="bullet"/>
      <w:lvlText w:val=""/>
      <w:lvlJc w:val="left"/>
      <w:pPr>
        <w:ind w:left="4276" w:hanging="360"/>
      </w:pPr>
      <w:rPr>
        <w:rFonts w:ascii="Wingdings" w:hAnsi="Wingdings" w:hint="default"/>
      </w:rPr>
    </w:lvl>
    <w:lvl w:ilvl="6" w:tplc="0C090001" w:tentative="1">
      <w:start w:val="1"/>
      <w:numFmt w:val="bullet"/>
      <w:lvlText w:val=""/>
      <w:lvlJc w:val="left"/>
      <w:pPr>
        <w:ind w:left="4996" w:hanging="360"/>
      </w:pPr>
      <w:rPr>
        <w:rFonts w:ascii="Symbol" w:hAnsi="Symbol" w:hint="default"/>
      </w:rPr>
    </w:lvl>
    <w:lvl w:ilvl="7" w:tplc="0C090003" w:tentative="1">
      <w:start w:val="1"/>
      <w:numFmt w:val="bullet"/>
      <w:lvlText w:val="o"/>
      <w:lvlJc w:val="left"/>
      <w:pPr>
        <w:ind w:left="5716" w:hanging="360"/>
      </w:pPr>
      <w:rPr>
        <w:rFonts w:ascii="Courier New" w:hAnsi="Courier New" w:cs="Courier New" w:hint="default"/>
      </w:rPr>
    </w:lvl>
    <w:lvl w:ilvl="8" w:tplc="0C090005" w:tentative="1">
      <w:start w:val="1"/>
      <w:numFmt w:val="bullet"/>
      <w:lvlText w:val=""/>
      <w:lvlJc w:val="left"/>
      <w:pPr>
        <w:ind w:left="6436" w:hanging="360"/>
      </w:pPr>
      <w:rPr>
        <w:rFonts w:ascii="Wingdings" w:hAnsi="Wingdings" w:hint="default"/>
      </w:rPr>
    </w:lvl>
  </w:abstractNum>
  <w:abstractNum w:abstractNumId="22"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3" w15:restartNumberingAfterBreak="0">
    <w:nsid w:val="5CA73784"/>
    <w:multiLevelType w:val="hybridMultilevel"/>
    <w:tmpl w:val="19CCE9EC"/>
    <w:lvl w:ilvl="0" w:tplc="6B40ED1A">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F81968"/>
    <w:multiLevelType w:val="hybridMultilevel"/>
    <w:tmpl w:val="AAE83504"/>
    <w:lvl w:ilvl="0" w:tplc="2EC6A878">
      <w:start w:val="1"/>
      <w:numFmt w:val="decimal"/>
      <w:lvlText w:val="%1."/>
      <w:lvlJc w:val="left"/>
      <w:pPr>
        <w:ind w:left="1020" w:hanging="360"/>
      </w:pPr>
    </w:lvl>
    <w:lvl w:ilvl="1" w:tplc="B3E87408">
      <w:start w:val="1"/>
      <w:numFmt w:val="decimal"/>
      <w:lvlText w:val="%2."/>
      <w:lvlJc w:val="left"/>
      <w:pPr>
        <w:ind w:left="1020" w:hanging="360"/>
      </w:pPr>
    </w:lvl>
    <w:lvl w:ilvl="2" w:tplc="B65A49BC">
      <w:start w:val="1"/>
      <w:numFmt w:val="decimal"/>
      <w:lvlText w:val="%3."/>
      <w:lvlJc w:val="left"/>
      <w:pPr>
        <w:ind w:left="1020" w:hanging="360"/>
      </w:pPr>
    </w:lvl>
    <w:lvl w:ilvl="3" w:tplc="2E5E1430">
      <w:start w:val="1"/>
      <w:numFmt w:val="decimal"/>
      <w:lvlText w:val="%4."/>
      <w:lvlJc w:val="left"/>
      <w:pPr>
        <w:ind w:left="1020" w:hanging="360"/>
      </w:pPr>
    </w:lvl>
    <w:lvl w:ilvl="4" w:tplc="F99EBFC4">
      <w:start w:val="1"/>
      <w:numFmt w:val="decimal"/>
      <w:lvlText w:val="%5."/>
      <w:lvlJc w:val="left"/>
      <w:pPr>
        <w:ind w:left="1020" w:hanging="360"/>
      </w:pPr>
    </w:lvl>
    <w:lvl w:ilvl="5" w:tplc="53CC1396">
      <w:start w:val="1"/>
      <w:numFmt w:val="decimal"/>
      <w:lvlText w:val="%6."/>
      <w:lvlJc w:val="left"/>
      <w:pPr>
        <w:ind w:left="1020" w:hanging="360"/>
      </w:pPr>
    </w:lvl>
    <w:lvl w:ilvl="6" w:tplc="CA7C6F08">
      <w:start w:val="1"/>
      <w:numFmt w:val="decimal"/>
      <w:lvlText w:val="%7."/>
      <w:lvlJc w:val="left"/>
      <w:pPr>
        <w:ind w:left="1020" w:hanging="360"/>
      </w:pPr>
    </w:lvl>
    <w:lvl w:ilvl="7" w:tplc="F5543778">
      <w:start w:val="1"/>
      <w:numFmt w:val="decimal"/>
      <w:lvlText w:val="%8."/>
      <w:lvlJc w:val="left"/>
      <w:pPr>
        <w:ind w:left="1020" w:hanging="360"/>
      </w:pPr>
    </w:lvl>
    <w:lvl w:ilvl="8" w:tplc="8162282E">
      <w:start w:val="1"/>
      <w:numFmt w:val="decimal"/>
      <w:lvlText w:val="%9."/>
      <w:lvlJc w:val="left"/>
      <w:pPr>
        <w:ind w:left="1020" w:hanging="360"/>
      </w:pPr>
    </w:lvl>
  </w:abstractNum>
  <w:abstractNum w:abstractNumId="25" w15:restartNumberingAfterBreak="0">
    <w:nsid w:val="6ED95D2F"/>
    <w:multiLevelType w:val="hybridMultilevel"/>
    <w:tmpl w:val="D1B23B52"/>
    <w:lvl w:ilvl="0" w:tplc="72CEE0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B05326"/>
    <w:multiLevelType w:val="hybridMultilevel"/>
    <w:tmpl w:val="3B3CD094"/>
    <w:lvl w:ilvl="0" w:tplc="E9E0C760">
      <w:start w:val="3"/>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2A27406"/>
    <w:multiLevelType w:val="hybridMultilevel"/>
    <w:tmpl w:val="BDB68AAE"/>
    <w:lvl w:ilvl="0" w:tplc="B404A4CA">
      <w:start w:val="1"/>
      <w:numFmt w:val="decimal"/>
      <w:lvlText w:val="%1."/>
      <w:lvlJc w:val="left"/>
      <w:pPr>
        <w:ind w:left="1020" w:hanging="360"/>
      </w:pPr>
    </w:lvl>
    <w:lvl w:ilvl="1" w:tplc="888CEA88">
      <w:start w:val="1"/>
      <w:numFmt w:val="decimal"/>
      <w:lvlText w:val="%2."/>
      <w:lvlJc w:val="left"/>
      <w:pPr>
        <w:ind w:left="1020" w:hanging="360"/>
      </w:pPr>
    </w:lvl>
    <w:lvl w:ilvl="2" w:tplc="F0266834">
      <w:start w:val="1"/>
      <w:numFmt w:val="decimal"/>
      <w:lvlText w:val="%3."/>
      <w:lvlJc w:val="left"/>
      <w:pPr>
        <w:ind w:left="1020" w:hanging="360"/>
      </w:pPr>
    </w:lvl>
    <w:lvl w:ilvl="3" w:tplc="FA648888">
      <w:start w:val="1"/>
      <w:numFmt w:val="decimal"/>
      <w:lvlText w:val="%4."/>
      <w:lvlJc w:val="left"/>
      <w:pPr>
        <w:ind w:left="1020" w:hanging="360"/>
      </w:pPr>
    </w:lvl>
    <w:lvl w:ilvl="4" w:tplc="331E736E">
      <w:start w:val="1"/>
      <w:numFmt w:val="decimal"/>
      <w:lvlText w:val="%5."/>
      <w:lvlJc w:val="left"/>
      <w:pPr>
        <w:ind w:left="1020" w:hanging="360"/>
      </w:pPr>
    </w:lvl>
    <w:lvl w:ilvl="5" w:tplc="E79626D0">
      <w:start w:val="1"/>
      <w:numFmt w:val="decimal"/>
      <w:lvlText w:val="%6."/>
      <w:lvlJc w:val="left"/>
      <w:pPr>
        <w:ind w:left="1020" w:hanging="360"/>
      </w:pPr>
    </w:lvl>
    <w:lvl w:ilvl="6" w:tplc="5BCC1166">
      <w:start w:val="1"/>
      <w:numFmt w:val="decimal"/>
      <w:lvlText w:val="%7."/>
      <w:lvlJc w:val="left"/>
      <w:pPr>
        <w:ind w:left="1020" w:hanging="360"/>
      </w:pPr>
    </w:lvl>
    <w:lvl w:ilvl="7" w:tplc="DE807566">
      <w:start w:val="1"/>
      <w:numFmt w:val="decimal"/>
      <w:lvlText w:val="%8."/>
      <w:lvlJc w:val="left"/>
      <w:pPr>
        <w:ind w:left="1020" w:hanging="360"/>
      </w:pPr>
    </w:lvl>
    <w:lvl w:ilvl="8" w:tplc="581CB8BE">
      <w:start w:val="1"/>
      <w:numFmt w:val="decimal"/>
      <w:lvlText w:val="%9."/>
      <w:lvlJc w:val="left"/>
      <w:pPr>
        <w:ind w:left="1020" w:hanging="360"/>
      </w:pPr>
    </w:lvl>
  </w:abstractNum>
  <w:abstractNum w:abstractNumId="28" w15:restartNumberingAfterBreak="0">
    <w:nsid w:val="76E0388A"/>
    <w:multiLevelType w:val="hybridMultilevel"/>
    <w:tmpl w:val="97F40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5458490">
    <w:abstractNumId w:val="22"/>
  </w:num>
  <w:num w:numId="2" w16cid:durableId="342168625">
    <w:abstractNumId w:val="6"/>
  </w:num>
  <w:num w:numId="3" w16cid:durableId="732505615">
    <w:abstractNumId w:val="15"/>
  </w:num>
  <w:num w:numId="4" w16cid:durableId="2099130919">
    <w:abstractNumId w:val="7"/>
  </w:num>
  <w:num w:numId="5" w16cid:durableId="852458073">
    <w:abstractNumId w:val="25"/>
  </w:num>
  <w:num w:numId="6" w16cid:durableId="2073312087">
    <w:abstractNumId w:val="1"/>
  </w:num>
  <w:num w:numId="7" w16cid:durableId="1169178094">
    <w:abstractNumId w:val="3"/>
  </w:num>
  <w:num w:numId="8" w16cid:durableId="1242985392">
    <w:abstractNumId w:val="16"/>
  </w:num>
  <w:num w:numId="9" w16cid:durableId="1412309409">
    <w:abstractNumId w:val="21"/>
  </w:num>
  <w:num w:numId="10" w16cid:durableId="665061704">
    <w:abstractNumId w:val="26"/>
  </w:num>
  <w:num w:numId="11" w16cid:durableId="1205369354">
    <w:abstractNumId w:val="0"/>
  </w:num>
  <w:num w:numId="12" w16cid:durableId="1470170557">
    <w:abstractNumId w:val="10"/>
  </w:num>
  <w:num w:numId="13" w16cid:durableId="1157185930">
    <w:abstractNumId w:val="20"/>
  </w:num>
  <w:num w:numId="14" w16cid:durableId="960569466">
    <w:abstractNumId w:val="12"/>
  </w:num>
  <w:num w:numId="15" w16cid:durableId="1464424628">
    <w:abstractNumId w:val="14"/>
  </w:num>
  <w:num w:numId="16" w16cid:durableId="25565364">
    <w:abstractNumId w:val="8"/>
  </w:num>
  <w:num w:numId="17" w16cid:durableId="470483633">
    <w:abstractNumId w:val="28"/>
  </w:num>
  <w:num w:numId="18" w16cid:durableId="718090383">
    <w:abstractNumId w:val="9"/>
  </w:num>
  <w:num w:numId="19" w16cid:durableId="1952587464">
    <w:abstractNumId w:val="2"/>
  </w:num>
  <w:num w:numId="20" w16cid:durableId="1108113575">
    <w:abstractNumId w:val="18"/>
  </w:num>
  <w:num w:numId="21" w16cid:durableId="1489131150">
    <w:abstractNumId w:val="11"/>
  </w:num>
  <w:num w:numId="22" w16cid:durableId="720253953">
    <w:abstractNumId w:val="17"/>
  </w:num>
  <w:num w:numId="23" w16cid:durableId="273707805">
    <w:abstractNumId w:val="23"/>
  </w:num>
  <w:num w:numId="24" w16cid:durableId="1771971735">
    <w:abstractNumId w:val="19"/>
  </w:num>
  <w:num w:numId="25" w16cid:durableId="2128351187">
    <w:abstractNumId w:val="4"/>
  </w:num>
  <w:num w:numId="26" w16cid:durableId="1803645628">
    <w:abstractNumId w:val="13"/>
  </w:num>
  <w:num w:numId="27" w16cid:durableId="561403384">
    <w:abstractNumId w:val="5"/>
  </w:num>
  <w:num w:numId="28" w16cid:durableId="238944695">
    <w:abstractNumId w:val="27"/>
  </w:num>
  <w:num w:numId="29" w16cid:durableId="168100427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0104"/>
    <w:rsid w:val="000002A3"/>
    <w:rsid w:val="000002A4"/>
    <w:rsid w:val="000003FE"/>
    <w:rsid w:val="0000075C"/>
    <w:rsid w:val="00000910"/>
    <w:rsid w:val="00000D1B"/>
    <w:rsid w:val="00000DDB"/>
    <w:rsid w:val="00001003"/>
    <w:rsid w:val="000012AA"/>
    <w:rsid w:val="0000144F"/>
    <w:rsid w:val="00001D85"/>
    <w:rsid w:val="00001E5F"/>
    <w:rsid w:val="000024E9"/>
    <w:rsid w:val="00002AFF"/>
    <w:rsid w:val="00002DA9"/>
    <w:rsid w:val="00003566"/>
    <w:rsid w:val="00003D8E"/>
    <w:rsid w:val="00004CB2"/>
    <w:rsid w:val="00004DDE"/>
    <w:rsid w:val="00004E38"/>
    <w:rsid w:val="000051A2"/>
    <w:rsid w:val="00005824"/>
    <w:rsid w:val="000059E2"/>
    <w:rsid w:val="00005A9C"/>
    <w:rsid w:val="00006088"/>
    <w:rsid w:val="00006CE8"/>
    <w:rsid w:val="0000716D"/>
    <w:rsid w:val="000073AA"/>
    <w:rsid w:val="0001073E"/>
    <w:rsid w:val="000109D4"/>
    <w:rsid w:val="00011147"/>
    <w:rsid w:val="0001114B"/>
    <w:rsid w:val="000116AE"/>
    <w:rsid w:val="000123B8"/>
    <w:rsid w:val="00012E0D"/>
    <w:rsid w:val="000132C0"/>
    <w:rsid w:val="00013F25"/>
    <w:rsid w:val="0001400E"/>
    <w:rsid w:val="00014586"/>
    <w:rsid w:val="00014AE8"/>
    <w:rsid w:val="0001550E"/>
    <w:rsid w:val="000157A2"/>
    <w:rsid w:val="0001596F"/>
    <w:rsid w:val="000159AF"/>
    <w:rsid w:val="00015F76"/>
    <w:rsid w:val="00015FE7"/>
    <w:rsid w:val="0001723B"/>
    <w:rsid w:val="000176B5"/>
    <w:rsid w:val="00017B94"/>
    <w:rsid w:val="0002004C"/>
    <w:rsid w:val="000209E0"/>
    <w:rsid w:val="000219E6"/>
    <w:rsid w:val="00021B2E"/>
    <w:rsid w:val="00021C0D"/>
    <w:rsid w:val="00021DDF"/>
    <w:rsid w:val="00022452"/>
    <w:rsid w:val="0002285A"/>
    <w:rsid w:val="00022DA6"/>
    <w:rsid w:val="00022F1A"/>
    <w:rsid w:val="00023A6A"/>
    <w:rsid w:val="00023AEE"/>
    <w:rsid w:val="00023B25"/>
    <w:rsid w:val="00024762"/>
    <w:rsid w:val="00024978"/>
    <w:rsid w:val="00024C38"/>
    <w:rsid w:val="00024EC7"/>
    <w:rsid w:val="00024ED0"/>
    <w:rsid w:val="00025811"/>
    <w:rsid w:val="00025851"/>
    <w:rsid w:val="00025FB1"/>
    <w:rsid w:val="00026100"/>
    <w:rsid w:val="00026703"/>
    <w:rsid w:val="00026D78"/>
    <w:rsid w:val="00026DC8"/>
    <w:rsid w:val="000270BD"/>
    <w:rsid w:val="00027AF4"/>
    <w:rsid w:val="00027B9D"/>
    <w:rsid w:val="00027FA5"/>
    <w:rsid w:val="00030508"/>
    <w:rsid w:val="000306D9"/>
    <w:rsid w:val="00030934"/>
    <w:rsid w:val="00030B1B"/>
    <w:rsid w:val="00030E8B"/>
    <w:rsid w:val="00031169"/>
    <w:rsid w:val="000311FD"/>
    <w:rsid w:val="00031207"/>
    <w:rsid w:val="000314F8"/>
    <w:rsid w:val="00031EAA"/>
    <w:rsid w:val="00032549"/>
    <w:rsid w:val="000325B6"/>
    <w:rsid w:val="000333F7"/>
    <w:rsid w:val="0003348B"/>
    <w:rsid w:val="00033817"/>
    <w:rsid w:val="00033BAE"/>
    <w:rsid w:val="00033CA2"/>
    <w:rsid w:val="00033DC0"/>
    <w:rsid w:val="00033EC3"/>
    <w:rsid w:val="000345C8"/>
    <w:rsid w:val="0003461F"/>
    <w:rsid w:val="00034F0E"/>
    <w:rsid w:val="000350A0"/>
    <w:rsid w:val="0003524D"/>
    <w:rsid w:val="00035AE9"/>
    <w:rsid w:val="00035AEB"/>
    <w:rsid w:val="00035C37"/>
    <w:rsid w:val="00035F5C"/>
    <w:rsid w:val="000360BB"/>
    <w:rsid w:val="00036121"/>
    <w:rsid w:val="00036165"/>
    <w:rsid w:val="000363E2"/>
    <w:rsid w:val="00037A95"/>
    <w:rsid w:val="00037B91"/>
    <w:rsid w:val="0004006C"/>
    <w:rsid w:val="00040C8C"/>
    <w:rsid w:val="00041763"/>
    <w:rsid w:val="000419B1"/>
    <w:rsid w:val="00041CB8"/>
    <w:rsid w:val="00041DCD"/>
    <w:rsid w:val="00042B4C"/>
    <w:rsid w:val="00042C2B"/>
    <w:rsid w:val="00042C8F"/>
    <w:rsid w:val="000435CD"/>
    <w:rsid w:val="00043C22"/>
    <w:rsid w:val="0004415D"/>
    <w:rsid w:val="000443CB"/>
    <w:rsid w:val="00044773"/>
    <w:rsid w:val="000448F4"/>
    <w:rsid w:val="000449E9"/>
    <w:rsid w:val="00044C70"/>
    <w:rsid w:val="00045BC3"/>
    <w:rsid w:val="00045D69"/>
    <w:rsid w:val="00045E8F"/>
    <w:rsid w:val="000460A4"/>
    <w:rsid w:val="000464B8"/>
    <w:rsid w:val="000467F5"/>
    <w:rsid w:val="00046A67"/>
    <w:rsid w:val="0004702C"/>
    <w:rsid w:val="000470B0"/>
    <w:rsid w:val="00047552"/>
    <w:rsid w:val="000476F3"/>
    <w:rsid w:val="000501FA"/>
    <w:rsid w:val="0005075C"/>
    <w:rsid w:val="000509D8"/>
    <w:rsid w:val="0005119E"/>
    <w:rsid w:val="00051B5E"/>
    <w:rsid w:val="00051D2B"/>
    <w:rsid w:val="00051FE1"/>
    <w:rsid w:val="000527C3"/>
    <w:rsid w:val="000527D9"/>
    <w:rsid w:val="000529CE"/>
    <w:rsid w:val="00052EB2"/>
    <w:rsid w:val="00053055"/>
    <w:rsid w:val="00053077"/>
    <w:rsid w:val="00053226"/>
    <w:rsid w:val="000537CE"/>
    <w:rsid w:val="000538D9"/>
    <w:rsid w:val="00053F62"/>
    <w:rsid w:val="00054A13"/>
    <w:rsid w:val="00054B01"/>
    <w:rsid w:val="00055272"/>
    <w:rsid w:val="00055448"/>
    <w:rsid w:val="00055651"/>
    <w:rsid w:val="00055838"/>
    <w:rsid w:val="00055974"/>
    <w:rsid w:val="00055B74"/>
    <w:rsid w:val="00055D38"/>
    <w:rsid w:val="00055DAF"/>
    <w:rsid w:val="00056B28"/>
    <w:rsid w:val="00057A06"/>
    <w:rsid w:val="00057C3C"/>
    <w:rsid w:val="000602DE"/>
    <w:rsid w:val="000602E4"/>
    <w:rsid w:val="000603F3"/>
    <w:rsid w:val="0006051E"/>
    <w:rsid w:val="000608B1"/>
    <w:rsid w:val="000608FB"/>
    <w:rsid w:val="00060F6D"/>
    <w:rsid w:val="000611BA"/>
    <w:rsid w:val="00062569"/>
    <w:rsid w:val="000625B0"/>
    <w:rsid w:val="00062C40"/>
    <w:rsid w:val="00063769"/>
    <w:rsid w:val="00063E7A"/>
    <w:rsid w:val="00063FFA"/>
    <w:rsid w:val="00064DD4"/>
    <w:rsid w:val="000658EA"/>
    <w:rsid w:val="00065F78"/>
    <w:rsid w:val="00066187"/>
    <w:rsid w:val="00066408"/>
    <w:rsid w:val="00066475"/>
    <w:rsid w:val="00066A74"/>
    <w:rsid w:val="00066AE2"/>
    <w:rsid w:val="00066CCE"/>
    <w:rsid w:val="00066D0F"/>
    <w:rsid w:val="00067A6B"/>
    <w:rsid w:val="00067EA3"/>
    <w:rsid w:val="000704D2"/>
    <w:rsid w:val="000708CD"/>
    <w:rsid w:val="000709C5"/>
    <w:rsid w:val="00071027"/>
    <w:rsid w:val="00071212"/>
    <w:rsid w:val="00071274"/>
    <w:rsid w:val="0007193F"/>
    <w:rsid w:val="00071B1B"/>
    <w:rsid w:val="000729A2"/>
    <w:rsid w:val="00072A3B"/>
    <w:rsid w:val="00072AE0"/>
    <w:rsid w:val="00072B00"/>
    <w:rsid w:val="000730A5"/>
    <w:rsid w:val="00073103"/>
    <w:rsid w:val="00073766"/>
    <w:rsid w:val="00074189"/>
    <w:rsid w:val="000748A8"/>
    <w:rsid w:val="00074CF3"/>
    <w:rsid w:val="000758D0"/>
    <w:rsid w:val="00075EEB"/>
    <w:rsid w:val="00076FA4"/>
    <w:rsid w:val="00077CA7"/>
    <w:rsid w:val="0008020A"/>
    <w:rsid w:val="0008021C"/>
    <w:rsid w:val="000802B4"/>
    <w:rsid w:val="000806C9"/>
    <w:rsid w:val="00080716"/>
    <w:rsid w:val="00080BD0"/>
    <w:rsid w:val="00080BD5"/>
    <w:rsid w:val="00080C7E"/>
    <w:rsid w:val="00080CB3"/>
    <w:rsid w:val="0008174E"/>
    <w:rsid w:val="0008214E"/>
    <w:rsid w:val="000826B1"/>
    <w:rsid w:val="000836A9"/>
    <w:rsid w:val="00083A9C"/>
    <w:rsid w:val="00083F40"/>
    <w:rsid w:val="000843B5"/>
    <w:rsid w:val="000844E5"/>
    <w:rsid w:val="000846D3"/>
    <w:rsid w:val="00084A84"/>
    <w:rsid w:val="00084E59"/>
    <w:rsid w:val="0008573B"/>
    <w:rsid w:val="00085D97"/>
    <w:rsid w:val="00085F1F"/>
    <w:rsid w:val="00086397"/>
    <w:rsid w:val="00086B25"/>
    <w:rsid w:val="00086B47"/>
    <w:rsid w:val="00087265"/>
    <w:rsid w:val="0008750F"/>
    <w:rsid w:val="00087736"/>
    <w:rsid w:val="00087775"/>
    <w:rsid w:val="000903AC"/>
    <w:rsid w:val="00090E00"/>
    <w:rsid w:val="00090E0E"/>
    <w:rsid w:val="000912D9"/>
    <w:rsid w:val="0009133E"/>
    <w:rsid w:val="000918A7"/>
    <w:rsid w:val="00091A39"/>
    <w:rsid w:val="00092796"/>
    <w:rsid w:val="00092A97"/>
    <w:rsid w:val="00092B34"/>
    <w:rsid w:val="00092BEE"/>
    <w:rsid w:val="00092F56"/>
    <w:rsid w:val="00092FA4"/>
    <w:rsid w:val="00092FC1"/>
    <w:rsid w:val="00092FCE"/>
    <w:rsid w:val="000939E0"/>
    <w:rsid w:val="00094615"/>
    <w:rsid w:val="00094629"/>
    <w:rsid w:val="000948AF"/>
    <w:rsid w:val="00094B32"/>
    <w:rsid w:val="00095617"/>
    <w:rsid w:val="00095F70"/>
    <w:rsid w:val="00096152"/>
    <w:rsid w:val="00096220"/>
    <w:rsid w:val="00096448"/>
    <w:rsid w:val="00096554"/>
    <w:rsid w:val="00096678"/>
    <w:rsid w:val="00096B7E"/>
    <w:rsid w:val="00096CD0"/>
    <w:rsid w:val="00097506"/>
    <w:rsid w:val="000977F1"/>
    <w:rsid w:val="00097EB8"/>
    <w:rsid w:val="00097F7F"/>
    <w:rsid w:val="000A010F"/>
    <w:rsid w:val="000A0223"/>
    <w:rsid w:val="000A07D5"/>
    <w:rsid w:val="000A08F3"/>
    <w:rsid w:val="000A14DB"/>
    <w:rsid w:val="000A156D"/>
    <w:rsid w:val="000A1857"/>
    <w:rsid w:val="000A18E9"/>
    <w:rsid w:val="000A1A2B"/>
    <w:rsid w:val="000A1AF5"/>
    <w:rsid w:val="000A1D09"/>
    <w:rsid w:val="000A2268"/>
    <w:rsid w:val="000A2317"/>
    <w:rsid w:val="000A2AB7"/>
    <w:rsid w:val="000A3242"/>
    <w:rsid w:val="000A3489"/>
    <w:rsid w:val="000A391C"/>
    <w:rsid w:val="000A3B4A"/>
    <w:rsid w:val="000A41AE"/>
    <w:rsid w:val="000A445E"/>
    <w:rsid w:val="000A45CF"/>
    <w:rsid w:val="000A48AD"/>
    <w:rsid w:val="000A4A3E"/>
    <w:rsid w:val="000A4D98"/>
    <w:rsid w:val="000A56FD"/>
    <w:rsid w:val="000A5BDF"/>
    <w:rsid w:val="000A5EF3"/>
    <w:rsid w:val="000A65E5"/>
    <w:rsid w:val="000A668A"/>
    <w:rsid w:val="000A6763"/>
    <w:rsid w:val="000A6EE6"/>
    <w:rsid w:val="000A74AC"/>
    <w:rsid w:val="000A7AC2"/>
    <w:rsid w:val="000B0FEC"/>
    <w:rsid w:val="000B114C"/>
    <w:rsid w:val="000B164D"/>
    <w:rsid w:val="000B18CF"/>
    <w:rsid w:val="000B1D33"/>
    <w:rsid w:val="000B1DDF"/>
    <w:rsid w:val="000B2544"/>
    <w:rsid w:val="000B2F1D"/>
    <w:rsid w:val="000B2FBA"/>
    <w:rsid w:val="000B3373"/>
    <w:rsid w:val="000B35F2"/>
    <w:rsid w:val="000B35F8"/>
    <w:rsid w:val="000B3B1D"/>
    <w:rsid w:val="000B437E"/>
    <w:rsid w:val="000B44AE"/>
    <w:rsid w:val="000B4773"/>
    <w:rsid w:val="000B502C"/>
    <w:rsid w:val="000B535B"/>
    <w:rsid w:val="000B5993"/>
    <w:rsid w:val="000B5AB3"/>
    <w:rsid w:val="000B5C14"/>
    <w:rsid w:val="000B5EAD"/>
    <w:rsid w:val="000B65FE"/>
    <w:rsid w:val="000B6AC7"/>
    <w:rsid w:val="000B78A8"/>
    <w:rsid w:val="000C00C8"/>
    <w:rsid w:val="000C025A"/>
    <w:rsid w:val="000C0CA6"/>
    <w:rsid w:val="000C16E9"/>
    <w:rsid w:val="000C1A6E"/>
    <w:rsid w:val="000C215D"/>
    <w:rsid w:val="000C232A"/>
    <w:rsid w:val="000C2352"/>
    <w:rsid w:val="000C276C"/>
    <w:rsid w:val="000C2959"/>
    <w:rsid w:val="000C31E7"/>
    <w:rsid w:val="000C34B8"/>
    <w:rsid w:val="000C35C8"/>
    <w:rsid w:val="000C3636"/>
    <w:rsid w:val="000C37CA"/>
    <w:rsid w:val="000C38D4"/>
    <w:rsid w:val="000C3968"/>
    <w:rsid w:val="000C3BF4"/>
    <w:rsid w:val="000C3D57"/>
    <w:rsid w:val="000C404A"/>
    <w:rsid w:val="000C4450"/>
    <w:rsid w:val="000C4946"/>
    <w:rsid w:val="000C552D"/>
    <w:rsid w:val="000C59E6"/>
    <w:rsid w:val="000C5A94"/>
    <w:rsid w:val="000C5BCB"/>
    <w:rsid w:val="000C5C43"/>
    <w:rsid w:val="000C6240"/>
    <w:rsid w:val="000C69F3"/>
    <w:rsid w:val="000C6B62"/>
    <w:rsid w:val="000C74AC"/>
    <w:rsid w:val="000C7522"/>
    <w:rsid w:val="000C75D0"/>
    <w:rsid w:val="000C78A9"/>
    <w:rsid w:val="000D0331"/>
    <w:rsid w:val="000D0607"/>
    <w:rsid w:val="000D0932"/>
    <w:rsid w:val="000D099E"/>
    <w:rsid w:val="000D0B14"/>
    <w:rsid w:val="000D0B58"/>
    <w:rsid w:val="000D0F69"/>
    <w:rsid w:val="000D11CD"/>
    <w:rsid w:val="000D1900"/>
    <w:rsid w:val="000D1F7B"/>
    <w:rsid w:val="000D1FCF"/>
    <w:rsid w:val="000D3B38"/>
    <w:rsid w:val="000D3C67"/>
    <w:rsid w:val="000D3DF3"/>
    <w:rsid w:val="000D3F22"/>
    <w:rsid w:val="000D3F66"/>
    <w:rsid w:val="000D4345"/>
    <w:rsid w:val="000D45CD"/>
    <w:rsid w:val="000D465A"/>
    <w:rsid w:val="000D5576"/>
    <w:rsid w:val="000D74CA"/>
    <w:rsid w:val="000D76EC"/>
    <w:rsid w:val="000D7A1D"/>
    <w:rsid w:val="000D7BCA"/>
    <w:rsid w:val="000E005E"/>
    <w:rsid w:val="000E01D4"/>
    <w:rsid w:val="000E0403"/>
    <w:rsid w:val="000E0582"/>
    <w:rsid w:val="000E0601"/>
    <w:rsid w:val="000E068F"/>
    <w:rsid w:val="000E0B75"/>
    <w:rsid w:val="000E0D99"/>
    <w:rsid w:val="000E146A"/>
    <w:rsid w:val="000E17C6"/>
    <w:rsid w:val="000E1945"/>
    <w:rsid w:val="000E1968"/>
    <w:rsid w:val="000E1E13"/>
    <w:rsid w:val="000E1FC1"/>
    <w:rsid w:val="000E244C"/>
    <w:rsid w:val="000E27D3"/>
    <w:rsid w:val="000E288D"/>
    <w:rsid w:val="000E2B50"/>
    <w:rsid w:val="000E2BF2"/>
    <w:rsid w:val="000E2F36"/>
    <w:rsid w:val="000E2FEA"/>
    <w:rsid w:val="000E310E"/>
    <w:rsid w:val="000E3903"/>
    <w:rsid w:val="000E3A46"/>
    <w:rsid w:val="000E3D91"/>
    <w:rsid w:val="000E431C"/>
    <w:rsid w:val="000E4635"/>
    <w:rsid w:val="000E4B4F"/>
    <w:rsid w:val="000E4E73"/>
    <w:rsid w:val="000E4FD4"/>
    <w:rsid w:val="000E5C0C"/>
    <w:rsid w:val="000E5F37"/>
    <w:rsid w:val="000E5F94"/>
    <w:rsid w:val="000E623D"/>
    <w:rsid w:val="000E6B07"/>
    <w:rsid w:val="000E7095"/>
    <w:rsid w:val="000E72E0"/>
    <w:rsid w:val="000E78C1"/>
    <w:rsid w:val="000E7BD0"/>
    <w:rsid w:val="000E7DD9"/>
    <w:rsid w:val="000F0556"/>
    <w:rsid w:val="000F0A7E"/>
    <w:rsid w:val="000F0C45"/>
    <w:rsid w:val="000F0DAB"/>
    <w:rsid w:val="000F16C8"/>
    <w:rsid w:val="000F1C1A"/>
    <w:rsid w:val="000F1C4D"/>
    <w:rsid w:val="000F1D2D"/>
    <w:rsid w:val="000F2357"/>
    <w:rsid w:val="000F2473"/>
    <w:rsid w:val="000F2567"/>
    <w:rsid w:val="000F25F9"/>
    <w:rsid w:val="000F274A"/>
    <w:rsid w:val="000F33CD"/>
    <w:rsid w:val="000F3793"/>
    <w:rsid w:val="000F3870"/>
    <w:rsid w:val="000F389B"/>
    <w:rsid w:val="000F3C56"/>
    <w:rsid w:val="000F45BE"/>
    <w:rsid w:val="000F5AA4"/>
    <w:rsid w:val="000F5CD3"/>
    <w:rsid w:val="000F64DA"/>
    <w:rsid w:val="000F72B0"/>
    <w:rsid w:val="000F77DF"/>
    <w:rsid w:val="000F787D"/>
    <w:rsid w:val="000F79D3"/>
    <w:rsid w:val="000F7C35"/>
    <w:rsid w:val="000F7CB1"/>
    <w:rsid w:val="000F7D47"/>
    <w:rsid w:val="000F7F11"/>
    <w:rsid w:val="00100404"/>
    <w:rsid w:val="001005A1"/>
    <w:rsid w:val="00100A87"/>
    <w:rsid w:val="00100D39"/>
    <w:rsid w:val="001010A9"/>
    <w:rsid w:val="001015B3"/>
    <w:rsid w:val="00101CDF"/>
    <w:rsid w:val="00101FE9"/>
    <w:rsid w:val="0010234A"/>
    <w:rsid w:val="001026AA"/>
    <w:rsid w:val="00102E07"/>
    <w:rsid w:val="001030AA"/>
    <w:rsid w:val="00103418"/>
    <w:rsid w:val="00103798"/>
    <w:rsid w:val="00103FCE"/>
    <w:rsid w:val="00104332"/>
    <w:rsid w:val="0010437D"/>
    <w:rsid w:val="00104546"/>
    <w:rsid w:val="001050EB"/>
    <w:rsid w:val="001051BF"/>
    <w:rsid w:val="001053E1"/>
    <w:rsid w:val="00105428"/>
    <w:rsid w:val="001056B3"/>
    <w:rsid w:val="00105731"/>
    <w:rsid w:val="00105AC3"/>
    <w:rsid w:val="00105D62"/>
    <w:rsid w:val="001060F0"/>
    <w:rsid w:val="00106523"/>
    <w:rsid w:val="00106779"/>
    <w:rsid w:val="00106B68"/>
    <w:rsid w:val="00106CCE"/>
    <w:rsid w:val="001070BA"/>
    <w:rsid w:val="001070BD"/>
    <w:rsid w:val="0010769E"/>
    <w:rsid w:val="001077DF"/>
    <w:rsid w:val="00107B79"/>
    <w:rsid w:val="00107CC0"/>
    <w:rsid w:val="0011029B"/>
    <w:rsid w:val="001112DB"/>
    <w:rsid w:val="001115C6"/>
    <w:rsid w:val="001116DA"/>
    <w:rsid w:val="001117E9"/>
    <w:rsid w:val="001118AD"/>
    <w:rsid w:val="00111A9C"/>
    <w:rsid w:val="00111E3C"/>
    <w:rsid w:val="00111F71"/>
    <w:rsid w:val="001123BE"/>
    <w:rsid w:val="00112B5A"/>
    <w:rsid w:val="00112E46"/>
    <w:rsid w:val="00112E95"/>
    <w:rsid w:val="00113065"/>
    <w:rsid w:val="00113146"/>
    <w:rsid w:val="001137BB"/>
    <w:rsid w:val="001137F1"/>
    <w:rsid w:val="00113CD8"/>
    <w:rsid w:val="00113FC8"/>
    <w:rsid w:val="0011440E"/>
    <w:rsid w:val="0011460B"/>
    <w:rsid w:val="00114D4E"/>
    <w:rsid w:val="00114EC5"/>
    <w:rsid w:val="00114F04"/>
    <w:rsid w:val="00115517"/>
    <w:rsid w:val="0011597C"/>
    <w:rsid w:val="0011636E"/>
    <w:rsid w:val="0011773E"/>
    <w:rsid w:val="00117E05"/>
    <w:rsid w:val="001204D7"/>
    <w:rsid w:val="00120870"/>
    <w:rsid w:val="00120F8A"/>
    <w:rsid w:val="001216A7"/>
    <w:rsid w:val="001216C1"/>
    <w:rsid w:val="00121DC9"/>
    <w:rsid w:val="00121F61"/>
    <w:rsid w:val="00121FDB"/>
    <w:rsid w:val="00122234"/>
    <w:rsid w:val="0012239F"/>
    <w:rsid w:val="00122959"/>
    <w:rsid w:val="00122A46"/>
    <w:rsid w:val="00123776"/>
    <w:rsid w:val="00123844"/>
    <w:rsid w:val="001238D3"/>
    <w:rsid w:val="00123C97"/>
    <w:rsid w:val="0012417C"/>
    <w:rsid w:val="00124201"/>
    <w:rsid w:val="001245B4"/>
    <w:rsid w:val="00125180"/>
    <w:rsid w:val="00125741"/>
    <w:rsid w:val="001257BC"/>
    <w:rsid w:val="00125AF9"/>
    <w:rsid w:val="00126596"/>
    <w:rsid w:val="00126944"/>
    <w:rsid w:val="00126B51"/>
    <w:rsid w:val="00126DA3"/>
    <w:rsid w:val="00126DDF"/>
    <w:rsid w:val="00127122"/>
    <w:rsid w:val="001271B3"/>
    <w:rsid w:val="001275E7"/>
    <w:rsid w:val="00127A6A"/>
    <w:rsid w:val="001308BD"/>
    <w:rsid w:val="00130BD7"/>
    <w:rsid w:val="0013136A"/>
    <w:rsid w:val="00131B74"/>
    <w:rsid w:val="00131F87"/>
    <w:rsid w:val="00132690"/>
    <w:rsid w:val="00132955"/>
    <w:rsid w:val="0013401B"/>
    <w:rsid w:val="00134048"/>
    <w:rsid w:val="001340CB"/>
    <w:rsid w:val="001341AE"/>
    <w:rsid w:val="00134722"/>
    <w:rsid w:val="00134C93"/>
    <w:rsid w:val="00134F0A"/>
    <w:rsid w:val="001353E8"/>
    <w:rsid w:val="00135E87"/>
    <w:rsid w:val="00135FD4"/>
    <w:rsid w:val="0013684C"/>
    <w:rsid w:val="00136D3C"/>
    <w:rsid w:val="00136DA9"/>
    <w:rsid w:val="001370BD"/>
    <w:rsid w:val="001370F2"/>
    <w:rsid w:val="00137E00"/>
    <w:rsid w:val="0014014B"/>
    <w:rsid w:val="0014055A"/>
    <w:rsid w:val="00140623"/>
    <w:rsid w:val="00140A2E"/>
    <w:rsid w:val="00140B38"/>
    <w:rsid w:val="00140E3D"/>
    <w:rsid w:val="00142154"/>
    <w:rsid w:val="001422E9"/>
    <w:rsid w:val="00142452"/>
    <w:rsid w:val="00142664"/>
    <w:rsid w:val="001426B0"/>
    <w:rsid w:val="0014285A"/>
    <w:rsid w:val="00142CC3"/>
    <w:rsid w:val="00143391"/>
    <w:rsid w:val="00143838"/>
    <w:rsid w:val="001445E1"/>
    <w:rsid w:val="00144D0E"/>
    <w:rsid w:val="00144EA1"/>
    <w:rsid w:val="0014569B"/>
    <w:rsid w:val="001456AD"/>
    <w:rsid w:val="00145C5F"/>
    <w:rsid w:val="00146278"/>
    <w:rsid w:val="001467EA"/>
    <w:rsid w:val="001468FD"/>
    <w:rsid w:val="0014690F"/>
    <w:rsid w:val="00146DC1"/>
    <w:rsid w:val="0014720C"/>
    <w:rsid w:val="001472EC"/>
    <w:rsid w:val="00147768"/>
    <w:rsid w:val="00147965"/>
    <w:rsid w:val="001506B4"/>
    <w:rsid w:val="0015074C"/>
    <w:rsid w:val="00150919"/>
    <w:rsid w:val="00150E8C"/>
    <w:rsid w:val="00151487"/>
    <w:rsid w:val="00151B2D"/>
    <w:rsid w:val="00152060"/>
    <w:rsid w:val="0015277D"/>
    <w:rsid w:val="001527D8"/>
    <w:rsid w:val="001527FA"/>
    <w:rsid w:val="00153220"/>
    <w:rsid w:val="0015364B"/>
    <w:rsid w:val="001536A0"/>
    <w:rsid w:val="00153953"/>
    <w:rsid w:val="00153B29"/>
    <w:rsid w:val="00154528"/>
    <w:rsid w:val="001551E5"/>
    <w:rsid w:val="001557E6"/>
    <w:rsid w:val="00155AD6"/>
    <w:rsid w:val="00155B1C"/>
    <w:rsid w:val="00155F09"/>
    <w:rsid w:val="0015666F"/>
    <w:rsid w:val="00156744"/>
    <w:rsid w:val="0015683A"/>
    <w:rsid w:val="00156D20"/>
    <w:rsid w:val="00156E07"/>
    <w:rsid w:val="00157389"/>
    <w:rsid w:val="00160312"/>
    <w:rsid w:val="0016051B"/>
    <w:rsid w:val="00160B6F"/>
    <w:rsid w:val="00160E6A"/>
    <w:rsid w:val="00161727"/>
    <w:rsid w:val="00162792"/>
    <w:rsid w:val="001628E1"/>
    <w:rsid w:val="00162AC4"/>
    <w:rsid w:val="00162DF7"/>
    <w:rsid w:val="0016315C"/>
    <w:rsid w:val="001631A7"/>
    <w:rsid w:val="001632B2"/>
    <w:rsid w:val="001637A1"/>
    <w:rsid w:val="00164042"/>
    <w:rsid w:val="0016505C"/>
    <w:rsid w:val="001651A2"/>
    <w:rsid w:val="0016542F"/>
    <w:rsid w:val="0016570C"/>
    <w:rsid w:val="001659BF"/>
    <w:rsid w:val="0016655C"/>
    <w:rsid w:val="00166726"/>
    <w:rsid w:val="00166994"/>
    <w:rsid w:val="00166ADB"/>
    <w:rsid w:val="001671EB"/>
    <w:rsid w:val="001701DB"/>
    <w:rsid w:val="00170364"/>
    <w:rsid w:val="00170592"/>
    <w:rsid w:val="001708DF"/>
    <w:rsid w:val="00170BAD"/>
    <w:rsid w:val="00170CC0"/>
    <w:rsid w:val="00171017"/>
    <w:rsid w:val="001716F6"/>
    <w:rsid w:val="00171931"/>
    <w:rsid w:val="00171F2E"/>
    <w:rsid w:val="00171FBB"/>
    <w:rsid w:val="00171FDD"/>
    <w:rsid w:val="0017231C"/>
    <w:rsid w:val="001725DB"/>
    <w:rsid w:val="00172E32"/>
    <w:rsid w:val="00173293"/>
    <w:rsid w:val="00173763"/>
    <w:rsid w:val="00173850"/>
    <w:rsid w:val="00173A8D"/>
    <w:rsid w:val="00173E72"/>
    <w:rsid w:val="00174115"/>
    <w:rsid w:val="00174355"/>
    <w:rsid w:val="0017452C"/>
    <w:rsid w:val="0017459C"/>
    <w:rsid w:val="0017474E"/>
    <w:rsid w:val="00174C47"/>
    <w:rsid w:val="0017508F"/>
    <w:rsid w:val="001750A9"/>
    <w:rsid w:val="00175235"/>
    <w:rsid w:val="001759C7"/>
    <w:rsid w:val="001759EC"/>
    <w:rsid w:val="00175E91"/>
    <w:rsid w:val="001760A6"/>
    <w:rsid w:val="001763CC"/>
    <w:rsid w:val="001766B8"/>
    <w:rsid w:val="00176949"/>
    <w:rsid w:val="00176D19"/>
    <w:rsid w:val="0017717E"/>
    <w:rsid w:val="00177745"/>
    <w:rsid w:val="0017797F"/>
    <w:rsid w:val="00177C08"/>
    <w:rsid w:val="00177FD4"/>
    <w:rsid w:val="001800B5"/>
    <w:rsid w:val="00180C43"/>
    <w:rsid w:val="0018118A"/>
    <w:rsid w:val="001812F4"/>
    <w:rsid w:val="00181C64"/>
    <w:rsid w:val="00181E37"/>
    <w:rsid w:val="00181FFE"/>
    <w:rsid w:val="001822F5"/>
    <w:rsid w:val="00182588"/>
    <w:rsid w:val="001827F9"/>
    <w:rsid w:val="001829E6"/>
    <w:rsid w:val="00182A68"/>
    <w:rsid w:val="00182B7F"/>
    <w:rsid w:val="00182EBE"/>
    <w:rsid w:val="00182F8D"/>
    <w:rsid w:val="00182FC7"/>
    <w:rsid w:val="00183490"/>
    <w:rsid w:val="00183A5C"/>
    <w:rsid w:val="00183C02"/>
    <w:rsid w:val="00184308"/>
    <w:rsid w:val="0018474E"/>
    <w:rsid w:val="00184A4B"/>
    <w:rsid w:val="0018532A"/>
    <w:rsid w:val="00185638"/>
    <w:rsid w:val="00186238"/>
    <w:rsid w:val="00186248"/>
    <w:rsid w:val="00186264"/>
    <w:rsid w:val="00186502"/>
    <w:rsid w:val="001865F0"/>
    <w:rsid w:val="001867C8"/>
    <w:rsid w:val="00187280"/>
    <w:rsid w:val="00187419"/>
    <w:rsid w:val="00187569"/>
    <w:rsid w:val="001878CD"/>
    <w:rsid w:val="00187D1B"/>
    <w:rsid w:val="0019071D"/>
    <w:rsid w:val="001907FC"/>
    <w:rsid w:val="001908BE"/>
    <w:rsid w:val="00190EB4"/>
    <w:rsid w:val="0019100B"/>
    <w:rsid w:val="0019105F"/>
    <w:rsid w:val="0019111E"/>
    <w:rsid w:val="00191264"/>
    <w:rsid w:val="001915EC"/>
    <w:rsid w:val="0019176D"/>
    <w:rsid w:val="001918D7"/>
    <w:rsid w:val="00191E01"/>
    <w:rsid w:val="0019257D"/>
    <w:rsid w:val="00192AC4"/>
    <w:rsid w:val="0019318D"/>
    <w:rsid w:val="001931EC"/>
    <w:rsid w:val="001932D5"/>
    <w:rsid w:val="001938CB"/>
    <w:rsid w:val="00194496"/>
    <w:rsid w:val="0019499A"/>
    <w:rsid w:val="00194EEC"/>
    <w:rsid w:val="00194FEF"/>
    <w:rsid w:val="001951BA"/>
    <w:rsid w:val="00195FDA"/>
    <w:rsid w:val="0019649B"/>
    <w:rsid w:val="001966FC"/>
    <w:rsid w:val="00197584"/>
    <w:rsid w:val="00197960"/>
    <w:rsid w:val="00197A1C"/>
    <w:rsid w:val="001A0C82"/>
    <w:rsid w:val="001A0CF3"/>
    <w:rsid w:val="001A0D32"/>
    <w:rsid w:val="001A0EB4"/>
    <w:rsid w:val="001A1217"/>
    <w:rsid w:val="001A1D3B"/>
    <w:rsid w:val="001A2503"/>
    <w:rsid w:val="001A2B09"/>
    <w:rsid w:val="001A2FD3"/>
    <w:rsid w:val="001A40F3"/>
    <w:rsid w:val="001A41F1"/>
    <w:rsid w:val="001A4688"/>
    <w:rsid w:val="001A4B91"/>
    <w:rsid w:val="001A4DBA"/>
    <w:rsid w:val="001A4EC2"/>
    <w:rsid w:val="001A5371"/>
    <w:rsid w:val="001A5751"/>
    <w:rsid w:val="001A5A8B"/>
    <w:rsid w:val="001A5D2F"/>
    <w:rsid w:val="001A6291"/>
    <w:rsid w:val="001A6895"/>
    <w:rsid w:val="001A6D33"/>
    <w:rsid w:val="001A70BD"/>
    <w:rsid w:val="001A73E6"/>
    <w:rsid w:val="001A7A5B"/>
    <w:rsid w:val="001A7B43"/>
    <w:rsid w:val="001A7E45"/>
    <w:rsid w:val="001B0F32"/>
    <w:rsid w:val="001B13B4"/>
    <w:rsid w:val="001B18CA"/>
    <w:rsid w:val="001B1A3E"/>
    <w:rsid w:val="001B1CEA"/>
    <w:rsid w:val="001B20E6"/>
    <w:rsid w:val="001B21D1"/>
    <w:rsid w:val="001B227D"/>
    <w:rsid w:val="001B23DE"/>
    <w:rsid w:val="001B2A86"/>
    <w:rsid w:val="001B2DE3"/>
    <w:rsid w:val="001B334A"/>
    <w:rsid w:val="001B349F"/>
    <w:rsid w:val="001B3960"/>
    <w:rsid w:val="001B3F4D"/>
    <w:rsid w:val="001B490C"/>
    <w:rsid w:val="001B515E"/>
    <w:rsid w:val="001B5222"/>
    <w:rsid w:val="001B52E9"/>
    <w:rsid w:val="001B5409"/>
    <w:rsid w:val="001B5E11"/>
    <w:rsid w:val="001B62FC"/>
    <w:rsid w:val="001B65AD"/>
    <w:rsid w:val="001B65B0"/>
    <w:rsid w:val="001B67A8"/>
    <w:rsid w:val="001B6847"/>
    <w:rsid w:val="001B6D08"/>
    <w:rsid w:val="001B6D40"/>
    <w:rsid w:val="001B6F7A"/>
    <w:rsid w:val="001B7825"/>
    <w:rsid w:val="001C0694"/>
    <w:rsid w:val="001C08E1"/>
    <w:rsid w:val="001C0DCA"/>
    <w:rsid w:val="001C0DF7"/>
    <w:rsid w:val="001C0EB1"/>
    <w:rsid w:val="001C3976"/>
    <w:rsid w:val="001C3BD6"/>
    <w:rsid w:val="001C3ED3"/>
    <w:rsid w:val="001C4118"/>
    <w:rsid w:val="001C4B98"/>
    <w:rsid w:val="001C4F09"/>
    <w:rsid w:val="001C5211"/>
    <w:rsid w:val="001C539C"/>
    <w:rsid w:val="001C645E"/>
    <w:rsid w:val="001C6B6F"/>
    <w:rsid w:val="001C6E09"/>
    <w:rsid w:val="001C6FE1"/>
    <w:rsid w:val="001C70F7"/>
    <w:rsid w:val="001C7258"/>
    <w:rsid w:val="001C7ECA"/>
    <w:rsid w:val="001D00C8"/>
    <w:rsid w:val="001D04D0"/>
    <w:rsid w:val="001D0B26"/>
    <w:rsid w:val="001D0BC2"/>
    <w:rsid w:val="001D17ED"/>
    <w:rsid w:val="001D1AC6"/>
    <w:rsid w:val="001D1AE2"/>
    <w:rsid w:val="001D1F9E"/>
    <w:rsid w:val="001D2247"/>
    <w:rsid w:val="001D22DA"/>
    <w:rsid w:val="001D247E"/>
    <w:rsid w:val="001D2951"/>
    <w:rsid w:val="001D2F24"/>
    <w:rsid w:val="001D30AC"/>
    <w:rsid w:val="001D3187"/>
    <w:rsid w:val="001D3319"/>
    <w:rsid w:val="001D347B"/>
    <w:rsid w:val="001D36EA"/>
    <w:rsid w:val="001D3D01"/>
    <w:rsid w:val="001D4434"/>
    <w:rsid w:val="001D444A"/>
    <w:rsid w:val="001D4DB1"/>
    <w:rsid w:val="001D5086"/>
    <w:rsid w:val="001D50DC"/>
    <w:rsid w:val="001D550F"/>
    <w:rsid w:val="001D5BC3"/>
    <w:rsid w:val="001D5CFC"/>
    <w:rsid w:val="001D5FC6"/>
    <w:rsid w:val="001D6170"/>
    <w:rsid w:val="001D650C"/>
    <w:rsid w:val="001D6841"/>
    <w:rsid w:val="001D7632"/>
    <w:rsid w:val="001D7905"/>
    <w:rsid w:val="001E00D9"/>
    <w:rsid w:val="001E083C"/>
    <w:rsid w:val="001E087E"/>
    <w:rsid w:val="001E097C"/>
    <w:rsid w:val="001E0BC0"/>
    <w:rsid w:val="001E0BCF"/>
    <w:rsid w:val="001E16D3"/>
    <w:rsid w:val="001E1703"/>
    <w:rsid w:val="001E18D6"/>
    <w:rsid w:val="001E22BB"/>
    <w:rsid w:val="001E2708"/>
    <w:rsid w:val="001E2C5E"/>
    <w:rsid w:val="001E342F"/>
    <w:rsid w:val="001E39EC"/>
    <w:rsid w:val="001E3BD7"/>
    <w:rsid w:val="001E3DD1"/>
    <w:rsid w:val="001E47B6"/>
    <w:rsid w:val="001E4C99"/>
    <w:rsid w:val="001E4F84"/>
    <w:rsid w:val="001E4FDF"/>
    <w:rsid w:val="001E5224"/>
    <w:rsid w:val="001E5624"/>
    <w:rsid w:val="001E5886"/>
    <w:rsid w:val="001E5A3B"/>
    <w:rsid w:val="001E5B83"/>
    <w:rsid w:val="001E5C2A"/>
    <w:rsid w:val="001E5C3E"/>
    <w:rsid w:val="001E5F2E"/>
    <w:rsid w:val="001E5F9C"/>
    <w:rsid w:val="001E612C"/>
    <w:rsid w:val="001E6224"/>
    <w:rsid w:val="001E6229"/>
    <w:rsid w:val="001E6713"/>
    <w:rsid w:val="001E6B03"/>
    <w:rsid w:val="001E6C65"/>
    <w:rsid w:val="001E6E11"/>
    <w:rsid w:val="001E7D15"/>
    <w:rsid w:val="001F0357"/>
    <w:rsid w:val="001F03C5"/>
    <w:rsid w:val="001F063F"/>
    <w:rsid w:val="001F08A4"/>
    <w:rsid w:val="001F094B"/>
    <w:rsid w:val="001F0D58"/>
    <w:rsid w:val="001F0D75"/>
    <w:rsid w:val="001F12B1"/>
    <w:rsid w:val="001F188C"/>
    <w:rsid w:val="001F18B6"/>
    <w:rsid w:val="001F27DE"/>
    <w:rsid w:val="001F366D"/>
    <w:rsid w:val="001F382E"/>
    <w:rsid w:val="001F3970"/>
    <w:rsid w:val="001F43D5"/>
    <w:rsid w:val="001F44B2"/>
    <w:rsid w:val="001F4620"/>
    <w:rsid w:val="001F47A0"/>
    <w:rsid w:val="001F551B"/>
    <w:rsid w:val="001F5F93"/>
    <w:rsid w:val="001F60A5"/>
    <w:rsid w:val="001F627C"/>
    <w:rsid w:val="001F63F2"/>
    <w:rsid w:val="001F65D7"/>
    <w:rsid w:val="001F6D99"/>
    <w:rsid w:val="001F7E6E"/>
    <w:rsid w:val="002004BF"/>
    <w:rsid w:val="00200519"/>
    <w:rsid w:val="0020097A"/>
    <w:rsid w:val="00200E3F"/>
    <w:rsid w:val="00201036"/>
    <w:rsid w:val="002012F2"/>
    <w:rsid w:val="00201696"/>
    <w:rsid w:val="00201A4D"/>
    <w:rsid w:val="0020207B"/>
    <w:rsid w:val="0020249A"/>
    <w:rsid w:val="00202AE1"/>
    <w:rsid w:val="00202BA5"/>
    <w:rsid w:val="0020317E"/>
    <w:rsid w:val="002048BD"/>
    <w:rsid w:val="002051D7"/>
    <w:rsid w:val="00205BED"/>
    <w:rsid w:val="00205FC5"/>
    <w:rsid w:val="002065EF"/>
    <w:rsid w:val="0020678F"/>
    <w:rsid w:val="00206790"/>
    <w:rsid w:val="002069C2"/>
    <w:rsid w:val="00206D23"/>
    <w:rsid w:val="00207439"/>
    <w:rsid w:val="00207D0E"/>
    <w:rsid w:val="00207FDD"/>
    <w:rsid w:val="00210ACB"/>
    <w:rsid w:val="00210E10"/>
    <w:rsid w:val="00210EE6"/>
    <w:rsid w:val="00211013"/>
    <w:rsid w:val="00211219"/>
    <w:rsid w:val="0021134E"/>
    <w:rsid w:val="002113F6"/>
    <w:rsid w:val="00211656"/>
    <w:rsid w:val="00211863"/>
    <w:rsid w:val="002118F9"/>
    <w:rsid w:val="00211983"/>
    <w:rsid w:val="00211B19"/>
    <w:rsid w:val="00211DD1"/>
    <w:rsid w:val="00212399"/>
    <w:rsid w:val="00212852"/>
    <w:rsid w:val="00212D8C"/>
    <w:rsid w:val="00213115"/>
    <w:rsid w:val="00213640"/>
    <w:rsid w:val="00213A9F"/>
    <w:rsid w:val="00213AFB"/>
    <w:rsid w:val="002140F0"/>
    <w:rsid w:val="00214284"/>
    <w:rsid w:val="00214386"/>
    <w:rsid w:val="002144E6"/>
    <w:rsid w:val="002146C8"/>
    <w:rsid w:val="00214B54"/>
    <w:rsid w:val="00214DC1"/>
    <w:rsid w:val="00214E2C"/>
    <w:rsid w:val="00214ED3"/>
    <w:rsid w:val="00215120"/>
    <w:rsid w:val="002155B1"/>
    <w:rsid w:val="00215822"/>
    <w:rsid w:val="002159CB"/>
    <w:rsid w:val="00215A0F"/>
    <w:rsid w:val="00215B25"/>
    <w:rsid w:val="00215C1F"/>
    <w:rsid w:val="00216722"/>
    <w:rsid w:val="0021683E"/>
    <w:rsid w:val="0021697A"/>
    <w:rsid w:val="002169F7"/>
    <w:rsid w:val="00217081"/>
    <w:rsid w:val="002177E0"/>
    <w:rsid w:val="00217BE0"/>
    <w:rsid w:val="00217EE2"/>
    <w:rsid w:val="0022083D"/>
    <w:rsid w:val="00220A02"/>
    <w:rsid w:val="00220DE7"/>
    <w:rsid w:val="00221EDB"/>
    <w:rsid w:val="002221D5"/>
    <w:rsid w:val="00222B7C"/>
    <w:rsid w:val="00222D6C"/>
    <w:rsid w:val="00222DBE"/>
    <w:rsid w:val="002237FE"/>
    <w:rsid w:val="00223898"/>
    <w:rsid w:val="00223A17"/>
    <w:rsid w:val="00223A77"/>
    <w:rsid w:val="00223D07"/>
    <w:rsid w:val="00223EAC"/>
    <w:rsid w:val="00225389"/>
    <w:rsid w:val="002253D5"/>
    <w:rsid w:val="00225AFD"/>
    <w:rsid w:val="00225EA0"/>
    <w:rsid w:val="00225FE1"/>
    <w:rsid w:val="002260EE"/>
    <w:rsid w:val="00226146"/>
    <w:rsid w:val="002270E5"/>
    <w:rsid w:val="00227192"/>
    <w:rsid w:val="00227378"/>
    <w:rsid w:val="0022789C"/>
    <w:rsid w:val="00230A08"/>
    <w:rsid w:val="00230BD3"/>
    <w:rsid w:val="00230FF9"/>
    <w:rsid w:val="00231FD7"/>
    <w:rsid w:val="002320F6"/>
    <w:rsid w:val="00232380"/>
    <w:rsid w:val="00232581"/>
    <w:rsid w:val="00233A89"/>
    <w:rsid w:val="00233EC6"/>
    <w:rsid w:val="00233F86"/>
    <w:rsid w:val="00233F93"/>
    <w:rsid w:val="002342F8"/>
    <w:rsid w:val="002344F9"/>
    <w:rsid w:val="00234B2F"/>
    <w:rsid w:val="002350AF"/>
    <w:rsid w:val="0023521E"/>
    <w:rsid w:val="00235616"/>
    <w:rsid w:val="00235917"/>
    <w:rsid w:val="00235B21"/>
    <w:rsid w:val="00235CCD"/>
    <w:rsid w:val="00236649"/>
    <w:rsid w:val="002366F1"/>
    <w:rsid w:val="00236831"/>
    <w:rsid w:val="00236903"/>
    <w:rsid w:val="002379CE"/>
    <w:rsid w:val="002405C8"/>
    <w:rsid w:val="002407CE"/>
    <w:rsid w:val="002411E7"/>
    <w:rsid w:val="00241E39"/>
    <w:rsid w:val="0024245D"/>
    <w:rsid w:val="00243592"/>
    <w:rsid w:val="00243731"/>
    <w:rsid w:val="00243A84"/>
    <w:rsid w:val="00243DA3"/>
    <w:rsid w:val="00245558"/>
    <w:rsid w:val="00245573"/>
    <w:rsid w:val="00245921"/>
    <w:rsid w:val="00245BFD"/>
    <w:rsid w:val="00245EE3"/>
    <w:rsid w:val="00246FC4"/>
    <w:rsid w:val="002472DA"/>
    <w:rsid w:val="0025002D"/>
    <w:rsid w:val="00250138"/>
    <w:rsid w:val="0025037F"/>
    <w:rsid w:val="002503E1"/>
    <w:rsid w:val="00250982"/>
    <w:rsid w:val="00250FBF"/>
    <w:rsid w:val="00251204"/>
    <w:rsid w:val="00251B45"/>
    <w:rsid w:val="00252FA1"/>
    <w:rsid w:val="00253365"/>
    <w:rsid w:val="002533AE"/>
    <w:rsid w:val="00253853"/>
    <w:rsid w:val="00253B71"/>
    <w:rsid w:val="00253D89"/>
    <w:rsid w:val="002540AA"/>
    <w:rsid w:val="002541B1"/>
    <w:rsid w:val="002544FB"/>
    <w:rsid w:val="00254EB7"/>
    <w:rsid w:val="002559BD"/>
    <w:rsid w:val="00255B9B"/>
    <w:rsid w:val="00255CB9"/>
    <w:rsid w:val="00256C5B"/>
    <w:rsid w:val="0025752F"/>
    <w:rsid w:val="00257560"/>
    <w:rsid w:val="0025780B"/>
    <w:rsid w:val="00257810"/>
    <w:rsid w:val="00257A3E"/>
    <w:rsid w:val="00257EC1"/>
    <w:rsid w:val="002600A0"/>
    <w:rsid w:val="00260529"/>
    <w:rsid w:val="00260B66"/>
    <w:rsid w:val="00261520"/>
    <w:rsid w:val="002615C8"/>
    <w:rsid w:val="002618FC"/>
    <w:rsid w:val="00262053"/>
    <w:rsid w:val="002621D6"/>
    <w:rsid w:val="00262282"/>
    <w:rsid w:val="0026240A"/>
    <w:rsid w:val="002632F1"/>
    <w:rsid w:val="00263964"/>
    <w:rsid w:val="00263E92"/>
    <w:rsid w:val="002642C7"/>
    <w:rsid w:val="0026436A"/>
    <w:rsid w:val="00264429"/>
    <w:rsid w:val="002649AD"/>
    <w:rsid w:val="00264EA1"/>
    <w:rsid w:val="002650E1"/>
    <w:rsid w:val="00265865"/>
    <w:rsid w:val="002662FC"/>
    <w:rsid w:val="00266F1E"/>
    <w:rsid w:val="00266F31"/>
    <w:rsid w:val="00266FCE"/>
    <w:rsid w:val="002670A3"/>
    <w:rsid w:val="0026713C"/>
    <w:rsid w:val="00267477"/>
    <w:rsid w:val="00267B6D"/>
    <w:rsid w:val="00270207"/>
    <w:rsid w:val="00270A91"/>
    <w:rsid w:val="00271182"/>
    <w:rsid w:val="00271486"/>
    <w:rsid w:val="0027170F"/>
    <w:rsid w:val="00271CDB"/>
    <w:rsid w:val="00271FD9"/>
    <w:rsid w:val="002720ED"/>
    <w:rsid w:val="00272328"/>
    <w:rsid w:val="002728B7"/>
    <w:rsid w:val="002728B9"/>
    <w:rsid w:val="00272E56"/>
    <w:rsid w:val="00273110"/>
    <w:rsid w:val="00273662"/>
    <w:rsid w:val="0027473D"/>
    <w:rsid w:val="002748C0"/>
    <w:rsid w:val="00275229"/>
    <w:rsid w:val="002756EC"/>
    <w:rsid w:val="00275956"/>
    <w:rsid w:val="00275C50"/>
    <w:rsid w:val="00275F49"/>
    <w:rsid w:val="00276241"/>
    <w:rsid w:val="002767B7"/>
    <w:rsid w:val="00276B1E"/>
    <w:rsid w:val="00276B44"/>
    <w:rsid w:val="00276F55"/>
    <w:rsid w:val="00277170"/>
    <w:rsid w:val="00277FB9"/>
    <w:rsid w:val="00280807"/>
    <w:rsid w:val="002811E4"/>
    <w:rsid w:val="002817D0"/>
    <w:rsid w:val="00281DD3"/>
    <w:rsid w:val="00282C23"/>
    <w:rsid w:val="00283432"/>
    <w:rsid w:val="00283F23"/>
    <w:rsid w:val="0028407E"/>
    <w:rsid w:val="00284722"/>
    <w:rsid w:val="002847AC"/>
    <w:rsid w:val="0028480A"/>
    <w:rsid w:val="00284D5D"/>
    <w:rsid w:val="00284E0F"/>
    <w:rsid w:val="002851DC"/>
    <w:rsid w:val="002854BF"/>
    <w:rsid w:val="0028583D"/>
    <w:rsid w:val="00285EF4"/>
    <w:rsid w:val="0028665B"/>
    <w:rsid w:val="0028665D"/>
    <w:rsid w:val="002866B0"/>
    <w:rsid w:val="00286FF6"/>
    <w:rsid w:val="002872D5"/>
    <w:rsid w:val="002874FE"/>
    <w:rsid w:val="00287A5A"/>
    <w:rsid w:val="00287FFD"/>
    <w:rsid w:val="00290A35"/>
    <w:rsid w:val="002911BD"/>
    <w:rsid w:val="00291330"/>
    <w:rsid w:val="00291406"/>
    <w:rsid w:val="002917A6"/>
    <w:rsid w:val="00291BC2"/>
    <w:rsid w:val="002938D7"/>
    <w:rsid w:val="0029420A"/>
    <w:rsid w:val="00294289"/>
    <w:rsid w:val="00294A37"/>
    <w:rsid w:val="00294EDE"/>
    <w:rsid w:val="00294F9D"/>
    <w:rsid w:val="00295668"/>
    <w:rsid w:val="00295A21"/>
    <w:rsid w:val="00295B00"/>
    <w:rsid w:val="00295E1D"/>
    <w:rsid w:val="00295FEE"/>
    <w:rsid w:val="00296904"/>
    <w:rsid w:val="00297C94"/>
    <w:rsid w:val="002A000D"/>
    <w:rsid w:val="002A0394"/>
    <w:rsid w:val="002A0A88"/>
    <w:rsid w:val="002A1261"/>
    <w:rsid w:val="002A1365"/>
    <w:rsid w:val="002A1F01"/>
    <w:rsid w:val="002A21E1"/>
    <w:rsid w:val="002A2397"/>
    <w:rsid w:val="002A2495"/>
    <w:rsid w:val="002A2906"/>
    <w:rsid w:val="002A3253"/>
    <w:rsid w:val="002A34EE"/>
    <w:rsid w:val="002A3E3D"/>
    <w:rsid w:val="002A4295"/>
    <w:rsid w:val="002A44FE"/>
    <w:rsid w:val="002A49E4"/>
    <w:rsid w:val="002A4EC7"/>
    <w:rsid w:val="002A4F12"/>
    <w:rsid w:val="002A50DE"/>
    <w:rsid w:val="002A5816"/>
    <w:rsid w:val="002A5DE1"/>
    <w:rsid w:val="002A5E78"/>
    <w:rsid w:val="002A5F56"/>
    <w:rsid w:val="002A6137"/>
    <w:rsid w:val="002A6F97"/>
    <w:rsid w:val="002B03D1"/>
    <w:rsid w:val="002B05C5"/>
    <w:rsid w:val="002B0A7D"/>
    <w:rsid w:val="002B103E"/>
    <w:rsid w:val="002B1045"/>
    <w:rsid w:val="002B108F"/>
    <w:rsid w:val="002B10E7"/>
    <w:rsid w:val="002B1354"/>
    <w:rsid w:val="002B1D8D"/>
    <w:rsid w:val="002B24AB"/>
    <w:rsid w:val="002B24B7"/>
    <w:rsid w:val="002B266E"/>
    <w:rsid w:val="002B27CC"/>
    <w:rsid w:val="002B2C6B"/>
    <w:rsid w:val="002B323B"/>
    <w:rsid w:val="002B39C3"/>
    <w:rsid w:val="002B3DEE"/>
    <w:rsid w:val="002B3FF2"/>
    <w:rsid w:val="002B435A"/>
    <w:rsid w:val="002B4435"/>
    <w:rsid w:val="002B4A65"/>
    <w:rsid w:val="002B4BF3"/>
    <w:rsid w:val="002B4E37"/>
    <w:rsid w:val="002B4FC8"/>
    <w:rsid w:val="002B5594"/>
    <w:rsid w:val="002B5E56"/>
    <w:rsid w:val="002B62CD"/>
    <w:rsid w:val="002B6331"/>
    <w:rsid w:val="002B65C1"/>
    <w:rsid w:val="002B65E7"/>
    <w:rsid w:val="002B6821"/>
    <w:rsid w:val="002B683A"/>
    <w:rsid w:val="002B6840"/>
    <w:rsid w:val="002B6E76"/>
    <w:rsid w:val="002B7376"/>
    <w:rsid w:val="002C0261"/>
    <w:rsid w:val="002C0465"/>
    <w:rsid w:val="002C0922"/>
    <w:rsid w:val="002C0ACE"/>
    <w:rsid w:val="002C0B75"/>
    <w:rsid w:val="002C0D15"/>
    <w:rsid w:val="002C1420"/>
    <w:rsid w:val="002C154A"/>
    <w:rsid w:val="002C18DD"/>
    <w:rsid w:val="002C2E00"/>
    <w:rsid w:val="002C2E45"/>
    <w:rsid w:val="002C2E59"/>
    <w:rsid w:val="002C2E5F"/>
    <w:rsid w:val="002C2F17"/>
    <w:rsid w:val="002C32EB"/>
    <w:rsid w:val="002C3868"/>
    <w:rsid w:val="002C3CDC"/>
    <w:rsid w:val="002C3CEB"/>
    <w:rsid w:val="002C46D2"/>
    <w:rsid w:val="002C46E1"/>
    <w:rsid w:val="002C4EBB"/>
    <w:rsid w:val="002C5478"/>
    <w:rsid w:val="002C549D"/>
    <w:rsid w:val="002C54D7"/>
    <w:rsid w:val="002C57A9"/>
    <w:rsid w:val="002C5BB5"/>
    <w:rsid w:val="002C5CC1"/>
    <w:rsid w:val="002C5DBB"/>
    <w:rsid w:val="002C699F"/>
    <w:rsid w:val="002C7F8D"/>
    <w:rsid w:val="002D0001"/>
    <w:rsid w:val="002D0A83"/>
    <w:rsid w:val="002D10D4"/>
    <w:rsid w:val="002D1285"/>
    <w:rsid w:val="002D1483"/>
    <w:rsid w:val="002D15A8"/>
    <w:rsid w:val="002D17DB"/>
    <w:rsid w:val="002D1806"/>
    <w:rsid w:val="002D1E6B"/>
    <w:rsid w:val="002D20A5"/>
    <w:rsid w:val="002D2122"/>
    <w:rsid w:val="002D2555"/>
    <w:rsid w:val="002D2C2D"/>
    <w:rsid w:val="002D3A6F"/>
    <w:rsid w:val="002D3BD8"/>
    <w:rsid w:val="002D3BE7"/>
    <w:rsid w:val="002D3CC8"/>
    <w:rsid w:val="002D3CFA"/>
    <w:rsid w:val="002D3D71"/>
    <w:rsid w:val="002D3E01"/>
    <w:rsid w:val="002D3EEC"/>
    <w:rsid w:val="002D44DC"/>
    <w:rsid w:val="002D48CA"/>
    <w:rsid w:val="002D4CA5"/>
    <w:rsid w:val="002D4FA6"/>
    <w:rsid w:val="002D56B9"/>
    <w:rsid w:val="002D5D59"/>
    <w:rsid w:val="002D5D6A"/>
    <w:rsid w:val="002D6233"/>
    <w:rsid w:val="002D64BF"/>
    <w:rsid w:val="002D77D0"/>
    <w:rsid w:val="002D78C6"/>
    <w:rsid w:val="002E00D1"/>
    <w:rsid w:val="002E099B"/>
    <w:rsid w:val="002E0C0B"/>
    <w:rsid w:val="002E0DEE"/>
    <w:rsid w:val="002E1983"/>
    <w:rsid w:val="002E1FE8"/>
    <w:rsid w:val="002E2AC3"/>
    <w:rsid w:val="002E2E44"/>
    <w:rsid w:val="002E2FB5"/>
    <w:rsid w:val="002E33CC"/>
    <w:rsid w:val="002E3939"/>
    <w:rsid w:val="002E3FA8"/>
    <w:rsid w:val="002E40AC"/>
    <w:rsid w:val="002E412C"/>
    <w:rsid w:val="002E4213"/>
    <w:rsid w:val="002E42B8"/>
    <w:rsid w:val="002E4C00"/>
    <w:rsid w:val="002E59FA"/>
    <w:rsid w:val="002E5D0A"/>
    <w:rsid w:val="002E5E9A"/>
    <w:rsid w:val="002E6031"/>
    <w:rsid w:val="002E63D9"/>
    <w:rsid w:val="002E661D"/>
    <w:rsid w:val="002E6785"/>
    <w:rsid w:val="002E69FD"/>
    <w:rsid w:val="002E6BA6"/>
    <w:rsid w:val="002E747F"/>
    <w:rsid w:val="002E7614"/>
    <w:rsid w:val="002E78C2"/>
    <w:rsid w:val="002F107C"/>
    <w:rsid w:val="002F134B"/>
    <w:rsid w:val="002F13DA"/>
    <w:rsid w:val="002F166E"/>
    <w:rsid w:val="002F1C82"/>
    <w:rsid w:val="002F2297"/>
    <w:rsid w:val="002F2BD0"/>
    <w:rsid w:val="002F2D00"/>
    <w:rsid w:val="002F3118"/>
    <w:rsid w:val="002F333B"/>
    <w:rsid w:val="002F3346"/>
    <w:rsid w:val="002F3580"/>
    <w:rsid w:val="002F3756"/>
    <w:rsid w:val="002F378E"/>
    <w:rsid w:val="002F3A4F"/>
    <w:rsid w:val="002F3AAB"/>
    <w:rsid w:val="002F3E40"/>
    <w:rsid w:val="002F4384"/>
    <w:rsid w:val="002F4A2B"/>
    <w:rsid w:val="002F571E"/>
    <w:rsid w:val="002F607E"/>
    <w:rsid w:val="002F62C9"/>
    <w:rsid w:val="002F649B"/>
    <w:rsid w:val="002F6635"/>
    <w:rsid w:val="002F6862"/>
    <w:rsid w:val="002F6AA8"/>
    <w:rsid w:val="002F6D2B"/>
    <w:rsid w:val="002F7DA2"/>
    <w:rsid w:val="00300815"/>
    <w:rsid w:val="00300D72"/>
    <w:rsid w:val="003013F6"/>
    <w:rsid w:val="00301616"/>
    <w:rsid w:val="00301860"/>
    <w:rsid w:val="00301BF4"/>
    <w:rsid w:val="00301F8D"/>
    <w:rsid w:val="00302322"/>
    <w:rsid w:val="003029AC"/>
    <w:rsid w:val="00302BCB"/>
    <w:rsid w:val="003030FA"/>
    <w:rsid w:val="003034D9"/>
    <w:rsid w:val="0030367A"/>
    <w:rsid w:val="0030372A"/>
    <w:rsid w:val="00304204"/>
    <w:rsid w:val="003042BD"/>
    <w:rsid w:val="003043F3"/>
    <w:rsid w:val="00304CD5"/>
    <w:rsid w:val="00304ED8"/>
    <w:rsid w:val="00304F42"/>
    <w:rsid w:val="00304FB6"/>
    <w:rsid w:val="0030520B"/>
    <w:rsid w:val="00305225"/>
    <w:rsid w:val="003052F5"/>
    <w:rsid w:val="00305532"/>
    <w:rsid w:val="00305BFD"/>
    <w:rsid w:val="00306183"/>
    <w:rsid w:val="003065D0"/>
    <w:rsid w:val="00306861"/>
    <w:rsid w:val="00306CD0"/>
    <w:rsid w:val="00306E64"/>
    <w:rsid w:val="00307333"/>
    <w:rsid w:val="00307CC4"/>
    <w:rsid w:val="00307D98"/>
    <w:rsid w:val="00307EE1"/>
    <w:rsid w:val="00310E20"/>
    <w:rsid w:val="00310E2F"/>
    <w:rsid w:val="00310FD3"/>
    <w:rsid w:val="003112ED"/>
    <w:rsid w:val="00311511"/>
    <w:rsid w:val="0031156A"/>
    <w:rsid w:val="00311771"/>
    <w:rsid w:val="00311B8B"/>
    <w:rsid w:val="00311C79"/>
    <w:rsid w:val="00312267"/>
    <w:rsid w:val="0031245F"/>
    <w:rsid w:val="003129CF"/>
    <w:rsid w:val="00312E90"/>
    <w:rsid w:val="00313530"/>
    <w:rsid w:val="00313674"/>
    <w:rsid w:val="003137A8"/>
    <w:rsid w:val="00313906"/>
    <w:rsid w:val="00313A34"/>
    <w:rsid w:val="00313CED"/>
    <w:rsid w:val="00313EB7"/>
    <w:rsid w:val="00314431"/>
    <w:rsid w:val="003148EF"/>
    <w:rsid w:val="00314D05"/>
    <w:rsid w:val="00314F82"/>
    <w:rsid w:val="00314F96"/>
    <w:rsid w:val="00314FF2"/>
    <w:rsid w:val="003151C9"/>
    <w:rsid w:val="00315202"/>
    <w:rsid w:val="00315935"/>
    <w:rsid w:val="00315D41"/>
    <w:rsid w:val="00315DD2"/>
    <w:rsid w:val="00315EAA"/>
    <w:rsid w:val="00316052"/>
    <w:rsid w:val="0031624D"/>
    <w:rsid w:val="003163FB"/>
    <w:rsid w:val="00316689"/>
    <w:rsid w:val="0031686F"/>
    <w:rsid w:val="00317041"/>
    <w:rsid w:val="003176BB"/>
    <w:rsid w:val="003178FA"/>
    <w:rsid w:val="00320129"/>
    <w:rsid w:val="00320447"/>
    <w:rsid w:val="003209CE"/>
    <w:rsid w:val="00320C75"/>
    <w:rsid w:val="00320D02"/>
    <w:rsid w:val="00320DF6"/>
    <w:rsid w:val="0032135B"/>
    <w:rsid w:val="00321608"/>
    <w:rsid w:val="003219F9"/>
    <w:rsid w:val="0032216A"/>
    <w:rsid w:val="003225D9"/>
    <w:rsid w:val="00322723"/>
    <w:rsid w:val="00324C43"/>
    <w:rsid w:val="00324CC1"/>
    <w:rsid w:val="00324CCD"/>
    <w:rsid w:val="00324DD7"/>
    <w:rsid w:val="00324EF8"/>
    <w:rsid w:val="0032507A"/>
    <w:rsid w:val="00325920"/>
    <w:rsid w:val="00325DB3"/>
    <w:rsid w:val="003265FC"/>
    <w:rsid w:val="00326D0E"/>
    <w:rsid w:val="00326DC5"/>
    <w:rsid w:val="003272C6"/>
    <w:rsid w:val="00327342"/>
    <w:rsid w:val="0032737E"/>
    <w:rsid w:val="0032792B"/>
    <w:rsid w:val="00330179"/>
    <w:rsid w:val="003307B8"/>
    <w:rsid w:val="003308AA"/>
    <w:rsid w:val="003308AD"/>
    <w:rsid w:val="00330BAC"/>
    <w:rsid w:val="00330CC7"/>
    <w:rsid w:val="00330DE6"/>
    <w:rsid w:val="00330F8F"/>
    <w:rsid w:val="003311FE"/>
    <w:rsid w:val="00331420"/>
    <w:rsid w:val="00331A85"/>
    <w:rsid w:val="00331C38"/>
    <w:rsid w:val="00331EF2"/>
    <w:rsid w:val="003321AB"/>
    <w:rsid w:val="00332548"/>
    <w:rsid w:val="0033273E"/>
    <w:rsid w:val="00333927"/>
    <w:rsid w:val="00333A72"/>
    <w:rsid w:val="00333ABF"/>
    <w:rsid w:val="00333C67"/>
    <w:rsid w:val="00333CE3"/>
    <w:rsid w:val="003341F5"/>
    <w:rsid w:val="00334C54"/>
    <w:rsid w:val="00335974"/>
    <w:rsid w:val="00335B8A"/>
    <w:rsid w:val="00335BB5"/>
    <w:rsid w:val="00335D24"/>
    <w:rsid w:val="00335EE3"/>
    <w:rsid w:val="00337431"/>
    <w:rsid w:val="00337728"/>
    <w:rsid w:val="00340637"/>
    <w:rsid w:val="00340764"/>
    <w:rsid w:val="003409A2"/>
    <w:rsid w:val="00340A7C"/>
    <w:rsid w:val="00341C97"/>
    <w:rsid w:val="00341CA0"/>
    <w:rsid w:val="00341D21"/>
    <w:rsid w:val="003421EC"/>
    <w:rsid w:val="00342278"/>
    <w:rsid w:val="00342990"/>
    <w:rsid w:val="00343127"/>
    <w:rsid w:val="00343283"/>
    <w:rsid w:val="00343ABF"/>
    <w:rsid w:val="0034432D"/>
    <w:rsid w:val="00344984"/>
    <w:rsid w:val="00344C57"/>
    <w:rsid w:val="0034501A"/>
    <w:rsid w:val="0034558A"/>
    <w:rsid w:val="00346418"/>
    <w:rsid w:val="00346422"/>
    <w:rsid w:val="00346FC9"/>
    <w:rsid w:val="0034704A"/>
    <w:rsid w:val="00347364"/>
    <w:rsid w:val="003474FA"/>
    <w:rsid w:val="00347939"/>
    <w:rsid w:val="00347CBE"/>
    <w:rsid w:val="0035016F"/>
    <w:rsid w:val="00350D30"/>
    <w:rsid w:val="00350F68"/>
    <w:rsid w:val="00350FCC"/>
    <w:rsid w:val="00351193"/>
    <w:rsid w:val="003513CC"/>
    <w:rsid w:val="003518C4"/>
    <w:rsid w:val="00351DD8"/>
    <w:rsid w:val="00351F16"/>
    <w:rsid w:val="003524E8"/>
    <w:rsid w:val="003528A3"/>
    <w:rsid w:val="00352B56"/>
    <w:rsid w:val="0035312A"/>
    <w:rsid w:val="003531C0"/>
    <w:rsid w:val="00353F11"/>
    <w:rsid w:val="00354174"/>
    <w:rsid w:val="003541C5"/>
    <w:rsid w:val="0035463D"/>
    <w:rsid w:val="00354662"/>
    <w:rsid w:val="00354A94"/>
    <w:rsid w:val="003551DE"/>
    <w:rsid w:val="003553EA"/>
    <w:rsid w:val="00356494"/>
    <w:rsid w:val="00356B44"/>
    <w:rsid w:val="00356E14"/>
    <w:rsid w:val="0035711F"/>
    <w:rsid w:val="00357584"/>
    <w:rsid w:val="003577F5"/>
    <w:rsid w:val="003579A5"/>
    <w:rsid w:val="00357DD0"/>
    <w:rsid w:val="00360690"/>
    <w:rsid w:val="00361390"/>
    <w:rsid w:val="00361680"/>
    <w:rsid w:val="00361E56"/>
    <w:rsid w:val="00362108"/>
    <w:rsid w:val="00362539"/>
    <w:rsid w:val="00362574"/>
    <w:rsid w:val="00362A56"/>
    <w:rsid w:val="00362B30"/>
    <w:rsid w:val="00363178"/>
    <w:rsid w:val="003632D0"/>
    <w:rsid w:val="00363624"/>
    <w:rsid w:val="00363649"/>
    <w:rsid w:val="00363694"/>
    <w:rsid w:val="00363ADF"/>
    <w:rsid w:val="003642AF"/>
    <w:rsid w:val="00364B3D"/>
    <w:rsid w:val="00364C70"/>
    <w:rsid w:val="003657B5"/>
    <w:rsid w:val="00365A8A"/>
    <w:rsid w:val="00365DAA"/>
    <w:rsid w:val="003675BE"/>
    <w:rsid w:val="0036793A"/>
    <w:rsid w:val="003706B0"/>
    <w:rsid w:val="00370781"/>
    <w:rsid w:val="00370B30"/>
    <w:rsid w:val="00370BF7"/>
    <w:rsid w:val="00370C55"/>
    <w:rsid w:val="003714E4"/>
    <w:rsid w:val="0037192E"/>
    <w:rsid w:val="00371DB0"/>
    <w:rsid w:val="00371F5E"/>
    <w:rsid w:val="00372046"/>
    <w:rsid w:val="00372476"/>
    <w:rsid w:val="003724A5"/>
    <w:rsid w:val="00372C98"/>
    <w:rsid w:val="00372CF5"/>
    <w:rsid w:val="00372ECF"/>
    <w:rsid w:val="0037369F"/>
    <w:rsid w:val="00373AF2"/>
    <w:rsid w:val="00373FC0"/>
    <w:rsid w:val="00373FE4"/>
    <w:rsid w:val="003740E3"/>
    <w:rsid w:val="003742A7"/>
    <w:rsid w:val="00374D21"/>
    <w:rsid w:val="003758D4"/>
    <w:rsid w:val="00375927"/>
    <w:rsid w:val="003759B0"/>
    <w:rsid w:val="00375AB0"/>
    <w:rsid w:val="00376248"/>
    <w:rsid w:val="003764E3"/>
    <w:rsid w:val="003764F9"/>
    <w:rsid w:val="00376A8B"/>
    <w:rsid w:val="0037711F"/>
    <w:rsid w:val="003776C1"/>
    <w:rsid w:val="00377A06"/>
    <w:rsid w:val="00380106"/>
    <w:rsid w:val="00380255"/>
    <w:rsid w:val="0038029A"/>
    <w:rsid w:val="00380542"/>
    <w:rsid w:val="0038079F"/>
    <w:rsid w:val="003807C4"/>
    <w:rsid w:val="00380DAD"/>
    <w:rsid w:val="00381082"/>
    <w:rsid w:val="003810BF"/>
    <w:rsid w:val="0038167F"/>
    <w:rsid w:val="003816F6"/>
    <w:rsid w:val="00381B7B"/>
    <w:rsid w:val="003822EF"/>
    <w:rsid w:val="00383E3A"/>
    <w:rsid w:val="00384890"/>
    <w:rsid w:val="00384B43"/>
    <w:rsid w:val="00384E73"/>
    <w:rsid w:val="00384F43"/>
    <w:rsid w:val="003859CC"/>
    <w:rsid w:val="00385D26"/>
    <w:rsid w:val="00385EB7"/>
    <w:rsid w:val="00387204"/>
    <w:rsid w:val="003878D1"/>
    <w:rsid w:val="003879A8"/>
    <w:rsid w:val="00387A40"/>
    <w:rsid w:val="00387BE1"/>
    <w:rsid w:val="00387E70"/>
    <w:rsid w:val="00387FA7"/>
    <w:rsid w:val="00390056"/>
    <w:rsid w:val="0039044D"/>
    <w:rsid w:val="00390DE3"/>
    <w:rsid w:val="003913B8"/>
    <w:rsid w:val="003916BF"/>
    <w:rsid w:val="003918B2"/>
    <w:rsid w:val="00391F3F"/>
    <w:rsid w:val="003920D5"/>
    <w:rsid w:val="00392151"/>
    <w:rsid w:val="003923CC"/>
    <w:rsid w:val="00392534"/>
    <w:rsid w:val="003926DF"/>
    <w:rsid w:val="00392AD3"/>
    <w:rsid w:val="00392F6B"/>
    <w:rsid w:val="003930A1"/>
    <w:rsid w:val="00393518"/>
    <w:rsid w:val="003936E4"/>
    <w:rsid w:val="0039392D"/>
    <w:rsid w:val="00393F89"/>
    <w:rsid w:val="00394EDA"/>
    <w:rsid w:val="003953A8"/>
    <w:rsid w:val="003955EA"/>
    <w:rsid w:val="0039591A"/>
    <w:rsid w:val="0039597A"/>
    <w:rsid w:val="00395C17"/>
    <w:rsid w:val="00395EBE"/>
    <w:rsid w:val="003960F4"/>
    <w:rsid w:val="00396625"/>
    <w:rsid w:val="00396644"/>
    <w:rsid w:val="00396945"/>
    <w:rsid w:val="00396FAD"/>
    <w:rsid w:val="0039729A"/>
    <w:rsid w:val="003972E5"/>
    <w:rsid w:val="00397BE5"/>
    <w:rsid w:val="003A060B"/>
    <w:rsid w:val="003A12FC"/>
    <w:rsid w:val="003A186C"/>
    <w:rsid w:val="003A1AF8"/>
    <w:rsid w:val="003A1BC8"/>
    <w:rsid w:val="003A1BFD"/>
    <w:rsid w:val="003A1E02"/>
    <w:rsid w:val="003A1FFA"/>
    <w:rsid w:val="003A2647"/>
    <w:rsid w:val="003A2AFE"/>
    <w:rsid w:val="003A31F4"/>
    <w:rsid w:val="003A3206"/>
    <w:rsid w:val="003A35A6"/>
    <w:rsid w:val="003A37DA"/>
    <w:rsid w:val="003A388F"/>
    <w:rsid w:val="003A3933"/>
    <w:rsid w:val="003A3C1D"/>
    <w:rsid w:val="003A3F7D"/>
    <w:rsid w:val="003A3FE5"/>
    <w:rsid w:val="003A40AF"/>
    <w:rsid w:val="003A42F1"/>
    <w:rsid w:val="003A481B"/>
    <w:rsid w:val="003A498E"/>
    <w:rsid w:val="003A4AF1"/>
    <w:rsid w:val="003A4F81"/>
    <w:rsid w:val="003A4F96"/>
    <w:rsid w:val="003A5157"/>
    <w:rsid w:val="003A561B"/>
    <w:rsid w:val="003A5917"/>
    <w:rsid w:val="003A5A31"/>
    <w:rsid w:val="003A5AE7"/>
    <w:rsid w:val="003A5F11"/>
    <w:rsid w:val="003A6054"/>
    <w:rsid w:val="003A668C"/>
    <w:rsid w:val="003A6880"/>
    <w:rsid w:val="003A6E87"/>
    <w:rsid w:val="003A7446"/>
    <w:rsid w:val="003A788D"/>
    <w:rsid w:val="003A7929"/>
    <w:rsid w:val="003A7BE1"/>
    <w:rsid w:val="003B016F"/>
    <w:rsid w:val="003B0E22"/>
    <w:rsid w:val="003B11D2"/>
    <w:rsid w:val="003B12BA"/>
    <w:rsid w:val="003B230A"/>
    <w:rsid w:val="003B2732"/>
    <w:rsid w:val="003B2A7D"/>
    <w:rsid w:val="003B2CC1"/>
    <w:rsid w:val="003B2D04"/>
    <w:rsid w:val="003B2F46"/>
    <w:rsid w:val="003B3008"/>
    <w:rsid w:val="003B3393"/>
    <w:rsid w:val="003B398C"/>
    <w:rsid w:val="003B3A37"/>
    <w:rsid w:val="003B3F32"/>
    <w:rsid w:val="003B43AD"/>
    <w:rsid w:val="003B45C7"/>
    <w:rsid w:val="003B4B36"/>
    <w:rsid w:val="003B4C74"/>
    <w:rsid w:val="003B53FB"/>
    <w:rsid w:val="003B54BE"/>
    <w:rsid w:val="003B5859"/>
    <w:rsid w:val="003B5CA8"/>
    <w:rsid w:val="003B5DA7"/>
    <w:rsid w:val="003B624C"/>
    <w:rsid w:val="003B63E6"/>
    <w:rsid w:val="003B6A0C"/>
    <w:rsid w:val="003B6C53"/>
    <w:rsid w:val="003B73CD"/>
    <w:rsid w:val="003B7700"/>
    <w:rsid w:val="003B78E0"/>
    <w:rsid w:val="003B7B51"/>
    <w:rsid w:val="003B7D74"/>
    <w:rsid w:val="003B7EA6"/>
    <w:rsid w:val="003C028D"/>
    <w:rsid w:val="003C0299"/>
    <w:rsid w:val="003C02A0"/>
    <w:rsid w:val="003C0A54"/>
    <w:rsid w:val="003C0F7A"/>
    <w:rsid w:val="003C10C1"/>
    <w:rsid w:val="003C1195"/>
    <w:rsid w:val="003C16B5"/>
    <w:rsid w:val="003C16C0"/>
    <w:rsid w:val="003C23E9"/>
    <w:rsid w:val="003C2763"/>
    <w:rsid w:val="003C28B4"/>
    <w:rsid w:val="003C2DC4"/>
    <w:rsid w:val="003C32FA"/>
    <w:rsid w:val="003C37EC"/>
    <w:rsid w:val="003C3BE6"/>
    <w:rsid w:val="003C3D56"/>
    <w:rsid w:val="003C4457"/>
    <w:rsid w:val="003C471C"/>
    <w:rsid w:val="003C490B"/>
    <w:rsid w:val="003C4E21"/>
    <w:rsid w:val="003C5009"/>
    <w:rsid w:val="003C6814"/>
    <w:rsid w:val="003D080A"/>
    <w:rsid w:val="003D0ACE"/>
    <w:rsid w:val="003D0D5A"/>
    <w:rsid w:val="003D102A"/>
    <w:rsid w:val="003D1E4B"/>
    <w:rsid w:val="003D2163"/>
    <w:rsid w:val="003D25C3"/>
    <w:rsid w:val="003D2C65"/>
    <w:rsid w:val="003D2FF7"/>
    <w:rsid w:val="003D35EE"/>
    <w:rsid w:val="003D3982"/>
    <w:rsid w:val="003D3C16"/>
    <w:rsid w:val="003D43A4"/>
    <w:rsid w:val="003D4405"/>
    <w:rsid w:val="003D4C54"/>
    <w:rsid w:val="003D50DD"/>
    <w:rsid w:val="003D5224"/>
    <w:rsid w:val="003D5715"/>
    <w:rsid w:val="003D57DE"/>
    <w:rsid w:val="003D5BF2"/>
    <w:rsid w:val="003D5C0B"/>
    <w:rsid w:val="003D5D05"/>
    <w:rsid w:val="003D6156"/>
    <w:rsid w:val="003D641D"/>
    <w:rsid w:val="003D6426"/>
    <w:rsid w:val="003D64BD"/>
    <w:rsid w:val="003D6635"/>
    <w:rsid w:val="003D69F8"/>
    <w:rsid w:val="003D72C7"/>
    <w:rsid w:val="003D749D"/>
    <w:rsid w:val="003D7B98"/>
    <w:rsid w:val="003E05B4"/>
    <w:rsid w:val="003E0614"/>
    <w:rsid w:val="003E064E"/>
    <w:rsid w:val="003E0728"/>
    <w:rsid w:val="003E0906"/>
    <w:rsid w:val="003E0B7E"/>
    <w:rsid w:val="003E0B8F"/>
    <w:rsid w:val="003E0CF5"/>
    <w:rsid w:val="003E1233"/>
    <w:rsid w:val="003E165E"/>
    <w:rsid w:val="003E2320"/>
    <w:rsid w:val="003E2FA9"/>
    <w:rsid w:val="003E3142"/>
    <w:rsid w:val="003E3800"/>
    <w:rsid w:val="003E3849"/>
    <w:rsid w:val="003E3BF8"/>
    <w:rsid w:val="003E3EFB"/>
    <w:rsid w:val="003E3F89"/>
    <w:rsid w:val="003E3FC3"/>
    <w:rsid w:val="003E40F5"/>
    <w:rsid w:val="003E43D9"/>
    <w:rsid w:val="003E4E60"/>
    <w:rsid w:val="003E6655"/>
    <w:rsid w:val="003E69B5"/>
    <w:rsid w:val="003E6E86"/>
    <w:rsid w:val="003E6EE2"/>
    <w:rsid w:val="003E73D3"/>
    <w:rsid w:val="003E7403"/>
    <w:rsid w:val="003E75D1"/>
    <w:rsid w:val="003E7D85"/>
    <w:rsid w:val="003F05F1"/>
    <w:rsid w:val="003F0692"/>
    <w:rsid w:val="003F0954"/>
    <w:rsid w:val="003F0A39"/>
    <w:rsid w:val="003F0F82"/>
    <w:rsid w:val="003F100F"/>
    <w:rsid w:val="003F14DD"/>
    <w:rsid w:val="003F1574"/>
    <w:rsid w:val="003F1944"/>
    <w:rsid w:val="003F22CA"/>
    <w:rsid w:val="003F2741"/>
    <w:rsid w:val="003F2BFA"/>
    <w:rsid w:val="003F300F"/>
    <w:rsid w:val="003F3593"/>
    <w:rsid w:val="003F3864"/>
    <w:rsid w:val="003F3D48"/>
    <w:rsid w:val="003F4394"/>
    <w:rsid w:val="003F4872"/>
    <w:rsid w:val="003F4A5D"/>
    <w:rsid w:val="003F4B10"/>
    <w:rsid w:val="003F5405"/>
    <w:rsid w:val="003F59E5"/>
    <w:rsid w:val="003F5A15"/>
    <w:rsid w:val="003F5B7F"/>
    <w:rsid w:val="003F5D9B"/>
    <w:rsid w:val="003F6541"/>
    <w:rsid w:val="003F79E4"/>
    <w:rsid w:val="003F7C70"/>
    <w:rsid w:val="00400165"/>
    <w:rsid w:val="0040109F"/>
    <w:rsid w:val="004013FA"/>
    <w:rsid w:val="00401B0E"/>
    <w:rsid w:val="00401C73"/>
    <w:rsid w:val="004023E4"/>
    <w:rsid w:val="00402AD0"/>
    <w:rsid w:val="0040300B"/>
    <w:rsid w:val="00403102"/>
    <w:rsid w:val="004031B4"/>
    <w:rsid w:val="00403271"/>
    <w:rsid w:val="00403A40"/>
    <w:rsid w:val="00403B1F"/>
    <w:rsid w:val="00403CCA"/>
    <w:rsid w:val="00404298"/>
    <w:rsid w:val="00404363"/>
    <w:rsid w:val="004048D7"/>
    <w:rsid w:val="0040510A"/>
    <w:rsid w:val="0040510E"/>
    <w:rsid w:val="00405505"/>
    <w:rsid w:val="004057E1"/>
    <w:rsid w:val="00405FEA"/>
    <w:rsid w:val="0040636D"/>
    <w:rsid w:val="004066A9"/>
    <w:rsid w:val="004066E9"/>
    <w:rsid w:val="00407887"/>
    <w:rsid w:val="00410413"/>
    <w:rsid w:val="0041054F"/>
    <w:rsid w:val="004105EF"/>
    <w:rsid w:val="00410F5C"/>
    <w:rsid w:val="00411258"/>
    <w:rsid w:val="004114F8"/>
    <w:rsid w:val="00411C27"/>
    <w:rsid w:val="00412D3B"/>
    <w:rsid w:val="0041340F"/>
    <w:rsid w:val="00413638"/>
    <w:rsid w:val="004137C8"/>
    <w:rsid w:val="00413E02"/>
    <w:rsid w:val="00413E46"/>
    <w:rsid w:val="00413F28"/>
    <w:rsid w:val="004145E0"/>
    <w:rsid w:val="004146D5"/>
    <w:rsid w:val="00414753"/>
    <w:rsid w:val="00414E81"/>
    <w:rsid w:val="0041552E"/>
    <w:rsid w:val="0041556F"/>
    <w:rsid w:val="0041575F"/>
    <w:rsid w:val="004157CE"/>
    <w:rsid w:val="00415D7F"/>
    <w:rsid w:val="00415DA6"/>
    <w:rsid w:val="0041664B"/>
    <w:rsid w:val="00416CEC"/>
    <w:rsid w:val="004174B0"/>
    <w:rsid w:val="00417563"/>
    <w:rsid w:val="004175F9"/>
    <w:rsid w:val="00417903"/>
    <w:rsid w:val="00417C30"/>
    <w:rsid w:val="00417FBE"/>
    <w:rsid w:val="0042015A"/>
    <w:rsid w:val="00420568"/>
    <w:rsid w:val="004207ED"/>
    <w:rsid w:val="00421285"/>
    <w:rsid w:val="004216CF"/>
    <w:rsid w:val="00421B11"/>
    <w:rsid w:val="00421F48"/>
    <w:rsid w:val="0042243E"/>
    <w:rsid w:val="004229B7"/>
    <w:rsid w:val="00422AC6"/>
    <w:rsid w:val="00423163"/>
    <w:rsid w:val="004234BD"/>
    <w:rsid w:val="004234BE"/>
    <w:rsid w:val="004234C5"/>
    <w:rsid w:val="00423B0F"/>
    <w:rsid w:val="0042477B"/>
    <w:rsid w:val="00424B65"/>
    <w:rsid w:val="00424D75"/>
    <w:rsid w:val="0042539F"/>
    <w:rsid w:val="00425625"/>
    <w:rsid w:val="00425BB6"/>
    <w:rsid w:val="00426A8F"/>
    <w:rsid w:val="00426E1F"/>
    <w:rsid w:val="0042710C"/>
    <w:rsid w:val="00427DBC"/>
    <w:rsid w:val="00427EB2"/>
    <w:rsid w:val="004302DD"/>
    <w:rsid w:val="004304A2"/>
    <w:rsid w:val="004305B4"/>
    <w:rsid w:val="00430B71"/>
    <w:rsid w:val="00430FCD"/>
    <w:rsid w:val="00431140"/>
    <w:rsid w:val="0043155D"/>
    <w:rsid w:val="004317E5"/>
    <w:rsid w:val="00432940"/>
    <w:rsid w:val="00432EEE"/>
    <w:rsid w:val="00432F65"/>
    <w:rsid w:val="0043311E"/>
    <w:rsid w:val="00433273"/>
    <w:rsid w:val="0043362B"/>
    <w:rsid w:val="004337E4"/>
    <w:rsid w:val="004339F0"/>
    <w:rsid w:val="00433A14"/>
    <w:rsid w:val="0043403E"/>
    <w:rsid w:val="0043424B"/>
    <w:rsid w:val="00434B3B"/>
    <w:rsid w:val="00434DD2"/>
    <w:rsid w:val="004355BA"/>
    <w:rsid w:val="004357E6"/>
    <w:rsid w:val="00435856"/>
    <w:rsid w:val="00435FA7"/>
    <w:rsid w:val="00436620"/>
    <w:rsid w:val="00436D8E"/>
    <w:rsid w:val="004372A6"/>
    <w:rsid w:val="00437383"/>
    <w:rsid w:val="0043767D"/>
    <w:rsid w:val="004377C6"/>
    <w:rsid w:val="00437BBE"/>
    <w:rsid w:val="00437D44"/>
    <w:rsid w:val="004402D8"/>
    <w:rsid w:val="00440A45"/>
    <w:rsid w:val="00440F8B"/>
    <w:rsid w:val="004411DE"/>
    <w:rsid w:val="004412C6"/>
    <w:rsid w:val="0044133B"/>
    <w:rsid w:val="00441431"/>
    <w:rsid w:val="0044146F"/>
    <w:rsid w:val="004416BE"/>
    <w:rsid w:val="00441803"/>
    <w:rsid w:val="00441B0F"/>
    <w:rsid w:val="00441F88"/>
    <w:rsid w:val="004426E6"/>
    <w:rsid w:val="00443706"/>
    <w:rsid w:val="004438E8"/>
    <w:rsid w:val="004439A3"/>
    <w:rsid w:val="00443BC5"/>
    <w:rsid w:val="00444062"/>
    <w:rsid w:val="004440BB"/>
    <w:rsid w:val="0044441C"/>
    <w:rsid w:val="00444562"/>
    <w:rsid w:val="00444626"/>
    <w:rsid w:val="00445855"/>
    <w:rsid w:val="0044590E"/>
    <w:rsid w:val="004464E0"/>
    <w:rsid w:val="00446AD2"/>
    <w:rsid w:val="00447C1C"/>
    <w:rsid w:val="00447E04"/>
    <w:rsid w:val="00450B4E"/>
    <w:rsid w:val="00450F59"/>
    <w:rsid w:val="00450F8C"/>
    <w:rsid w:val="00450FEE"/>
    <w:rsid w:val="00451687"/>
    <w:rsid w:val="004517C1"/>
    <w:rsid w:val="00451813"/>
    <w:rsid w:val="00451917"/>
    <w:rsid w:val="004522D4"/>
    <w:rsid w:val="004523ED"/>
    <w:rsid w:val="00452681"/>
    <w:rsid w:val="004526EE"/>
    <w:rsid w:val="00452A58"/>
    <w:rsid w:val="00452E06"/>
    <w:rsid w:val="004531F1"/>
    <w:rsid w:val="0045333B"/>
    <w:rsid w:val="004539F9"/>
    <w:rsid w:val="00453CBD"/>
    <w:rsid w:val="00453EE9"/>
    <w:rsid w:val="00453FE7"/>
    <w:rsid w:val="00454078"/>
    <w:rsid w:val="004542C9"/>
    <w:rsid w:val="0045431B"/>
    <w:rsid w:val="004544AB"/>
    <w:rsid w:val="00454794"/>
    <w:rsid w:val="00454D91"/>
    <w:rsid w:val="00454E76"/>
    <w:rsid w:val="00455164"/>
    <w:rsid w:val="00455833"/>
    <w:rsid w:val="00455E3F"/>
    <w:rsid w:val="00456412"/>
    <w:rsid w:val="004565DF"/>
    <w:rsid w:val="00456731"/>
    <w:rsid w:val="00457224"/>
    <w:rsid w:val="004572D3"/>
    <w:rsid w:val="004573A1"/>
    <w:rsid w:val="00457D84"/>
    <w:rsid w:val="00457EB0"/>
    <w:rsid w:val="00460169"/>
    <w:rsid w:val="004601AE"/>
    <w:rsid w:val="004603FD"/>
    <w:rsid w:val="00461103"/>
    <w:rsid w:val="00461198"/>
    <w:rsid w:val="004617CB"/>
    <w:rsid w:val="00461800"/>
    <w:rsid w:val="00462343"/>
    <w:rsid w:val="00462602"/>
    <w:rsid w:val="00462C6F"/>
    <w:rsid w:val="00463085"/>
    <w:rsid w:val="004632E8"/>
    <w:rsid w:val="0046331D"/>
    <w:rsid w:val="004642A9"/>
    <w:rsid w:val="004646CA"/>
    <w:rsid w:val="004649B8"/>
    <w:rsid w:val="00464C48"/>
    <w:rsid w:val="0046568E"/>
    <w:rsid w:val="0046579A"/>
    <w:rsid w:val="0046602A"/>
    <w:rsid w:val="00466140"/>
    <w:rsid w:val="00466157"/>
    <w:rsid w:val="00466297"/>
    <w:rsid w:val="004666EB"/>
    <w:rsid w:val="004667EC"/>
    <w:rsid w:val="00466F1B"/>
    <w:rsid w:val="00467031"/>
    <w:rsid w:val="004673DC"/>
    <w:rsid w:val="004678ED"/>
    <w:rsid w:val="00467C83"/>
    <w:rsid w:val="00467E1A"/>
    <w:rsid w:val="00470101"/>
    <w:rsid w:val="0047140B"/>
    <w:rsid w:val="00471574"/>
    <w:rsid w:val="00471A4D"/>
    <w:rsid w:val="00471F26"/>
    <w:rsid w:val="00472BCF"/>
    <w:rsid w:val="00473419"/>
    <w:rsid w:val="00473428"/>
    <w:rsid w:val="004734C6"/>
    <w:rsid w:val="00473C84"/>
    <w:rsid w:val="00473DEC"/>
    <w:rsid w:val="0047422E"/>
    <w:rsid w:val="00474356"/>
    <w:rsid w:val="00474FF1"/>
    <w:rsid w:val="00475599"/>
    <w:rsid w:val="004759CD"/>
    <w:rsid w:val="00475B7D"/>
    <w:rsid w:val="004764BC"/>
    <w:rsid w:val="00476A66"/>
    <w:rsid w:val="00476E56"/>
    <w:rsid w:val="00477EE1"/>
    <w:rsid w:val="004800D6"/>
    <w:rsid w:val="004801A8"/>
    <w:rsid w:val="004807EC"/>
    <w:rsid w:val="004808B9"/>
    <w:rsid w:val="0048188A"/>
    <w:rsid w:val="00481A55"/>
    <w:rsid w:val="00481DEE"/>
    <w:rsid w:val="00481E91"/>
    <w:rsid w:val="0048255D"/>
    <w:rsid w:val="00482B0A"/>
    <w:rsid w:val="00482EDE"/>
    <w:rsid w:val="00483203"/>
    <w:rsid w:val="004832D1"/>
    <w:rsid w:val="00483501"/>
    <w:rsid w:val="0048372B"/>
    <w:rsid w:val="00483807"/>
    <w:rsid w:val="00484036"/>
    <w:rsid w:val="004841B9"/>
    <w:rsid w:val="0048431D"/>
    <w:rsid w:val="004844FE"/>
    <w:rsid w:val="004844FF"/>
    <w:rsid w:val="00484662"/>
    <w:rsid w:val="00484791"/>
    <w:rsid w:val="004849E9"/>
    <w:rsid w:val="00484E22"/>
    <w:rsid w:val="004856D3"/>
    <w:rsid w:val="00485AD6"/>
    <w:rsid w:val="00485B44"/>
    <w:rsid w:val="0048620E"/>
    <w:rsid w:val="00486257"/>
    <w:rsid w:val="004876F1"/>
    <w:rsid w:val="004878BA"/>
    <w:rsid w:val="00487C82"/>
    <w:rsid w:val="00487DC9"/>
    <w:rsid w:val="00487F6D"/>
    <w:rsid w:val="0049007B"/>
    <w:rsid w:val="00490271"/>
    <w:rsid w:val="0049036F"/>
    <w:rsid w:val="004904BF"/>
    <w:rsid w:val="00490C68"/>
    <w:rsid w:val="00490F58"/>
    <w:rsid w:val="00490FAB"/>
    <w:rsid w:val="00490FBB"/>
    <w:rsid w:val="00491E66"/>
    <w:rsid w:val="00491E90"/>
    <w:rsid w:val="00491FC1"/>
    <w:rsid w:val="004929A0"/>
    <w:rsid w:val="00492FCA"/>
    <w:rsid w:val="00493648"/>
    <w:rsid w:val="004936C1"/>
    <w:rsid w:val="00493EB9"/>
    <w:rsid w:val="004940DB"/>
    <w:rsid w:val="00494829"/>
    <w:rsid w:val="00495497"/>
    <w:rsid w:val="0049594D"/>
    <w:rsid w:val="004959E7"/>
    <w:rsid w:val="004961BF"/>
    <w:rsid w:val="004964C4"/>
    <w:rsid w:val="004979C0"/>
    <w:rsid w:val="004979D2"/>
    <w:rsid w:val="00497A72"/>
    <w:rsid w:val="004A0217"/>
    <w:rsid w:val="004A05BC"/>
    <w:rsid w:val="004A0645"/>
    <w:rsid w:val="004A06E1"/>
    <w:rsid w:val="004A0C2B"/>
    <w:rsid w:val="004A1309"/>
    <w:rsid w:val="004A1CC5"/>
    <w:rsid w:val="004A1DBE"/>
    <w:rsid w:val="004A1DFB"/>
    <w:rsid w:val="004A2749"/>
    <w:rsid w:val="004A2E64"/>
    <w:rsid w:val="004A3644"/>
    <w:rsid w:val="004A3B37"/>
    <w:rsid w:val="004A4C45"/>
    <w:rsid w:val="004A4EE6"/>
    <w:rsid w:val="004A5078"/>
    <w:rsid w:val="004A5198"/>
    <w:rsid w:val="004A5A03"/>
    <w:rsid w:val="004A5B5A"/>
    <w:rsid w:val="004A6603"/>
    <w:rsid w:val="004A661A"/>
    <w:rsid w:val="004A6F67"/>
    <w:rsid w:val="004A6F6F"/>
    <w:rsid w:val="004A71E2"/>
    <w:rsid w:val="004A737A"/>
    <w:rsid w:val="004A743A"/>
    <w:rsid w:val="004B0000"/>
    <w:rsid w:val="004B0AD5"/>
    <w:rsid w:val="004B137F"/>
    <w:rsid w:val="004B1402"/>
    <w:rsid w:val="004B17B0"/>
    <w:rsid w:val="004B1BD0"/>
    <w:rsid w:val="004B214C"/>
    <w:rsid w:val="004B2426"/>
    <w:rsid w:val="004B2554"/>
    <w:rsid w:val="004B26EF"/>
    <w:rsid w:val="004B320F"/>
    <w:rsid w:val="004B367E"/>
    <w:rsid w:val="004B3C12"/>
    <w:rsid w:val="004B562C"/>
    <w:rsid w:val="004B593D"/>
    <w:rsid w:val="004B5CF2"/>
    <w:rsid w:val="004B5DFE"/>
    <w:rsid w:val="004B6660"/>
    <w:rsid w:val="004B6BD1"/>
    <w:rsid w:val="004B7059"/>
    <w:rsid w:val="004B73B9"/>
    <w:rsid w:val="004B77B7"/>
    <w:rsid w:val="004B7970"/>
    <w:rsid w:val="004B7BF9"/>
    <w:rsid w:val="004C0764"/>
    <w:rsid w:val="004C0889"/>
    <w:rsid w:val="004C0D1A"/>
    <w:rsid w:val="004C0DBA"/>
    <w:rsid w:val="004C1442"/>
    <w:rsid w:val="004C155E"/>
    <w:rsid w:val="004C1588"/>
    <w:rsid w:val="004C199F"/>
    <w:rsid w:val="004C1D86"/>
    <w:rsid w:val="004C2077"/>
    <w:rsid w:val="004C2125"/>
    <w:rsid w:val="004C2C5E"/>
    <w:rsid w:val="004C2CB4"/>
    <w:rsid w:val="004C2E8B"/>
    <w:rsid w:val="004C34C9"/>
    <w:rsid w:val="004C3864"/>
    <w:rsid w:val="004C3BAB"/>
    <w:rsid w:val="004C43D7"/>
    <w:rsid w:val="004C4478"/>
    <w:rsid w:val="004C4736"/>
    <w:rsid w:val="004C4BCE"/>
    <w:rsid w:val="004C4D98"/>
    <w:rsid w:val="004C4D9B"/>
    <w:rsid w:val="004C5015"/>
    <w:rsid w:val="004C585F"/>
    <w:rsid w:val="004C5903"/>
    <w:rsid w:val="004C5964"/>
    <w:rsid w:val="004C59A7"/>
    <w:rsid w:val="004C5EC0"/>
    <w:rsid w:val="004C679C"/>
    <w:rsid w:val="004C6D44"/>
    <w:rsid w:val="004C7458"/>
    <w:rsid w:val="004C74EC"/>
    <w:rsid w:val="004C7505"/>
    <w:rsid w:val="004C7A45"/>
    <w:rsid w:val="004C7AD6"/>
    <w:rsid w:val="004C7CBB"/>
    <w:rsid w:val="004C7F20"/>
    <w:rsid w:val="004D00A5"/>
    <w:rsid w:val="004D0130"/>
    <w:rsid w:val="004D039D"/>
    <w:rsid w:val="004D0712"/>
    <w:rsid w:val="004D0750"/>
    <w:rsid w:val="004D13C9"/>
    <w:rsid w:val="004D13F9"/>
    <w:rsid w:val="004D17F2"/>
    <w:rsid w:val="004D18D7"/>
    <w:rsid w:val="004D1ABA"/>
    <w:rsid w:val="004D1F92"/>
    <w:rsid w:val="004D201D"/>
    <w:rsid w:val="004D2FDE"/>
    <w:rsid w:val="004D3402"/>
    <w:rsid w:val="004D3C44"/>
    <w:rsid w:val="004D41E1"/>
    <w:rsid w:val="004D41FC"/>
    <w:rsid w:val="004D45F1"/>
    <w:rsid w:val="004D55C3"/>
    <w:rsid w:val="004D5990"/>
    <w:rsid w:val="004D618B"/>
    <w:rsid w:val="004D6E46"/>
    <w:rsid w:val="004D6E59"/>
    <w:rsid w:val="004D7271"/>
    <w:rsid w:val="004D7277"/>
    <w:rsid w:val="004D7595"/>
    <w:rsid w:val="004D75CB"/>
    <w:rsid w:val="004D76FA"/>
    <w:rsid w:val="004D7A55"/>
    <w:rsid w:val="004D7B5E"/>
    <w:rsid w:val="004D7D56"/>
    <w:rsid w:val="004E02CD"/>
    <w:rsid w:val="004E04AE"/>
    <w:rsid w:val="004E062C"/>
    <w:rsid w:val="004E11A4"/>
    <w:rsid w:val="004E1403"/>
    <w:rsid w:val="004E215A"/>
    <w:rsid w:val="004E23BF"/>
    <w:rsid w:val="004E2584"/>
    <w:rsid w:val="004E29EE"/>
    <w:rsid w:val="004E2F11"/>
    <w:rsid w:val="004E3460"/>
    <w:rsid w:val="004E3478"/>
    <w:rsid w:val="004E37D3"/>
    <w:rsid w:val="004E380B"/>
    <w:rsid w:val="004E3870"/>
    <w:rsid w:val="004E3ABF"/>
    <w:rsid w:val="004E3AE8"/>
    <w:rsid w:val="004E3C8B"/>
    <w:rsid w:val="004E3CED"/>
    <w:rsid w:val="004E3EDF"/>
    <w:rsid w:val="004E40B5"/>
    <w:rsid w:val="004E41AD"/>
    <w:rsid w:val="004E423D"/>
    <w:rsid w:val="004E456E"/>
    <w:rsid w:val="004E45EC"/>
    <w:rsid w:val="004E4BA3"/>
    <w:rsid w:val="004E4BD3"/>
    <w:rsid w:val="004E55A7"/>
    <w:rsid w:val="004E56EA"/>
    <w:rsid w:val="004E5F0C"/>
    <w:rsid w:val="004E658A"/>
    <w:rsid w:val="004E66E1"/>
    <w:rsid w:val="004E67A3"/>
    <w:rsid w:val="004E67A6"/>
    <w:rsid w:val="004E682D"/>
    <w:rsid w:val="004E6A2F"/>
    <w:rsid w:val="004E6B35"/>
    <w:rsid w:val="004E71C8"/>
    <w:rsid w:val="004E71D7"/>
    <w:rsid w:val="004E72F1"/>
    <w:rsid w:val="004E739C"/>
    <w:rsid w:val="004E7685"/>
    <w:rsid w:val="004E7724"/>
    <w:rsid w:val="004E7A3C"/>
    <w:rsid w:val="004E7ADA"/>
    <w:rsid w:val="004E7DA9"/>
    <w:rsid w:val="004E7F2D"/>
    <w:rsid w:val="004F04CE"/>
    <w:rsid w:val="004F055E"/>
    <w:rsid w:val="004F0750"/>
    <w:rsid w:val="004F180C"/>
    <w:rsid w:val="004F1813"/>
    <w:rsid w:val="004F1953"/>
    <w:rsid w:val="004F1ECD"/>
    <w:rsid w:val="004F266F"/>
    <w:rsid w:val="004F2B1D"/>
    <w:rsid w:val="004F42F8"/>
    <w:rsid w:val="004F468E"/>
    <w:rsid w:val="004F48B8"/>
    <w:rsid w:val="004F4AC0"/>
    <w:rsid w:val="004F4DD7"/>
    <w:rsid w:val="004F50FA"/>
    <w:rsid w:val="004F5226"/>
    <w:rsid w:val="004F594A"/>
    <w:rsid w:val="004F65E9"/>
    <w:rsid w:val="004F6766"/>
    <w:rsid w:val="004F6C11"/>
    <w:rsid w:val="004F6C84"/>
    <w:rsid w:val="004F7215"/>
    <w:rsid w:val="004F727D"/>
    <w:rsid w:val="004F742C"/>
    <w:rsid w:val="00500910"/>
    <w:rsid w:val="00500EFA"/>
    <w:rsid w:val="00501D9D"/>
    <w:rsid w:val="00501DB5"/>
    <w:rsid w:val="0050222A"/>
    <w:rsid w:val="00502D83"/>
    <w:rsid w:val="005033E9"/>
    <w:rsid w:val="00503641"/>
    <w:rsid w:val="00503691"/>
    <w:rsid w:val="00503742"/>
    <w:rsid w:val="005039B6"/>
    <w:rsid w:val="00504083"/>
    <w:rsid w:val="00504113"/>
    <w:rsid w:val="00505161"/>
    <w:rsid w:val="00505764"/>
    <w:rsid w:val="00505CF2"/>
    <w:rsid w:val="00505D81"/>
    <w:rsid w:val="00505EEE"/>
    <w:rsid w:val="00506771"/>
    <w:rsid w:val="00506A53"/>
    <w:rsid w:val="00506EC9"/>
    <w:rsid w:val="0050725C"/>
    <w:rsid w:val="005074DD"/>
    <w:rsid w:val="00507553"/>
    <w:rsid w:val="005102CE"/>
    <w:rsid w:val="00510641"/>
    <w:rsid w:val="00510B4E"/>
    <w:rsid w:val="00510BAB"/>
    <w:rsid w:val="00510F2B"/>
    <w:rsid w:val="00511A0B"/>
    <w:rsid w:val="005120F8"/>
    <w:rsid w:val="00512220"/>
    <w:rsid w:val="00512C3D"/>
    <w:rsid w:val="0051319C"/>
    <w:rsid w:val="005138A9"/>
    <w:rsid w:val="00513980"/>
    <w:rsid w:val="00513D8C"/>
    <w:rsid w:val="00513E37"/>
    <w:rsid w:val="005140E7"/>
    <w:rsid w:val="00514205"/>
    <w:rsid w:val="00514F40"/>
    <w:rsid w:val="00516277"/>
    <w:rsid w:val="005162EB"/>
    <w:rsid w:val="005167F5"/>
    <w:rsid w:val="00517A8C"/>
    <w:rsid w:val="00517CEE"/>
    <w:rsid w:val="00520A0F"/>
    <w:rsid w:val="00520B57"/>
    <w:rsid w:val="00520E76"/>
    <w:rsid w:val="005218EA"/>
    <w:rsid w:val="00521970"/>
    <w:rsid w:val="00521A50"/>
    <w:rsid w:val="00521A8F"/>
    <w:rsid w:val="00521B38"/>
    <w:rsid w:val="00522322"/>
    <w:rsid w:val="00522CEA"/>
    <w:rsid w:val="0052361A"/>
    <w:rsid w:val="005239C9"/>
    <w:rsid w:val="0052406E"/>
    <w:rsid w:val="00524B20"/>
    <w:rsid w:val="00524E1C"/>
    <w:rsid w:val="00525793"/>
    <w:rsid w:val="00526331"/>
    <w:rsid w:val="00526C18"/>
    <w:rsid w:val="00527660"/>
    <w:rsid w:val="005276AD"/>
    <w:rsid w:val="00527DDD"/>
    <w:rsid w:val="005301C3"/>
    <w:rsid w:val="00530625"/>
    <w:rsid w:val="00530B58"/>
    <w:rsid w:val="00531473"/>
    <w:rsid w:val="00531D38"/>
    <w:rsid w:val="0053251E"/>
    <w:rsid w:val="005326A2"/>
    <w:rsid w:val="00532A84"/>
    <w:rsid w:val="00532C21"/>
    <w:rsid w:val="00532C43"/>
    <w:rsid w:val="0053383C"/>
    <w:rsid w:val="005338AC"/>
    <w:rsid w:val="00533CBE"/>
    <w:rsid w:val="00533DCD"/>
    <w:rsid w:val="0053402E"/>
    <w:rsid w:val="005346D9"/>
    <w:rsid w:val="00534A1B"/>
    <w:rsid w:val="00534B0C"/>
    <w:rsid w:val="00535064"/>
    <w:rsid w:val="00535837"/>
    <w:rsid w:val="00535E22"/>
    <w:rsid w:val="00536291"/>
    <w:rsid w:val="0053641B"/>
    <w:rsid w:val="00536F0A"/>
    <w:rsid w:val="005375EC"/>
    <w:rsid w:val="00537754"/>
    <w:rsid w:val="00537B4E"/>
    <w:rsid w:val="00537C50"/>
    <w:rsid w:val="00537D43"/>
    <w:rsid w:val="00540368"/>
    <w:rsid w:val="00540587"/>
    <w:rsid w:val="00540EDC"/>
    <w:rsid w:val="00540F28"/>
    <w:rsid w:val="005417BD"/>
    <w:rsid w:val="00541957"/>
    <w:rsid w:val="0054197E"/>
    <w:rsid w:val="00541B13"/>
    <w:rsid w:val="00541CDF"/>
    <w:rsid w:val="00541D2E"/>
    <w:rsid w:val="00541FB4"/>
    <w:rsid w:val="00542150"/>
    <w:rsid w:val="005429A4"/>
    <w:rsid w:val="00542B3C"/>
    <w:rsid w:val="00542F6B"/>
    <w:rsid w:val="005430D8"/>
    <w:rsid w:val="005432F4"/>
    <w:rsid w:val="005433F5"/>
    <w:rsid w:val="00543BBE"/>
    <w:rsid w:val="0054431C"/>
    <w:rsid w:val="00544961"/>
    <w:rsid w:val="00544E54"/>
    <w:rsid w:val="00544FEE"/>
    <w:rsid w:val="00545400"/>
    <w:rsid w:val="0054560A"/>
    <w:rsid w:val="00545777"/>
    <w:rsid w:val="0054615B"/>
    <w:rsid w:val="00546810"/>
    <w:rsid w:val="00546B12"/>
    <w:rsid w:val="005471CB"/>
    <w:rsid w:val="005472F9"/>
    <w:rsid w:val="005475D8"/>
    <w:rsid w:val="005478E1"/>
    <w:rsid w:val="00547D5B"/>
    <w:rsid w:val="005501D7"/>
    <w:rsid w:val="0055029B"/>
    <w:rsid w:val="005506EE"/>
    <w:rsid w:val="00551188"/>
    <w:rsid w:val="00551284"/>
    <w:rsid w:val="005518FE"/>
    <w:rsid w:val="00551C56"/>
    <w:rsid w:val="00551D89"/>
    <w:rsid w:val="00551DDF"/>
    <w:rsid w:val="00551E69"/>
    <w:rsid w:val="005521F7"/>
    <w:rsid w:val="00552A04"/>
    <w:rsid w:val="00552CC6"/>
    <w:rsid w:val="00552DEE"/>
    <w:rsid w:val="005536D6"/>
    <w:rsid w:val="00553B75"/>
    <w:rsid w:val="00554783"/>
    <w:rsid w:val="005548BE"/>
    <w:rsid w:val="00555298"/>
    <w:rsid w:val="0055553E"/>
    <w:rsid w:val="00556143"/>
    <w:rsid w:val="0055684D"/>
    <w:rsid w:val="005570B3"/>
    <w:rsid w:val="0055735D"/>
    <w:rsid w:val="00557B18"/>
    <w:rsid w:val="00560B70"/>
    <w:rsid w:val="00560D1E"/>
    <w:rsid w:val="005610E8"/>
    <w:rsid w:val="005616D8"/>
    <w:rsid w:val="005616ED"/>
    <w:rsid w:val="00561BBA"/>
    <w:rsid w:val="00562353"/>
    <w:rsid w:val="00562C2D"/>
    <w:rsid w:val="0056329D"/>
    <w:rsid w:val="0056336D"/>
    <w:rsid w:val="00563518"/>
    <w:rsid w:val="00563721"/>
    <w:rsid w:val="005638E2"/>
    <w:rsid w:val="00563994"/>
    <w:rsid w:val="00563BB4"/>
    <w:rsid w:val="00564185"/>
    <w:rsid w:val="0056426E"/>
    <w:rsid w:val="00564317"/>
    <w:rsid w:val="00564A6A"/>
    <w:rsid w:val="00564BE7"/>
    <w:rsid w:val="00564D32"/>
    <w:rsid w:val="005651C6"/>
    <w:rsid w:val="00565811"/>
    <w:rsid w:val="0056594E"/>
    <w:rsid w:val="00565AC4"/>
    <w:rsid w:val="00565F26"/>
    <w:rsid w:val="00566107"/>
    <w:rsid w:val="00566496"/>
    <w:rsid w:val="0056674A"/>
    <w:rsid w:val="0056696E"/>
    <w:rsid w:val="00566973"/>
    <w:rsid w:val="00566ADA"/>
    <w:rsid w:val="005672AE"/>
    <w:rsid w:val="005674ED"/>
    <w:rsid w:val="00570191"/>
    <w:rsid w:val="005702C3"/>
    <w:rsid w:val="00570912"/>
    <w:rsid w:val="00570A00"/>
    <w:rsid w:val="00570DDE"/>
    <w:rsid w:val="00570E8A"/>
    <w:rsid w:val="00570F05"/>
    <w:rsid w:val="00570F7F"/>
    <w:rsid w:val="005716BD"/>
    <w:rsid w:val="0057171F"/>
    <w:rsid w:val="0057176D"/>
    <w:rsid w:val="0057195D"/>
    <w:rsid w:val="00572094"/>
    <w:rsid w:val="005727F3"/>
    <w:rsid w:val="00572AE0"/>
    <w:rsid w:val="00572F15"/>
    <w:rsid w:val="00572F99"/>
    <w:rsid w:val="00573D33"/>
    <w:rsid w:val="0057430E"/>
    <w:rsid w:val="005744CB"/>
    <w:rsid w:val="00574735"/>
    <w:rsid w:val="0057493D"/>
    <w:rsid w:val="00574E39"/>
    <w:rsid w:val="00575186"/>
    <w:rsid w:val="0057525B"/>
    <w:rsid w:val="005754F3"/>
    <w:rsid w:val="005765BF"/>
    <w:rsid w:val="005766FF"/>
    <w:rsid w:val="00576AAC"/>
    <w:rsid w:val="005771DC"/>
    <w:rsid w:val="005771DE"/>
    <w:rsid w:val="0057749B"/>
    <w:rsid w:val="00577732"/>
    <w:rsid w:val="00577A4A"/>
    <w:rsid w:val="005804FA"/>
    <w:rsid w:val="005806AA"/>
    <w:rsid w:val="005807EE"/>
    <w:rsid w:val="00580C57"/>
    <w:rsid w:val="005817D6"/>
    <w:rsid w:val="00581AE0"/>
    <w:rsid w:val="00581B81"/>
    <w:rsid w:val="005821F0"/>
    <w:rsid w:val="00582E9B"/>
    <w:rsid w:val="00582F9E"/>
    <w:rsid w:val="00583A58"/>
    <w:rsid w:val="00583EF3"/>
    <w:rsid w:val="00584535"/>
    <w:rsid w:val="005849CB"/>
    <w:rsid w:val="00584A05"/>
    <w:rsid w:val="00584D3D"/>
    <w:rsid w:val="00585082"/>
    <w:rsid w:val="00585465"/>
    <w:rsid w:val="00585A51"/>
    <w:rsid w:val="00585D04"/>
    <w:rsid w:val="00585E40"/>
    <w:rsid w:val="005862D6"/>
    <w:rsid w:val="00586416"/>
    <w:rsid w:val="00586512"/>
    <w:rsid w:val="00586953"/>
    <w:rsid w:val="00586BF6"/>
    <w:rsid w:val="0058765F"/>
    <w:rsid w:val="0058796C"/>
    <w:rsid w:val="00587C19"/>
    <w:rsid w:val="005901A7"/>
    <w:rsid w:val="005902A7"/>
    <w:rsid w:val="00590337"/>
    <w:rsid w:val="0059058C"/>
    <w:rsid w:val="00590774"/>
    <w:rsid w:val="00590E2B"/>
    <w:rsid w:val="005912A0"/>
    <w:rsid w:val="00591C1C"/>
    <w:rsid w:val="00591F0C"/>
    <w:rsid w:val="005920B7"/>
    <w:rsid w:val="005922BC"/>
    <w:rsid w:val="005924F0"/>
    <w:rsid w:val="00592719"/>
    <w:rsid w:val="00592B43"/>
    <w:rsid w:val="00592BA2"/>
    <w:rsid w:val="00592D9D"/>
    <w:rsid w:val="00593300"/>
    <w:rsid w:val="00593368"/>
    <w:rsid w:val="005935A4"/>
    <w:rsid w:val="005938D3"/>
    <w:rsid w:val="00593F1F"/>
    <w:rsid w:val="00594185"/>
    <w:rsid w:val="00594927"/>
    <w:rsid w:val="00594B98"/>
    <w:rsid w:val="00594E47"/>
    <w:rsid w:val="00595021"/>
    <w:rsid w:val="005951D9"/>
    <w:rsid w:val="00595758"/>
    <w:rsid w:val="00595A2A"/>
    <w:rsid w:val="00595D58"/>
    <w:rsid w:val="00595E53"/>
    <w:rsid w:val="005962C2"/>
    <w:rsid w:val="005966FE"/>
    <w:rsid w:val="0059677A"/>
    <w:rsid w:val="00596A38"/>
    <w:rsid w:val="00597887"/>
    <w:rsid w:val="00597AE8"/>
    <w:rsid w:val="00597F47"/>
    <w:rsid w:val="005A03AC"/>
    <w:rsid w:val="005A0939"/>
    <w:rsid w:val="005A09EE"/>
    <w:rsid w:val="005A0AFD"/>
    <w:rsid w:val="005A0C40"/>
    <w:rsid w:val="005A0DE3"/>
    <w:rsid w:val="005A192E"/>
    <w:rsid w:val="005A2BAF"/>
    <w:rsid w:val="005A2CA0"/>
    <w:rsid w:val="005A2E1E"/>
    <w:rsid w:val="005A3055"/>
    <w:rsid w:val="005A3D52"/>
    <w:rsid w:val="005A4AA0"/>
    <w:rsid w:val="005A4DF2"/>
    <w:rsid w:val="005A51E7"/>
    <w:rsid w:val="005A53ED"/>
    <w:rsid w:val="005A56E4"/>
    <w:rsid w:val="005A576D"/>
    <w:rsid w:val="005A5B21"/>
    <w:rsid w:val="005A5F45"/>
    <w:rsid w:val="005A65D6"/>
    <w:rsid w:val="005A6886"/>
    <w:rsid w:val="005A6E55"/>
    <w:rsid w:val="005A7036"/>
    <w:rsid w:val="005A76D6"/>
    <w:rsid w:val="005A7E3E"/>
    <w:rsid w:val="005B01F0"/>
    <w:rsid w:val="005B0A74"/>
    <w:rsid w:val="005B14B0"/>
    <w:rsid w:val="005B14BA"/>
    <w:rsid w:val="005B1870"/>
    <w:rsid w:val="005B1BF2"/>
    <w:rsid w:val="005B1CCF"/>
    <w:rsid w:val="005B1F28"/>
    <w:rsid w:val="005B20C8"/>
    <w:rsid w:val="005B22DF"/>
    <w:rsid w:val="005B2385"/>
    <w:rsid w:val="005B256F"/>
    <w:rsid w:val="005B25A9"/>
    <w:rsid w:val="005B2840"/>
    <w:rsid w:val="005B2AC6"/>
    <w:rsid w:val="005B2C90"/>
    <w:rsid w:val="005B3206"/>
    <w:rsid w:val="005B3995"/>
    <w:rsid w:val="005B3B90"/>
    <w:rsid w:val="005B4038"/>
    <w:rsid w:val="005B4185"/>
    <w:rsid w:val="005B43CD"/>
    <w:rsid w:val="005B454C"/>
    <w:rsid w:val="005B4861"/>
    <w:rsid w:val="005B54B1"/>
    <w:rsid w:val="005B5545"/>
    <w:rsid w:val="005B5B66"/>
    <w:rsid w:val="005B5ECB"/>
    <w:rsid w:val="005B6169"/>
    <w:rsid w:val="005B6210"/>
    <w:rsid w:val="005B6344"/>
    <w:rsid w:val="005B6979"/>
    <w:rsid w:val="005B7915"/>
    <w:rsid w:val="005B7A31"/>
    <w:rsid w:val="005B7BDF"/>
    <w:rsid w:val="005B7C1B"/>
    <w:rsid w:val="005C0D7E"/>
    <w:rsid w:val="005C0E8D"/>
    <w:rsid w:val="005C1B8F"/>
    <w:rsid w:val="005C1E1F"/>
    <w:rsid w:val="005C24FA"/>
    <w:rsid w:val="005C3EC1"/>
    <w:rsid w:val="005C4087"/>
    <w:rsid w:val="005C41EB"/>
    <w:rsid w:val="005C448E"/>
    <w:rsid w:val="005C4763"/>
    <w:rsid w:val="005C4B72"/>
    <w:rsid w:val="005C4EDE"/>
    <w:rsid w:val="005C51C1"/>
    <w:rsid w:val="005C52CE"/>
    <w:rsid w:val="005C52F0"/>
    <w:rsid w:val="005C532A"/>
    <w:rsid w:val="005C569D"/>
    <w:rsid w:val="005C5B2D"/>
    <w:rsid w:val="005C5D50"/>
    <w:rsid w:val="005C62DE"/>
    <w:rsid w:val="005C7464"/>
    <w:rsid w:val="005C7511"/>
    <w:rsid w:val="005C7CDF"/>
    <w:rsid w:val="005D00F6"/>
    <w:rsid w:val="005D0270"/>
    <w:rsid w:val="005D02C2"/>
    <w:rsid w:val="005D0383"/>
    <w:rsid w:val="005D0450"/>
    <w:rsid w:val="005D075B"/>
    <w:rsid w:val="005D0A7A"/>
    <w:rsid w:val="005D0ACA"/>
    <w:rsid w:val="005D10DC"/>
    <w:rsid w:val="005D1303"/>
    <w:rsid w:val="005D1476"/>
    <w:rsid w:val="005D1F4C"/>
    <w:rsid w:val="005D2157"/>
    <w:rsid w:val="005D2724"/>
    <w:rsid w:val="005D28C2"/>
    <w:rsid w:val="005D2AD7"/>
    <w:rsid w:val="005D2C10"/>
    <w:rsid w:val="005D2E5A"/>
    <w:rsid w:val="005D2E8E"/>
    <w:rsid w:val="005D3437"/>
    <w:rsid w:val="005D358D"/>
    <w:rsid w:val="005D3607"/>
    <w:rsid w:val="005D37A2"/>
    <w:rsid w:val="005D37EB"/>
    <w:rsid w:val="005D37F9"/>
    <w:rsid w:val="005D46E4"/>
    <w:rsid w:val="005D4970"/>
    <w:rsid w:val="005D52EB"/>
    <w:rsid w:val="005D5D50"/>
    <w:rsid w:val="005D6005"/>
    <w:rsid w:val="005D6B35"/>
    <w:rsid w:val="005D71AB"/>
    <w:rsid w:val="005D7C0B"/>
    <w:rsid w:val="005D7DAE"/>
    <w:rsid w:val="005E003F"/>
    <w:rsid w:val="005E009F"/>
    <w:rsid w:val="005E00C2"/>
    <w:rsid w:val="005E04CF"/>
    <w:rsid w:val="005E088A"/>
    <w:rsid w:val="005E0A5F"/>
    <w:rsid w:val="005E0AE1"/>
    <w:rsid w:val="005E0EE5"/>
    <w:rsid w:val="005E1031"/>
    <w:rsid w:val="005E11DE"/>
    <w:rsid w:val="005E11F4"/>
    <w:rsid w:val="005E140D"/>
    <w:rsid w:val="005E192A"/>
    <w:rsid w:val="005E1AC4"/>
    <w:rsid w:val="005E1BFC"/>
    <w:rsid w:val="005E20B1"/>
    <w:rsid w:val="005E273A"/>
    <w:rsid w:val="005E29C5"/>
    <w:rsid w:val="005E2D9B"/>
    <w:rsid w:val="005E2E3D"/>
    <w:rsid w:val="005E398C"/>
    <w:rsid w:val="005E418E"/>
    <w:rsid w:val="005E4244"/>
    <w:rsid w:val="005E4628"/>
    <w:rsid w:val="005E472D"/>
    <w:rsid w:val="005E488C"/>
    <w:rsid w:val="005E4968"/>
    <w:rsid w:val="005E5084"/>
    <w:rsid w:val="005E556E"/>
    <w:rsid w:val="005E621C"/>
    <w:rsid w:val="005E6BA8"/>
    <w:rsid w:val="005F019F"/>
    <w:rsid w:val="005F0259"/>
    <w:rsid w:val="005F0C68"/>
    <w:rsid w:val="005F0DF3"/>
    <w:rsid w:val="005F0F83"/>
    <w:rsid w:val="005F1523"/>
    <w:rsid w:val="005F1575"/>
    <w:rsid w:val="005F19CD"/>
    <w:rsid w:val="005F1A58"/>
    <w:rsid w:val="005F1D63"/>
    <w:rsid w:val="005F1DBC"/>
    <w:rsid w:val="005F2592"/>
    <w:rsid w:val="005F2FEA"/>
    <w:rsid w:val="005F332C"/>
    <w:rsid w:val="005F3966"/>
    <w:rsid w:val="005F3CD8"/>
    <w:rsid w:val="005F470B"/>
    <w:rsid w:val="005F50A0"/>
    <w:rsid w:val="005F5195"/>
    <w:rsid w:val="005F52FE"/>
    <w:rsid w:val="005F546B"/>
    <w:rsid w:val="005F5774"/>
    <w:rsid w:val="005F5793"/>
    <w:rsid w:val="005F5A5F"/>
    <w:rsid w:val="005F5ADF"/>
    <w:rsid w:val="005F5C9B"/>
    <w:rsid w:val="005F5FA0"/>
    <w:rsid w:val="005F67A1"/>
    <w:rsid w:val="005F67D1"/>
    <w:rsid w:val="005F696E"/>
    <w:rsid w:val="005F6DD6"/>
    <w:rsid w:val="005F7753"/>
    <w:rsid w:val="005F79AB"/>
    <w:rsid w:val="0060050D"/>
    <w:rsid w:val="006011C7"/>
    <w:rsid w:val="006012BD"/>
    <w:rsid w:val="006015F9"/>
    <w:rsid w:val="00601AF1"/>
    <w:rsid w:val="0060225A"/>
    <w:rsid w:val="00602563"/>
    <w:rsid w:val="00602570"/>
    <w:rsid w:val="00602D61"/>
    <w:rsid w:val="00602F08"/>
    <w:rsid w:val="0060334B"/>
    <w:rsid w:val="006033D4"/>
    <w:rsid w:val="006037BB"/>
    <w:rsid w:val="00604084"/>
    <w:rsid w:val="00604AE9"/>
    <w:rsid w:val="00605501"/>
    <w:rsid w:val="0060556D"/>
    <w:rsid w:val="00605650"/>
    <w:rsid w:val="006059DA"/>
    <w:rsid w:val="00605A99"/>
    <w:rsid w:val="00605E0E"/>
    <w:rsid w:val="0060636E"/>
    <w:rsid w:val="006063F7"/>
    <w:rsid w:val="00606826"/>
    <w:rsid w:val="006068BD"/>
    <w:rsid w:val="00607B20"/>
    <w:rsid w:val="00607C86"/>
    <w:rsid w:val="006100E1"/>
    <w:rsid w:val="006104C3"/>
    <w:rsid w:val="0061054D"/>
    <w:rsid w:val="00610B93"/>
    <w:rsid w:val="0061170A"/>
    <w:rsid w:val="00611938"/>
    <w:rsid w:val="00611F1F"/>
    <w:rsid w:val="00612B20"/>
    <w:rsid w:val="00613097"/>
    <w:rsid w:val="00613A56"/>
    <w:rsid w:val="00613FF8"/>
    <w:rsid w:val="006140F2"/>
    <w:rsid w:val="006142F4"/>
    <w:rsid w:val="0061466A"/>
    <w:rsid w:val="006148A0"/>
    <w:rsid w:val="00614F80"/>
    <w:rsid w:val="0061535F"/>
    <w:rsid w:val="00615977"/>
    <w:rsid w:val="00615988"/>
    <w:rsid w:val="00616B47"/>
    <w:rsid w:val="00616CF5"/>
    <w:rsid w:val="00616E3D"/>
    <w:rsid w:val="0061725F"/>
    <w:rsid w:val="006173AC"/>
    <w:rsid w:val="006173D8"/>
    <w:rsid w:val="00617EA3"/>
    <w:rsid w:val="00617F84"/>
    <w:rsid w:val="00621343"/>
    <w:rsid w:val="00621488"/>
    <w:rsid w:val="00621517"/>
    <w:rsid w:val="006216B5"/>
    <w:rsid w:val="00621EAB"/>
    <w:rsid w:val="0062205D"/>
    <w:rsid w:val="0062222C"/>
    <w:rsid w:val="0062262A"/>
    <w:rsid w:val="0062335C"/>
    <w:rsid w:val="006237D6"/>
    <w:rsid w:val="00623956"/>
    <w:rsid w:val="0062408C"/>
    <w:rsid w:val="00624253"/>
    <w:rsid w:val="006242F2"/>
    <w:rsid w:val="0062470F"/>
    <w:rsid w:val="0062473F"/>
    <w:rsid w:val="0062488C"/>
    <w:rsid w:val="00624B72"/>
    <w:rsid w:val="00625879"/>
    <w:rsid w:val="00626385"/>
    <w:rsid w:val="00626DA4"/>
    <w:rsid w:val="00626DF6"/>
    <w:rsid w:val="00626E2F"/>
    <w:rsid w:val="00627649"/>
    <w:rsid w:val="006276B6"/>
    <w:rsid w:val="0062771C"/>
    <w:rsid w:val="00627FDC"/>
    <w:rsid w:val="00627FE5"/>
    <w:rsid w:val="0063003F"/>
    <w:rsid w:val="00630103"/>
    <w:rsid w:val="006302FA"/>
    <w:rsid w:val="00630C45"/>
    <w:rsid w:val="00631A60"/>
    <w:rsid w:val="00632B45"/>
    <w:rsid w:val="006331E7"/>
    <w:rsid w:val="006336A0"/>
    <w:rsid w:val="0063397C"/>
    <w:rsid w:val="00633B52"/>
    <w:rsid w:val="00633BE5"/>
    <w:rsid w:val="00633C0D"/>
    <w:rsid w:val="00634CFB"/>
    <w:rsid w:val="00634D1D"/>
    <w:rsid w:val="0063501D"/>
    <w:rsid w:val="00635421"/>
    <w:rsid w:val="00635C5C"/>
    <w:rsid w:val="00635F5E"/>
    <w:rsid w:val="006360EA"/>
    <w:rsid w:val="00636101"/>
    <w:rsid w:val="00636CE3"/>
    <w:rsid w:val="006378B6"/>
    <w:rsid w:val="00637C5C"/>
    <w:rsid w:val="006411C9"/>
    <w:rsid w:val="00641A09"/>
    <w:rsid w:val="00641FF6"/>
    <w:rsid w:val="006420B0"/>
    <w:rsid w:val="006421C6"/>
    <w:rsid w:val="00642403"/>
    <w:rsid w:val="006428B8"/>
    <w:rsid w:val="00642A77"/>
    <w:rsid w:val="00642E74"/>
    <w:rsid w:val="0064458A"/>
    <w:rsid w:val="0064469E"/>
    <w:rsid w:val="0064490A"/>
    <w:rsid w:val="00644AF2"/>
    <w:rsid w:val="00644BE1"/>
    <w:rsid w:val="00644F8E"/>
    <w:rsid w:val="00645F48"/>
    <w:rsid w:val="00646866"/>
    <w:rsid w:val="00646C7E"/>
    <w:rsid w:val="006478E7"/>
    <w:rsid w:val="00647DF0"/>
    <w:rsid w:val="00647E42"/>
    <w:rsid w:val="0065052B"/>
    <w:rsid w:val="006506C6"/>
    <w:rsid w:val="00650749"/>
    <w:rsid w:val="006508AC"/>
    <w:rsid w:val="00651566"/>
    <w:rsid w:val="00651B16"/>
    <w:rsid w:val="00651B53"/>
    <w:rsid w:val="0065205D"/>
    <w:rsid w:val="006527C1"/>
    <w:rsid w:val="00652CEB"/>
    <w:rsid w:val="00652EF7"/>
    <w:rsid w:val="00653562"/>
    <w:rsid w:val="006536BF"/>
    <w:rsid w:val="006539B8"/>
    <w:rsid w:val="006541BC"/>
    <w:rsid w:val="0065437F"/>
    <w:rsid w:val="006545AE"/>
    <w:rsid w:val="006546DB"/>
    <w:rsid w:val="00655468"/>
    <w:rsid w:val="00655AF1"/>
    <w:rsid w:val="00655B55"/>
    <w:rsid w:val="00655E29"/>
    <w:rsid w:val="0065641F"/>
    <w:rsid w:val="006566FC"/>
    <w:rsid w:val="00656CB0"/>
    <w:rsid w:val="00657D9D"/>
    <w:rsid w:val="0066132B"/>
    <w:rsid w:val="006613F1"/>
    <w:rsid w:val="00661CCE"/>
    <w:rsid w:val="00661D70"/>
    <w:rsid w:val="00661DA1"/>
    <w:rsid w:val="00661DDB"/>
    <w:rsid w:val="006621B2"/>
    <w:rsid w:val="0066283C"/>
    <w:rsid w:val="006636B8"/>
    <w:rsid w:val="00663E79"/>
    <w:rsid w:val="006640FA"/>
    <w:rsid w:val="00664207"/>
    <w:rsid w:val="00664801"/>
    <w:rsid w:val="00664B5E"/>
    <w:rsid w:val="00664C1F"/>
    <w:rsid w:val="00664FC9"/>
    <w:rsid w:val="00665878"/>
    <w:rsid w:val="00665B90"/>
    <w:rsid w:val="00665FD0"/>
    <w:rsid w:val="006667D6"/>
    <w:rsid w:val="00666B32"/>
    <w:rsid w:val="006679B6"/>
    <w:rsid w:val="006706C8"/>
    <w:rsid w:val="006710D4"/>
    <w:rsid w:val="006711F6"/>
    <w:rsid w:val="00672105"/>
    <w:rsid w:val="0067222C"/>
    <w:rsid w:val="006722F8"/>
    <w:rsid w:val="00672B51"/>
    <w:rsid w:val="00673944"/>
    <w:rsid w:val="0067492C"/>
    <w:rsid w:val="006759E3"/>
    <w:rsid w:val="00675B78"/>
    <w:rsid w:val="00676458"/>
    <w:rsid w:val="006767F0"/>
    <w:rsid w:val="006773D9"/>
    <w:rsid w:val="006773E0"/>
    <w:rsid w:val="00677479"/>
    <w:rsid w:val="006775D4"/>
    <w:rsid w:val="00677AE3"/>
    <w:rsid w:val="0068083E"/>
    <w:rsid w:val="00681088"/>
    <w:rsid w:val="006813CC"/>
    <w:rsid w:val="00681963"/>
    <w:rsid w:val="00681EFA"/>
    <w:rsid w:val="006822F8"/>
    <w:rsid w:val="00682523"/>
    <w:rsid w:val="00683CBB"/>
    <w:rsid w:val="00684230"/>
    <w:rsid w:val="006844B0"/>
    <w:rsid w:val="006850BE"/>
    <w:rsid w:val="00685355"/>
    <w:rsid w:val="0068555D"/>
    <w:rsid w:val="00685646"/>
    <w:rsid w:val="00685C5D"/>
    <w:rsid w:val="00685F35"/>
    <w:rsid w:val="0068602B"/>
    <w:rsid w:val="006861D2"/>
    <w:rsid w:val="0068643B"/>
    <w:rsid w:val="006866D3"/>
    <w:rsid w:val="00686837"/>
    <w:rsid w:val="00686C66"/>
    <w:rsid w:val="00686EED"/>
    <w:rsid w:val="00686FD6"/>
    <w:rsid w:val="006872B3"/>
    <w:rsid w:val="006878F7"/>
    <w:rsid w:val="0068790B"/>
    <w:rsid w:val="00687F01"/>
    <w:rsid w:val="006903A5"/>
    <w:rsid w:val="006905F8"/>
    <w:rsid w:val="00690677"/>
    <w:rsid w:val="006907D4"/>
    <w:rsid w:val="0069133B"/>
    <w:rsid w:val="006914F1"/>
    <w:rsid w:val="006915A2"/>
    <w:rsid w:val="0069209C"/>
    <w:rsid w:val="00692247"/>
    <w:rsid w:val="006926B5"/>
    <w:rsid w:val="006929F7"/>
    <w:rsid w:val="00692A0F"/>
    <w:rsid w:val="006932BC"/>
    <w:rsid w:val="00693343"/>
    <w:rsid w:val="006934D0"/>
    <w:rsid w:val="006934D5"/>
    <w:rsid w:val="00694F16"/>
    <w:rsid w:val="006950E9"/>
    <w:rsid w:val="00695775"/>
    <w:rsid w:val="00695C52"/>
    <w:rsid w:val="00696446"/>
    <w:rsid w:val="0069656B"/>
    <w:rsid w:val="00696C79"/>
    <w:rsid w:val="00697687"/>
    <w:rsid w:val="00697974"/>
    <w:rsid w:val="00697A50"/>
    <w:rsid w:val="006A0065"/>
    <w:rsid w:val="006A071E"/>
    <w:rsid w:val="006A0A07"/>
    <w:rsid w:val="006A0C00"/>
    <w:rsid w:val="006A0E29"/>
    <w:rsid w:val="006A0FB7"/>
    <w:rsid w:val="006A14E4"/>
    <w:rsid w:val="006A2013"/>
    <w:rsid w:val="006A225A"/>
    <w:rsid w:val="006A24F6"/>
    <w:rsid w:val="006A27D7"/>
    <w:rsid w:val="006A2EA2"/>
    <w:rsid w:val="006A2F41"/>
    <w:rsid w:val="006A3BB8"/>
    <w:rsid w:val="006A3E8D"/>
    <w:rsid w:val="006A3EF9"/>
    <w:rsid w:val="006A4494"/>
    <w:rsid w:val="006A467E"/>
    <w:rsid w:val="006A467F"/>
    <w:rsid w:val="006A476E"/>
    <w:rsid w:val="006A4F4A"/>
    <w:rsid w:val="006A5CBA"/>
    <w:rsid w:val="006A61C9"/>
    <w:rsid w:val="006A6335"/>
    <w:rsid w:val="006A657A"/>
    <w:rsid w:val="006A6C13"/>
    <w:rsid w:val="006A6C99"/>
    <w:rsid w:val="006A6CE9"/>
    <w:rsid w:val="006A6D4F"/>
    <w:rsid w:val="006A6EE8"/>
    <w:rsid w:val="006A744C"/>
    <w:rsid w:val="006A79D6"/>
    <w:rsid w:val="006A7C1F"/>
    <w:rsid w:val="006A7C37"/>
    <w:rsid w:val="006A7DA8"/>
    <w:rsid w:val="006A7DFB"/>
    <w:rsid w:val="006B07FE"/>
    <w:rsid w:val="006B0807"/>
    <w:rsid w:val="006B09B3"/>
    <w:rsid w:val="006B0A39"/>
    <w:rsid w:val="006B0DF4"/>
    <w:rsid w:val="006B0E31"/>
    <w:rsid w:val="006B114F"/>
    <w:rsid w:val="006B1494"/>
    <w:rsid w:val="006B191C"/>
    <w:rsid w:val="006B192B"/>
    <w:rsid w:val="006B3108"/>
    <w:rsid w:val="006B351B"/>
    <w:rsid w:val="006B35AC"/>
    <w:rsid w:val="006B3631"/>
    <w:rsid w:val="006B3796"/>
    <w:rsid w:val="006B404D"/>
    <w:rsid w:val="006B4991"/>
    <w:rsid w:val="006B49F8"/>
    <w:rsid w:val="006B4B8E"/>
    <w:rsid w:val="006B4ECE"/>
    <w:rsid w:val="006B50CD"/>
    <w:rsid w:val="006B5102"/>
    <w:rsid w:val="006B51FB"/>
    <w:rsid w:val="006B5246"/>
    <w:rsid w:val="006B5A32"/>
    <w:rsid w:val="006B60E1"/>
    <w:rsid w:val="006B6AA3"/>
    <w:rsid w:val="006B6BC1"/>
    <w:rsid w:val="006B6D80"/>
    <w:rsid w:val="006B737C"/>
    <w:rsid w:val="006B7433"/>
    <w:rsid w:val="006B75D1"/>
    <w:rsid w:val="006B761A"/>
    <w:rsid w:val="006B7737"/>
    <w:rsid w:val="006B7961"/>
    <w:rsid w:val="006B7FA7"/>
    <w:rsid w:val="006C0015"/>
    <w:rsid w:val="006C044A"/>
    <w:rsid w:val="006C11F0"/>
    <w:rsid w:val="006C1B85"/>
    <w:rsid w:val="006C1E9C"/>
    <w:rsid w:val="006C1FA7"/>
    <w:rsid w:val="006C2295"/>
    <w:rsid w:val="006C24CD"/>
    <w:rsid w:val="006C2E5B"/>
    <w:rsid w:val="006C2F00"/>
    <w:rsid w:val="006C3128"/>
    <w:rsid w:val="006C3583"/>
    <w:rsid w:val="006C39D1"/>
    <w:rsid w:val="006C3F8F"/>
    <w:rsid w:val="006C4C24"/>
    <w:rsid w:val="006C4C97"/>
    <w:rsid w:val="006C516B"/>
    <w:rsid w:val="006C51F5"/>
    <w:rsid w:val="006C5626"/>
    <w:rsid w:val="006C569C"/>
    <w:rsid w:val="006C5FEA"/>
    <w:rsid w:val="006C62D6"/>
    <w:rsid w:val="006C6419"/>
    <w:rsid w:val="006C6421"/>
    <w:rsid w:val="006C6708"/>
    <w:rsid w:val="006C6CA8"/>
    <w:rsid w:val="006C729C"/>
    <w:rsid w:val="006C76CD"/>
    <w:rsid w:val="006C78A1"/>
    <w:rsid w:val="006C7B80"/>
    <w:rsid w:val="006C7BBB"/>
    <w:rsid w:val="006C7F94"/>
    <w:rsid w:val="006C7F98"/>
    <w:rsid w:val="006D0188"/>
    <w:rsid w:val="006D033D"/>
    <w:rsid w:val="006D0874"/>
    <w:rsid w:val="006D0DD7"/>
    <w:rsid w:val="006D16B0"/>
    <w:rsid w:val="006D1DDE"/>
    <w:rsid w:val="006D1F1B"/>
    <w:rsid w:val="006D28C9"/>
    <w:rsid w:val="006D38A1"/>
    <w:rsid w:val="006D3B07"/>
    <w:rsid w:val="006D3B46"/>
    <w:rsid w:val="006D3EFE"/>
    <w:rsid w:val="006D44FD"/>
    <w:rsid w:val="006D4916"/>
    <w:rsid w:val="006D4C41"/>
    <w:rsid w:val="006D5102"/>
    <w:rsid w:val="006D526F"/>
    <w:rsid w:val="006D55A6"/>
    <w:rsid w:val="006D56FE"/>
    <w:rsid w:val="006D5934"/>
    <w:rsid w:val="006D5AA9"/>
    <w:rsid w:val="006D5DC0"/>
    <w:rsid w:val="006D65A7"/>
    <w:rsid w:val="006D6A7B"/>
    <w:rsid w:val="006D6D70"/>
    <w:rsid w:val="006D70B0"/>
    <w:rsid w:val="006D73B6"/>
    <w:rsid w:val="006D7EB0"/>
    <w:rsid w:val="006D7F4A"/>
    <w:rsid w:val="006D7FD6"/>
    <w:rsid w:val="006E0294"/>
    <w:rsid w:val="006E05A2"/>
    <w:rsid w:val="006E0607"/>
    <w:rsid w:val="006E0D22"/>
    <w:rsid w:val="006E0E30"/>
    <w:rsid w:val="006E0FCC"/>
    <w:rsid w:val="006E13C7"/>
    <w:rsid w:val="006E171C"/>
    <w:rsid w:val="006E18CA"/>
    <w:rsid w:val="006E1AC2"/>
    <w:rsid w:val="006E239A"/>
    <w:rsid w:val="006E2C34"/>
    <w:rsid w:val="006E3371"/>
    <w:rsid w:val="006E365B"/>
    <w:rsid w:val="006E39BA"/>
    <w:rsid w:val="006E3D9E"/>
    <w:rsid w:val="006E3E75"/>
    <w:rsid w:val="006E4DEE"/>
    <w:rsid w:val="006E508E"/>
    <w:rsid w:val="006E515A"/>
    <w:rsid w:val="006E5BF6"/>
    <w:rsid w:val="006E5CED"/>
    <w:rsid w:val="006E64A3"/>
    <w:rsid w:val="006E692B"/>
    <w:rsid w:val="006E69CB"/>
    <w:rsid w:val="006E70AB"/>
    <w:rsid w:val="006E7108"/>
    <w:rsid w:val="006E75FB"/>
    <w:rsid w:val="006E7866"/>
    <w:rsid w:val="006E7A2C"/>
    <w:rsid w:val="006F018F"/>
    <w:rsid w:val="006F01C4"/>
    <w:rsid w:val="006F0481"/>
    <w:rsid w:val="006F0B6F"/>
    <w:rsid w:val="006F0BE4"/>
    <w:rsid w:val="006F0C91"/>
    <w:rsid w:val="006F0D50"/>
    <w:rsid w:val="006F0DFE"/>
    <w:rsid w:val="006F103A"/>
    <w:rsid w:val="006F1664"/>
    <w:rsid w:val="006F17E7"/>
    <w:rsid w:val="006F2156"/>
    <w:rsid w:val="006F2216"/>
    <w:rsid w:val="006F2551"/>
    <w:rsid w:val="006F25B8"/>
    <w:rsid w:val="006F2BA4"/>
    <w:rsid w:val="006F2C6F"/>
    <w:rsid w:val="006F39EC"/>
    <w:rsid w:val="006F4A58"/>
    <w:rsid w:val="006F4CAB"/>
    <w:rsid w:val="006F4ED7"/>
    <w:rsid w:val="006F5666"/>
    <w:rsid w:val="006F5818"/>
    <w:rsid w:val="006F59D7"/>
    <w:rsid w:val="006F6155"/>
    <w:rsid w:val="006F66EF"/>
    <w:rsid w:val="006F68A8"/>
    <w:rsid w:val="006F6CAC"/>
    <w:rsid w:val="006F6EA8"/>
    <w:rsid w:val="006F6EC4"/>
    <w:rsid w:val="006F6FCB"/>
    <w:rsid w:val="006F7648"/>
    <w:rsid w:val="006F776A"/>
    <w:rsid w:val="006F7A4A"/>
    <w:rsid w:val="006F7CD6"/>
    <w:rsid w:val="00701525"/>
    <w:rsid w:val="00702015"/>
    <w:rsid w:val="007022C8"/>
    <w:rsid w:val="007025B6"/>
    <w:rsid w:val="0070269D"/>
    <w:rsid w:val="007029E9"/>
    <w:rsid w:val="00702D22"/>
    <w:rsid w:val="00703979"/>
    <w:rsid w:val="00703B5F"/>
    <w:rsid w:val="00703C77"/>
    <w:rsid w:val="00704039"/>
    <w:rsid w:val="007043D9"/>
    <w:rsid w:val="007048CD"/>
    <w:rsid w:val="00704AA7"/>
    <w:rsid w:val="00705329"/>
    <w:rsid w:val="007053DF"/>
    <w:rsid w:val="00705D3A"/>
    <w:rsid w:val="00705E82"/>
    <w:rsid w:val="00705FC2"/>
    <w:rsid w:val="00706741"/>
    <w:rsid w:val="007079AC"/>
    <w:rsid w:val="00707EEC"/>
    <w:rsid w:val="00707FD2"/>
    <w:rsid w:val="0071064A"/>
    <w:rsid w:val="007109AE"/>
    <w:rsid w:val="00710B98"/>
    <w:rsid w:val="00710C69"/>
    <w:rsid w:val="00710FEA"/>
    <w:rsid w:val="007114D8"/>
    <w:rsid w:val="007114E3"/>
    <w:rsid w:val="007114F7"/>
    <w:rsid w:val="0071152F"/>
    <w:rsid w:val="0071184E"/>
    <w:rsid w:val="007120D0"/>
    <w:rsid w:val="0071243E"/>
    <w:rsid w:val="0071274E"/>
    <w:rsid w:val="00712BAB"/>
    <w:rsid w:val="007132F2"/>
    <w:rsid w:val="0071349A"/>
    <w:rsid w:val="007134B4"/>
    <w:rsid w:val="00713728"/>
    <w:rsid w:val="00713D77"/>
    <w:rsid w:val="00714344"/>
    <w:rsid w:val="00714A4C"/>
    <w:rsid w:val="00715B65"/>
    <w:rsid w:val="00715E85"/>
    <w:rsid w:val="00716652"/>
    <w:rsid w:val="007168BB"/>
    <w:rsid w:val="007168EF"/>
    <w:rsid w:val="00717418"/>
    <w:rsid w:val="00717443"/>
    <w:rsid w:val="007174D7"/>
    <w:rsid w:val="007176C4"/>
    <w:rsid w:val="00720048"/>
    <w:rsid w:val="00720076"/>
    <w:rsid w:val="007200D2"/>
    <w:rsid w:val="007204A6"/>
    <w:rsid w:val="0072096E"/>
    <w:rsid w:val="00721121"/>
    <w:rsid w:val="0072160B"/>
    <w:rsid w:val="00721617"/>
    <w:rsid w:val="00721C0A"/>
    <w:rsid w:val="00721C56"/>
    <w:rsid w:val="00721C59"/>
    <w:rsid w:val="00721FC5"/>
    <w:rsid w:val="00722488"/>
    <w:rsid w:val="00722A09"/>
    <w:rsid w:val="00723042"/>
    <w:rsid w:val="0072358A"/>
    <w:rsid w:val="007236BE"/>
    <w:rsid w:val="00723A17"/>
    <w:rsid w:val="00723A1E"/>
    <w:rsid w:val="00723D3A"/>
    <w:rsid w:val="00724659"/>
    <w:rsid w:val="00724DD0"/>
    <w:rsid w:val="00725302"/>
    <w:rsid w:val="00725690"/>
    <w:rsid w:val="007260AF"/>
    <w:rsid w:val="0072654B"/>
    <w:rsid w:val="007268BE"/>
    <w:rsid w:val="00726D1D"/>
    <w:rsid w:val="00727F6B"/>
    <w:rsid w:val="00727F9B"/>
    <w:rsid w:val="00730DA0"/>
    <w:rsid w:val="00730E1C"/>
    <w:rsid w:val="00730F4F"/>
    <w:rsid w:val="007314AE"/>
    <w:rsid w:val="00731D0F"/>
    <w:rsid w:val="00731F92"/>
    <w:rsid w:val="007323A4"/>
    <w:rsid w:val="00732B57"/>
    <w:rsid w:val="00732C52"/>
    <w:rsid w:val="00732DEB"/>
    <w:rsid w:val="00732E9C"/>
    <w:rsid w:val="00733265"/>
    <w:rsid w:val="00733AED"/>
    <w:rsid w:val="00733BF7"/>
    <w:rsid w:val="00733D83"/>
    <w:rsid w:val="007343B5"/>
    <w:rsid w:val="007347E6"/>
    <w:rsid w:val="0073483B"/>
    <w:rsid w:val="00735354"/>
    <w:rsid w:val="0073589A"/>
    <w:rsid w:val="00735B8D"/>
    <w:rsid w:val="00735EBC"/>
    <w:rsid w:val="00736358"/>
    <w:rsid w:val="00736B47"/>
    <w:rsid w:val="00736C3F"/>
    <w:rsid w:val="00736EDE"/>
    <w:rsid w:val="00737A86"/>
    <w:rsid w:val="00737FD9"/>
    <w:rsid w:val="0074052C"/>
    <w:rsid w:val="00740A6D"/>
    <w:rsid w:val="00740C70"/>
    <w:rsid w:val="00740FA7"/>
    <w:rsid w:val="00741097"/>
    <w:rsid w:val="0074141E"/>
    <w:rsid w:val="007414AC"/>
    <w:rsid w:val="00742978"/>
    <w:rsid w:val="00743569"/>
    <w:rsid w:val="00743EEB"/>
    <w:rsid w:val="00744099"/>
    <w:rsid w:val="0074492E"/>
    <w:rsid w:val="007449B7"/>
    <w:rsid w:val="00744DCD"/>
    <w:rsid w:val="00744F05"/>
    <w:rsid w:val="00745007"/>
    <w:rsid w:val="007451AF"/>
    <w:rsid w:val="007456DF"/>
    <w:rsid w:val="007457F0"/>
    <w:rsid w:val="00746BA2"/>
    <w:rsid w:val="007470F7"/>
    <w:rsid w:val="007470FA"/>
    <w:rsid w:val="0074762F"/>
    <w:rsid w:val="0074799E"/>
    <w:rsid w:val="00747C93"/>
    <w:rsid w:val="007506F9"/>
    <w:rsid w:val="00750C3A"/>
    <w:rsid w:val="00750FC3"/>
    <w:rsid w:val="007512CA"/>
    <w:rsid w:val="007518E4"/>
    <w:rsid w:val="00751D5E"/>
    <w:rsid w:val="00751F19"/>
    <w:rsid w:val="00752478"/>
    <w:rsid w:val="00753029"/>
    <w:rsid w:val="00753527"/>
    <w:rsid w:val="00753619"/>
    <w:rsid w:val="00753769"/>
    <w:rsid w:val="007537CA"/>
    <w:rsid w:val="007538FF"/>
    <w:rsid w:val="00753B76"/>
    <w:rsid w:val="00754269"/>
    <w:rsid w:val="00755182"/>
    <w:rsid w:val="007551EC"/>
    <w:rsid w:val="007554D4"/>
    <w:rsid w:val="00755928"/>
    <w:rsid w:val="00755ADB"/>
    <w:rsid w:val="00755AF8"/>
    <w:rsid w:val="00755F03"/>
    <w:rsid w:val="00757128"/>
    <w:rsid w:val="00757934"/>
    <w:rsid w:val="007605CC"/>
    <w:rsid w:val="00760AEF"/>
    <w:rsid w:val="0076174B"/>
    <w:rsid w:val="00762C40"/>
    <w:rsid w:val="0076457D"/>
    <w:rsid w:val="007649DC"/>
    <w:rsid w:val="0076500B"/>
    <w:rsid w:val="00765596"/>
    <w:rsid w:val="00765647"/>
    <w:rsid w:val="00765AD6"/>
    <w:rsid w:val="00765CF3"/>
    <w:rsid w:val="00765E49"/>
    <w:rsid w:val="00765F83"/>
    <w:rsid w:val="00766157"/>
    <w:rsid w:val="007663EA"/>
    <w:rsid w:val="007664B1"/>
    <w:rsid w:val="00766DEB"/>
    <w:rsid w:val="0076740E"/>
    <w:rsid w:val="007674B8"/>
    <w:rsid w:val="0076752B"/>
    <w:rsid w:val="0076754A"/>
    <w:rsid w:val="00767FCD"/>
    <w:rsid w:val="007700BD"/>
    <w:rsid w:val="007701A8"/>
    <w:rsid w:val="007703B7"/>
    <w:rsid w:val="0077084F"/>
    <w:rsid w:val="00770A18"/>
    <w:rsid w:val="00770C31"/>
    <w:rsid w:val="00770C64"/>
    <w:rsid w:val="0077119C"/>
    <w:rsid w:val="007717AF"/>
    <w:rsid w:val="00771847"/>
    <w:rsid w:val="00771CD5"/>
    <w:rsid w:val="00771E6F"/>
    <w:rsid w:val="00772316"/>
    <w:rsid w:val="007727E9"/>
    <w:rsid w:val="00772C15"/>
    <w:rsid w:val="00772E77"/>
    <w:rsid w:val="00772E80"/>
    <w:rsid w:val="007733FE"/>
    <w:rsid w:val="00773A7A"/>
    <w:rsid w:val="00773AF8"/>
    <w:rsid w:val="00773C0A"/>
    <w:rsid w:val="00773C4D"/>
    <w:rsid w:val="0077448E"/>
    <w:rsid w:val="00774926"/>
    <w:rsid w:val="007749E0"/>
    <w:rsid w:val="007751E9"/>
    <w:rsid w:val="007751F2"/>
    <w:rsid w:val="0077520C"/>
    <w:rsid w:val="00775295"/>
    <w:rsid w:val="00775570"/>
    <w:rsid w:val="0077602F"/>
    <w:rsid w:val="00776652"/>
    <w:rsid w:val="00776702"/>
    <w:rsid w:val="007775F4"/>
    <w:rsid w:val="007778D8"/>
    <w:rsid w:val="00777A15"/>
    <w:rsid w:val="00777A30"/>
    <w:rsid w:val="0078022A"/>
    <w:rsid w:val="00780565"/>
    <w:rsid w:val="007808B8"/>
    <w:rsid w:val="0078093E"/>
    <w:rsid w:val="00780BAF"/>
    <w:rsid w:val="00780CC6"/>
    <w:rsid w:val="00780F8A"/>
    <w:rsid w:val="0078156C"/>
    <w:rsid w:val="007819C3"/>
    <w:rsid w:val="00781A01"/>
    <w:rsid w:val="007820A3"/>
    <w:rsid w:val="007825A8"/>
    <w:rsid w:val="007829AD"/>
    <w:rsid w:val="007829CA"/>
    <w:rsid w:val="00782EB0"/>
    <w:rsid w:val="00782FE7"/>
    <w:rsid w:val="00783580"/>
    <w:rsid w:val="00783935"/>
    <w:rsid w:val="007847E4"/>
    <w:rsid w:val="0078492A"/>
    <w:rsid w:val="00784A80"/>
    <w:rsid w:val="00784FA1"/>
    <w:rsid w:val="00785609"/>
    <w:rsid w:val="00785709"/>
    <w:rsid w:val="00785EDA"/>
    <w:rsid w:val="00785F1E"/>
    <w:rsid w:val="00786152"/>
    <w:rsid w:val="00786580"/>
    <w:rsid w:val="007865A9"/>
    <w:rsid w:val="007865E4"/>
    <w:rsid w:val="0078684B"/>
    <w:rsid w:val="00786AAD"/>
    <w:rsid w:val="00786F00"/>
    <w:rsid w:val="00786F2E"/>
    <w:rsid w:val="00787580"/>
    <w:rsid w:val="00787C50"/>
    <w:rsid w:val="00787D33"/>
    <w:rsid w:val="00790045"/>
    <w:rsid w:val="007900EF"/>
    <w:rsid w:val="007902F0"/>
    <w:rsid w:val="007906AA"/>
    <w:rsid w:val="00790A67"/>
    <w:rsid w:val="00790EE8"/>
    <w:rsid w:val="00790FDB"/>
    <w:rsid w:val="0079213A"/>
    <w:rsid w:val="00792947"/>
    <w:rsid w:val="00792DBC"/>
    <w:rsid w:val="0079300A"/>
    <w:rsid w:val="007931A1"/>
    <w:rsid w:val="0079395D"/>
    <w:rsid w:val="00793E73"/>
    <w:rsid w:val="007940D6"/>
    <w:rsid w:val="0079413E"/>
    <w:rsid w:val="00794FA2"/>
    <w:rsid w:val="0079522C"/>
    <w:rsid w:val="007953F5"/>
    <w:rsid w:val="0079576A"/>
    <w:rsid w:val="00795F48"/>
    <w:rsid w:val="0079672B"/>
    <w:rsid w:val="007972DA"/>
    <w:rsid w:val="00797425"/>
    <w:rsid w:val="00797BF9"/>
    <w:rsid w:val="007A030D"/>
    <w:rsid w:val="007A0A75"/>
    <w:rsid w:val="007A0DF7"/>
    <w:rsid w:val="007A11A3"/>
    <w:rsid w:val="007A167D"/>
    <w:rsid w:val="007A1A80"/>
    <w:rsid w:val="007A1AA4"/>
    <w:rsid w:val="007A1D5C"/>
    <w:rsid w:val="007A25EC"/>
    <w:rsid w:val="007A2880"/>
    <w:rsid w:val="007A2A09"/>
    <w:rsid w:val="007A2BD3"/>
    <w:rsid w:val="007A334B"/>
    <w:rsid w:val="007A37E4"/>
    <w:rsid w:val="007A46AF"/>
    <w:rsid w:val="007A51E0"/>
    <w:rsid w:val="007A52D4"/>
    <w:rsid w:val="007A57A4"/>
    <w:rsid w:val="007A5999"/>
    <w:rsid w:val="007A6140"/>
    <w:rsid w:val="007A66C8"/>
    <w:rsid w:val="007A6B91"/>
    <w:rsid w:val="007A6D6E"/>
    <w:rsid w:val="007A6EAF"/>
    <w:rsid w:val="007A74F0"/>
    <w:rsid w:val="007A76A1"/>
    <w:rsid w:val="007A7D28"/>
    <w:rsid w:val="007B08DF"/>
    <w:rsid w:val="007B0C1F"/>
    <w:rsid w:val="007B0E17"/>
    <w:rsid w:val="007B100F"/>
    <w:rsid w:val="007B18AC"/>
    <w:rsid w:val="007B197E"/>
    <w:rsid w:val="007B2D20"/>
    <w:rsid w:val="007B2DD5"/>
    <w:rsid w:val="007B33DC"/>
    <w:rsid w:val="007B4133"/>
    <w:rsid w:val="007B43D5"/>
    <w:rsid w:val="007B45B0"/>
    <w:rsid w:val="007B4A95"/>
    <w:rsid w:val="007B4B35"/>
    <w:rsid w:val="007B4BB5"/>
    <w:rsid w:val="007B5BC8"/>
    <w:rsid w:val="007B5D5E"/>
    <w:rsid w:val="007B5EB9"/>
    <w:rsid w:val="007B63CB"/>
    <w:rsid w:val="007B68A0"/>
    <w:rsid w:val="007B6EFD"/>
    <w:rsid w:val="007B7E1C"/>
    <w:rsid w:val="007B7F8A"/>
    <w:rsid w:val="007C0392"/>
    <w:rsid w:val="007C0DC9"/>
    <w:rsid w:val="007C1287"/>
    <w:rsid w:val="007C1715"/>
    <w:rsid w:val="007C1A00"/>
    <w:rsid w:val="007C1B0B"/>
    <w:rsid w:val="007C1BEF"/>
    <w:rsid w:val="007C1D65"/>
    <w:rsid w:val="007C29D2"/>
    <w:rsid w:val="007C2C01"/>
    <w:rsid w:val="007C2EBB"/>
    <w:rsid w:val="007C3A0A"/>
    <w:rsid w:val="007C3B6F"/>
    <w:rsid w:val="007C3CA1"/>
    <w:rsid w:val="007C3DCF"/>
    <w:rsid w:val="007C3EA0"/>
    <w:rsid w:val="007C3FC5"/>
    <w:rsid w:val="007C4563"/>
    <w:rsid w:val="007C482F"/>
    <w:rsid w:val="007C4B53"/>
    <w:rsid w:val="007C596C"/>
    <w:rsid w:val="007C5A0C"/>
    <w:rsid w:val="007C5B1A"/>
    <w:rsid w:val="007C5BEF"/>
    <w:rsid w:val="007C5D6D"/>
    <w:rsid w:val="007C5EA9"/>
    <w:rsid w:val="007C5FB4"/>
    <w:rsid w:val="007C6733"/>
    <w:rsid w:val="007C6941"/>
    <w:rsid w:val="007C6D66"/>
    <w:rsid w:val="007C70C4"/>
    <w:rsid w:val="007C7625"/>
    <w:rsid w:val="007C773B"/>
    <w:rsid w:val="007C79C5"/>
    <w:rsid w:val="007C7A77"/>
    <w:rsid w:val="007C7B93"/>
    <w:rsid w:val="007C7EC1"/>
    <w:rsid w:val="007D1299"/>
    <w:rsid w:val="007D1611"/>
    <w:rsid w:val="007D1735"/>
    <w:rsid w:val="007D1887"/>
    <w:rsid w:val="007D19DA"/>
    <w:rsid w:val="007D1D42"/>
    <w:rsid w:val="007D214E"/>
    <w:rsid w:val="007D2513"/>
    <w:rsid w:val="007D284D"/>
    <w:rsid w:val="007D2E6F"/>
    <w:rsid w:val="007D40A6"/>
    <w:rsid w:val="007D426E"/>
    <w:rsid w:val="007D432F"/>
    <w:rsid w:val="007D4968"/>
    <w:rsid w:val="007D4C6D"/>
    <w:rsid w:val="007D548D"/>
    <w:rsid w:val="007D5D8B"/>
    <w:rsid w:val="007D63BB"/>
    <w:rsid w:val="007D64AD"/>
    <w:rsid w:val="007D66C6"/>
    <w:rsid w:val="007D6B83"/>
    <w:rsid w:val="007D6B97"/>
    <w:rsid w:val="007D7CEC"/>
    <w:rsid w:val="007E0A50"/>
    <w:rsid w:val="007E0A55"/>
    <w:rsid w:val="007E0A65"/>
    <w:rsid w:val="007E0CC2"/>
    <w:rsid w:val="007E1461"/>
    <w:rsid w:val="007E173A"/>
    <w:rsid w:val="007E1F88"/>
    <w:rsid w:val="007E281E"/>
    <w:rsid w:val="007E2C4B"/>
    <w:rsid w:val="007E31E5"/>
    <w:rsid w:val="007E3CDA"/>
    <w:rsid w:val="007E4261"/>
    <w:rsid w:val="007E433B"/>
    <w:rsid w:val="007E4975"/>
    <w:rsid w:val="007E4986"/>
    <w:rsid w:val="007E4E23"/>
    <w:rsid w:val="007E504B"/>
    <w:rsid w:val="007E50AB"/>
    <w:rsid w:val="007E511E"/>
    <w:rsid w:val="007E53BF"/>
    <w:rsid w:val="007E55E8"/>
    <w:rsid w:val="007E5DC3"/>
    <w:rsid w:val="007E5EA8"/>
    <w:rsid w:val="007E601A"/>
    <w:rsid w:val="007E60F0"/>
    <w:rsid w:val="007E693D"/>
    <w:rsid w:val="007E6BAE"/>
    <w:rsid w:val="007E6C1A"/>
    <w:rsid w:val="007E6C41"/>
    <w:rsid w:val="007E6C49"/>
    <w:rsid w:val="007E6D2A"/>
    <w:rsid w:val="007E75C1"/>
    <w:rsid w:val="007E7635"/>
    <w:rsid w:val="007E779E"/>
    <w:rsid w:val="007E789C"/>
    <w:rsid w:val="007E7A18"/>
    <w:rsid w:val="007F036D"/>
    <w:rsid w:val="007F0591"/>
    <w:rsid w:val="007F069B"/>
    <w:rsid w:val="007F082C"/>
    <w:rsid w:val="007F0DD1"/>
    <w:rsid w:val="007F1540"/>
    <w:rsid w:val="007F1DBA"/>
    <w:rsid w:val="007F1FD8"/>
    <w:rsid w:val="007F22C9"/>
    <w:rsid w:val="007F2E3E"/>
    <w:rsid w:val="007F39FD"/>
    <w:rsid w:val="007F462D"/>
    <w:rsid w:val="007F4782"/>
    <w:rsid w:val="007F485E"/>
    <w:rsid w:val="007F4B44"/>
    <w:rsid w:val="007F5717"/>
    <w:rsid w:val="007F5802"/>
    <w:rsid w:val="007F588B"/>
    <w:rsid w:val="007F5CD1"/>
    <w:rsid w:val="007F639E"/>
    <w:rsid w:val="007F66A4"/>
    <w:rsid w:val="007F6981"/>
    <w:rsid w:val="007F6CF0"/>
    <w:rsid w:val="007F7375"/>
    <w:rsid w:val="007F79E7"/>
    <w:rsid w:val="007F7C1F"/>
    <w:rsid w:val="007F7D08"/>
    <w:rsid w:val="00800524"/>
    <w:rsid w:val="008005E8"/>
    <w:rsid w:val="008009B8"/>
    <w:rsid w:val="00800D9C"/>
    <w:rsid w:val="008017FC"/>
    <w:rsid w:val="00801948"/>
    <w:rsid w:val="008019D0"/>
    <w:rsid w:val="00801E8E"/>
    <w:rsid w:val="008020F6"/>
    <w:rsid w:val="008023A7"/>
    <w:rsid w:val="00802FEE"/>
    <w:rsid w:val="00803CA3"/>
    <w:rsid w:val="00803E6D"/>
    <w:rsid w:val="00804908"/>
    <w:rsid w:val="00805019"/>
    <w:rsid w:val="0080666E"/>
    <w:rsid w:val="00806989"/>
    <w:rsid w:val="00806C03"/>
    <w:rsid w:val="00807097"/>
    <w:rsid w:val="008076CC"/>
    <w:rsid w:val="00807730"/>
    <w:rsid w:val="00807B8B"/>
    <w:rsid w:val="00807D8E"/>
    <w:rsid w:val="00807DD2"/>
    <w:rsid w:val="008102AF"/>
    <w:rsid w:val="008107BB"/>
    <w:rsid w:val="00810A54"/>
    <w:rsid w:val="00810F3B"/>
    <w:rsid w:val="00811590"/>
    <w:rsid w:val="00811856"/>
    <w:rsid w:val="00811E10"/>
    <w:rsid w:val="00812059"/>
    <w:rsid w:val="0081239D"/>
    <w:rsid w:val="0081267C"/>
    <w:rsid w:val="00812E20"/>
    <w:rsid w:val="00813271"/>
    <w:rsid w:val="008139D0"/>
    <w:rsid w:val="00813EEF"/>
    <w:rsid w:val="00814333"/>
    <w:rsid w:val="0081453B"/>
    <w:rsid w:val="00814CAD"/>
    <w:rsid w:val="008153A0"/>
    <w:rsid w:val="008156E9"/>
    <w:rsid w:val="008161B6"/>
    <w:rsid w:val="008161BF"/>
    <w:rsid w:val="00817AB2"/>
    <w:rsid w:val="00817BFB"/>
    <w:rsid w:val="00817ED6"/>
    <w:rsid w:val="00820D2C"/>
    <w:rsid w:val="008216CC"/>
    <w:rsid w:val="00821D0D"/>
    <w:rsid w:val="00822182"/>
    <w:rsid w:val="00822481"/>
    <w:rsid w:val="00823037"/>
    <w:rsid w:val="00823148"/>
    <w:rsid w:val="00823349"/>
    <w:rsid w:val="008234BB"/>
    <w:rsid w:val="008234F2"/>
    <w:rsid w:val="0082408E"/>
    <w:rsid w:val="008240E0"/>
    <w:rsid w:val="00824358"/>
    <w:rsid w:val="00824BC7"/>
    <w:rsid w:val="00824E9D"/>
    <w:rsid w:val="008258DE"/>
    <w:rsid w:val="00825DB7"/>
    <w:rsid w:val="008265FE"/>
    <w:rsid w:val="00826B0A"/>
    <w:rsid w:val="008271B6"/>
    <w:rsid w:val="008273F2"/>
    <w:rsid w:val="00827675"/>
    <w:rsid w:val="00827DC3"/>
    <w:rsid w:val="00827F8F"/>
    <w:rsid w:val="008302E5"/>
    <w:rsid w:val="008305C2"/>
    <w:rsid w:val="0083090C"/>
    <w:rsid w:val="0083091A"/>
    <w:rsid w:val="00830DE4"/>
    <w:rsid w:val="00830F28"/>
    <w:rsid w:val="00830FCF"/>
    <w:rsid w:val="0083141E"/>
    <w:rsid w:val="00831A29"/>
    <w:rsid w:val="008323CF"/>
    <w:rsid w:val="00832C49"/>
    <w:rsid w:val="0083355C"/>
    <w:rsid w:val="008337A4"/>
    <w:rsid w:val="008341E3"/>
    <w:rsid w:val="00834578"/>
    <w:rsid w:val="008345B8"/>
    <w:rsid w:val="00834685"/>
    <w:rsid w:val="00834956"/>
    <w:rsid w:val="00834B0A"/>
    <w:rsid w:val="00834DC0"/>
    <w:rsid w:val="00834FD7"/>
    <w:rsid w:val="00834FDB"/>
    <w:rsid w:val="00835669"/>
    <w:rsid w:val="00835A82"/>
    <w:rsid w:val="00835E3A"/>
    <w:rsid w:val="0083627D"/>
    <w:rsid w:val="00836F00"/>
    <w:rsid w:val="0083728B"/>
    <w:rsid w:val="008373B6"/>
    <w:rsid w:val="00837544"/>
    <w:rsid w:val="008400DA"/>
    <w:rsid w:val="008402E2"/>
    <w:rsid w:val="00840632"/>
    <w:rsid w:val="00840797"/>
    <w:rsid w:val="00840B5E"/>
    <w:rsid w:val="00840C0D"/>
    <w:rsid w:val="00840C33"/>
    <w:rsid w:val="00841179"/>
    <w:rsid w:val="00841895"/>
    <w:rsid w:val="00842043"/>
    <w:rsid w:val="00842266"/>
    <w:rsid w:val="008426E8"/>
    <w:rsid w:val="00842787"/>
    <w:rsid w:val="00842AC5"/>
    <w:rsid w:val="00842ED8"/>
    <w:rsid w:val="008432F3"/>
    <w:rsid w:val="00843744"/>
    <w:rsid w:val="00843E30"/>
    <w:rsid w:val="00843F24"/>
    <w:rsid w:val="0084436D"/>
    <w:rsid w:val="00845281"/>
    <w:rsid w:val="0084570E"/>
    <w:rsid w:val="008457BB"/>
    <w:rsid w:val="00845F66"/>
    <w:rsid w:val="00846096"/>
    <w:rsid w:val="00846D1B"/>
    <w:rsid w:val="00846D5C"/>
    <w:rsid w:val="0084791C"/>
    <w:rsid w:val="008479A3"/>
    <w:rsid w:val="00847DB3"/>
    <w:rsid w:val="00847E76"/>
    <w:rsid w:val="0085002C"/>
    <w:rsid w:val="008501A4"/>
    <w:rsid w:val="008504EA"/>
    <w:rsid w:val="00850A6A"/>
    <w:rsid w:val="00850D42"/>
    <w:rsid w:val="0085133F"/>
    <w:rsid w:val="00851E4E"/>
    <w:rsid w:val="00852470"/>
    <w:rsid w:val="008525EB"/>
    <w:rsid w:val="00852A2D"/>
    <w:rsid w:val="0085310B"/>
    <w:rsid w:val="0085316B"/>
    <w:rsid w:val="0085391E"/>
    <w:rsid w:val="0085437E"/>
    <w:rsid w:val="008546C1"/>
    <w:rsid w:val="00854ED4"/>
    <w:rsid w:val="008552AF"/>
    <w:rsid w:val="008556F0"/>
    <w:rsid w:val="008556F2"/>
    <w:rsid w:val="00855B9A"/>
    <w:rsid w:val="00855F6C"/>
    <w:rsid w:val="008578ED"/>
    <w:rsid w:val="00860566"/>
    <w:rsid w:val="008609F5"/>
    <w:rsid w:val="00860AB7"/>
    <w:rsid w:val="00860EA0"/>
    <w:rsid w:val="00861788"/>
    <w:rsid w:val="00861E74"/>
    <w:rsid w:val="00862055"/>
    <w:rsid w:val="008620BE"/>
    <w:rsid w:val="00862118"/>
    <w:rsid w:val="0086226D"/>
    <w:rsid w:val="00862498"/>
    <w:rsid w:val="00862731"/>
    <w:rsid w:val="0086280F"/>
    <w:rsid w:val="00863554"/>
    <w:rsid w:val="00863C7A"/>
    <w:rsid w:val="00863EE8"/>
    <w:rsid w:val="00864116"/>
    <w:rsid w:val="00864525"/>
    <w:rsid w:val="008645C9"/>
    <w:rsid w:val="00864DE8"/>
    <w:rsid w:val="0086511D"/>
    <w:rsid w:val="008652B4"/>
    <w:rsid w:val="008652E3"/>
    <w:rsid w:val="00865578"/>
    <w:rsid w:val="008655B5"/>
    <w:rsid w:val="0086562E"/>
    <w:rsid w:val="00866749"/>
    <w:rsid w:val="00866F8E"/>
    <w:rsid w:val="008670E0"/>
    <w:rsid w:val="008674C7"/>
    <w:rsid w:val="00867AB3"/>
    <w:rsid w:val="00867B20"/>
    <w:rsid w:val="00870128"/>
    <w:rsid w:val="0087053A"/>
    <w:rsid w:val="00870617"/>
    <w:rsid w:val="008707CC"/>
    <w:rsid w:val="00870A86"/>
    <w:rsid w:val="00870C2C"/>
    <w:rsid w:val="00871031"/>
    <w:rsid w:val="0087134E"/>
    <w:rsid w:val="00871DA2"/>
    <w:rsid w:val="00871E45"/>
    <w:rsid w:val="0087209E"/>
    <w:rsid w:val="008722A4"/>
    <w:rsid w:val="008722E5"/>
    <w:rsid w:val="00872530"/>
    <w:rsid w:val="00872C65"/>
    <w:rsid w:val="00873316"/>
    <w:rsid w:val="008735BC"/>
    <w:rsid w:val="008736D5"/>
    <w:rsid w:val="0087379D"/>
    <w:rsid w:val="008737F6"/>
    <w:rsid w:val="00874B7E"/>
    <w:rsid w:val="00875092"/>
    <w:rsid w:val="00875224"/>
    <w:rsid w:val="00875612"/>
    <w:rsid w:val="00875D7B"/>
    <w:rsid w:val="008760B8"/>
    <w:rsid w:val="00876907"/>
    <w:rsid w:val="00876F84"/>
    <w:rsid w:val="00877B05"/>
    <w:rsid w:val="00877CED"/>
    <w:rsid w:val="00877EF8"/>
    <w:rsid w:val="008804CF"/>
    <w:rsid w:val="00880A97"/>
    <w:rsid w:val="00880A9A"/>
    <w:rsid w:val="00880C37"/>
    <w:rsid w:val="00880D60"/>
    <w:rsid w:val="00881013"/>
    <w:rsid w:val="00881170"/>
    <w:rsid w:val="0088158E"/>
    <w:rsid w:val="0088198D"/>
    <w:rsid w:val="00882239"/>
    <w:rsid w:val="00882B1A"/>
    <w:rsid w:val="00882FD4"/>
    <w:rsid w:val="008830D8"/>
    <w:rsid w:val="008832FB"/>
    <w:rsid w:val="00883B97"/>
    <w:rsid w:val="00883F22"/>
    <w:rsid w:val="00884C67"/>
    <w:rsid w:val="00884D5C"/>
    <w:rsid w:val="00885205"/>
    <w:rsid w:val="008852D7"/>
    <w:rsid w:val="0088555E"/>
    <w:rsid w:val="00885BA5"/>
    <w:rsid w:val="00885C99"/>
    <w:rsid w:val="0088673A"/>
    <w:rsid w:val="008875A7"/>
    <w:rsid w:val="0088775E"/>
    <w:rsid w:val="0089040D"/>
    <w:rsid w:val="00890809"/>
    <w:rsid w:val="00890D5E"/>
    <w:rsid w:val="00890E6E"/>
    <w:rsid w:val="00891246"/>
    <w:rsid w:val="008912D7"/>
    <w:rsid w:val="00891488"/>
    <w:rsid w:val="0089161C"/>
    <w:rsid w:val="00891CC7"/>
    <w:rsid w:val="00891EAF"/>
    <w:rsid w:val="00892031"/>
    <w:rsid w:val="008925E0"/>
    <w:rsid w:val="0089269C"/>
    <w:rsid w:val="0089272E"/>
    <w:rsid w:val="00893095"/>
    <w:rsid w:val="00893EB4"/>
    <w:rsid w:val="0089402E"/>
    <w:rsid w:val="0089447E"/>
    <w:rsid w:val="00894515"/>
    <w:rsid w:val="00894EFD"/>
    <w:rsid w:val="008951BE"/>
    <w:rsid w:val="0089528E"/>
    <w:rsid w:val="00895560"/>
    <w:rsid w:val="00895CC5"/>
    <w:rsid w:val="00895DD6"/>
    <w:rsid w:val="00895F6A"/>
    <w:rsid w:val="00896152"/>
    <w:rsid w:val="008966BA"/>
    <w:rsid w:val="008966E0"/>
    <w:rsid w:val="00896A7D"/>
    <w:rsid w:val="00896D7F"/>
    <w:rsid w:val="00896DC7"/>
    <w:rsid w:val="008971CD"/>
    <w:rsid w:val="00897D7A"/>
    <w:rsid w:val="008A05CF"/>
    <w:rsid w:val="008A0A36"/>
    <w:rsid w:val="008A0FD2"/>
    <w:rsid w:val="008A1149"/>
    <w:rsid w:val="008A1364"/>
    <w:rsid w:val="008A1638"/>
    <w:rsid w:val="008A1648"/>
    <w:rsid w:val="008A1B79"/>
    <w:rsid w:val="008A215E"/>
    <w:rsid w:val="008A2258"/>
    <w:rsid w:val="008A244F"/>
    <w:rsid w:val="008A2633"/>
    <w:rsid w:val="008A2999"/>
    <w:rsid w:val="008A312F"/>
    <w:rsid w:val="008A348F"/>
    <w:rsid w:val="008A3788"/>
    <w:rsid w:val="008A47C8"/>
    <w:rsid w:val="008A4FA5"/>
    <w:rsid w:val="008A50E6"/>
    <w:rsid w:val="008A5292"/>
    <w:rsid w:val="008A5473"/>
    <w:rsid w:val="008A547E"/>
    <w:rsid w:val="008A5827"/>
    <w:rsid w:val="008A58DF"/>
    <w:rsid w:val="008A5C73"/>
    <w:rsid w:val="008A6BA5"/>
    <w:rsid w:val="008A78B8"/>
    <w:rsid w:val="008A7CB4"/>
    <w:rsid w:val="008B0A09"/>
    <w:rsid w:val="008B0BC8"/>
    <w:rsid w:val="008B13D2"/>
    <w:rsid w:val="008B159E"/>
    <w:rsid w:val="008B1B6C"/>
    <w:rsid w:val="008B1E0E"/>
    <w:rsid w:val="008B1E2F"/>
    <w:rsid w:val="008B22F9"/>
    <w:rsid w:val="008B2318"/>
    <w:rsid w:val="008B25C8"/>
    <w:rsid w:val="008B289C"/>
    <w:rsid w:val="008B290D"/>
    <w:rsid w:val="008B2BAF"/>
    <w:rsid w:val="008B2D44"/>
    <w:rsid w:val="008B2E24"/>
    <w:rsid w:val="008B3025"/>
    <w:rsid w:val="008B3534"/>
    <w:rsid w:val="008B3538"/>
    <w:rsid w:val="008B3DB5"/>
    <w:rsid w:val="008B41D6"/>
    <w:rsid w:val="008B420D"/>
    <w:rsid w:val="008B430C"/>
    <w:rsid w:val="008B446B"/>
    <w:rsid w:val="008B46D3"/>
    <w:rsid w:val="008B480E"/>
    <w:rsid w:val="008B5767"/>
    <w:rsid w:val="008B5893"/>
    <w:rsid w:val="008B5A6B"/>
    <w:rsid w:val="008B634E"/>
    <w:rsid w:val="008B73D2"/>
    <w:rsid w:val="008B7542"/>
    <w:rsid w:val="008B763C"/>
    <w:rsid w:val="008B7CC1"/>
    <w:rsid w:val="008B7FD1"/>
    <w:rsid w:val="008C06AD"/>
    <w:rsid w:val="008C0C46"/>
    <w:rsid w:val="008C11D4"/>
    <w:rsid w:val="008C1203"/>
    <w:rsid w:val="008C13BF"/>
    <w:rsid w:val="008C15E7"/>
    <w:rsid w:val="008C19A6"/>
    <w:rsid w:val="008C1B4E"/>
    <w:rsid w:val="008C20F6"/>
    <w:rsid w:val="008C2304"/>
    <w:rsid w:val="008C247B"/>
    <w:rsid w:val="008C2672"/>
    <w:rsid w:val="008C28FE"/>
    <w:rsid w:val="008C29B7"/>
    <w:rsid w:val="008C2F49"/>
    <w:rsid w:val="008C35CE"/>
    <w:rsid w:val="008C3759"/>
    <w:rsid w:val="008C383C"/>
    <w:rsid w:val="008C38CF"/>
    <w:rsid w:val="008C4084"/>
    <w:rsid w:val="008C4400"/>
    <w:rsid w:val="008C48F3"/>
    <w:rsid w:val="008C48FA"/>
    <w:rsid w:val="008C4B3C"/>
    <w:rsid w:val="008C4F3D"/>
    <w:rsid w:val="008C4FE0"/>
    <w:rsid w:val="008C5514"/>
    <w:rsid w:val="008C5775"/>
    <w:rsid w:val="008C58E3"/>
    <w:rsid w:val="008C5C86"/>
    <w:rsid w:val="008C5CEA"/>
    <w:rsid w:val="008C5D96"/>
    <w:rsid w:val="008C5DD1"/>
    <w:rsid w:val="008C5EED"/>
    <w:rsid w:val="008C6221"/>
    <w:rsid w:val="008C65E0"/>
    <w:rsid w:val="008C6E9E"/>
    <w:rsid w:val="008C71C8"/>
    <w:rsid w:val="008C755B"/>
    <w:rsid w:val="008C7718"/>
    <w:rsid w:val="008D0084"/>
    <w:rsid w:val="008D0352"/>
    <w:rsid w:val="008D0491"/>
    <w:rsid w:val="008D0495"/>
    <w:rsid w:val="008D0E15"/>
    <w:rsid w:val="008D1270"/>
    <w:rsid w:val="008D153B"/>
    <w:rsid w:val="008D15E5"/>
    <w:rsid w:val="008D1AAE"/>
    <w:rsid w:val="008D1FE2"/>
    <w:rsid w:val="008D22AB"/>
    <w:rsid w:val="008D29AA"/>
    <w:rsid w:val="008D2B43"/>
    <w:rsid w:val="008D2B96"/>
    <w:rsid w:val="008D3052"/>
    <w:rsid w:val="008D3400"/>
    <w:rsid w:val="008D385D"/>
    <w:rsid w:val="008D3C9E"/>
    <w:rsid w:val="008D3FC3"/>
    <w:rsid w:val="008D42A2"/>
    <w:rsid w:val="008D4614"/>
    <w:rsid w:val="008D4799"/>
    <w:rsid w:val="008D4CB2"/>
    <w:rsid w:val="008D4FC2"/>
    <w:rsid w:val="008D4FCE"/>
    <w:rsid w:val="008D5613"/>
    <w:rsid w:val="008D5C6A"/>
    <w:rsid w:val="008D5FE4"/>
    <w:rsid w:val="008D62FD"/>
    <w:rsid w:val="008D6957"/>
    <w:rsid w:val="008D6E0A"/>
    <w:rsid w:val="008D7077"/>
    <w:rsid w:val="008D7510"/>
    <w:rsid w:val="008D7C30"/>
    <w:rsid w:val="008D7D78"/>
    <w:rsid w:val="008E06F4"/>
    <w:rsid w:val="008E07B8"/>
    <w:rsid w:val="008E0DD0"/>
    <w:rsid w:val="008E0DE7"/>
    <w:rsid w:val="008E0E05"/>
    <w:rsid w:val="008E201D"/>
    <w:rsid w:val="008E2591"/>
    <w:rsid w:val="008E2998"/>
    <w:rsid w:val="008E2F0D"/>
    <w:rsid w:val="008E3AB6"/>
    <w:rsid w:val="008E4F61"/>
    <w:rsid w:val="008E52BB"/>
    <w:rsid w:val="008E5A52"/>
    <w:rsid w:val="008E5AFA"/>
    <w:rsid w:val="008E5C33"/>
    <w:rsid w:val="008E5C60"/>
    <w:rsid w:val="008E645E"/>
    <w:rsid w:val="008E65C2"/>
    <w:rsid w:val="008E6C12"/>
    <w:rsid w:val="008E70E3"/>
    <w:rsid w:val="008E738C"/>
    <w:rsid w:val="008E75AA"/>
    <w:rsid w:val="008E76F0"/>
    <w:rsid w:val="008F0023"/>
    <w:rsid w:val="008F0859"/>
    <w:rsid w:val="008F1109"/>
    <w:rsid w:val="008F1532"/>
    <w:rsid w:val="008F161C"/>
    <w:rsid w:val="008F1D14"/>
    <w:rsid w:val="008F2136"/>
    <w:rsid w:val="008F2B9E"/>
    <w:rsid w:val="008F2F30"/>
    <w:rsid w:val="008F3A72"/>
    <w:rsid w:val="008F3CF5"/>
    <w:rsid w:val="008F3ECA"/>
    <w:rsid w:val="008F40E7"/>
    <w:rsid w:val="008F553A"/>
    <w:rsid w:val="008F5747"/>
    <w:rsid w:val="008F5994"/>
    <w:rsid w:val="008F5D36"/>
    <w:rsid w:val="008F5DA8"/>
    <w:rsid w:val="008F6F85"/>
    <w:rsid w:val="008F730B"/>
    <w:rsid w:val="008F754B"/>
    <w:rsid w:val="008F7660"/>
    <w:rsid w:val="008F7D07"/>
    <w:rsid w:val="00900753"/>
    <w:rsid w:val="009008BA"/>
    <w:rsid w:val="00900ABE"/>
    <w:rsid w:val="00900AE2"/>
    <w:rsid w:val="00900D7B"/>
    <w:rsid w:val="00901828"/>
    <w:rsid w:val="00901A83"/>
    <w:rsid w:val="00901DDA"/>
    <w:rsid w:val="00902194"/>
    <w:rsid w:val="009027B4"/>
    <w:rsid w:val="0090373F"/>
    <w:rsid w:val="009037FC"/>
    <w:rsid w:val="00904284"/>
    <w:rsid w:val="0090435F"/>
    <w:rsid w:val="00904875"/>
    <w:rsid w:val="00904ACD"/>
    <w:rsid w:val="00904CF1"/>
    <w:rsid w:val="00904DCA"/>
    <w:rsid w:val="00904F00"/>
    <w:rsid w:val="00904F27"/>
    <w:rsid w:val="00904F82"/>
    <w:rsid w:val="0090500F"/>
    <w:rsid w:val="0090548F"/>
    <w:rsid w:val="00905D11"/>
    <w:rsid w:val="00906082"/>
    <w:rsid w:val="0090614C"/>
    <w:rsid w:val="009062B6"/>
    <w:rsid w:val="009063CC"/>
    <w:rsid w:val="0090700F"/>
    <w:rsid w:val="00907080"/>
    <w:rsid w:val="009074DB"/>
    <w:rsid w:val="00907CD2"/>
    <w:rsid w:val="00907F10"/>
    <w:rsid w:val="0091013B"/>
    <w:rsid w:val="00910D26"/>
    <w:rsid w:val="0091104F"/>
    <w:rsid w:val="009111E6"/>
    <w:rsid w:val="00911D18"/>
    <w:rsid w:val="0091238E"/>
    <w:rsid w:val="00912660"/>
    <w:rsid w:val="00912BE4"/>
    <w:rsid w:val="009139EF"/>
    <w:rsid w:val="00913C15"/>
    <w:rsid w:val="00913EFA"/>
    <w:rsid w:val="00914093"/>
    <w:rsid w:val="00914538"/>
    <w:rsid w:val="00914CE6"/>
    <w:rsid w:val="00914EE8"/>
    <w:rsid w:val="00914F0A"/>
    <w:rsid w:val="00914F61"/>
    <w:rsid w:val="0091507C"/>
    <w:rsid w:val="009151EB"/>
    <w:rsid w:val="0091620B"/>
    <w:rsid w:val="009169A4"/>
    <w:rsid w:val="00916A56"/>
    <w:rsid w:val="00917254"/>
    <w:rsid w:val="0091785F"/>
    <w:rsid w:val="00920100"/>
    <w:rsid w:val="00920577"/>
    <w:rsid w:val="009209E5"/>
    <w:rsid w:val="00920A52"/>
    <w:rsid w:val="00921410"/>
    <w:rsid w:val="00921729"/>
    <w:rsid w:val="00921904"/>
    <w:rsid w:val="00921998"/>
    <w:rsid w:val="00921E36"/>
    <w:rsid w:val="009220E0"/>
    <w:rsid w:val="0092273F"/>
    <w:rsid w:val="0092276C"/>
    <w:rsid w:val="00922B5A"/>
    <w:rsid w:val="009234F7"/>
    <w:rsid w:val="00923718"/>
    <w:rsid w:val="00923996"/>
    <w:rsid w:val="009245FA"/>
    <w:rsid w:val="009247A7"/>
    <w:rsid w:val="0092493B"/>
    <w:rsid w:val="00924A15"/>
    <w:rsid w:val="00924A9B"/>
    <w:rsid w:val="00924FCE"/>
    <w:rsid w:val="0092527D"/>
    <w:rsid w:val="00925E7C"/>
    <w:rsid w:val="00926108"/>
    <w:rsid w:val="00926B8F"/>
    <w:rsid w:val="0092707F"/>
    <w:rsid w:val="00927511"/>
    <w:rsid w:val="009276D5"/>
    <w:rsid w:val="0092779F"/>
    <w:rsid w:val="009278E8"/>
    <w:rsid w:val="00927B3A"/>
    <w:rsid w:val="00927D24"/>
    <w:rsid w:val="0093060D"/>
    <w:rsid w:val="00930683"/>
    <w:rsid w:val="009306F7"/>
    <w:rsid w:val="00930727"/>
    <w:rsid w:val="00930823"/>
    <w:rsid w:val="00930A06"/>
    <w:rsid w:val="0093126D"/>
    <w:rsid w:val="00931519"/>
    <w:rsid w:val="00931563"/>
    <w:rsid w:val="0093170B"/>
    <w:rsid w:val="00931A7B"/>
    <w:rsid w:val="00931A81"/>
    <w:rsid w:val="00931CE7"/>
    <w:rsid w:val="00932669"/>
    <w:rsid w:val="00932EA6"/>
    <w:rsid w:val="00932FCD"/>
    <w:rsid w:val="00933860"/>
    <w:rsid w:val="00933968"/>
    <w:rsid w:val="00933981"/>
    <w:rsid w:val="00933B1A"/>
    <w:rsid w:val="00933BC7"/>
    <w:rsid w:val="00933BCD"/>
    <w:rsid w:val="0093475A"/>
    <w:rsid w:val="00934E5D"/>
    <w:rsid w:val="00934E71"/>
    <w:rsid w:val="0093518D"/>
    <w:rsid w:val="00935696"/>
    <w:rsid w:val="00935CB8"/>
    <w:rsid w:val="00936149"/>
    <w:rsid w:val="0093727F"/>
    <w:rsid w:val="009379ED"/>
    <w:rsid w:val="00937A50"/>
    <w:rsid w:val="00937ACE"/>
    <w:rsid w:val="009408E1"/>
    <w:rsid w:val="00941424"/>
    <w:rsid w:val="009414E4"/>
    <w:rsid w:val="009417EB"/>
    <w:rsid w:val="00941AB7"/>
    <w:rsid w:val="00941DA6"/>
    <w:rsid w:val="00942338"/>
    <w:rsid w:val="0094278B"/>
    <w:rsid w:val="0094290B"/>
    <w:rsid w:val="0094315C"/>
    <w:rsid w:val="009434D5"/>
    <w:rsid w:val="00943E12"/>
    <w:rsid w:val="0094438E"/>
    <w:rsid w:val="00944A5E"/>
    <w:rsid w:val="00944D9A"/>
    <w:rsid w:val="00944ECF"/>
    <w:rsid w:val="00945252"/>
    <w:rsid w:val="009452C0"/>
    <w:rsid w:val="009452E5"/>
    <w:rsid w:val="009456F9"/>
    <w:rsid w:val="009458C9"/>
    <w:rsid w:val="00945C10"/>
    <w:rsid w:val="00945FB8"/>
    <w:rsid w:val="0094626A"/>
    <w:rsid w:val="009466AA"/>
    <w:rsid w:val="009467C4"/>
    <w:rsid w:val="00946F93"/>
    <w:rsid w:val="009470AD"/>
    <w:rsid w:val="00947914"/>
    <w:rsid w:val="00950050"/>
    <w:rsid w:val="00950741"/>
    <w:rsid w:val="00951234"/>
    <w:rsid w:val="00951343"/>
    <w:rsid w:val="0095176F"/>
    <w:rsid w:val="0095177D"/>
    <w:rsid w:val="00951921"/>
    <w:rsid w:val="00951AD2"/>
    <w:rsid w:val="00951CB6"/>
    <w:rsid w:val="00951DFA"/>
    <w:rsid w:val="009520DC"/>
    <w:rsid w:val="00952897"/>
    <w:rsid w:val="00952942"/>
    <w:rsid w:val="00953347"/>
    <w:rsid w:val="00953464"/>
    <w:rsid w:val="009539AB"/>
    <w:rsid w:val="00953F70"/>
    <w:rsid w:val="009542A3"/>
    <w:rsid w:val="009544EF"/>
    <w:rsid w:val="009547DB"/>
    <w:rsid w:val="0095517A"/>
    <w:rsid w:val="009552FF"/>
    <w:rsid w:val="009558C9"/>
    <w:rsid w:val="00956954"/>
    <w:rsid w:val="00956BA8"/>
    <w:rsid w:val="00956FFC"/>
    <w:rsid w:val="00957282"/>
    <w:rsid w:val="009572FF"/>
    <w:rsid w:val="0095736B"/>
    <w:rsid w:val="009574CE"/>
    <w:rsid w:val="00957C7F"/>
    <w:rsid w:val="00960941"/>
    <w:rsid w:val="009609D6"/>
    <w:rsid w:val="00960AD9"/>
    <w:rsid w:val="0096203B"/>
    <w:rsid w:val="00962693"/>
    <w:rsid w:val="009634BC"/>
    <w:rsid w:val="009636DA"/>
    <w:rsid w:val="00963B35"/>
    <w:rsid w:val="00963F15"/>
    <w:rsid w:val="009641B1"/>
    <w:rsid w:val="0096454D"/>
    <w:rsid w:val="009647D6"/>
    <w:rsid w:val="0096521C"/>
    <w:rsid w:val="00965A2E"/>
    <w:rsid w:val="00965D95"/>
    <w:rsid w:val="00965DA3"/>
    <w:rsid w:val="00965EFE"/>
    <w:rsid w:val="00965F48"/>
    <w:rsid w:val="0096637A"/>
    <w:rsid w:val="0096686A"/>
    <w:rsid w:val="00966DB6"/>
    <w:rsid w:val="00966EB4"/>
    <w:rsid w:val="00967200"/>
    <w:rsid w:val="00967302"/>
    <w:rsid w:val="00967451"/>
    <w:rsid w:val="00967CBC"/>
    <w:rsid w:val="00967F06"/>
    <w:rsid w:val="0097049F"/>
    <w:rsid w:val="009706FA"/>
    <w:rsid w:val="00970743"/>
    <w:rsid w:val="009718D8"/>
    <w:rsid w:val="00971FB3"/>
    <w:rsid w:val="00971FFE"/>
    <w:rsid w:val="00972397"/>
    <w:rsid w:val="00972A76"/>
    <w:rsid w:val="00972D59"/>
    <w:rsid w:val="00973106"/>
    <w:rsid w:val="00973C64"/>
    <w:rsid w:val="00973FF2"/>
    <w:rsid w:val="0097438F"/>
    <w:rsid w:val="009743D9"/>
    <w:rsid w:val="00974EE9"/>
    <w:rsid w:val="009753A0"/>
    <w:rsid w:val="00975561"/>
    <w:rsid w:val="0097568D"/>
    <w:rsid w:val="009759E7"/>
    <w:rsid w:val="00975ADF"/>
    <w:rsid w:val="00975B50"/>
    <w:rsid w:val="00975C08"/>
    <w:rsid w:val="00975DE6"/>
    <w:rsid w:val="0097612D"/>
    <w:rsid w:val="00976453"/>
    <w:rsid w:val="009765DF"/>
    <w:rsid w:val="00976A0E"/>
    <w:rsid w:val="009774E8"/>
    <w:rsid w:val="00977515"/>
    <w:rsid w:val="00977F92"/>
    <w:rsid w:val="0098001E"/>
    <w:rsid w:val="00980F3E"/>
    <w:rsid w:val="009817E6"/>
    <w:rsid w:val="00981CF3"/>
    <w:rsid w:val="00982085"/>
    <w:rsid w:val="00983201"/>
    <w:rsid w:val="009835A7"/>
    <w:rsid w:val="0098377C"/>
    <w:rsid w:val="00983859"/>
    <w:rsid w:val="00983A92"/>
    <w:rsid w:val="00983ACC"/>
    <w:rsid w:val="0098417F"/>
    <w:rsid w:val="009842A8"/>
    <w:rsid w:val="00984313"/>
    <w:rsid w:val="0098436A"/>
    <w:rsid w:val="009845AF"/>
    <w:rsid w:val="009852F9"/>
    <w:rsid w:val="00985564"/>
    <w:rsid w:val="00985688"/>
    <w:rsid w:val="00985971"/>
    <w:rsid w:val="00985D8E"/>
    <w:rsid w:val="00985F91"/>
    <w:rsid w:val="00986262"/>
    <w:rsid w:val="00986A68"/>
    <w:rsid w:val="00986F88"/>
    <w:rsid w:val="00987F75"/>
    <w:rsid w:val="009901CB"/>
    <w:rsid w:val="0099097D"/>
    <w:rsid w:val="0099135C"/>
    <w:rsid w:val="009922C6"/>
    <w:rsid w:val="0099241F"/>
    <w:rsid w:val="00992554"/>
    <w:rsid w:val="009928D9"/>
    <w:rsid w:val="00992C5F"/>
    <w:rsid w:val="009930E4"/>
    <w:rsid w:val="0099347D"/>
    <w:rsid w:val="00993538"/>
    <w:rsid w:val="00993DEF"/>
    <w:rsid w:val="0099424B"/>
    <w:rsid w:val="0099471F"/>
    <w:rsid w:val="0099483D"/>
    <w:rsid w:val="009948FF"/>
    <w:rsid w:val="00994C93"/>
    <w:rsid w:val="00995674"/>
    <w:rsid w:val="00995CCF"/>
    <w:rsid w:val="0099656D"/>
    <w:rsid w:val="0099733E"/>
    <w:rsid w:val="00997355"/>
    <w:rsid w:val="009974ED"/>
    <w:rsid w:val="0099757F"/>
    <w:rsid w:val="009975D4"/>
    <w:rsid w:val="009976C7"/>
    <w:rsid w:val="00997B13"/>
    <w:rsid w:val="00997F08"/>
    <w:rsid w:val="009A00E0"/>
    <w:rsid w:val="009A00EC"/>
    <w:rsid w:val="009A02B5"/>
    <w:rsid w:val="009A0530"/>
    <w:rsid w:val="009A09D5"/>
    <w:rsid w:val="009A0F54"/>
    <w:rsid w:val="009A0F69"/>
    <w:rsid w:val="009A10D6"/>
    <w:rsid w:val="009A14BE"/>
    <w:rsid w:val="009A1765"/>
    <w:rsid w:val="009A1AA8"/>
    <w:rsid w:val="009A1C3A"/>
    <w:rsid w:val="009A1DBB"/>
    <w:rsid w:val="009A1FBF"/>
    <w:rsid w:val="009A2D6B"/>
    <w:rsid w:val="009A3139"/>
    <w:rsid w:val="009A38AF"/>
    <w:rsid w:val="009A39D8"/>
    <w:rsid w:val="009A490A"/>
    <w:rsid w:val="009A49EB"/>
    <w:rsid w:val="009A4ADF"/>
    <w:rsid w:val="009A4FFB"/>
    <w:rsid w:val="009A5164"/>
    <w:rsid w:val="009A53A6"/>
    <w:rsid w:val="009A55CA"/>
    <w:rsid w:val="009A561E"/>
    <w:rsid w:val="009A5B11"/>
    <w:rsid w:val="009A5DF2"/>
    <w:rsid w:val="009A5E6A"/>
    <w:rsid w:val="009A5E95"/>
    <w:rsid w:val="009A6152"/>
    <w:rsid w:val="009A616E"/>
    <w:rsid w:val="009A61B2"/>
    <w:rsid w:val="009A6726"/>
    <w:rsid w:val="009A6E53"/>
    <w:rsid w:val="009A763C"/>
    <w:rsid w:val="009A7E3E"/>
    <w:rsid w:val="009A7E43"/>
    <w:rsid w:val="009B0369"/>
    <w:rsid w:val="009B0618"/>
    <w:rsid w:val="009B0A78"/>
    <w:rsid w:val="009B0DEA"/>
    <w:rsid w:val="009B1032"/>
    <w:rsid w:val="009B18F4"/>
    <w:rsid w:val="009B1926"/>
    <w:rsid w:val="009B1A5E"/>
    <w:rsid w:val="009B1C1E"/>
    <w:rsid w:val="009B2626"/>
    <w:rsid w:val="009B26AE"/>
    <w:rsid w:val="009B2A65"/>
    <w:rsid w:val="009B3162"/>
    <w:rsid w:val="009B31CC"/>
    <w:rsid w:val="009B3D10"/>
    <w:rsid w:val="009B3D54"/>
    <w:rsid w:val="009B4AE6"/>
    <w:rsid w:val="009B4BFF"/>
    <w:rsid w:val="009B512B"/>
    <w:rsid w:val="009B51BA"/>
    <w:rsid w:val="009B558C"/>
    <w:rsid w:val="009B572B"/>
    <w:rsid w:val="009B5AF0"/>
    <w:rsid w:val="009B5FA5"/>
    <w:rsid w:val="009B624E"/>
    <w:rsid w:val="009B6459"/>
    <w:rsid w:val="009B6CCC"/>
    <w:rsid w:val="009B6D9F"/>
    <w:rsid w:val="009B6E0A"/>
    <w:rsid w:val="009B7351"/>
    <w:rsid w:val="009B772F"/>
    <w:rsid w:val="009B7965"/>
    <w:rsid w:val="009C0971"/>
    <w:rsid w:val="009C0EF8"/>
    <w:rsid w:val="009C1065"/>
    <w:rsid w:val="009C1086"/>
    <w:rsid w:val="009C1138"/>
    <w:rsid w:val="009C129A"/>
    <w:rsid w:val="009C13D9"/>
    <w:rsid w:val="009C193C"/>
    <w:rsid w:val="009C1BEB"/>
    <w:rsid w:val="009C22C0"/>
    <w:rsid w:val="009C26A6"/>
    <w:rsid w:val="009C2C12"/>
    <w:rsid w:val="009C312F"/>
    <w:rsid w:val="009C314D"/>
    <w:rsid w:val="009C31C0"/>
    <w:rsid w:val="009C33DE"/>
    <w:rsid w:val="009C408C"/>
    <w:rsid w:val="009C456D"/>
    <w:rsid w:val="009C470D"/>
    <w:rsid w:val="009C49E1"/>
    <w:rsid w:val="009C4AF2"/>
    <w:rsid w:val="009C4B1F"/>
    <w:rsid w:val="009C4DDC"/>
    <w:rsid w:val="009C4EE3"/>
    <w:rsid w:val="009C5001"/>
    <w:rsid w:val="009C507E"/>
    <w:rsid w:val="009C5C08"/>
    <w:rsid w:val="009C5CF2"/>
    <w:rsid w:val="009C618B"/>
    <w:rsid w:val="009C62BD"/>
    <w:rsid w:val="009C7542"/>
    <w:rsid w:val="009C7AA6"/>
    <w:rsid w:val="009C7B90"/>
    <w:rsid w:val="009C7EB0"/>
    <w:rsid w:val="009C7F44"/>
    <w:rsid w:val="009C7F6B"/>
    <w:rsid w:val="009C7FC9"/>
    <w:rsid w:val="009D0664"/>
    <w:rsid w:val="009D15C1"/>
    <w:rsid w:val="009D1667"/>
    <w:rsid w:val="009D18A6"/>
    <w:rsid w:val="009D20CC"/>
    <w:rsid w:val="009D23C5"/>
    <w:rsid w:val="009D2592"/>
    <w:rsid w:val="009D2A4F"/>
    <w:rsid w:val="009D2C09"/>
    <w:rsid w:val="009D3012"/>
    <w:rsid w:val="009D366D"/>
    <w:rsid w:val="009D3DAB"/>
    <w:rsid w:val="009D3DF0"/>
    <w:rsid w:val="009D3EBF"/>
    <w:rsid w:val="009D4145"/>
    <w:rsid w:val="009D4D08"/>
    <w:rsid w:val="009D4F0D"/>
    <w:rsid w:val="009D5025"/>
    <w:rsid w:val="009D56F2"/>
    <w:rsid w:val="009D5736"/>
    <w:rsid w:val="009D5753"/>
    <w:rsid w:val="009D5DDE"/>
    <w:rsid w:val="009D5FEE"/>
    <w:rsid w:val="009D66EA"/>
    <w:rsid w:val="009D7324"/>
    <w:rsid w:val="009D799A"/>
    <w:rsid w:val="009D7BE7"/>
    <w:rsid w:val="009D7C38"/>
    <w:rsid w:val="009D7CFD"/>
    <w:rsid w:val="009E051D"/>
    <w:rsid w:val="009E09D9"/>
    <w:rsid w:val="009E0AF0"/>
    <w:rsid w:val="009E0C1B"/>
    <w:rsid w:val="009E1B1E"/>
    <w:rsid w:val="009E2116"/>
    <w:rsid w:val="009E21BB"/>
    <w:rsid w:val="009E2377"/>
    <w:rsid w:val="009E256A"/>
    <w:rsid w:val="009E2AB2"/>
    <w:rsid w:val="009E306E"/>
    <w:rsid w:val="009E318D"/>
    <w:rsid w:val="009E36F5"/>
    <w:rsid w:val="009E378A"/>
    <w:rsid w:val="009E3848"/>
    <w:rsid w:val="009E421C"/>
    <w:rsid w:val="009E428B"/>
    <w:rsid w:val="009E468F"/>
    <w:rsid w:val="009E47AE"/>
    <w:rsid w:val="009E490F"/>
    <w:rsid w:val="009E5122"/>
    <w:rsid w:val="009E5240"/>
    <w:rsid w:val="009E554A"/>
    <w:rsid w:val="009E5583"/>
    <w:rsid w:val="009E59C1"/>
    <w:rsid w:val="009E5E57"/>
    <w:rsid w:val="009E624C"/>
    <w:rsid w:val="009E6537"/>
    <w:rsid w:val="009E7296"/>
    <w:rsid w:val="009E795A"/>
    <w:rsid w:val="009E7EE8"/>
    <w:rsid w:val="009F01A0"/>
    <w:rsid w:val="009F01EF"/>
    <w:rsid w:val="009F064C"/>
    <w:rsid w:val="009F0838"/>
    <w:rsid w:val="009F0C07"/>
    <w:rsid w:val="009F1155"/>
    <w:rsid w:val="009F15DE"/>
    <w:rsid w:val="009F1645"/>
    <w:rsid w:val="009F16D5"/>
    <w:rsid w:val="009F1F21"/>
    <w:rsid w:val="009F2142"/>
    <w:rsid w:val="009F27D6"/>
    <w:rsid w:val="009F296C"/>
    <w:rsid w:val="009F2DA3"/>
    <w:rsid w:val="009F2EEA"/>
    <w:rsid w:val="009F329E"/>
    <w:rsid w:val="009F3613"/>
    <w:rsid w:val="009F38AA"/>
    <w:rsid w:val="009F393F"/>
    <w:rsid w:val="009F3A00"/>
    <w:rsid w:val="009F3D3C"/>
    <w:rsid w:val="009F3D49"/>
    <w:rsid w:val="009F3E72"/>
    <w:rsid w:val="009F4268"/>
    <w:rsid w:val="009F42C2"/>
    <w:rsid w:val="009F45C9"/>
    <w:rsid w:val="009F4CBE"/>
    <w:rsid w:val="009F510F"/>
    <w:rsid w:val="009F519E"/>
    <w:rsid w:val="009F5390"/>
    <w:rsid w:val="009F54AD"/>
    <w:rsid w:val="009F5CC3"/>
    <w:rsid w:val="009F6001"/>
    <w:rsid w:val="009F721B"/>
    <w:rsid w:val="009F74EA"/>
    <w:rsid w:val="009F7D17"/>
    <w:rsid w:val="00A005ED"/>
    <w:rsid w:val="00A008A3"/>
    <w:rsid w:val="00A00A0C"/>
    <w:rsid w:val="00A00DAB"/>
    <w:rsid w:val="00A00F10"/>
    <w:rsid w:val="00A01556"/>
    <w:rsid w:val="00A0195A"/>
    <w:rsid w:val="00A01FA3"/>
    <w:rsid w:val="00A0220E"/>
    <w:rsid w:val="00A02CBD"/>
    <w:rsid w:val="00A0353F"/>
    <w:rsid w:val="00A03552"/>
    <w:rsid w:val="00A03721"/>
    <w:rsid w:val="00A03D49"/>
    <w:rsid w:val="00A03DAF"/>
    <w:rsid w:val="00A040CE"/>
    <w:rsid w:val="00A044F3"/>
    <w:rsid w:val="00A04FD5"/>
    <w:rsid w:val="00A051C6"/>
    <w:rsid w:val="00A05433"/>
    <w:rsid w:val="00A05571"/>
    <w:rsid w:val="00A057C4"/>
    <w:rsid w:val="00A057C9"/>
    <w:rsid w:val="00A057FA"/>
    <w:rsid w:val="00A05829"/>
    <w:rsid w:val="00A05E55"/>
    <w:rsid w:val="00A064B5"/>
    <w:rsid w:val="00A0764E"/>
    <w:rsid w:val="00A07AB0"/>
    <w:rsid w:val="00A1047E"/>
    <w:rsid w:val="00A10804"/>
    <w:rsid w:val="00A10A90"/>
    <w:rsid w:val="00A11090"/>
    <w:rsid w:val="00A11366"/>
    <w:rsid w:val="00A11A1E"/>
    <w:rsid w:val="00A120EE"/>
    <w:rsid w:val="00A123FE"/>
    <w:rsid w:val="00A12498"/>
    <w:rsid w:val="00A12B69"/>
    <w:rsid w:val="00A1301F"/>
    <w:rsid w:val="00A131A0"/>
    <w:rsid w:val="00A13326"/>
    <w:rsid w:val="00A13B1E"/>
    <w:rsid w:val="00A13CEF"/>
    <w:rsid w:val="00A142AE"/>
    <w:rsid w:val="00A144A1"/>
    <w:rsid w:val="00A14648"/>
    <w:rsid w:val="00A1477F"/>
    <w:rsid w:val="00A14829"/>
    <w:rsid w:val="00A14A60"/>
    <w:rsid w:val="00A15009"/>
    <w:rsid w:val="00A1503F"/>
    <w:rsid w:val="00A1505B"/>
    <w:rsid w:val="00A151A8"/>
    <w:rsid w:val="00A15CF8"/>
    <w:rsid w:val="00A15E28"/>
    <w:rsid w:val="00A16B20"/>
    <w:rsid w:val="00A16BCC"/>
    <w:rsid w:val="00A16D9C"/>
    <w:rsid w:val="00A16E43"/>
    <w:rsid w:val="00A17ECF"/>
    <w:rsid w:val="00A20842"/>
    <w:rsid w:val="00A20AB8"/>
    <w:rsid w:val="00A20CF9"/>
    <w:rsid w:val="00A20F42"/>
    <w:rsid w:val="00A21546"/>
    <w:rsid w:val="00A2199E"/>
    <w:rsid w:val="00A21BC0"/>
    <w:rsid w:val="00A21C70"/>
    <w:rsid w:val="00A21EA2"/>
    <w:rsid w:val="00A22435"/>
    <w:rsid w:val="00A22BD1"/>
    <w:rsid w:val="00A230DE"/>
    <w:rsid w:val="00A2320E"/>
    <w:rsid w:val="00A234F3"/>
    <w:rsid w:val="00A235FE"/>
    <w:rsid w:val="00A23B78"/>
    <w:rsid w:val="00A241A0"/>
    <w:rsid w:val="00A251BB"/>
    <w:rsid w:val="00A2537A"/>
    <w:rsid w:val="00A2562B"/>
    <w:rsid w:val="00A2577F"/>
    <w:rsid w:val="00A25C24"/>
    <w:rsid w:val="00A260C2"/>
    <w:rsid w:val="00A26531"/>
    <w:rsid w:val="00A26621"/>
    <w:rsid w:val="00A26A01"/>
    <w:rsid w:val="00A26F0F"/>
    <w:rsid w:val="00A270A5"/>
    <w:rsid w:val="00A27120"/>
    <w:rsid w:val="00A27377"/>
    <w:rsid w:val="00A274C6"/>
    <w:rsid w:val="00A27954"/>
    <w:rsid w:val="00A27AF5"/>
    <w:rsid w:val="00A27CFF"/>
    <w:rsid w:val="00A27FD4"/>
    <w:rsid w:val="00A302C9"/>
    <w:rsid w:val="00A30642"/>
    <w:rsid w:val="00A30A05"/>
    <w:rsid w:val="00A31325"/>
    <w:rsid w:val="00A314E5"/>
    <w:rsid w:val="00A32653"/>
    <w:rsid w:val="00A327D4"/>
    <w:rsid w:val="00A32A7A"/>
    <w:rsid w:val="00A33126"/>
    <w:rsid w:val="00A33907"/>
    <w:rsid w:val="00A33973"/>
    <w:rsid w:val="00A3397B"/>
    <w:rsid w:val="00A3399F"/>
    <w:rsid w:val="00A33BC2"/>
    <w:rsid w:val="00A33F60"/>
    <w:rsid w:val="00A33FD4"/>
    <w:rsid w:val="00A34575"/>
    <w:rsid w:val="00A345B9"/>
    <w:rsid w:val="00A3463A"/>
    <w:rsid w:val="00A350ED"/>
    <w:rsid w:val="00A35378"/>
    <w:rsid w:val="00A35570"/>
    <w:rsid w:val="00A35B1B"/>
    <w:rsid w:val="00A36ED5"/>
    <w:rsid w:val="00A3726B"/>
    <w:rsid w:val="00A400C7"/>
    <w:rsid w:val="00A40184"/>
    <w:rsid w:val="00A40996"/>
    <w:rsid w:val="00A40E6A"/>
    <w:rsid w:val="00A41506"/>
    <w:rsid w:val="00A41564"/>
    <w:rsid w:val="00A41A2A"/>
    <w:rsid w:val="00A423E1"/>
    <w:rsid w:val="00A42CD6"/>
    <w:rsid w:val="00A43156"/>
    <w:rsid w:val="00A431EA"/>
    <w:rsid w:val="00A43216"/>
    <w:rsid w:val="00A43C88"/>
    <w:rsid w:val="00A44049"/>
    <w:rsid w:val="00A443BE"/>
    <w:rsid w:val="00A449DC"/>
    <w:rsid w:val="00A44ACA"/>
    <w:rsid w:val="00A44C81"/>
    <w:rsid w:val="00A44C82"/>
    <w:rsid w:val="00A44DBB"/>
    <w:rsid w:val="00A450B1"/>
    <w:rsid w:val="00A457DD"/>
    <w:rsid w:val="00A45B4D"/>
    <w:rsid w:val="00A45E47"/>
    <w:rsid w:val="00A462ED"/>
    <w:rsid w:val="00A46319"/>
    <w:rsid w:val="00A4666A"/>
    <w:rsid w:val="00A46903"/>
    <w:rsid w:val="00A472D1"/>
    <w:rsid w:val="00A472E0"/>
    <w:rsid w:val="00A47EB2"/>
    <w:rsid w:val="00A47F71"/>
    <w:rsid w:val="00A5028D"/>
    <w:rsid w:val="00A504B8"/>
    <w:rsid w:val="00A50770"/>
    <w:rsid w:val="00A50B76"/>
    <w:rsid w:val="00A51A9B"/>
    <w:rsid w:val="00A520C1"/>
    <w:rsid w:val="00A5234F"/>
    <w:rsid w:val="00A5246E"/>
    <w:rsid w:val="00A529BC"/>
    <w:rsid w:val="00A5320C"/>
    <w:rsid w:val="00A5324F"/>
    <w:rsid w:val="00A535D2"/>
    <w:rsid w:val="00A53E6E"/>
    <w:rsid w:val="00A53ED7"/>
    <w:rsid w:val="00A54377"/>
    <w:rsid w:val="00A54523"/>
    <w:rsid w:val="00A54580"/>
    <w:rsid w:val="00A5472B"/>
    <w:rsid w:val="00A548C6"/>
    <w:rsid w:val="00A549A2"/>
    <w:rsid w:val="00A5584D"/>
    <w:rsid w:val="00A55D29"/>
    <w:rsid w:val="00A565C8"/>
    <w:rsid w:val="00A566FC"/>
    <w:rsid w:val="00A56BCC"/>
    <w:rsid w:val="00A56EFB"/>
    <w:rsid w:val="00A576A7"/>
    <w:rsid w:val="00A577A8"/>
    <w:rsid w:val="00A57EC2"/>
    <w:rsid w:val="00A60081"/>
    <w:rsid w:val="00A60229"/>
    <w:rsid w:val="00A603AC"/>
    <w:rsid w:val="00A60440"/>
    <w:rsid w:val="00A608F6"/>
    <w:rsid w:val="00A60AF2"/>
    <w:rsid w:val="00A61106"/>
    <w:rsid w:val="00A61348"/>
    <w:rsid w:val="00A61371"/>
    <w:rsid w:val="00A615EA"/>
    <w:rsid w:val="00A617A8"/>
    <w:rsid w:val="00A619C1"/>
    <w:rsid w:val="00A619EE"/>
    <w:rsid w:val="00A62163"/>
    <w:rsid w:val="00A621C0"/>
    <w:rsid w:val="00A6233D"/>
    <w:rsid w:val="00A6248E"/>
    <w:rsid w:val="00A6252D"/>
    <w:rsid w:val="00A62B72"/>
    <w:rsid w:val="00A62F02"/>
    <w:rsid w:val="00A6329B"/>
    <w:rsid w:val="00A63DCF"/>
    <w:rsid w:val="00A63F06"/>
    <w:rsid w:val="00A64C2C"/>
    <w:rsid w:val="00A64C32"/>
    <w:rsid w:val="00A64DA8"/>
    <w:rsid w:val="00A658F8"/>
    <w:rsid w:val="00A65B04"/>
    <w:rsid w:val="00A678E7"/>
    <w:rsid w:val="00A679A3"/>
    <w:rsid w:val="00A706AB"/>
    <w:rsid w:val="00A70924"/>
    <w:rsid w:val="00A70B80"/>
    <w:rsid w:val="00A70C9D"/>
    <w:rsid w:val="00A70E3F"/>
    <w:rsid w:val="00A716AD"/>
    <w:rsid w:val="00A71C1A"/>
    <w:rsid w:val="00A72475"/>
    <w:rsid w:val="00A72538"/>
    <w:rsid w:val="00A72814"/>
    <w:rsid w:val="00A73443"/>
    <w:rsid w:val="00A736E2"/>
    <w:rsid w:val="00A738D2"/>
    <w:rsid w:val="00A73F07"/>
    <w:rsid w:val="00A7403F"/>
    <w:rsid w:val="00A74239"/>
    <w:rsid w:val="00A74954"/>
    <w:rsid w:val="00A7531A"/>
    <w:rsid w:val="00A753FA"/>
    <w:rsid w:val="00A75F1B"/>
    <w:rsid w:val="00A76181"/>
    <w:rsid w:val="00A76389"/>
    <w:rsid w:val="00A766DD"/>
    <w:rsid w:val="00A774F9"/>
    <w:rsid w:val="00A778B7"/>
    <w:rsid w:val="00A77C7C"/>
    <w:rsid w:val="00A801B1"/>
    <w:rsid w:val="00A80271"/>
    <w:rsid w:val="00A8086B"/>
    <w:rsid w:val="00A8089A"/>
    <w:rsid w:val="00A809CB"/>
    <w:rsid w:val="00A80AC2"/>
    <w:rsid w:val="00A80D2D"/>
    <w:rsid w:val="00A81FFC"/>
    <w:rsid w:val="00A82028"/>
    <w:rsid w:val="00A820E3"/>
    <w:rsid w:val="00A8218F"/>
    <w:rsid w:val="00A8223E"/>
    <w:rsid w:val="00A82606"/>
    <w:rsid w:val="00A82B35"/>
    <w:rsid w:val="00A82D2F"/>
    <w:rsid w:val="00A8359A"/>
    <w:rsid w:val="00A83A53"/>
    <w:rsid w:val="00A83F27"/>
    <w:rsid w:val="00A84262"/>
    <w:rsid w:val="00A84276"/>
    <w:rsid w:val="00A84378"/>
    <w:rsid w:val="00A84582"/>
    <w:rsid w:val="00A84685"/>
    <w:rsid w:val="00A849BB"/>
    <w:rsid w:val="00A849FE"/>
    <w:rsid w:val="00A84CDB"/>
    <w:rsid w:val="00A8565D"/>
    <w:rsid w:val="00A8593A"/>
    <w:rsid w:val="00A863BD"/>
    <w:rsid w:val="00A86411"/>
    <w:rsid w:val="00A86625"/>
    <w:rsid w:val="00A8689D"/>
    <w:rsid w:val="00A86FDF"/>
    <w:rsid w:val="00A87093"/>
    <w:rsid w:val="00A873FC"/>
    <w:rsid w:val="00A9058A"/>
    <w:rsid w:val="00A907C8"/>
    <w:rsid w:val="00A90C5B"/>
    <w:rsid w:val="00A90EA4"/>
    <w:rsid w:val="00A91316"/>
    <w:rsid w:val="00A9134A"/>
    <w:rsid w:val="00A917CD"/>
    <w:rsid w:val="00A92C10"/>
    <w:rsid w:val="00A93435"/>
    <w:rsid w:val="00A93511"/>
    <w:rsid w:val="00A935D3"/>
    <w:rsid w:val="00A93680"/>
    <w:rsid w:val="00A93EFD"/>
    <w:rsid w:val="00A93F51"/>
    <w:rsid w:val="00A94821"/>
    <w:rsid w:val="00A948D2"/>
    <w:rsid w:val="00A94EE8"/>
    <w:rsid w:val="00A95DA7"/>
    <w:rsid w:val="00A960DA"/>
    <w:rsid w:val="00A96341"/>
    <w:rsid w:val="00A9660E"/>
    <w:rsid w:val="00A9667E"/>
    <w:rsid w:val="00A970B2"/>
    <w:rsid w:val="00AA08F2"/>
    <w:rsid w:val="00AA13C3"/>
    <w:rsid w:val="00AA1B4D"/>
    <w:rsid w:val="00AA1E79"/>
    <w:rsid w:val="00AA1F10"/>
    <w:rsid w:val="00AA23C2"/>
    <w:rsid w:val="00AA247D"/>
    <w:rsid w:val="00AA2551"/>
    <w:rsid w:val="00AA2702"/>
    <w:rsid w:val="00AA334B"/>
    <w:rsid w:val="00AA38B2"/>
    <w:rsid w:val="00AA3925"/>
    <w:rsid w:val="00AA3A18"/>
    <w:rsid w:val="00AA44D4"/>
    <w:rsid w:val="00AA49AD"/>
    <w:rsid w:val="00AA4B89"/>
    <w:rsid w:val="00AA5728"/>
    <w:rsid w:val="00AA5E8F"/>
    <w:rsid w:val="00AA6FFE"/>
    <w:rsid w:val="00AA781D"/>
    <w:rsid w:val="00AA7A7E"/>
    <w:rsid w:val="00AA7E96"/>
    <w:rsid w:val="00AB02D9"/>
    <w:rsid w:val="00AB0A11"/>
    <w:rsid w:val="00AB0E29"/>
    <w:rsid w:val="00AB10A3"/>
    <w:rsid w:val="00AB1309"/>
    <w:rsid w:val="00AB1500"/>
    <w:rsid w:val="00AB17A3"/>
    <w:rsid w:val="00AB1845"/>
    <w:rsid w:val="00AB1AF4"/>
    <w:rsid w:val="00AB1EBA"/>
    <w:rsid w:val="00AB1F39"/>
    <w:rsid w:val="00AB1FCD"/>
    <w:rsid w:val="00AB2519"/>
    <w:rsid w:val="00AB2A1B"/>
    <w:rsid w:val="00AB2B51"/>
    <w:rsid w:val="00AB3367"/>
    <w:rsid w:val="00AB39C3"/>
    <w:rsid w:val="00AB3ACA"/>
    <w:rsid w:val="00AB3B3E"/>
    <w:rsid w:val="00AB3B8D"/>
    <w:rsid w:val="00AB3E05"/>
    <w:rsid w:val="00AB4148"/>
    <w:rsid w:val="00AB4ACB"/>
    <w:rsid w:val="00AB4EE8"/>
    <w:rsid w:val="00AB5229"/>
    <w:rsid w:val="00AB5B04"/>
    <w:rsid w:val="00AB60B9"/>
    <w:rsid w:val="00AB644F"/>
    <w:rsid w:val="00AB6D3E"/>
    <w:rsid w:val="00AB71D8"/>
    <w:rsid w:val="00AB7376"/>
    <w:rsid w:val="00AB7C11"/>
    <w:rsid w:val="00AB7FCB"/>
    <w:rsid w:val="00AC0459"/>
    <w:rsid w:val="00AC071C"/>
    <w:rsid w:val="00AC095F"/>
    <w:rsid w:val="00AC2248"/>
    <w:rsid w:val="00AC233F"/>
    <w:rsid w:val="00AC2FA6"/>
    <w:rsid w:val="00AC303F"/>
    <w:rsid w:val="00AC3398"/>
    <w:rsid w:val="00AC3B5B"/>
    <w:rsid w:val="00AC3D0A"/>
    <w:rsid w:val="00AC4137"/>
    <w:rsid w:val="00AC4204"/>
    <w:rsid w:val="00AC4502"/>
    <w:rsid w:val="00AC4703"/>
    <w:rsid w:val="00AC470B"/>
    <w:rsid w:val="00AC4AC6"/>
    <w:rsid w:val="00AC4D06"/>
    <w:rsid w:val="00AC5002"/>
    <w:rsid w:val="00AC5868"/>
    <w:rsid w:val="00AC5A43"/>
    <w:rsid w:val="00AC5C1C"/>
    <w:rsid w:val="00AC6615"/>
    <w:rsid w:val="00AC6A99"/>
    <w:rsid w:val="00AC6EFD"/>
    <w:rsid w:val="00AC753A"/>
    <w:rsid w:val="00AC78DF"/>
    <w:rsid w:val="00AD00AF"/>
    <w:rsid w:val="00AD0A65"/>
    <w:rsid w:val="00AD0F68"/>
    <w:rsid w:val="00AD131B"/>
    <w:rsid w:val="00AD1957"/>
    <w:rsid w:val="00AD1A04"/>
    <w:rsid w:val="00AD25CA"/>
    <w:rsid w:val="00AD2B05"/>
    <w:rsid w:val="00AD32AC"/>
    <w:rsid w:val="00AD3AF3"/>
    <w:rsid w:val="00AD3FD3"/>
    <w:rsid w:val="00AD4088"/>
    <w:rsid w:val="00AD47D3"/>
    <w:rsid w:val="00AD53C1"/>
    <w:rsid w:val="00AD5961"/>
    <w:rsid w:val="00AD5996"/>
    <w:rsid w:val="00AD59D9"/>
    <w:rsid w:val="00AD65A1"/>
    <w:rsid w:val="00AD6A61"/>
    <w:rsid w:val="00AD6D54"/>
    <w:rsid w:val="00AD6E7E"/>
    <w:rsid w:val="00AD7342"/>
    <w:rsid w:val="00AD75F6"/>
    <w:rsid w:val="00AD7F6F"/>
    <w:rsid w:val="00AE022E"/>
    <w:rsid w:val="00AE08BC"/>
    <w:rsid w:val="00AE0D09"/>
    <w:rsid w:val="00AE0DF7"/>
    <w:rsid w:val="00AE2363"/>
    <w:rsid w:val="00AE2D16"/>
    <w:rsid w:val="00AE314A"/>
    <w:rsid w:val="00AE381E"/>
    <w:rsid w:val="00AE4D99"/>
    <w:rsid w:val="00AE547A"/>
    <w:rsid w:val="00AE54C6"/>
    <w:rsid w:val="00AE63AD"/>
    <w:rsid w:val="00AE64D6"/>
    <w:rsid w:val="00AE6797"/>
    <w:rsid w:val="00AE6A5D"/>
    <w:rsid w:val="00AE6FE0"/>
    <w:rsid w:val="00AE734E"/>
    <w:rsid w:val="00AE798A"/>
    <w:rsid w:val="00AE7BD6"/>
    <w:rsid w:val="00AE7DAA"/>
    <w:rsid w:val="00AF0383"/>
    <w:rsid w:val="00AF05FB"/>
    <w:rsid w:val="00AF06AF"/>
    <w:rsid w:val="00AF07F9"/>
    <w:rsid w:val="00AF0925"/>
    <w:rsid w:val="00AF0E36"/>
    <w:rsid w:val="00AF1CC6"/>
    <w:rsid w:val="00AF2822"/>
    <w:rsid w:val="00AF2DD7"/>
    <w:rsid w:val="00AF36A9"/>
    <w:rsid w:val="00AF36D6"/>
    <w:rsid w:val="00AF38BB"/>
    <w:rsid w:val="00AF3963"/>
    <w:rsid w:val="00AF3BEB"/>
    <w:rsid w:val="00AF41C6"/>
    <w:rsid w:val="00AF45D6"/>
    <w:rsid w:val="00AF4AE2"/>
    <w:rsid w:val="00AF4BD4"/>
    <w:rsid w:val="00AF4CF9"/>
    <w:rsid w:val="00AF4EF4"/>
    <w:rsid w:val="00AF512E"/>
    <w:rsid w:val="00AF5524"/>
    <w:rsid w:val="00AF5AED"/>
    <w:rsid w:val="00AF5C53"/>
    <w:rsid w:val="00AF61C5"/>
    <w:rsid w:val="00AF6211"/>
    <w:rsid w:val="00AF66BA"/>
    <w:rsid w:val="00AF680A"/>
    <w:rsid w:val="00AF6E15"/>
    <w:rsid w:val="00AF7F33"/>
    <w:rsid w:val="00B00284"/>
    <w:rsid w:val="00B00580"/>
    <w:rsid w:val="00B00D33"/>
    <w:rsid w:val="00B00EF1"/>
    <w:rsid w:val="00B01292"/>
    <w:rsid w:val="00B016D3"/>
    <w:rsid w:val="00B01B98"/>
    <w:rsid w:val="00B01D2B"/>
    <w:rsid w:val="00B01DE0"/>
    <w:rsid w:val="00B01E90"/>
    <w:rsid w:val="00B02B33"/>
    <w:rsid w:val="00B02D1A"/>
    <w:rsid w:val="00B02DED"/>
    <w:rsid w:val="00B02F7F"/>
    <w:rsid w:val="00B02FAD"/>
    <w:rsid w:val="00B030F7"/>
    <w:rsid w:val="00B032D4"/>
    <w:rsid w:val="00B037D6"/>
    <w:rsid w:val="00B03A72"/>
    <w:rsid w:val="00B03CD1"/>
    <w:rsid w:val="00B042C5"/>
    <w:rsid w:val="00B059AE"/>
    <w:rsid w:val="00B05F76"/>
    <w:rsid w:val="00B06204"/>
    <w:rsid w:val="00B06667"/>
    <w:rsid w:val="00B07071"/>
    <w:rsid w:val="00B07291"/>
    <w:rsid w:val="00B0764A"/>
    <w:rsid w:val="00B10435"/>
    <w:rsid w:val="00B10500"/>
    <w:rsid w:val="00B10552"/>
    <w:rsid w:val="00B1089A"/>
    <w:rsid w:val="00B10919"/>
    <w:rsid w:val="00B10BDF"/>
    <w:rsid w:val="00B10E1D"/>
    <w:rsid w:val="00B11126"/>
    <w:rsid w:val="00B1117E"/>
    <w:rsid w:val="00B118E8"/>
    <w:rsid w:val="00B11B04"/>
    <w:rsid w:val="00B11FB4"/>
    <w:rsid w:val="00B12265"/>
    <w:rsid w:val="00B12529"/>
    <w:rsid w:val="00B12A91"/>
    <w:rsid w:val="00B12B0F"/>
    <w:rsid w:val="00B12F59"/>
    <w:rsid w:val="00B137DE"/>
    <w:rsid w:val="00B13849"/>
    <w:rsid w:val="00B13C62"/>
    <w:rsid w:val="00B13D19"/>
    <w:rsid w:val="00B148C3"/>
    <w:rsid w:val="00B14947"/>
    <w:rsid w:val="00B15894"/>
    <w:rsid w:val="00B15BB6"/>
    <w:rsid w:val="00B15E99"/>
    <w:rsid w:val="00B16573"/>
    <w:rsid w:val="00B167C4"/>
    <w:rsid w:val="00B16ABF"/>
    <w:rsid w:val="00B16D22"/>
    <w:rsid w:val="00B16DDD"/>
    <w:rsid w:val="00B170C0"/>
    <w:rsid w:val="00B1779B"/>
    <w:rsid w:val="00B17A26"/>
    <w:rsid w:val="00B17B75"/>
    <w:rsid w:val="00B17C63"/>
    <w:rsid w:val="00B20EAF"/>
    <w:rsid w:val="00B210CC"/>
    <w:rsid w:val="00B2152F"/>
    <w:rsid w:val="00B218D9"/>
    <w:rsid w:val="00B21B30"/>
    <w:rsid w:val="00B22278"/>
    <w:rsid w:val="00B2265F"/>
    <w:rsid w:val="00B22B6D"/>
    <w:rsid w:val="00B22F8D"/>
    <w:rsid w:val="00B236BC"/>
    <w:rsid w:val="00B2386D"/>
    <w:rsid w:val="00B23F71"/>
    <w:rsid w:val="00B2449C"/>
    <w:rsid w:val="00B24500"/>
    <w:rsid w:val="00B2492F"/>
    <w:rsid w:val="00B249B2"/>
    <w:rsid w:val="00B24A40"/>
    <w:rsid w:val="00B25271"/>
    <w:rsid w:val="00B25976"/>
    <w:rsid w:val="00B25E4E"/>
    <w:rsid w:val="00B26370"/>
    <w:rsid w:val="00B2680D"/>
    <w:rsid w:val="00B26FC8"/>
    <w:rsid w:val="00B27FC2"/>
    <w:rsid w:val="00B301CA"/>
    <w:rsid w:val="00B30D3D"/>
    <w:rsid w:val="00B31240"/>
    <w:rsid w:val="00B31574"/>
    <w:rsid w:val="00B3173F"/>
    <w:rsid w:val="00B31C51"/>
    <w:rsid w:val="00B32691"/>
    <w:rsid w:val="00B326B6"/>
    <w:rsid w:val="00B32BDA"/>
    <w:rsid w:val="00B32E03"/>
    <w:rsid w:val="00B33886"/>
    <w:rsid w:val="00B338D9"/>
    <w:rsid w:val="00B339D4"/>
    <w:rsid w:val="00B33AE7"/>
    <w:rsid w:val="00B33BD4"/>
    <w:rsid w:val="00B348C4"/>
    <w:rsid w:val="00B35099"/>
    <w:rsid w:val="00B35492"/>
    <w:rsid w:val="00B3556D"/>
    <w:rsid w:val="00B35A05"/>
    <w:rsid w:val="00B35BC3"/>
    <w:rsid w:val="00B35D1A"/>
    <w:rsid w:val="00B35E2F"/>
    <w:rsid w:val="00B35EBB"/>
    <w:rsid w:val="00B361FF"/>
    <w:rsid w:val="00B36520"/>
    <w:rsid w:val="00B366D2"/>
    <w:rsid w:val="00B36E2D"/>
    <w:rsid w:val="00B37611"/>
    <w:rsid w:val="00B37C76"/>
    <w:rsid w:val="00B37DFA"/>
    <w:rsid w:val="00B40629"/>
    <w:rsid w:val="00B40C85"/>
    <w:rsid w:val="00B4140D"/>
    <w:rsid w:val="00B4146C"/>
    <w:rsid w:val="00B41D8F"/>
    <w:rsid w:val="00B41DC3"/>
    <w:rsid w:val="00B42350"/>
    <w:rsid w:val="00B4242E"/>
    <w:rsid w:val="00B42619"/>
    <w:rsid w:val="00B42678"/>
    <w:rsid w:val="00B429F2"/>
    <w:rsid w:val="00B42CFE"/>
    <w:rsid w:val="00B42FA6"/>
    <w:rsid w:val="00B433CB"/>
    <w:rsid w:val="00B435FA"/>
    <w:rsid w:val="00B4376E"/>
    <w:rsid w:val="00B43A51"/>
    <w:rsid w:val="00B43CA2"/>
    <w:rsid w:val="00B43CFA"/>
    <w:rsid w:val="00B43DBF"/>
    <w:rsid w:val="00B44C6F"/>
    <w:rsid w:val="00B45178"/>
    <w:rsid w:val="00B45271"/>
    <w:rsid w:val="00B4547C"/>
    <w:rsid w:val="00B45489"/>
    <w:rsid w:val="00B459EC"/>
    <w:rsid w:val="00B45DCD"/>
    <w:rsid w:val="00B4690A"/>
    <w:rsid w:val="00B4694D"/>
    <w:rsid w:val="00B469AD"/>
    <w:rsid w:val="00B46C5D"/>
    <w:rsid w:val="00B46C9B"/>
    <w:rsid w:val="00B46CCC"/>
    <w:rsid w:val="00B46DFA"/>
    <w:rsid w:val="00B46E71"/>
    <w:rsid w:val="00B4766E"/>
    <w:rsid w:val="00B47F24"/>
    <w:rsid w:val="00B501BF"/>
    <w:rsid w:val="00B506BB"/>
    <w:rsid w:val="00B5096A"/>
    <w:rsid w:val="00B50BE7"/>
    <w:rsid w:val="00B50C17"/>
    <w:rsid w:val="00B51088"/>
    <w:rsid w:val="00B5117E"/>
    <w:rsid w:val="00B516C7"/>
    <w:rsid w:val="00B51979"/>
    <w:rsid w:val="00B51E6F"/>
    <w:rsid w:val="00B523DD"/>
    <w:rsid w:val="00B5251C"/>
    <w:rsid w:val="00B52834"/>
    <w:rsid w:val="00B52DA1"/>
    <w:rsid w:val="00B52DC9"/>
    <w:rsid w:val="00B530A7"/>
    <w:rsid w:val="00B531B5"/>
    <w:rsid w:val="00B5369F"/>
    <w:rsid w:val="00B536FC"/>
    <w:rsid w:val="00B53A07"/>
    <w:rsid w:val="00B54499"/>
    <w:rsid w:val="00B5453F"/>
    <w:rsid w:val="00B54842"/>
    <w:rsid w:val="00B54BEF"/>
    <w:rsid w:val="00B552FC"/>
    <w:rsid w:val="00B5544B"/>
    <w:rsid w:val="00B5577F"/>
    <w:rsid w:val="00B56109"/>
    <w:rsid w:val="00B56767"/>
    <w:rsid w:val="00B567CF"/>
    <w:rsid w:val="00B57066"/>
    <w:rsid w:val="00B5721D"/>
    <w:rsid w:val="00B576FC"/>
    <w:rsid w:val="00B578A1"/>
    <w:rsid w:val="00B57B04"/>
    <w:rsid w:val="00B6054B"/>
    <w:rsid w:val="00B60DD6"/>
    <w:rsid w:val="00B60F9F"/>
    <w:rsid w:val="00B6102B"/>
    <w:rsid w:val="00B619CE"/>
    <w:rsid w:val="00B61ED7"/>
    <w:rsid w:val="00B61FBA"/>
    <w:rsid w:val="00B62280"/>
    <w:rsid w:val="00B6246B"/>
    <w:rsid w:val="00B63167"/>
    <w:rsid w:val="00B63443"/>
    <w:rsid w:val="00B634C9"/>
    <w:rsid w:val="00B6388F"/>
    <w:rsid w:val="00B63DFA"/>
    <w:rsid w:val="00B642C8"/>
    <w:rsid w:val="00B643BC"/>
    <w:rsid w:val="00B64AF1"/>
    <w:rsid w:val="00B64C83"/>
    <w:rsid w:val="00B6518A"/>
    <w:rsid w:val="00B654EF"/>
    <w:rsid w:val="00B656C4"/>
    <w:rsid w:val="00B65865"/>
    <w:rsid w:val="00B65A6A"/>
    <w:rsid w:val="00B65CA9"/>
    <w:rsid w:val="00B65D77"/>
    <w:rsid w:val="00B66088"/>
    <w:rsid w:val="00B6642C"/>
    <w:rsid w:val="00B6665F"/>
    <w:rsid w:val="00B667A3"/>
    <w:rsid w:val="00B669EA"/>
    <w:rsid w:val="00B66DDE"/>
    <w:rsid w:val="00B672F9"/>
    <w:rsid w:val="00B6795E"/>
    <w:rsid w:val="00B67ABB"/>
    <w:rsid w:val="00B67B54"/>
    <w:rsid w:val="00B67CC9"/>
    <w:rsid w:val="00B67F17"/>
    <w:rsid w:val="00B67F1E"/>
    <w:rsid w:val="00B7034B"/>
    <w:rsid w:val="00B7047A"/>
    <w:rsid w:val="00B70999"/>
    <w:rsid w:val="00B70D83"/>
    <w:rsid w:val="00B71044"/>
    <w:rsid w:val="00B7164F"/>
    <w:rsid w:val="00B71FA6"/>
    <w:rsid w:val="00B72043"/>
    <w:rsid w:val="00B727CA"/>
    <w:rsid w:val="00B72A8F"/>
    <w:rsid w:val="00B72AC1"/>
    <w:rsid w:val="00B72B14"/>
    <w:rsid w:val="00B72DC5"/>
    <w:rsid w:val="00B72F61"/>
    <w:rsid w:val="00B733D0"/>
    <w:rsid w:val="00B73576"/>
    <w:rsid w:val="00B73589"/>
    <w:rsid w:val="00B739C3"/>
    <w:rsid w:val="00B73A0E"/>
    <w:rsid w:val="00B73B56"/>
    <w:rsid w:val="00B7402E"/>
    <w:rsid w:val="00B7451A"/>
    <w:rsid w:val="00B746C5"/>
    <w:rsid w:val="00B75173"/>
    <w:rsid w:val="00B753FC"/>
    <w:rsid w:val="00B75662"/>
    <w:rsid w:val="00B757F9"/>
    <w:rsid w:val="00B759EC"/>
    <w:rsid w:val="00B75F92"/>
    <w:rsid w:val="00B7618C"/>
    <w:rsid w:val="00B761FF"/>
    <w:rsid w:val="00B76297"/>
    <w:rsid w:val="00B76374"/>
    <w:rsid w:val="00B76399"/>
    <w:rsid w:val="00B76863"/>
    <w:rsid w:val="00B76ABB"/>
    <w:rsid w:val="00B76BFF"/>
    <w:rsid w:val="00B76C97"/>
    <w:rsid w:val="00B76E8C"/>
    <w:rsid w:val="00B7712E"/>
    <w:rsid w:val="00B7720C"/>
    <w:rsid w:val="00B772E3"/>
    <w:rsid w:val="00B77533"/>
    <w:rsid w:val="00B7761D"/>
    <w:rsid w:val="00B77AAE"/>
    <w:rsid w:val="00B8047B"/>
    <w:rsid w:val="00B80C1C"/>
    <w:rsid w:val="00B80D11"/>
    <w:rsid w:val="00B816AA"/>
    <w:rsid w:val="00B81743"/>
    <w:rsid w:val="00B81BE5"/>
    <w:rsid w:val="00B8238C"/>
    <w:rsid w:val="00B8251D"/>
    <w:rsid w:val="00B828CF"/>
    <w:rsid w:val="00B829DB"/>
    <w:rsid w:val="00B82A03"/>
    <w:rsid w:val="00B82D0B"/>
    <w:rsid w:val="00B831E1"/>
    <w:rsid w:val="00B8379E"/>
    <w:rsid w:val="00B83EDD"/>
    <w:rsid w:val="00B840EC"/>
    <w:rsid w:val="00B842A0"/>
    <w:rsid w:val="00B84373"/>
    <w:rsid w:val="00B844E5"/>
    <w:rsid w:val="00B84DFE"/>
    <w:rsid w:val="00B84FA9"/>
    <w:rsid w:val="00B8593F"/>
    <w:rsid w:val="00B85DE5"/>
    <w:rsid w:val="00B8638F"/>
    <w:rsid w:val="00B865E2"/>
    <w:rsid w:val="00B86617"/>
    <w:rsid w:val="00B87085"/>
    <w:rsid w:val="00B876B1"/>
    <w:rsid w:val="00B87D76"/>
    <w:rsid w:val="00B9025C"/>
    <w:rsid w:val="00B903DA"/>
    <w:rsid w:val="00B9044D"/>
    <w:rsid w:val="00B90951"/>
    <w:rsid w:val="00B90C53"/>
    <w:rsid w:val="00B90D91"/>
    <w:rsid w:val="00B90F62"/>
    <w:rsid w:val="00B9129B"/>
    <w:rsid w:val="00B91B7F"/>
    <w:rsid w:val="00B91D44"/>
    <w:rsid w:val="00B92B5C"/>
    <w:rsid w:val="00B93242"/>
    <w:rsid w:val="00B9394D"/>
    <w:rsid w:val="00B93F9E"/>
    <w:rsid w:val="00B94A0A"/>
    <w:rsid w:val="00B95694"/>
    <w:rsid w:val="00B95CF7"/>
    <w:rsid w:val="00B960B9"/>
    <w:rsid w:val="00B9641B"/>
    <w:rsid w:val="00B96AA9"/>
    <w:rsid w:val="00B970B1"/>
    <w:rsid w:val="00B9743F"/>
    <w:rsid w:val="00B97B77"/>
    <w:rsid w:val="00B97BC4"/>
    <w:rsid w:val="00B97C89"/>
    <w:rsid w:val="00BA02F7"/>
    <w:rsid w:val="00BA03F9"/>
    <w:rsid w:val="00BA0542"/>
    <w:rsid w:val="00BA0967"/>
    <w:rsid w:val="00BA0FF8"/>
    <w:rsid w:val="00BA1124"/>
    <w:rsid w:val="00BA1271"/>
    <w:rsid w:val="00BA1320"/>
    <w:rsid w:val="00BA1972"/>
    <w:rsid w:val="00BA205B"/>
    <w:rsid w:val="00BA279C"/>
    <w:rsid w:val="00BA2910"/>
    <w:rsid w:val="00BA2DD7"/>
    <w:rsid w:val="00BA2F25"/>
    <w:rsid w:val="00BA3108"/>
    <w:rsid w:val="00BA3180"/>
    <w:rsid w:val="00BA31BF"/>
    <w:rsid w:val="00BA36E6"/>
    <w:rsid w:val="00BA39EA"/>
    <w:rsid w:val="00BA4037"/>
    <w:rsid w:val="00BA445F"/>
    <w:rsid w:val="00BA5165"/>
    <w:rsid w:val="00BA5216"/>
    <w:rsid w:val="00BA5833"/>
    <w:rsid w:val="00BA59AC"/>
    <w:rsid w:val="00BA5C44"/>
    <w:rsid w:val="00BA5D7F"/>
    <w:rsid w:val="00BA5FB9"/>
    <w:rsid w:val="00BA6531"/>
    <w:rsid w:val="00BA6894"/>
    <w:rsid w:val="00BA6BDE"/>
    <w:rsid w:val="00BA6DA7"/>
    <w:rsid w:val="00BA714D"/>
    <w:rsid w:val="00BA7228"/>
    <w:rsid w:val="00BA7753"/>
    <w:rsid w:val="00BA78DB"/>
    <w:rsid w:val="00BB03CB"/>
    <w:rsid w:val="00BB083E"/>
    <w:rsid w:val="00BB0D86"/>
    <w:rsid w:val="00BB0FFB"/>
    <w:rsid w:val="00BB12F4"/>
    <w:rsid w:val="00BB1698"/>
    <w:rsid w:val="00BB19B2"/>
    <w:rsid w:val="00BB281B"/>
    <w:rsid w:val="00BB2900"/>
    <w:rsid w:val="00BB2AC0"/>
    <w:rsid w:val="00BB2ED2"/>
    <w:rsid w:val="00BB30C8"/>
    <w:rsid w:val="00BB3207"/>
    <w:rsid w:val="00BB36B7"/>
    <w:rsid w:val="00BB37BD"/>
    <w:rsid w:val="00BB3DF6"/>
    <w:rsid w:val="00BB4070"/>
    <w:rsid w:val="00BB43A1"/>
    <w:rsid w:val="00BB4500"/>
    <w:rsid w:val="00BB46A5"/>
    <w:rsid w:val="00BB4707"/>
    <w:rsid w:val="00BB54AA"/>
    <w:rsid w:val="00BB5C02"/>
    <w:rsid w:val="00BB5D2A"/>
    <w:rsid w:val="00BB5F31"/>
    <w:rsid w:val="00BB772B"/>
    <w:rsid w:val="00BC00E7"/>
    <w:rsid w:val="00BC017D"/>
    <w:rsid w:val="00BC0648"/>
    <w:rsid w:val="00BC0724"/>
    <w:rsid w:val="00BC0B74"/>
    <w:rsid w:val="00BC22C2"/>
    <w:rsid w:val="00BC2523"/>
    <w:rsid w:val="00BC28D7"/>
    <w:rsid w:val="00BC292F"/>
    <w:rsid w:val="00BC2AD2"/>
    <w:rsid w:val="00BC30D0"/>
    <w:rsid w:val="00BC37D6"/>
    <w:rsid w:val="00BC430A"/>
    <w:rsid w:val="00BC43C1"/>
    <w:rsid w:val="00BC51BC"/>
    <w:rsid w:val="00BC5957"/>
    <w:rsid w:val="00BC630D"/>
    <w:rsid w:val="00BC6322"/>
    <w:rsid w:val="00BC649B"/>
    <w:rsid w:val="00BC6B2C"/>
    <w:rsid w:val="00BC6D91"/>
    <w:rsid w:val="00BC7D15"/>
    <w:rsid w:val="00BC7D4E"/>
    <w:rsid w:val="00BC7DD4"/>
    <w:rsid w:val="00BC7E99"/>
    <w:rsid w:val="00BD0026"/>
    <w:rsid w:val="00BD00F1"/>
    <w:rsid w:val="00BD02A4"/>
    <w:rsid w:val="00BD0454"/>
    <w:rsid w:val="00BD06D4"/>
    <w:rsid w:val="00BD0863"/>
    <w:rsid w:val="00BD1203"/>
    <w:rsid w:val="00BD21FF"/>
    <w:rsid w:val="00BD2274"/>
    <w:rsid w:val="00BD366D"/>
    <w:rsid w:val="00BD385A"/>
    <w:rsid w:val="00BD3940"/>
    <w:rsid w:val="00BD42A5"/>
    <w:rsid w:val="00BD42FE"/>
    <w:rsid w:val="00BD4629"/>
    <w:rsid w:val="00BD471C"/>
    <w:rsid w:val="00BD541A"/>
    <w:rsid w:val="00BD5997"/>
    <w:rsid w:val="00BD5A0E"/>
    <w:rsid w:val="00BD5D20"/>
    <w:rsid w:val="00BD60B2"/>
    <w:rsid w:val="00BD694E"/>
    <w:rsid w:val="00BD71B6"/>
    <w:rsid w:val="00BD7359"/>
    <w:rsid w:val="00BD76C3"/>
    <w:rsid w:val="00BD7796"/>
    <w:rsid w:val="00BD78E4"/>
    <w:rsid w:val="00BD7D61"/>
    <w:rsid w:val="00BD7D87"/>
    <w:rsid w:val="00BE01F3"/>
    <w:rsid w:val="00BE02DC"/>
    <w:rsid w:val="00BE0803"/>
    <w:rsid w:val="00BE0A9A"/>
    <w:rsid w:val="00BE0D3C"/>
    <w:rsid w:val="00BE0D44"/>
    <w:rsid w:val="00BE0DFB"/>
    <w:rsid w:val="00BE0FDF"/>
    <w:rsid w:val="00BE12E7"/>
    <w:rsid w:val="00BE19A3"/>
    <w:rsid w:val="00BE1AFB"/>
    <w:rsid w:val="00BE26D0"/>
    <w:rsid w:val="00BE285C"/>
    <w:rsid w:val="00BE29A0"/>
    <w:rsid w:val="00BE2B17"/>
    <w:rsid w:val="00BE2B52"/>
    <w:rsid w:val="00BE34F1"/>
    <w:rsid w:val="00BE4029"/>
    <w:rsid w:val="00BE4272"/>
    <w:rsid w:val="00BE43EE"/>
    <w:rsid w:val="00BE4FE5"/>
    <w:rsid w:val="00BE51BE"/>
    <w:rsid w:val="00BE527E"/>
    <w:rsid w:val="00BE5315"/>
    <w:rsid w:val="00BE56E8"/>
    <w:rsid w:val="00BE5A59"/>
    <w:rsid w:val="00BE5D4F"/>
    <w:rsid w:val="00BE61E0"/>
    <w:rsid w:val="00BE6420"/>
    <w:rsid w:val="00BE6F60"/>
    <w:rsid w:val="00BE798A"/>
    <w:rsid w:val="00BE7A3D"/>
    <w:rsid w:val="00BF077A"/>
    <w:rsid w:val="00BF07EA"/>
    <w:rsid w:val="00BF0836"/>
    <w:rsid w:val="00BF0855"/>
    <w:rsid w:val="00BF102B"/>
    <w:rsid w:val="00BF1238"/>
    <w:rsid w:val="00BF1991"/>
    <w:rsid w:val="00BF1C58"/>
    <w:rsid w:val="00BF2354"/>
    <w:rsid w:val="00BF244D"/>
    <w:rsid w:val="00BF28CA"/>
    <w:rsid w:val="00BF3895"/>
    <w:rsid w:val="00BF3DE1"/>
    <w:rsid w:val="00BF4A1C"/>
    <w:rsid w:val="00BF5124"/>
    <w:rsid w:val="00BF586F"/>
    <w:rsid w:val="00BF615E"/>
    <w:rsid w:val="00BF6328"/>
    <w:rsid w:val="00BF632D"/>
    <w:rsid w:val="00BF7399"/>
    <w:rsid w:val="00BF7942"/>
    <w:rsid w:val="00BF7B40"/>
    <w:rsid w:val="00C0009F"/>
    <w:rsid w:val="00C00939"/>
    <w:rsid w:val="00C00CA6"/>
    <w:rsid w:val="00C00EA8"/>
    <w:rsid w:val="00C01226"/>
    <w:rsid w:val="00C014F7"/>
    <w:rsid w:val="00C02262"/>
    <w:rsid w:val="00C022DF"/>
    <w:rsid w:val="00C02E68"/>
    <w:rsid w:val="00C030A2"/>
    <w:rsid w:val="00C030FC"/>
    <w:rsid w:val="00C03AFF"/>
    <w:rsid w:val="00C03BCD"/>
    <w:rsid w:val="00C045B3"/>
    <w:rsid w:val="00C057DA"/>
    <w:rsid w:val="00C0588B"/>
    <w:rsid w:val="00C05A30"/>
    <w:rsid w:val="00C0626E"/>
    <w:rsid w:val="00C063B6"/>
    <w:rsid w:val="00C06542"/>
    <w:rsid w:val="00C06799"/>
    <w:rsid w:val="00C06DE3"/>
    <w:rsid w:val="00C06EFD"/>
    <w:rsid w:val="00C06F1E"/>
    <w:rsid w:val="00C073A3"/>
    <w:rsid w:val="00C07514"/>
    <w:rsid w:val="00C07746"/>
    <w:rsid w:val="00C07CE8"/>
    <w:rsid w:val="00C07DFE"/>
    <w:rsid w:val="00C102A9"/>
    <w:rsid w:val="00C103B5"/>
    <w:rsid w:val="00C10988"/>
    <w:rsid w:val="00C11322"/>
    <w:rsid w:val="00C11651"/>
    <w:rsid w:val="00C116BD"/>
    <w:rsid w:val="00C11767"/>
    <w:rsid w:val="00C11B8E"/>
    <w:rsid w:val="00C11E27"/>
    <w:rsid w:val="00C11FAE"/>
    <w:rsid w:val="00C121DC"/>
    <w:rsid w:val="00C124B6"/>
    <w:rsid w:val="00C126C5"/>
    <w:rsid w:val="00C12A17"/>
    <w:rsid w:val="00C1305E"/>
    <w:rsid w:val="00C1307B"/>
    <w:rsid w:val="00C13B9A"/>
    <w:rsid w:val="00C13BCD"/>
    <w:rsid w:val="00C13CAC"/>
    <w:rsid w:val="00C13DBE"/>
    <w:rsid w:val="00C13E02"/>
    <w:rsid w:val="00C147E3"/>
    <w:rsid w:val="00C14EAF"/>
    <w:rsid w:val="00C15582"/>
    <w:rsid w:val="00C159C1"/>
    <w:rsid w:val="00C1606D"/>
    <w:rsid w:val="00C160FD"/>
    <w:rsid w:val="00C161DD"/>
    <w:rsid w:val="00C16324"/>
    <w:rsid w:val="00C16453"/>
    <w:rsid w:val="00C1665C"/>
    <w:rsid w:val="00C1667C"/>
    <w:rsid w:val="00C167C9"/>
    <w:rsid w:val="00C16DF4"/>
    <w:rsid w:val="00C16F9A"/>
    <w:rsid w:val="00C173F9"/>
    <w:rsid w:val="00C1793B"/>
    <w:rsid w:val="00C17F48"/>
    <w:rsid w:val="00C209B3"/>
    <w:rsid w:val="00C20BE3"/>
    <w:rsid w:val="00C21021"/>
    <w:rsid w:val="00C21030"/>
    <w:rsid w:val="00C212C6"/>
    <w:rsid w:val="00C21CE2"/>
    <w:rsid w:val="00C21CEC"/>
    <w:rsid w:val="00C21CF6"/>
    <w:rsid w:val="00C223A5"/>
    <w:rsid w:val="00C225B2"/>
    <w:rsid w:val="00C22717"/>
    <w:rsid w:val="00C22DC5"/>
    <w:rsid w:val="00C23290"/>
    <w:rsid w:val="00C2338B"/>
    <w:rsid w:val="00C233C6"/>
    <w:rsid w:val="00C23402"/>
    <w:rsid w:val="00C23560"/>
    <w:rsid w:val="00C23590"/>
    <w:rsid w:val="00C23B23"/>
    <w:rsid w:val="00C23C90"/>
    <w:rsid w:val="00C23CE0"/>
    <w:rsid w:val="00C23DD5"/>
    <w:rsid w:val="00C23E4F"/>
    <w:rsid w:val="00C23EA4"/>
    <w:rsid w:val="00C242B6"/>
    <w:rsid w:val="00C24A0B"/>
    <w:rsid w:val="00C24DF1"/>
    <w:rsid w:val="00C25095"/>
    <w:rsid w:val="00C250B9"/>
    <w:rsid w:val="00C25142"/>
    <w:rsid w:val="00C252C2"/>
    <w:rsid w:val="00C25393"/>
    <w:rsid w:val="00C2563F"/>
    <w:rsid w:val="00C25D41"/>
    <w:rsid w:val="00C25FA1"/>
    <w:rsid w:val="00C263C4"/>
    <w:rsid w:val="00C266EF"/>
    <w:rsid w:val="00C267A9"/>
    <w:rsid w:val="00C26A5A"/>
    <w:rsid w:val="00C26C93"/>
    <w:rsid w:val="00C27366"/>
    <w:rsid w:val="00C273CA"/>
    <w:rsid w:val="00C273ED"/>
    <w:rsid w:val="00C277F7"/>
    <w:rsid w:val="00C30793"/>
    <w:rsid w:val="00C30881"/>
    <w:rsid w:val="00C30C2B"/>
    <w:rsid w:val="00C310C0"/>
    <w:rsid w:val="00C311BD"/>
    <w:rsid w:val="00C313E1"/>
    <w:rsid w:val="00C31737"/>
    <w:rsid w:val="00C317EF"/>
    <w:rsid w:val="00C31BB8"/>
    <w:rsid w:val="00C323F9"/>
    <w:rsid w:val="00C324D0"/>
    <w:rsid w:val="00C3273D"/>
    <w:rsid w:val="00C329EE"/>
    <w:rsid w:val="00C330C2"/>
    <w:rsid w:val="00C331B6"/>
    <w:rsid w:val="00C33DA6"/>
    <w:rsid w:val="00C34559"/>
    <w:rsid w:val="00C34CAF"/>
    <w:rsid w:val="00C35476"/>
    <w:rsid w:val="00C354D4"/>
    <w:rsid w:val="00C35774"/>
    <w:rsid w:val="00C35FFF"/>
    <w:rsid w:val="00C36F1F"/>
    <w:rsid w:val="00C36F8D"/>
    <w:rsid w:val="00C371DB"/>
    <w:rsid w:val="00C37389"/>
    <w:rsid w:val="00C374B7"/>
    <w:rsid w:val="00C40338"/>
    <w:rsid w:val="00C407BD"/>
    <w:rsid w:val="00C40CC4"/>
    <w:rsid w:val="00C40E83"/>
    <w:rsid w:val="00C4139E"/>
    <w:rsid w:val="00C414C4"/>
    <w:rsid w:val="00C41C73"/>
    <w:rsid w:val="00C41E38"/>
    <w:rsid w:val="00C42208"/>
    <w:rsid w:val="00C4235D"/>
    <w:rsid w:val="00C42425"/>
    <w:rsid w:val="00C42BB7"/>
    <w:rsid w:val="00C42F53"/>
    <w:rsid w:val="00C43CF5"/>
    <w:rsid w:val="00C4443C"/>
    <w:rsid w:val="00C445A8"/>
    <w:rsid w:val="00C44941"/>
    <w:rsid w:val="00C44C2D"/>
    <w:rsid w:val="00C44DE5"/>
    <w:rsid w:val="00C4528B"/>
    <w:rsid w:val="00C459EC"/>
    <w:rsid w:val="00C46832"/>
    <w:rsid w:val="00C468A9"/>
    <w:rsid w:val="00C46AF4"/>
    <w:rsid w:val="00C46EB5"/>
    <w:rsid w:val="00C470D5"/>
    <w:rsid w:val="00C47D57"/>
    <w:rsid w:val="00C47D79"/>
    <w:rsid w:val="00C47E1F"/>
    <w:rsid w:val="00C47FF8"/>
    <w:rsid w:val="00C50939"/>
    <w:rsid w:val="00C51B9A"/>
    <w:rsid w:val="00C51CF7"/>
    <w:rsid w:val="00C51FDF"/>
    <w:rsid w:val="00C52769"/>
    <w:rsid w:val="00C52C06"/>
    <w:rsid w:val="00C532B2"/>
    <w:rsid w:val="00C53A60"/>
    <w:rsid w:val="00C53F57"/>
    <w:rsid w:val="00C54349"/>
    <w:rsid w:val="00C55300"/>
    <w:rsid w:val="00C55AD7"/>
    <w:rsid w:val="00C55BBD"/>
    <w:rsid w:val="00C560FF"/>
    <w:rsid w:val="00C56271"/>
    <w:rsid w:val="00C56534"/>
    <w:rsid w:val="00C566B1"/>
    <w:rsid w:val="00C56745"/>
    <w:rsid w:val="00C568B4"/>
    <w:rsid w:val="00C571DB"/>
    <w:rsid w:val="00C57324"/>
    <w:rsid w:val="00C578C3"/>
    <w:rsid w:val="00C57A05"/>
    <w:rsid w:val="00C6005C"/>
    <w:rsid w:val="00C60A6B"/>
    <w:rsid w:val="00C60F0B"/>
    <w:rsid w:val="00C61055"/>
    <w:rsid w:val="00C619CD"/>
    <w:rsid w:val="00C61E51"/>
    <w:rsid w:val="00C6206F"/>
    <w:rsid w:val="00C6207A"/>
    <w:rsid w:val="00C62296"/>
    <w:rsid w:val="00C626AC"/>
    <w:rsid w:val="00C62A3E"/>
    <w:rsid w:val="00C62F8D"/>
    <w:rsid w:val="00C6336F"/>
    <w:rsid w:val="00C63456"/>
    <w:rsid w:val="00C6394D"/>
    <w:rsid w:val="00C63A59"/>
    <w:rsid w:val="00C63B34"/>
    <w:rsid w:val="00C64764"/>
    <w:rsid w:val="00C647B6"/>
    <w:rsid w:val="00C65476"/>
    <w:rsid w:val="00C65526"/>
    <w:rsid w:val="00C65C54"/>
    <w:rsid w:val="00C66A43"/>
    <w:rsid w:val="00C66A52"/>
    <w:rsid w:val="00C66B4B"/>
    <w:rsid w:val="00C66B85"/>
    <w:rsid w:val="00C66C66"/>
    <w:rsid w:val="00C66F26"/>
    <w:rsid w:val="00C67017"/>
    <w:rsid w:val="00C676FE"/>
    <w:rsid w:val="00C67EE9"/>
    <w:rsid w:val="00C67F1A"/>
    <w:rsid w:val="00C70559"/>
    <w:rsid w:val="00C70932"/>
    <w:rsid w:val="00C70AE2"/>
    <w:rsid w:val="00C70BD3"/>
    <w:rsid w:val="00C70FF7"/>
    <w:rsid w:val="00C7103E"/>
    <w:rsid w:val="00C711EA"/>
    <w:rsid w:val="00C71605"/>
    <w:rsid w:val="00C718B2"/>
    <w:rsid w:val="00C71B7A"/>
    <w:rsid w:val="00C72DA7"/>
    <w:rsid w:val="00C7302C"/>
    <w:rsid w:val="00C7324D"/>
    <w:rsid w:val="00C7328C"/>
    <w:rsid w:val="00C74261"/>
    <w:rsid w:val="00C74734"/>
    <w:rsid w:val="00C75394"/>
    <w:rsid w:val="00C76255"/>
    <w:rsid w:val="00C76647"/>
    <w:rsid w:val="00C76E7C"/>
    <w:rsid w:val="00C7759B"/>
    <w:rsid w:val="00C77FCA"/>
    <w:rsid w:val="00C801DA"/>
    <w:rsid w:val="00C8051D"/>
    <w:rsid w:val="00C80532"/>
    <w:rsid w:val="00C80B22"/>
    <w:rsid w:val="00C80F1E"/>
    <w:rsid w:val="00C81086"/>
    <w:rsid w:val="00C81AB9"/>
    <w:rsid w:val="00C81EC2"/>
    <w:rsid w:val="00C81F29"/>
    <w:rsid w:val="00C822EC"/>
    <w:rsid w:val="00C82437"/>
    <w:rsid w:val="00C8276D"/>
    <w:rsid w:val="00C8370B"/>
    <w:rsid w:val="00C83A19"/>
    <w:rsid w:val="00C840F0"/>
    <w:rsid w:val="00C8444E"/>
    <w:rsid w:val="00C84C33"/>
    <w:rsid w:val="00C84E1A"/>
    <w:rsid w:val="00C851CF"/>
    <w:rsid w:val="00C85ACA"/>
    <w:rsid w:val="00C8622C"/>
    <w:rsid w:val="00C86B67"/>
    <w:rsid w:val="00C86EA1"/>
    <w:rsid w:val="00C8709E"/>
    <w:rsid w:val="00C872E2"/>
    <w:rsid w:val="00C87812"/>
    <w:rsid w:val="00C878B2"/>
    <w:rsid w:val="00C879C4"/>
    <w:rsid w:val="00C87D67"/>
    <w:rsid w:val="00C9013F"/>
    <w:rsid w:val="00C901BF"/>
    <w:rsid w:val="00C90555"/>
    <w:rsid w:val="00C90C6D"/>
    <w:rsid w:val="00C91CB0"/>
    <w:rsid w:val="00C920C3"/>
    <w:rsid w:val="00C92359"/>
    <w:rsid w:val="00C928B0"/>
    <w:rsid w:val="00C92B6B"/>
    <w:rsid w:val="00C93170"/>
    <w:rsid w:val="00C93227"/>
    <w:rsid w:val="00C933AD"/>
    <w:rsid w:val="00C93DAB"/>
    <w:rsid w:val="00C93EC6"/>
    <w:rsid w:val="00C94950"/>
    <w:rsid w:val="00C94D94"/>
    <w:rsid w:val="00C95B0A"/>
    <w:rsid w:val="00C9634F"/>
    <w:rsid w:val="00C96555"/>
    <w:rsid w:val="00C96AF0"/>
    <w:rsid w:val="00C970D8"/>
    <w:rsid w:val="00C9773A"/>
    <w:rsid w:val="00C9799A"/>
    <w:rsid w:val="00C979B8"/>
    <w:rsid w:val="00C97A24"/>
    <w:rsid w:val="00CA03EE"/>
    <w:rsid w:val="00CA0576"/>
    <w:rsid w:val="00CA06AF"/>
    <w:rsid w:val="00CA0780"/>
    <w:rsid w:val="00CA157D"/>
    <w:rsid w:val="00CA177E"/>
    <w:rsid w:val="00CA18A3"/>
    <w:rsid w:val="00CA1AF4"/>
    <w:rsid w:val="00CA1D39"/>
    <w:rsid w:val="00CA1DE4"/>
    <w:rsid w:val="00CA279A"/>
    <w:rsid w:val="00CA3AD1"/>
    <w:rsid w:val="00CA3B29"/>
    <w:rsid w:val="00CA405B"/>
    <w:rsid w:val="00CA442F"/>
    <w:rsid w:val="00CA4689"/>
    <w:rsid w:val="00CA4CA0"/>
    <w:rsid w:val="00CA518F"/>
    <w:rsid w:val="00CA5192"/>
    <w:rsid w:val="00CA58D5"/>
    <w:rsid w:val="00CA5A8F"/>
    <w:rsid w:val="00CA5BA1"/>
    <w:rsid w:val="00CA5E24"/>
    <w:rsid w:val="00CA71C9"/>
    <w:rsid w:val="00CA764D"/>
    <w:rsid w:val="00CA7A64"/>
    <w:rsid w:val="00CA7BD4"/>
    <w:rsid w:val="00CA7E11"/>
    <w:rsid w:val="00CB01C7"/>
    <w:rsid w:val="00CB0C4A"/>
    <w:rsid w:val="00CB11B5"/>
    <w:rsid w:val="00CB179E"/>
    <w:rsid w:val="00CB1E05"/>
    <w:rsid w:val="00CB1EEB"/>
    <w:rsid w:val="00CB211E"/>
    <w:rsid w:val="00CB287F"/>
    <w:rsid w:val="00CB3412"/>
    <w:rsid w:val="00CB3853"/>
    <w:rsid w:val="00CB3B90"/>
    <w:rsid w:val="00CB3E95"/>
    <w:rsid w:val="00CB3EED"/>
    <w:rsid w:val="00CB43F0"/>
    <w:rsid w:val="00CB4701"/>
    <w:rsid w:val="00CB4BDC"/>
    <w:rsid w:val="00CB4DB5"/>
    <w:rsid w:val="00CB55AD"/>
    <w:rsid w:val="00CB5A3C"/>
    <w:rsid w:val="00CB5B34"/>
    <w:rsid w:val="00CB5F1A"/>
    <w:rsid w:val="00CB652D"/>
    <w:rsid w:val="00CB6678"/>
    <w:rsid w:val="00CB6CDF"/>
    <w:rsid w:val="00CB70AD"/>
    <w:rsid w:val="00CB770A"/>
    <w:rsid w:val="00CB7929"/>
    <w:rsid w:val="00CB79BA"/>
    <w:rsid w:val="00CC0725"/>
    <w:rsid w:val="00CC094B"/>
    <w:rsid w:val="00CC1302"/>
    <w:rsid w:val="00CC18F1"/>
    <w:rsid w:val="00CC196B"/>
    <w:rsid w:val="00CC1EE2"/>
    <w:rsid w:val="00CC229B"/>
    <w:rsid w:val="00CC24B3"/>
    <w:rsid w:val="00CC24D2"/>
    <w:rsid w:val="00CC28C0"/>
    <w:rsid w:val="00CC2F75"/>
    <w:rsid w:val="00CC31A4"/>
    <w:rsid w:val="00CC3640"/>
    <w:rsid w:val="00CC37D4"/>
    <w:rsid w:val="00CC388D"/>
    <w:rsid w:val="00CC3BAC"/>
    <w:rsid w:val="00CC4140"/>
    <w:rsid w:val="00CC441D"/>
    <w:rsid w:val="00CC498D"/>
    <w:rsid w:val="00CC4A0B"/>
    <w:rsid w:val="00CC4E0A"/>
    <w:rsid w:val="00CC5520"/>
    <w:rsid w:val="00CC55A9"/>
    <w:rsid w:val="00CC5DBF"/>
    <w:rsid w:val="00CC5E4D"/>
    <w:rsid w:val="00CC6CF0"/>
    <w:rsid w:val="00CC6E93"/>
    <w:rsid w:val="00CC6F51"/>
    <w:rsid w:val="00CC6FCE"/>
    <w:rsid w:val="00CC785D"/>
    <w:rsid w:val="00CC7DE1"/>
    <w:rsid w:val="00CD0951"/>
    <w:rsid w:val="00CD110B"/>
    <w:rsid w:val="00CD1A20"/>
    <w:rsid w:val="00CD1E47"/>
    <w:rsid w:val="00CD222C"/>
    <w:rsid w:val="00CD2303"/>
    <w:rsid w:val="00CD24E2"/>
    <w:rsid w:val="00CD2D88"/>
    <w:rsid w:val="00CD3509"/>
    <w:rsid w:val="00CD36A4"/>
    <w:rsid w:val="00CD3AB5"/>
    <w:rsid w:val="00CD45DA"/>
    <w:rsid w:val="00CD4850"/>
    <w:rsid w:val="00CD4C12"/>
    <w:rsid w:val="00CD4F66"/>
    <w:rsid w:val="00CD51B9"/>
    <w:rsid w:val="00CD545F"/>
    <w:rsid w:val="00CD5A91"/>
    <w:rsid w:val="00CD5D95"/>
    <w:rsid w:val="00CD5E7F"/>
    <w:rsid w:val="00CD6F08"/>
    <w:rsid w:val="00CD72DA"/>
    <w:rsid w:val="00CD7CB3"/>
    <w:rsid w:val="00CE003C"/>
    <w:rsid w:val="00CE0293"/>
    <w:rsid w:val="00CE0377"/>
    <w:rsid w:val="00CE04AE"/>
    <w:rsid w:val="00CE0535"/>
    <w:rsid w:val="00CE0AA8"/>
    <w:rsid w:val="00CE125B"/>
    <w:rsid w:val="00CE1A24"/>
    <w:rsid w:val="00CE1A51"/>
    <w:rsid w:val="00CE1B13"/>
    <w:rsid w:val="00CE1C4E"/>
    <w:rsid w:val="00CE1E46"/>
    <w:rsid w:val="00CE21D6"/>
    <w:rsid w:val="00CE24EC"/>
    <w:rsid w:val="00CE2500"/>
    <w:rsid w:val="00CE2603"/>
    <w:rsid w:val="00CE2976"/>
    <w:rsid w:val="00CE29C4"/>
    <w:rsid w:val="00CE2AFF"/>
    <w:rsid w:val="00CE2D31"/>
    <w:rsid w:val="00CE345C"/>
    <w:rsid w:val="00CE39A0"/>
    <w:rsid w:val="00CE45F1"/>
    <w:rsid w:val="00CE45FA"/>
    <w:rsid w:val="00CE4782"/>
    <w:rsid w:val="00CE5063"/>
    <w:rsid w:val="00CE52E3"/>
    <w:rsid w:val="00CE55CD"/>
    <w:rsid w:val="00CE5F0C"/>
    <w:rsid w:val="00CE663A"/>
    <w:rsid w:val="00CE6AD7"/>
    <w:rsid w:val="00CE6F24"/>
    <w:rsid w:val="00CE71FE"/>
    <w:rsid w:val="00CE7B51"/>
    <w:rsid w:val="00CF0439"/>
    <w:rsid w:val="00CF05E5"/>
    <w:rsid w:val="00CF10A2"/>
    <w:rsid w:val="00CF17B5"/>
    <w:rsid w:val="00CF17E9"/>
    <w:rsid w:val="00CF19AC"/>
    <w:rsid w:val="00CF22D3"/>
    <w:rsid w:val="00CF2824"/>
    <w:rsid w:val="00CF2A6F"/>
    <w:rsid w:val="00CF2CCB"/>
    <w:rsid w:val="00CF34D2"/>
    <w:rsid w:val="00CF34ED"/>
    <w:rsid w:val="00CF4679"/>
    <w:rsid w:val="00CF4C01"/>
    <w:rsid w:val="00CF4E6B"/>
    <w:rsid w:val="00CF5413"/>
    <w:rsid w:val="00CF5F42"/>
    <w:rsid w:val="00CF6746"/>
    <w:rsid w:val="00CF68B4"/>
    <w:rsid w:val="00CF6BC3"/>
    <w:rsid w:val="00CF6FD2"/>
    <w:rsid w:val="00CF742D"/>
    <w:rsid w:val="00CF76E1"/>
    <w:rsid w:val="00CF7F1D"/>
    <w:rsid w:val="00D002B6"/>
    <w:rsid w:val="00D00687"/>
    <w:rsid w:val="00D0084E"/>
    <w:rsid w:val="00D011B0"/>
    <w:rsid w:val="00D01461"/>
    <w:rsid w:val="00D01917"/>
    <w:rsid w:val="00D027CC"/>
    <w:rsid w:val="00D028C5"/>
    <w:rsid w:val="00D03158"/>
    <w:rsid w:val="00D03471"/>
    <w:rsid w:val="00D03758"/>
    <w:rsid w:val="00D03D60"/>
    <w:rsid w:val="00D03D80"/>
    <w:rsid w:val="00D03EF4"/>
    <w:rsid w:val="00D040FB"/>
    <w:rsid w:val="00D04449"/>
    <w:rsid w:val="00D048A8"/>
    <w:rsid w:val="00D0492E"/>
    <w:rsid w:val="00D051D1"/>
    <w:rsid w:val="00D0548C"/>
    <w:rsid w:val="00D05E1D"/>
    <w:rsid w:val="00D05EE2"/>
    <w:rsid w:val="00D060C8"/>
    <w:rsid w:val="00D066A3"/>
    <w:rsid w:val="00D066DD"/>
    <w:rsid w:val="00D06A09"/>
    <w:rsid w:val="00D071DB"/>
    <w:rsid w:val="00D07653"/>
    <w:rsid w:val="00D07BAC"/>
    <w:rsid w:val="00D07DE5"/>
    <w:rsid w:val="00D100B7"/>
    <w:rsid w:val="00D10406"/>
    <w:rsid w:val="00D10619"/>
    <w:rsid w:val="00D10857"/>
    <w:rsid w:val="00D10A89"/>
    <w:rsid w:val="00D11342"/>
    <w:rsid w:val="00D11B70"/>
    <w:rsid w:val="00D11FE0"/>
    <w:rsid w:val="00D12128"/>
    <w:rsid w:val="00D12191"/>
    <w:rsid w:val="00D124EE"/>
    <w:rsid w:val="00D1256F"/>
    <w:rsid w:val="00D12788"/>
    <w:rsid w:val="00D12976"/>
    <w:rsid w:val="00D13D52"/>
    <w:rsid w:val="00D144E8"/>
    <w:rsid w:val="00D1476C"/>
    <w:rsid w:val="00D148CE"/>
    <w:rsid w:val="00D14C3C"/>
    <w:rsid w:val="00D15175"/>
    <w:rsid w:val="00D151B3"/>
    <w:rsid w:val="00D15607"/>
    <w:rsid w:val="00D15B90"/>
    <w:rsid w:val="00D16295"/>
    <w:rsid w:val="00D1632B"/>
    <w:rsid w:val="00D166E2"/>
    <w:rsid w:val="00D166FD"/>
    <w:rsid w:val="00D16976"/>
    <w:rsid w:val="00D16ACC"/>
    <w:rsid w:val="00D16EAB"/>
    <w:rsid w:val="00D20021"/>
    <w:rsid w:val="00D200E3"/>
    <w:rsid w:val="00D2165E"/>
    <w:rsid w:val="00D21D77"/>
    <w:rsid w:val="00D21D88"/>
    <w:rsid w:val="00D2208F"/>
    <w:rsid w:val="00D220AB"/>
    <w:rsid w:val="00D226E2"/>
    <w:rsid w:val="00D2279D"/>
    <w:rsid w:val="00D22B4A"/>
    <w:rsid w:val="00D22CD8"/>
    <w:rsid w:val="00D2352C"/>
    <w:rsid w:val="00D2434D"/>
    <w:rsid w:val="00D24393"/>
    <w:rsid w:val="00D24527"/>
    <w:rsid w:val="00D2481C"/>
    <w:rsid w:val="00D24DA1"/>
    <w:rsid w:val="00D250E2"/>
    <w:rsid w:val="00D252F0"/>
    <w:rsid w:val="00D257BF"/>
    <w:rsid w:val="00D25CED"/>
    <w:rsid w:val="00D25D0D"/>
    <w:rsid w:val="00D25DC7"/>
    <w:rsid w:val="00D25E04"/>
    <w:rsid w:val="00D2655B"/>
    <w:rsid w:val="00D2670B"/>
    <w:rsid w:val="00D26E5D"/>
    <w:rsid w:val="00D26EE0"/>
    <w:rsid w:val="00D274D4"/>
    <w:rsid w:val="00D27890"/>
    <w:rsid w:val="00D27AE9"/>
    <w:rsid w:val="00D27CA4"/>
    <w:rsid w:val="00D27E0C"/>
    <w:rsid w:val="00D300DF"/>
    <w:rsid w:val="00D30E7C"/>
    <w:rsid w:val="00D314CF"/>
    <w:rsid w:val="00D314FB"/>
    <w:rsid w:val="00D31E71"/>
    <w:rsid w:val="00D3208B"/>
    <w:rsid w:val="00D3245C"/>
    <w:rsid w:val="00D32FAC"/>
    <w:rsid w:val="00D33071"/>
    <w:rsid w:val="00D336C2"/>
    <w:rsid w:val="00D33ABD"/>
    <w:rsid w:val="00D33C1F"/>
    <w:rsid w:val="00D3402A"/>
    <w:rsid w:val="00D340D6"/>
    <w:rsid w:val="00D34225"/>
    <w:rsid w:val="00D34599"/>
    <w:rsid w:val="00D34658"/>
    <w:rsid w:val="00D3599C"/>
    <w:rsid w:val="00D35ADB"/>
    <w:rsid w:val="00D3620C"/>
    <w:rsid w:val="00D367F1"/>
    <w:rsid w:val="00D36BD3"/>
    <w:rsid w:val="00D37097"/>
    <w:rsid w:val="00D37552"/>
    <w:rsid w:val="00D37744"/>
    <w:rsid w:val="00D37A3F"/>
    <w:rsid w:val="00D401B5"/>
    <w:rsid w:val="00D403E4"/>
    <w:rsid w:val="00D40680"/>
    <w:rsid w:val="00D408F1"/>
    <w:rsid w:val="00D40964"/>
    <w:rsid w:val="00D4152A"/>
    <w:rsid w:val="00D42103"/>
    <w:rsid w:val="00D42487"/>
    <w:rsid w:val="00D429E2"/>
    <w:rsid w:val="00D4320D"/>
    <w:rsid w:val="00D435F8"/>
    <w:rsid w:val="00D4387E"/>
    <w:rsid w:val="00D43F6C"/>
    <w:rsid w:val="00D43FD1"/>
    <w:rsid w:val="00D44081"/>
    <w:rsid w:val="00D441BB"/>
    <w:rsid w:val="00D441CC"/>
    <w:rsid w:val="00D442F0"/>
    <w:rsid w:val="00D44661"/>
    <w:rsid w:val="00D4498A"/>
    <w:rsid w:val="00D44B58"/>
    <w:rsid w:val="00D44D7A"/>
    <w:rsid w:val="00D44E2B"/>
    <w:rsid w:val="00D44E9A"/>
    <w:rsid w:val="00D4523C"/>
    <w:rsid w:val="00D454EC"/>
    <w:rsid w:val="00D455E4"/>
    <w:rsid w:val="00D457FE"/>
    <w:rsid w:val="00D45BCF"/>
    <w:rsid w:val="00D45C7B"/>
    <w:rsid w:val="00D45FA2"/>
    <w:rsid w:val="00D4606B"/>
    <w:rsid w:val="00D463DB"/>
    <w:rsid w:val="00D472AE"/>
    <w:rsid w:val="00D47388"/>
    <w:rsid w:val="00D4782E"/>
    <w:rsid w:val="00D47846"/>
    <w:rsid w:val="00D47910"/>
    <w:rsid w:val="00D47F16"/>
    <w:rsid w:val="00D50336"/>
    <w:rsid w:val="00D50345"/>
    <w:rsid w:val="00D50BAC"/>
    <w:rsid w:val="00D50DED"/>
    <w:rsid w:val="00D50E0F"/>
    <w:rsid w:val="00D51053"/>
    <w:rsid w:val="00D511D3"/>
    <w:rsid w:val="00D511F4"/>
    <w:rsid w:val="00D5156E"/>
    <w:rsid w:val="00D51C77"/>
    <w:rsid w:val="00D523EE"/>
    <w:rsid w:val="00D52956"/>
    <w:rsid w:val="00D53204"/>
    <w:rsid w:val="00D53205"/>
    <w:rsid w:val="00D537E3"/>
    <w:rsid w:val="00D53939"/>
    <w:rsid w:val="00D53D19"/>
    <w:rsid w:val="00D53FC4"/>
    <w:rsid w:val="00D54065"/>
    <w:rsid w:val="00D54273"/>
    <w:rsid w:val="00D545C6"/>
    <w:rsid w:val="00D54978"/>
    <w:rsid w:val="00D54A8B"/>
    <w:rsid w:val="00D54FC0"/>
    <w:rsid w:val="00D5547A"/>
    <w:rsid w:val="00D55FC2"/>
    <w:rsid w:val="00D56118"/>
    <w:rsid w:val="00D57012"/>
    <w:rsid w:val="00D5750E"/>
    <w:rsid w:val="00D5788C"/>
    <w:rsid w:val="00D57AF8"/>
    <w:rsid w:val="00D57F67"/>
    <w:rsid w:val="00D6013E"/>
    <w:rsid w:val="00D60177"/>
    <w:rsid w:val="00D603EC"/>
    <w:rsid w:val="00D60B1B"/>
    <w:rsid w:val="00D614D8"/>
    <w:rsid w:val="00D6196A"/>
    <w:rsid w:val="00D61F16"/>
    <w:rsid w:val="00D622F7"/>
    <w:rsid w:val="00D625A5"/>
    <w:rsid w:val="00D627EE"/>
    <w:rsid w:val="00D6285A"/>
    <w:rsid w:val="00D62877"/>
    <w:rsid w:val="00D62A61"/>
    <w:rsid w:val="00D63B3E"/>
    <w:rsid w:val="00D643BE"/>
    <w:rsid w:val="00D64861"/>
    <w:rsid w:val="00D64DED"/>
    <w:rsid w:val="00D64E1F"/>
    <w:rsid w:val="00D64EF1"/>
    <w:rsid w:val="00D6508D"/>
    <w:rsid w:val="00D650A7"/>
    <w:rsid w:val="00D65AFF"/>
    <w:rsid w:val="00D65BAB"/>
    <w:rsid w:val="00D66177"/>
    <w:rsid w:val="00D66632"/>
    <w:rsid w:val="00D676B4"/>
    <w:rsid w:val="00D67894"/>
    <w:rsid w:val="00D70487"/>
    <w:rsid w:val="00D70D0F"/>
    <w:rsid w:val="00D715C1"/>
    <w:rsid w:val="00D71720"/>
    <w:rsid w:val="00D71FEE"/>
    <w:rsid w:val="00D72AD2"/>
    <w:rsid w:val="00D72B4B"/>
    <w:rsid w:val="00D72E90"/>
    <w:rsid w:val="00D73332"/>
    <w:rsid w:val="00D733C5"/>
    <w:rsid w:val="00D73725"/>
    <w:rsid w:val="00D73BC7"/>
    <w:rsid w:val="00D74997"/>
    <w:rsid w:val="00D74A50"/>
    <w:rsid w:val="00D74B6A"/>
    <w:rsid w:val="00D74C6F"/>
    <w:rsid w:val="00D75568"/>
    <w:rsid w:val="00D7560B"/>
    <w:rsid w:val="00D759D4"/>
    <w:rsid w:val="00D76350"/>
    <w:rsid w:val="00D763B8"/>
    <w:rsid w:val="00D76685"/>
    <w:rsid w:val="00D767F7"/>
    <w:rsid w:val="00D7684C"/>
    <w:rsid w:val="00D76BB3"/>
    <w:rsid w:val="00D76DD6"/>
    <w:rsid w:val="00D772AF"/>
    <w:rsid w:val="00D773F1"/>
    <w:rsid w:val="00D7783B"/>
    <w:rsid w:val="00D77913"/>
    <w:rsid w:val="00D779ED"/>
    <w:rsid w:val="00D77B3F"/>
    <w:rsid w:val="00D80091"/>
    <w:rsid w:val="00D80155"/>
    <w:rsid w:val="00D8065E"/>
    <w:rsid w:val="00D808F4"/>
    <w:rsid w:val="00D80C88"/>
    <w:rsid w:val="00D8109B"/>
    <w:rsid w:val="00D81355"/>
    <w:rsid w:val="00D8167F"/>
    <w:rsid w:val="00D81B64"/>
    <w:rsid w:val="00D82030"/>
    <w:rsid w:val="00D824EE"/>
    <w:rsid w:val="00D829A1"/>
    <w:rsid w:val="00D8304A"/>
    <w:rsid w:val="00D83062"/>
    <w:rsid w:val="00D83291"/>
    <w:rsid w:val="00D835A3"/>
    <w:rsid w:val="00D84213"/>
    <w:rsid w:val="00D846EE"/>
    <w:rsid w:val="00D84AB0"/>
    <w:rsid w:val="00D84B63"/>
    <w:rsid w:val="00D84E12"/>
    <w:rsid w:val="00D85100"/>
    <w:rsid w:val="00D85150"/>
    <w:rsid w:val="00D85465"/>
    <w:rsid w:val="00D85B98"/>
    <w:rsid w:val="00D85E55"/>
    <w:rsid w:val="00D86527"/>
    <w:rsid w:val="00D86622"/>
    <w:rsid w:val="00D867D5"/>
    <w:rsid w:val="00D86D2F"/>
    <w:rsid w:val="00D87D24"/>
    <w:rsid w:val="00D900E7"/>
    <w:rsid w:val="00D900FB"/>
    <w:rsid w:val="00D907FB"/>
    <w:rsid w:val="00D90D94"/>
    <w:rsid w:val="00D90E0A"/>
    <w:rsid w:val="00D91841"/>
    <w:rsid w:val="00D91934"/>
    <w:rsid w:val="00D91BB9"/>
    <w:rsid w:val="00D91E84"/>
    <w:rsid w:val="00D920AB"/>
    <w:rsid w:val="00D9268B"/>
    <w:rsid w:val="00D926B4"/>
    <w:rsid w:val="00D92BB6"/>
    <w:rsid w:val="00D93027"/>
    <w:rsid w:val="00D931AC"/>
    <w:rsid w:val="00D933A3"/>
    <w:rsid w:val="00D935B8"/>
    <w:rsid w:val="00D9376E"/>
    <w:rsid w:val="00D93ADD"/>
    <w:rsid w:val="00D93E73"/>
    <w:rsid w:val="00D94078"/>
    <w:rsid w:val="00D9429B"/>
    <w:rsid w:val="00D94455"/>
    <w:rsid w:val="00D944FB"/>
    <w:rsid w:val="00D9497C"/>
    <w:rsid w:val="00D9550B"/>
    <w:rsid w:val="00D957A2"/>
    <w:rsid w:val="00D95A1F"/>
    <w:rsid w:val="00D96B97"/>
    <w:rsid w:val="00D96BD5"/>
    <w:rsid w:val="00D96F38"/>
    <w:rsid w:val="00D974C2"/>
    <w:rsid w:val="00D979A2"/>
    <w:rsid w:val="00D97EF0"/>
    <w:rsid w:val="00DA0A89"/>
    <w:rsid w:val="00DA0F43"/>
    <w:rsid w:val="00DA0F82"/>
    <w:rsid w:val="00DA1017"/>
    <w:rsid w:val="00DA10BB"/>
    <w:rsid w:val="00DA111F"/>
    <w:rsid w:val="00DA116F"/>
    <w:rsid w:val="00DA121C"/>
    <w:rsid w:val="00DA1373"/>
    <w:rsid w:val="00DA1395"/>
    <w:rsid w:val="00DA14AD"/>
    <w:rsid w:val="00DA181C"/>
    <w:rsid w:val="00DA190F"/>
    <w:rsid w:val="00DA1A79"/>
    <w:rsid w:val="00DA21BB"/>
    <w:rsid w:val="00DA21D9"/>
    <w:rsid w:val="00DA30F1"/>
    <w:rsid w:val="00DA32A3"/>
    <w:rsid w:val="00DA3368"/>
    <w:rsid w:val="00DA349A"/>
    <w:rsid w:val="00DA36D1"/>
    <w:rsid w:val="00DA3C0E"/>
    <w:rsid w:val="00DA437B"/>
    <w:rsid w:val="00DA43A8"/>
    <w:rsid w:val="00DA5E17"/>
    <w:rsid w:val="00DA5EF9"/>
    <w:rsid w:val="00DA635F"/>
    <w:rsid w:val="00DA671C"/>
    <w:rsid w:val="00DA6E03"/>
    <w:rsid w:val="00DA7048"/>
    <w:rsid w:val="00DA709C"/>
    <w:rsid w:val="00DA713A"/>
    <w:rsid w:val="00DA716C"/>
    <w:rsid w:val="00DA7609"/>
    <w:rsid w:val="00DA7706"/>
    <w:rsid w:val="00DA7900"/>
    <w:rsid w:val="00DA79B4"/>
    <w:rsid w:val="00DA7BE5"/>
    <w:rsid w:val="00DB0A60"/>
    <w:rsid w:val="00DB0E9A"/>
    <w:rsid w:val="00DB1407"/>
    <w:rsid w:val="00DB196A"/>
    <w:rsid w:val="00DB23F2"/>
    <w:rsid w:val="00DB2FFD"/>
    <w:rsid w:val="00DB3022"/>
    <w:rsid w:val="00DB376B"/>
    <w:rsid w:val="00DB4231"/>
    <w:rsid w:val="00DB440A"/>
    <w:rsid w:val="00DB4567"/>
    <w:rsid w:val="00DB4E68"/>
    <w:rsid w:val="00DB53A8"/>
    <w:rsid w:val="00DB5AC9"/>
    <w:rsid w:val="00DB6492"/>
    <w:rsid w:val="00DB6821"/>
    <w:rsid w:val="00DB6C43"/>
    <w:rsid w:val="00DB700F"/>
    <w:rsid w:val="00DB70F1"/>
    <w:rsid w:val="00DB742E"/>
    <w:rsid w:val="00DB7793"/>
    <w:rsid w:val="00DB7B22"/>
    <w:rsid w:val="00DB7D14"/>
    <w:rsid w:val="00DB7EE2"/>
    <w:rsid w:val="00DC028F"/>
    <w:rsid w:val="00DC02F6"/>
    <w:rsid w:val="00DC0498"/>
    <w:rsid w:val="00DC0914"/>
    <w:rsid w:val="00DC0A5E"/>
    <w:rsid w:val="00DC113F"/>
    <w:rsid w:val="00DC1165"/>
    <w:rsid w:val="00DC1772"/>
    <w:rsid w:val="00DC1BEC"/>
    <w:rsid w:val="00DC1F11"/>
    <w:rsid w:val="00DC20C0"/>
    <w:rsid w:val="00DC23DD"/>
    <w:rsid w:val="00DC262E"/>
    <w:rsid w:val="00DC2ABD"/>
    <w:rsid w:val="00DC2BA1"/>
    <w:rsid w:val="00DC2C25"/>
    <w:rsid w:val="00DC2D40"/>
    <w:rsid w:val="00DC2DF7"/>
    <w:rsid w:val="00DC303C"/>
    <w:rsid w:val="00DC3582"/>
    <w:rsid w:val="00DC3680"/>
    <w:rsid w:val="00DC3CE5"/>
    <w:rsid w:val="00DC41EB"/>
    <w:rsid w:val="00DC4409"/>
    <w:rsid w:val="00DC45D6"/>
    <w:rsid w:val="00DC479C"/>
    <w:rsid w:val="00DC55F1"/>
    <w:rsid w:val="00DC5C9F"/>
    <w:rsid w:val="00DC5CC1"/>
    <w:rsid w:val="00DC616A"/>
    <w:rsid w:val="00DC6C84"/>
    <w:rsid w:val="00DC6DB7"/>
    <w:rsid w:val="00DC7294"/>
    <w:rsid w:val="00DC77E3"/>
    <w:rsid w:val="00DC7C45"/>
    <w:rsid w:val="00DC7D03"/>
    <w:rsid w:val="00DC7E87"/>
    <w:rsid w:val="00DD043C"/>
    <w:rsid w:val="00DD0887"/>
    <w:rsid w:val="00DD0907"/>
    <w:rsid w:val="00DD0C09"/>
    <w:rsid w:val="00DD0EC1"/>
    <w:rsid w:val="00DD0F19"/>
    <w:rsid w:val="00DD0FEF"/>
    <w:rsid w:val="00DD1414"/>
    <w:rsid w:val="00DD15C4"/>
    <w:rsid w:val="00DD1676"/>
    <w:rsid w:val="00DD16A4"/>
    <w:rsid w:val="00DD18BE"/>
    <w:rsid w:val="00DD1A5C"/>
    <w:rsid w:val="00DD233B"/>
    <w:rsid w:val="00DD2612"/>
    <w:rsid w:val="00DD26E4"/>
    <w:rsid w:val="00DD2715"/>
    <w:rsid w:val="00DD2770"/>
    <w:rsid w:val="00DD2776"/>
    <w:rsid w:val="00DD2C0F"/>
    <w:rsid w:val="00DD2D5D"/>
    <w:rsid w:val="00DD3018"/>
    <w:rsid w:val="00DD3491"/>
    <w:rsid w:val="00DD38CB"/>
    <w:rsid w:val="00DD3EF4"/>
    <w:rsid w:val="00DD4103"/>
    <w:rsid w:val="00DD463C"/>
    <w:rsid w:val="00DD4E02"/>
    <w:rsid w:val="00DD509A"/>
    <w:rsid w:val="00DD5254"/>
    <w:rsid w:val="00DD56F5"/>
    <w:rsid w:val="00DD5FFD"/>
    <w:rsid w:val="00DD6842"/>
    <w:rsid w:val="00DD6D6A"/>
    <w:rsid w:val="00DD6FE0"/>
    <w:rsid w:val="00DD7395"/>
    <w:rsid w:val="00DD795A"/>
    <w:rsid w:val="00DD7E2E"/>
    <w:rsid w:val="00DE00A5"/>
    <w:rsid w:val="00DE00BF"/>
    <w:rsid w:val="00DE010F"/>
    <w:rsid w:val="00DE0705"/>
    <w:rsid w:val="00DE152B"/>
    <w:rsid w:val="00DE16AB"/>
    <w:rsid w:val="00DE192D"/>
    <w:rsid w:val="00DE1BE5"/>
    <w:rsid w:val="00DE21A9"/>
    <w:rsid w:val="00DE24B0"/>
    <w:rsid w:val="00DE2591"/>
    <w:rsid w:val="00DE2D1B"/>
    <w:rsid w:val="00DE2D7F"/>
    <w:rsid w:val="00DE2F1D"/>
    <w:rsid w:val="00DE3635"/>
    <w:rsid w:val="00DE3A23"/>
    <w:rsid w:val="00DE3A6E"/>
    <w:rsid w:val="00DE3A89"/>
    <w:rsid w:val="00DE47C6"/>
    <w:rsid w:val="00DE4C21"/>
    <w:rsid w:val="00DE4C8E"/>
    <w:rsid w:val="00DE4D88"/>
    <w:rsid w:val="00DE5731"/>
    <w:rsid w:val="00DE5D9D"/>
    <w:rsid w:val="00DE5E38"/>
    <w:rsid w:val="00DE6328"/>
    <w:rsid w:val="00DE6708"/>
    <w:rsid w:val="00DE6FB5"/>
    <w:rsid w:val="00DE70CF"/>
    <w:rsid w:val="00DE762F"/>
    <w:rsid w:val="00DE769B"/>
    <w:rsid w:val="00DE78DF"/>
    <w:rsid w:val="00DF0088"/>
    <w:rsid w:val="00DF0908"/>
    <w:rsid w:val="00DF0B14"/>
    <w:rsid w:val="00DF0E22"/>
    <w:rsid w:val="00DF1069"/>
    <w:rsid w:val="00DF10A8"/>
    <w:rsid w:val="00DF114E"/>
    <w:rsid w:val="00DF1843"/>
    <w:rsid w:val="00DF1BE5"/>
    <w:rsid w:val="00DF1DBE"/>
    <w:rsid w:val="00DF1FD4"/>
    <w:rsid w:val="00DF28D4"/>
    <w:rsid w:val="00DF2CF0"/>
    <w:rsid w:val="00DF3111"/>
    <w:rsid w:val="00DF321F"/>
    <w:rsid w:val="00DF35CE"/>
    <w:rsid w:val="00DF384B"/>
    <w:rsid w:val="00DF4111"/>
    <w:rsid w:val="00DF4BD1"/>
    <w:rsid w:val="00DF4E0F"/>
    <w:rsid w:val="00DF518D"/>
    <w:rsid w:val="00DF5641"/>
    <w:rsid w:val="00DF5BCF"/>
    <w:rsid w:val="00DF5D6F"/>
    <w:rsid w:val="00DF5DEE"/>
    <w:rsid w:val="00DF5DF4"/>
    <w:rsid w:val="00DF5FF3"/>
    <w:rsid w:val="00DF62E9"/>
    <w:rsid w:val="00DF6365"/>
    <w:rsid w:val="00DF66C0"/>
    <w:rsid w:val="00DF66CD"/>
    <w:rsid w:val="00DF68F7"/>
    <w:rsid w:val="00DF6A81"/>
    <w:rsid w:val="00DF6C32"/>
    <w:rsid w:val="00DF7070"/>
    <w:rsid w:val="00DF70BB"/>
    <w:rsid w:val="00DF7797"/>
    <w:rsid w:val="00DF79DD"/>
    <w:rsid w:val="00DF7EA8"/>
    <w:rsid w:val="00E01058"/>
    <w:rsid w:val="00E012F8"/>
    <w:rsid w:val="00E01349"/>
    <w:rsid w:val="00E0151E"/>
    <w:rsid w:val="00E019D7"/>
    <w:rsid w:val="00E01B19"/>
    <w:rsid w:val="00E01FB4"/>
    <w:rsid w:val="00E027BB"/>
    <w:rsid w:val="00E027CC"/>
    <w:rsid w:val="00E02911"/>
    <w:rsid w:val="00E02A63"/>
    <w:rsid w:val="00E02B96"/>
    <w:rsid w:val="00E03083"/>
    <w:rsid w:val="00E030C4"/>
    <w:rsid w:val="00E0354A"/>
    <w:rsid w:val="00E036B2"/>
    <w:rsid w:val="00E03846"/>
    <w:rsid w:val="00E03982"/>
    <w:rsid w:val="00E03B07"/>
    <w:rsid w:val="00E03CA5"/>
    <w:rsid w:val="00E03CB5"/>
    <w:rsid w:val="00E03DD7"/>
    <w:rsid w:val="00E04353"/>
    <w:rsid w:val="00E04481"/>
    <w:rsid w:val="00E0466B"/>
    <w:rsid w:val="00E0468D"/>
    <w:rsid w:val="00E05976"/>
    <w:rsid w:val="00E06FAF"/>
    <w:rsid w:val="00E07140"/>
    <w:rsid w:val="00E102B2"/>
    <w:rsid w:val="00E103C4"/>
    <w:rsid w:val="00E103F3"/>
    <w:rsid w:val="00E10E62"/>
    <w:rsid w:val="00E12495"/>
    <w:rsid w:val="00E12720"/>
    <w:rsid w:val="00E12723"/>
    <w:rsid w:val="00E12928"/>
    <w:rsid w:val="00E12B5B"/>
    <w:rsid w:val="00E12D74"/>
    <w:rsid w:val="00E13E29"/>
    <w:rsid w:val="00E140BC"/>
    <w:rsid w:val="00E14581"/>
    <w:rsid w:val="00E14C84"/>
    <w:rsid w:val="00E14D63"/>
    <w:rsid w:val="00E14D7E"/>
    <w:rsid w:val="00E14E66"/>
    <w:rsid w:val="00E1537A"/>
    <w:rsid w:val="00E16681"/>
    <w:rsid w:val="00E16D38"/>
    <w:rsid w:val="00E17D2E"/>
    <w:rsid w:val="00E2010D"/>
    <w:rsid w:val="00E20617"/>
    <w:rsid w:val="00E20ADC"/>
    <w:rsid w:val="00E21490"/>
    <w:rsid w:val="00E2174B"/>
    <w:rsid w:val="00E21BD4"/>
    <w:rsid w:val="00E21C06"/>
    <w:rsid w:val="00E21F69"/>
    <w:rsid w:val="00E21FB5"/>
    <w:rsid w:val="00E2203A"/>
    <w:rsid w:val="00E22644"/>
    <w:rsid w:val="00E226E0"/>
    <w:rsid w:val="00E22709"/>
    <w:rsid w:val="00E2296E"/>
    <w:rsid w:val="00E22C20"/>
    <w:rsid w:val="00E2308E"/>
    <w:rsid w:val="00E2397A"/>
    <w:rsid w:val="00E23A9D"/>
    <w:rsid w:val="00E23C8A"/>
    <w:rsid w:val="00E23FC3"/>
    <w:rsid w:val="00E2452E"/>
    <w:rsid w:val="00E24970"/>
    <w:rsid w:val="00E24C65"/>
    <w:rsid w:val="00E24D70"/>
    <w:rsid w:val="00E25CA2"/>
    <w:rsid w:val="00E25E41"/>
    <w:rsid w:val="00E25FC1"/>
    <w:rsid w:val="00E2648C"/>
    <w:rsid w:val="00E267FE"/>
    <w:rsid w:val="00E2687E"/>
    <w:rsid w:val="00E26CAD"/>
    <w:rsid w:val="00E26FB0"/>
    <w:rsid w:val="00E27214"/>
    <w:rsid w:val="00E27669"/>
    <w:rsid w:val="00E27FDD"/>
    <w:rsid w:val="00E30111"/>
    <w:rsid w:val="00E3036D"/>
    <w:rsid w:val="00E305CF"/>
    <w:rsid w:val="00E30A12"/>
    <w:rsid w:val="00E3157C"/>
    <w:rsid w:val="00E317CE"/>
    <w:rsid w:val="00E3184B"/>
    <w:rsid w:val="00E318A6"/>
    <w:rsid w:val="00E3214E"/>
    <w:rsid w:val="00E3218C"/>
    <w:rsid w:val="00E3229A"/>
    <w:rsid w:val="00E32625"/>
    <w:rsid w:val="00E33304"/>
    <w:rsid w:val="00E336CA"/>
    <w:rsid w:val="00E33729"/>
    <w:rsid w:val="00E3458E"/>
    <w:rsid w:val="00E35035"/>
    <w:rsid w:val="00E351FA"/>
    <w:rsid w:val="00E35CAB"/>
    <w:rsid w:val="00E35DB3"/>
    <w:rsid w:val="00E35FAB"/>
    <w:rsid w:val="00E368B6"/>
    <w:rsid w:val="00E36B54"/>
    <w:rsid w:val="00E36F80"/>
    <w:rsid w:val="00E37800"/>
    <w:rsid w:val="00E37ADC"/>
    <w:rsid w:val="00E37D26"/>
    <w:rsid w:val="00E37DCA"/>
    <w:rsid w:val="00E40096"/>
    <w:rsid w:val="00E40274"/>
    <w:rsid w:val="00E40617"/>
    <w:rsid w:val="00E40658"/>
    <w:rsid w:val="00E40B9C"/>
    <w:rsid w:val="00E417F3"/>
    <w:rsid w:val="00E41B6C"/>
    <w:rsid w:val="00E41B99"/>
    <w:rsid w:val="00E424B9"/>
    <w:rsid w:val="00E429D7"/>
    <w:rsid w:val="00E42F14"/>
    <w:rsid w:val="00E43008"/>
    <w:rsid w:val="00E43D0F"/>
    <w:rsid w:val="00E44484"/>
    <w:rsid w:val="00E448F0"/>
    <w:rsid w:val="00E44CF2"/>
    <w:rsid w:val="00E44D74"/>
    <w:rsid w:val="00E45585"/>
    <w:rsid w:val="00E45A7A"/>
    <w:rsid w:val="00E45EBB"/>
    <w:rsid w:val="00E46691"/>
    <w:rsid w:val="00E470B0"/>
    <w:rsid w:val="00E47743"/>
    <w:rsid w:val="00E47A2F"/>
    <w:rsid w:val="00E47A9C"/>
    <w:rsid w:val="00E47CFE"/>
    <w:rsid w:val="00E47D14"/>
    <w:rsid w:val="00E50123"/>
    <w:rsid w:val="00E5034E"/>
    <w:rsid w:val="00E5077B"/>
    <w:rsid w:val="00E507B1"/>
    <w:rsid w:val="00E50B15"/>
    <w:rsid w:val="00E50B94"/>
    <w:rsid w:val="00E50D0C"/>
    <w:rsid w:val="00E5119A"/>
    <w:rsid w:val="00E51301"/>
    <w:rsid w:val="00E51538"/>
    <w:rsid w:val="00E519CB"/>
    <w:rsid w:val="00E51A8E"/>
    <w:rsid w:val="00E51B89"/>
    <w:rsid w:val="00E51B9C"/>
    <w:rsid w:val="00E51BD0"/>
    <w:rsid w:val="00E51DA5"/>
    <w:rsid w:val="00E51EBE"/>
    <w:rsid w:val="00E5275F"/>
    <w:rsid w:val="00E52AAE"/>
    <w:rsid w:val="00E53014"/>
    <w:rsid w:val="00E535A2"/>
    <w:rsid w:val="00E535FF"/>
    <w:rsid w:val="00E53AF5"/>
    <w:rsid w:val="00E53B40"/>
    <w:rsid w:val="00E5418A"/>
    <w:rsid w:val="00E5433F"/>
    <w:rsid w:val="00E54763"/>
    <w:rsid w:val="00E5477F"/>
    <w:rsid w:val="00E54815"/>
    <w:rsid w:val="00E548DC"/>
    <w:rsid w:val="00E54D5C"/>
    <w:rsid w:val="00E54D9F"/>
    <w:rsid w:val="00E54EE6"/>
    <w:rsid w:val="00E550C1"/>
    <w:rsid w:val="00E55563"/>
    <w:rsid w:val="00E55A3F"/>
    <w:rsid w:val="00E560B3"/>
    <w:rsid w:val="00E563AC"/>
    <w:rsid w:val="00E5645A"/>
    <w:rsid w:val="00E56B79"/>
    <w:rsid w:val="00E56D5B"/>
    <w:rsid w:val="00E56ED4"/>
    <w:rsid w:val="00E5783A"/>
    <w:rsid w:val="00E57AA8"/>
    <w:rsid w:val="00E57E83"/>
    <w:rsid w:val="00E601FB"/>
    <w:rsid w:val="00E602C6"/>
    <w:rsid w:val="00E606CD"/>
    <w:rsid w:val="00E60704"/>
    <w:rsid w:val="00E607F3"/>
    <w:rsid w:val="00E60E6C"/>
    <w:rsid w:val="00E6100A"/>
    <w:rsid w:val="00E615DF"/>
    <w:rsid w:val="00E61877"/>
    <w:rsid w:val="00E61CC1"/>
    <w:rsid w:val="00E625DD"/>
    <w:rsid w:val="00E627CD"/>
    <w:rsid w:val="00E62B88"/>
    <w:rsid w:val="00E630D8"/>
    <w:rsid w:val="00E634A7"/>
    <w:rsid w:val="00E637A7"/>
    <w:rsid w:val="00E6397E"/>
    <w:rsid w:val="00E63AFD"/>
    <w:rsid w:val="00E63DDF"/>
    <w:rsid w:val="00E65236"/>
    <w:rsid w:val="00E653FA"/>
    <w:rsid w:val="00E659AE"/>
    <w:rsid w:val="00E6600D"/>
    <w:rsid w:val="00E66369"/>
    <w:rsid w:val="00E669CB"/>
    <w:rsid w:val="00E66CEA"/>
    <w:rsid w:val="00E66E6A"/>
    <w:rsid w:val="00E66ED9"/>
    <w:rsid w:val="00E67576"/>
    <w:rsid w:val="00E67622"/>
    <w:rsid w:val="00E67D29"/>
    <w:rsid w:val="00E67F91"/>
    <w:rsid w:val="00E704F0"/>
    <w:rsid w:val="00E706E4"/>
    <w:rsid w:val="00E70A99"/>
    <w:rsid w:val="00E70D7B"/>
    <w:rsid w:val="00E70F15"/>
    <w:rsid w:val="00E72356"/>
    <w:rsid w:val="00E72499"/>
    <w:rsid w:val="00E72773"/>
    <w:rsid w:val="00E728F1"/>
    <w:rsid w:val="00E729DE"/>
    <w:rsid w:val="00E72EE7"/>
    <w:rsid w:val="00E73278"/>
    <w:rsid w:val="00E73341"/>
    <w:rsid w:val="00E73649"/>
    <w:rsid w:val="00E73FC6"/>
    <w:rsid w:val="00E74371"/>
    <w:rsid w:val="00E750B0"/>
    <w:rsid w:val="00E750B5"/>
    <w:rsid w:val="00E75344"/>
    <w:rsid w:val="00E7537F"/>
    <w:rsid w:val="00E753A7"/>
    <w:rsid w:val="00E75EB9"/>
    <w:rsid w:val="00E763BC"/>
    <w:rsid w:val="00E774CA"/>
    <w:rsid w:val="00E77F40"/>
    <w:rsid w:val="00E80422"/>
    <w:rsid w:val="00E8088A"/>
    <w:rsid w:val="00E81323"/>
    <w:rsid w:val="00E8174A"/>
    <w:rsid w:val="00E81B1E"/>
    <w:rsid w:val="00E82240"/>
    <w:rsid w:val="00E828E2"/>
    <w:rsid w:val="00E82C32"/>
    <w:rsid w:val="00E83261"/>
    <w:rsid w:val="00E83952"/>
    <w:rsid w:val="00E8416B"/>
    <w:rsid w:val="00E84502"/>
    <w:rsid w:val="00E84811"/>
    <w:rsid w:val="00E84E02"/>
    <w:rsid w:val="00E84E85"/>
    <w:rsid w:val="00E85048"/>
    <w:rsid w:val="00E85714"/>
    <w:rsid w:val="00E8638B"/>
    <w:rsid w:val="00E866E4"/>
    <w:rsid w:val="00E867C1"/>
    <w:rsid w:val="00E8685B"/>
    <w:rsid w:val="00E86AC9"/>
    <w:rsid w:val="00E873AC"/>
    <w:rsid w:val="00E874E5"/>
    <w:rsid w:val="00E8770A"/>
    <w:rsid w:val="00E905D3"/>
    <w:rsid w:val="00E9087A"/>
    <w:rsid w:val="00E9095D"/>
    <w:rsid w:val="00E909DE"/>
    <w:rsid w:val="00E90B91"/>
    <w:rsid w:val="00E90EA3"/>
    <w:rsid w:val="00E91166"/>
    <w:rsid w:val="00E91329"/>
    <w:rsid w:val="00E91848"/>
    <w:rsid w:val="00E928D2"/>
    <w:rsid w:val="00E92E66"/>
    <w:rsid w:val="00E92FF3"/>
    <w:rsid w:val="00E930E8"/>
    <w:rsid w:val="00E9335D"/>
    <w:rsid w:val="00E93930"/>
    <w:rsid w:val="00E93C3F"/>
    <w:rsid w:val="00E93F4F"/>
    <w:rsid w:val="00E94298"/>
    <w:rsid w:val="00E942A5"/>
    <w:rsid w:val="00E9463B"/>
    <w:rsid w:val="00E96F32"/>
    <w:rsid w:val="00E97173"/>
    <w:rsid w:val="00E97B57"/>
    <w:rsid w:val="00EA0A67"/>
    <w:rsid w:val="00EA128E"/>
    <w:rsid w:val="00EA139A"/>
    <w:rsid w:val="00EA1960"/>
    <w:rsid w:val="00EA1E31"/>
    <w:rsid w:val="00EA1E3B"/>
    <w:rsid w:val="00EA1E6C"/>
    <w:rsid w:val="00EA218B"/>
    <w:rsid w:val="00EA2315"/>
    <w:rsid w:val="00EA2960"/>
    <w:rsid w:val="00EA3D72"/>
    <w:rsid w:val="00EA45F7"/>
    <w:rsid w:val="00EA56D9"/>
    <w:rsid w:val="00EA5ADD"/>
    <w:rsid w:val="00EA6BA8"/>
    <w:rsid w:val="00EA6C4C"/>
    <w:rsid w:val="00EA6ED4"/>
    <w:rsid w:val="00EA6FA8"/>
    <w:rsid w:val="00EA7C0F"/>
    <w:rsid w:val="00EA7C12"/>
    <w:rsid w:val="00EA7EE8"/>
    <w:rsid w:val="00EB04C6"/>
    <w:rsid w:val="00EB0A02"/>
    <w:rsid w:val="00EB0C14"/>
    <w:rsid w:val="00EB0C77"/>
    <w:rsid w:val="00EB1B9C"/>
    <w:rsid w:val="00EB1C8E"/>
    <w:rsid w:val="00EB289A"/>
    <w:rsid w:val="00EB3239"/>
    <w:rsid w:val="00EB336D"/>
    <w:rsid w:val="00EB348D"/>
    <w:rsid w:val="00EB396F"/>
    <w:rsid w:val="00EB3D83"/>
    <w:rsid w:val="00EB420C"/>
    <w:rsid w:val="00EB493C"/>
    <w:rsid w:val="00EB4B4F"/>
    <w:rsid w:val="00EB4E15"/>
    <w:rsid w:val="00EB4E5F"/>
    <w:rsid w:val="00EB503E"/>
    <w:rsid w:val="00EB51A4"/>
    <w:rsid w:val="00EB553F"/>
    <w:rsid w:val="00EB56F9"/>
    <w:rsid w:val="00EB583C"/>
    <w:rsid w:val="00EB5868"/>
    <w:rsid w:val="00EB604F"/>
    <w:rsid w:val="00EB6672"/>
    <w:rsid w:val="00EB72AD"/>
    <w:rsid w:val="00EB783B"/>
    <w:rsid w:val="00EB7A48"/>
    <w:rsid w:val="00EB7BFF"/>
    <w:rsid w:val="00EC0227"/>
    <w:rsid w:val="00EC0676"/>
    <w:rsid w:val="00EC0707"/>
    <w:rsid w:val="00EC162F"/>
    <w:rsid w:val="00EC187B"/>
    <w:rsid w:val="00EC1C98"/>
    <w:rsid w:val="00EC1F6F"/>
    <w:rsid w:val="00EC27A6"/>
    <w:rsid w:val="00EC27CE"/>
    <w:rsid w:val="00EC3373"/>
    <w:rsid w:val="00EC3433"/>
    <w:rsid w:val="00EC3589"/>
    <w:rsid w:val="00EC3EE6"/>
    <w:rsid w:val="00EC4656"/>
    <w:rsid w:val="00EC47C7"/>
    <w:rsid w:val="00EC5397"/>
    <w:rsid w:val="00EC6019"/>
    <w:rsid w:val="00EC6AA8"/>
    <w:rsid w:val="00EC6B2C"/>
    <w:rsid w:val="00EC7534"/>
    <w:rsid w:val="00EC76AF"/>
    <w:rsid w:val="00ED03D8"/>
    <w:rsid w:val="00ED06EB"/>
    <w:rsid w:val="00ED08BF"/>
    <w:rsid w:val="00ED0E2E"/>
    <w:rsid w:val="00ED1015"/>
    <w:rsid w:val="00ED12F3"/>
    <w:rsid w:val="00ED1595"/>
    <w:rsid w:val="00ED15CC"/>
    <w:rsid w:val="00ED16F8"/>
    <w:rsid w:val="00ED171F"/>
    <w:rsid w:val="00ED1B1D"/>
    <w:rsid w:val="00ED1F8D"/>
    <w:rsid w:val="00ED27FD"/>
    <w:rsid w:val="00ED3353"/>
    <w:rsid w:val="00ED362D"/>
    <w:rsid w:val="00ED3DEC"/>
    <w:rsid w:val="00ED3F80"/>
    <w:rsid w:val="00ED40A4"/>
    <w:rsid w:val="00ED452E"/>
    <w:rsid w:val="00ED4928"/>
    <w:rsid w:val="00ED49DE"/>
    <w:rsid w:val="00ED4DF9"/>
    <w:rsid w:val="00ED5138"/>
    <w:rsid w:val="00ED5376"/>
    <w:rsid w:val="00ED541F"/>
    <w:rsid w:val="00ED5679"/>
    <w:rsid w:val="00ED5CC9"/>
    <w:rsid w:val="00ED6F4B"/>
    <w:rsid w:val="00ED6F94"/>
    <w:rsid w:val="00ED71F8"/>
    <w:rsid w:val="00ED794C"/>
    <w:rsid w:val="00EE0624"/>
    <w:rsid w:val="00EE0887"/>
    <w:rsid w:val="00EE0BEB"/>
    <w:rsid w:val="00EE0D7A"/>
    <w:rsid w:val="00EE1086"/>
    <w:rsid w:val="00EE1B5B"/>
    <w:rsid w:val="00EE2836"/>
    <w:rsid w:val="00EE2BAC"/>
    <w:rsid w:val="00EE2DA2"/>
    <w:rsid w:val="00EE3006"/>
    <w:rsid w:val="00EE3040"/>
    <w:rsid w:val="00EE3870"/>
    <w:rsid w:val="00EE41E7"/>
    <w:rsid w:val="00EE41F7"/>
    <w:rsid w:val="00EE4926"/>
    <w:rsid w:val="00EE5834"/>
    <w:rsid w:val="00EE69B5"/>
    <w:rsid w:val="00EE6E1E"/>
    <w:rsid w:val="00EE72BC"/>
    <w:rsid w:val="00EE74A4"/>
    <w:rsid w:val="00EE7B1A"/>
    <w:rsid w:val="00EF0244"/>
    <w:rsid w:val="00EF05BC"/>
    <w:rsid w:val="00EF09DF"/>
    <w:rsid w:val="00EF0B88"/>
    <w:rsid w:val="00EF0F75"/>
    <w:rsid w:val="00EF1111"/>
    <w:rsid w:val="00EF113D"/>
    <w:rsid w:val="00EF1490"/>
    <w:rsid w:val="00EF1626"/>
    <w:rsid w:val="00EF1884"/>
    <w:rsid w:val="00EF249F"/>
    <w:rsid w:val="00EF2AAF"/>
    <w:rsid w:val="00EF2FC7"/>
    <w:rsid w:val="00EF31FA"/>
    <w:rsid w:val="00EF33A5"/>
    <w:rsid w:val="00EF3EB8"/>
    <w:rsid w:val="00EF4076"/>
    <w:rsid w:val="00EF4B3F"/>
    <w:rsid w:val="00EF4BCC"/>
    <w:rsid w:val="00EF4DBC"/>
    <w:rsid w:val="00EF4EC1"/>
    <w:rsid w:val="00EF4F3B"/>
    <w:rsid w:val="00EF5881"/>
    <w:rsid w:val="00EF5B9F"/>
    <w:rsid w:val="00EF5F47"/>
    <w:rsid w:val="00EF6398"/>
    <w:rsid w:val="00EF6B43"/>
    <w:rsid w:val="00EF6F92"/>
    <w:rsid w:val="00EF743A"/>
    <w:rsid w:val="00EF7573"/>
    <w:rsid w:val="00EF7591"/>
    <w:rsid w:val="00EF7EE4"/>
    <w:rsid w:val="00EF7F2B"/>
    <w:rsid w:val="00EF7F54"/>
    <w:rsid w:val="00F00482"/>
    <w:rsid w:val="00F00537"/>
    <w:rsid w:val="00F008A9"/>
    <w:rsid w:val="00F00DF1"/>
    <w:rsid w:val="00F010A6"/>
    <w:rsid w:val="00F01441"/>
    <w:rsid w:val="00F01453"/>
    <w:rsid w:val="00F01658"/>
    <w:rsid w:val="00F0173F"/>
    <w:rsid w:val="00F01D93"/>
    <w:rsid w:val="00F01E4E"/>
    <w:rsid w:val="00F01EA4"/>
    <w:rsid w:val="00F01F59"/>
    <w:rsid w:val="00F02EDE"/>
    <w:rsid w:val="00F030F8"/>
    <w:rsid w:val="00F034B2"/>
    <w:rsid w:val="00F035FE"/>
    <w:rsid w:val="00F041AB"/>
    <w:rsid w:val="00F051E3"/>
    <w:rsid w:val="00F05B95"/>
    <w:rsid w:val="00F05CC2"/>
    <w:rsid w:val="00F06943"/>
    <w:rsid w:val="00F073BC"/>
    <w:rsid w:val="00F073FB"/>
    <w:rsid w:val="00F07C68"/>
    <w:rsid w:val="00F07D27"/>
    <w:rsid w:val="00F07D61"/>
    <w:rsid w:val="00F1006B"/>
    <w:rsid w:val="00F10340"/>
    <w:rsid w:val="00F10AC9"/>
    <w:rsid w:val="00F10B1C"/>
    <w:rsid w:val="00F111AA"/>
    <w:rsid w:val="00F11AA5"/>
    <w:rsid w:val="00F11C8A"/>
    <w:rsid w:val="00F11E12"/>
    <w:rsid w:val="00F11EFA"/>
    <w:rsid w:val="00F11F51"/>
    <w:rsid w:val="00F124F6"/>
    <w:rsid w:val="00F13CCE"/>
    <w:rsid w:val="00F147A3"/>
    <w:rsid w:val="00F14AA7"/>
    <w:rsid w:val="00F15399"/>
    <w:rsid w:val="00F1543A"/>
    <w:rsid w:val="00F154D3"/>
    <w:rsid w:val="00F15C56"/>
    <w:rsid w:val="00F17197"/>
    <w:rsid w:val="00F17399"/>
    <w:rsid w:val="00F174AE"/>
    <w:rsid w:val="00F1778C"/>
    <w:rsid w:val="00F17A61"/>
    <w:rsid w:val="00F2020E"/>
    <w:rsid w:val="00F202E9"/>
    <w:rsid w:val="00F20493"/>
    <w:rsid w:val="00F2051C"/>
    <w:rsid w:val="00F2073A"/>
    <w:rsid w:val="00F20D94"/>
    <w:rsid w:val="00F20EEE"/>
    <w:rsid w:val="00F214FD"/>
    <w:rsid w:val="00F21553"/>
    <w:rsid w:val="00F21F65"/>
    <w:rsid w:val="00F22A93"/>
    <w:rsid w:val="00F236DB"/>
    <w:rsid w:val="00F23CEC"/>
    <w:rsid w:val="00F23D93"/>
    <w:rsid w:val="00F23EBA"/>
    <w:rsid w:val="00F24959"/>
    <w:rsid w:val="00F25EDC"/>
    <w:rsid w:val="00F264EC"/>
    <w:rsid w:val="00F26603"/>
    <w:rsid w:val="00F26940"/>
    <w:rsid w:val="00F26C18"/>
    <w:rsid w:val="00F26C39"/>
    <w:rsid w:val="00F3028D"/>
    <w:rsid w:val="00F3042E"/>
    <w:rsid w:val="00F306F7"/>
    <w:rsid w:val="00F30CB3"/>
    <w:rsid w:val="00F31248"/>
    <w:rsid w:val="00F312D7"/>
    <w:rsid w:val="00F31AC4"/>
    <w:rsid w:val="00F31C83"/>
    <w:rsid w:val="00F31EE7"/>
    <w:rsid w:val="00F327A2"/>
    <w:rsid w:val="00F32AE8"/>
    <w:rsid w:val="00F32B52"/>
    <w:rsid w:val="00F32DFA"/>
    <w:rsid w:val="00F333B9"/>
    <w:rsid w:val="00F3369D"/>
    <w:rsid w:val="00F33901"/>
    <w:rsid w:val="00F33ECE"/>
    <w:rsid w:val="00F344E2"/>
    <w:rsid w:val="00F346F1"/>
    <w:rsid w:val="00F35246"/>
    <w:rsid w:val="00F353BD"/>
    <w:rsid w:val="00F3544E"/>
    <w:rsid w:val="00F36337"/>
    <w:rsid w:val="00F36703"/>
    <w:rsid w:val="00F369F6"/>
    <w:rsid w:val="00F36A1B"/>
    <w:rsid w:val="00F36E98"/>
    <w:rsid w:val="00F36F62"/>
    <w:rsid w:val="00F37401"/>
    <w:rsid w:val="00F37F49"/>
    <w:rsid w:val="00F40988"/>
    <w:rsid w:val="00F40A8A"/>
    <w:rsid w:val="00F40E26"/>
    <w:rsid w:val="00F40F72"/>
    <w:rsid w:val="00F41044"/>
    <w:rsid w:val="00F41109"/>
    <w:rsid w:val="00F412D8"/>
    <w:rsid w:val="00F41DFC"/>
    <w:rsid w:val="00F42394"/>
    <w:rsid w:val="00F42565"/>
    <w:rsid w:val="00F42C77"/>
    <w:rsid w:val="00F43107"/>
    <w:rsid w:val="00F43179"/>
    <w:rsid w:val="00F433B0"/>
    <w:rsid w:val="00F43776"/>
    <w:rsid w:val="00F438A7"/>
    <w:rsid w:val="00F43A13"/>
    <w:rsid w:val="00F43C34"/>
    <w:rsid w:val="00F43C60"/>
    <w:rsid w:val="00F449D0"/>
    <w:rsid w:val="00F44DAE"/>
    <w:rsid w:val="00F44ED0"/>
    <w:rsid w:val="00F45E85"/>
    <w:rsid w:val="00F4640E"/>
    <w:rsid w:val="00F46C35"/>
    <w:rsid w:val="00F47004"/>
    <w:rsid w:val="00F4719E"/>
    <w:rsid w:val="00F4784C"/>
    <w:rsid w:val="00F47D7D"/>
    <w:rsid w:val="00F50327"/>
    <w:rsid w:val="00F50614"/>
    <w:rsid w:val="00F51B8A"/>
    <w:rsid w:val="00F51D31"/>
    <w:rsid w:val="00F523DA"/>
    <w:rsid w:val="00F524AF"/>
    <w:rsid w:val="00F528DE"/>
    <w:rsid w:val="00F52E41"/>
    <w:rsid w:val="00F5378A"/>
    <w:rsid w:val="00F53A0E"/>
    <w:rsid w:val="00F53A87"/>
    <w:rsid w:val="00F53C7B"/>
    <w:rsid w:val="00F54005"/>
    <w:rsid w:val="00F54385"/>
    <w:rsid w:val="00F5444B"/>
    <w:rsid w:val="00F547BD"/>
    <w:rsid w:val="00F5487C"/>
    <w:rsid w:val="00F54A47"/>
    <w:rsid w:val="00F54B3B"/>
    <w:rsid w:val="00F559BB"/>
    <w:rsid w:val="00F55B79"/>
    <w:rsid w:val="00F560C7"/>
    <w:rsid w:val="00F56521"/>
    <w:rsid w:val="00F56FBF"/>
    <w:rsid w:val="00F57048"/>
    <w:rsid w:val="00F57961"/>
    <w:rsid w:val="00F60007"/>
    <w:rsid w:val="00F600C5"/>
    <w:rsid w:val="00F607A5"/>
    <w:rsid w:val="00F60A99"/>
    <w:rsid w:val="00F61D23"/>
    <w:rsid w:val="00F622B3"/>
    <w:rsid w:val="00F627FC"/>
    <w:rsid w:val="00F62A76"/>
    <w:rsid w:val="00F62D7B"/>
    <w:rsid w:val="00F63530"/>
    <w:rsid w:val="00F63605"/>
    <w:rsid w:val="00F63782"/>
    <w:rsid w:val="00F6389B"/>
    <w:rsid w:val="00F63C55"/>
    <w:rsid w:val="00F63E1D"/>
    <w:rsid w:val="00F641A9"/>
    <w:rsid w:val="00F64B6C"/>
    <w:rsid w:val="00F64D5D"/>
    <w:rsid w:val="00F64DD5"/>
    <w:rsid w:val="00F65316"/>
    <w:rsid w:val="00F65713"/>
    <w:rsid w:val="00F65B0C"/>
    <w:rsid w:val="00F65CD1"/>
    <w:rsid w:val="00F660E8"/>
    <w:rsid w:val="00F666F7"/>
    <w:rsid w:val="00F66B06"/>
    <w:rsid w:val="00F675B1"/>
    <w:rsid w:val="00F67A57"/>
    <w:rsid w:val="00F70083"/>
    <w:rsid w:val="00F70114"/>
    <w:rsid w:val="00F703C1"/>
    <w:rsid w:val="00F706A1"/>
    <w:rsid w:val="00F706F3"/>
    <w:rsid w:val="00F70726"/>
    <w:rsid w:val="00F70808"/>
    <w:rsid w:val="00F70AE0"/>
    <w:rsid w:val="00F70EA6"/>
    <w:rsid w:val="00F70F99"/>
    <w:rsid w:val="00F7106D"/>
    <w:rsid w:val="00F71C75"/>
    <w:rsid w:val="00F723EB"/>
    <w:rsid w:val="00F7265A"/>
    <w:rsid w:val="00F72A82"/>
    <w:rsid w:val="00F73137"/>
    <w:rsid w:val="00F733AE"/>
    <w:rsid w:val="00F7398F"/>
    <w:rsid w:val="00F739D3"/>
    <w:rsid w:val="00F74FCA"/>
    <w:rsid w:val="00F75CDE"/>
    <w:rsid w:val="00F760D6"/>
    <w:rsid w:val="00F76703"/>
    <w:rsid w:val="00F7671B"/>
    <w:rsid w:val="00F76AB6"/>
    <w:rsid w:val="00F770F1"/>
    <w:rsid w:val="00F77457"/>
    <w:rsid w:val="00F77713"/>
    <w:rsid w:val="00F8071D"/>
    <w:rsid w:val="00F807F9"/>
    <w:rsid w:val="00F80900"/>
    <w:rsid w:val="00F80A4D"/>
    <w:rsid w:val="00F80CBC"/>
    <w:rsid w:val="00F81A0A"/>
    <w:rsid w:val="00F821FE"/>
    <w:rsid w:val="00F824DA"/>
    <w:rsid w:val="00F8251A"/>
    <w:rsid w:val="00F82CAE"/>
    <w:rsid w:val="00F82CF7"/>
    <w:rsid w:val="00F83496"/>
    <w:rsid w:val="00F856C8"/>
    <w:rsid w:val="00F85728"/>
    <w:rsid w:val="00F8572B"/>
    <w:rsid w:val="00F85864"/>
    <w:rsid w:val="00F85BFF"/>
    <w:rsid w:val="00F85D84"/>
    <w:rsid w:val="00F85D9D"/>
    <w:rsid w:val="00F87014"/>
    <w:rsid w:val="00F87467"/>
    <w:rsid w:val="00F87600"/>
    <w:rsid w:val="00F87F72"/>
    <w:rsid w:val="00F90015"/>
    <w:rsid w:val="00F90AF1"/>
    <w:rsid w:val="00F90E11"/>
    <w:rsid w:val="00F90E1A"/>
    <w:rsid w:val="00F91151"/>
    <w:rsid w:val="00F9141C"/>
    <w:rsid w:val="00F9142B"/>
    <w:rsid w:val="00F9154D"/>
    <w:rsid w:val="00F91594"/>
    <w:rsid w:val="00F9292F"/>
    <w:rsid w:val="00F92EDA"/>
    <w:rsid w:val="00F92F47"/>
    <w:rsid w:val="00F933E3"/>
    <w:rsid w:val="00F937F3"/>
    <w:rsid w:val="00F93C37"/>
    <w:rsid w:val="00F940D5"/>
    <w:rsid w:val="00F94870"/>
    <w:rsid w:val="00F94C06"/>
    <w:rsid w:val="00F951FF"/>
    <w:rsid w:val="00F95849"/>
    <w:rsid w:val="00F95C3D"/>
    <w:rsid w:val="00F96224"/>
    <w:rsid w:val="00F964E8"/>
    <w:rsid w:val="00F96631"/>
    <w:rsid w:val="00F9708D"/>
    <w:rsid w:val="00F9709F"/>
    <w:rsid w:val="00F97284"/>
    <w:rsid w:val="00F972D8"/>
    <w:rsid w:val="00F97393"/>
    <w:rsid w:val="00F979AD"/>
    <w:rsid w:val="00F97D18"/>
    <w:rsid w:val="00F97D5D"/>
    <w:rsid w:val="00FA0489"/>
    <w:rsid w:val="00FA054A"/>
    <w:rsid w:val="00FA0C32"/>
    <w:rsid w:val="00FA0E08"/>
    <w:rsid w:val="00FA0EFB"/>
    <w:rsid w:val="00FA1228"/>
    <w:rsid w:val="00FA175F"/>
    <w:rsid w:val="00FA1848"/>
    <w:rsid w:val="00FA1F68"/>
    <w:rsid w:val="00FA22F8"/>
    <w:rsid w:val="00FA28F7"/>
    <w:rsid w:val="00FA34DC"/>
    <w:rsid w:val="00FA3701"/>
    <w:rsid w:val="00FA386B"/>
    <w:rsid w:val="00FA3A31"/>
    <w:rsid w:val="00FA405F"/>
    <w:rsid w:val="00FA4235"/>
    <w:rsid w:val="00FA432B"/>
    <w:rsid w:val="00FA4782"/>
    <w:rsid w:val="00FA4823"/>
    <w:rsid w:val="00FA4BEE"/>
    <w:rsid w:val="00FA53E0"/>
    <w:rsid w:val="00FA56EF"/>
    <w:rsid w:val="00FA66D0"/>
    <w:rsid w:val="00FA66E8"/>
    <w:rsid w:val="00FA6891"/>
    <w:rsid w:val="00FA6973"/>
    <w:rsid w:val="00FA6A90"/>
    <w:rsid w:val="00FA6E3B"/>
    <w:rsid w:val="00FA79A8"/>
    <w:rsid w:val="00FA7BDF"/>
    <w:rsid w:val="00FA7FF7"/>
    <w:rsid w:val="00FB041A"/>
    <w:rsid w:val="00FB06C8"/>
    <w:rsid w:val="00FB07C5"/>
    <w:rsid w:val="00FB0BA9"/>
    <w:rsid w:val="00FB0F0F"/>
    <w:rsid w:val="00FB159F"/>
    <w:rsid w:val="00FB18EF"/>
    <w:rsid w:val="00FB1CC0"/>
    <w:rsid w:val="00FB1DA4"/>
    <w:rsid w:val="00FB24F0"/>
    <w:rsid w:val="00FB28AC"/>
    <w:rsid w:val="00FB29BC"/>
    <w:rsid w:val="00FB2B3A"/>
    <w:rsid w:val="00FB2DEE"/>
    <w:rsid w:val="00FB2EA1"/>
    <w:rsid w:val="00FB3DA2"/>
    <w:rsid w:val="00FB4745"/>
    <w:rsid w:val="00FB4C19"/>
    <w:rsid w:val="00FB4F01"/>
    <w:rsid w:val="00FB528A"/>
    <w:rsid w:val="00FB52E5"/>
    <w:rsid w:val="00FB52F3"/>
    <w:rsid w:val="00FB54A6"/>
    <w:rsid w:val="00FB5549"/>
    <w:rsid w:val="00FB5FD5"/>
    <w:rsid w:val="00FB660D"/>
    <w:rsid w:val="00FB67E7"/>
    <w:rsid w:val="00FB6881"/>
    <w:rsid w:val="00FB69D0"/>
    <w:rsid w:val="00FB7102"/>
    <w:rsid w:val="00FB7185"/>
    <w:rsid w:val="00FB7BE0"/>
    <w:rsid w:val="00FBDA3C"/>
    <w:rsid w:val="00FC068E"/>
    <w:rsid w:val="00FC0C2B"/>
    <w:rsid w:val="00FC0E3F"/>
    <w:rsid w:val="00FC0FF5"/>
    <w:rsid w:val="00FC11A3"/>
    <w:rsid w:val="00FC1279"/>
    <w:rsid w:val="00FC1361"/>
    <w:rsid w:val="00FC1365"/>
    <w:rsid w:val="00FC1853"/>
    <w:rsid w:val="00FC28C9"/>
    <w:rsid w:val="00FC298C"/>
    <w:rsid w:val="00FC2B8A"/>
    <w:rsid w:val="00FC325C"/>
    <w:rsid w:val="00FC3360"/>
    <w:rsid w:val="00FC37FB"/>
    <w:rsid w:val="00FC3938"/>
    <w:rsid w:val="00FC3C72"/>
    <w:rsid w:val="00FC4228"/>
    <w:rsid w:val="00FC460E"/>
    <w:rsid w:val="00FC4F10"/>
    <w:rsid w:val="00FC576B"/>
    <w:rsid w:val="00FC5A0F"/>
    <w:rsid w:val="00FC5F4C"/>
    <w:rsid w:val="00FC5FF7"/>
    <w:rsid w:val="00FC6002"/>
    <w:rsid w:val="00FC6076"/>
    <w:rsid w:val="00FC622A"/>
    <w:rsid w:val="00FC630D"/>
    <w:rsid w:val="00FC6DCA"/>
    <w:rsid w:val="00FC70D9"/>
    <w:rsid w:val="00FC72A9"/>
    <w:rsid w:val="00FC781F"/>
    <w:rsid w:val="00FC78AF"/>
    <w:rsid w:val="00FD037B"/>
    <w:rsid w:val="00FD0A2A"/>
    <w:rsid w:val="00FD0AD3"/>
    <w:rsid w:val="00FD0D52"/>
    <w:rsid w:val="00FD0DE9"/>
    <w:rsid w:val="00FD12D0"/>
    <w:rsid w:val="00FD13BA"/>
    <w:rsid w:val="00FD1865"/>
    <w:rsid w:val="00FD1AAA"/>
    <w:rsid w:val="00FD1AB1"/>
    <w:rsid w:val="00FD1CF1"/>
    <w:rsid w:val="00FD1FC4"/>
    <w:rsid w:val="00FD21B9"/>
    <w:rsid w:val="00FD24C6"/>
    <w:rsid w:val="00FD2618"/>
    <w:rsid w:val="00FD2712"/>
    <w:rsid w:val="00FD2905"/>
    <w:rsid w:val="00FD2BDB"/>
    <w:rsid w:val="00FD2DAC"/>
    <w:rsid w:val="00FD2DD8"/>
    <w:rsid w:val="00FD4395"/>
    <w:rsid w:val="00FD4883"/>
    <w:rsid w:val="00FD4C65"/>
    <w:rsid w:val="00FD4E33"/>
    <w:rsid w:val="00FD4FEC"/>
    <w:rsid w:val="00FD5268"/>
    <w:rsid w:val="00FD549E"/>
    <w:rsid w:val="00FD54C2"/>
    <w:rsid w:val="00FD56A0"/>
    <w:rsid w:val="00FD5992"/>
    <w:rsid w:val="00FD5E30"/>
    <w:rsid w:val="00FD6772"/>
    <w:rsid w:val="00FD6B19"/>
    <w:rsid w:val="00FD70CA"/>
    <w:rsid w:val="00FD7493"/>
    <w:rsid w:val="00FD754B"/>
    <w:rsid w:val="00FD7888"/>
    <w:rsid w:val="00FD78B7"/>
    <w:rsid w:val="00FD7C40"/>
    <w:rsid w:val="00FE00EE"/>
    <w:rsid w:val="00FE029D"/>
    <w:rsid w:val="00FE03CC"/>
    <w:rsid w:val="00FE0431"/>
    <w:rsid w:val="00FE059C"/>
    <w:rsid w:val="00FE05CC"/>
    <w:rsid w:val="00FE09CD"/>
    <w:rsid w:val="00FE0FC8"/>
    <w:rsid w:val="00FE1BAA"/>
    <w:rsid w:val="00FE1BB4"/>
    <w:rsid w:val="00FE1BDE"/>
    <w:rsid w:val="00FE22DF"/>
    <w:rsid w:val="00FE2409"/>
    <w:rsid w:val="00FE2726"/>
    <w:rsid w:val="00FE2746"/>
    <w:rsid w:val="00FE27E4"/>
    <w:rsid w:val="00FE3602"/>
    <w:rsid w:val="00FE394A"/>
    <w:rsid w:val="00FE5518"/>
    <w:rsid w:val="00FE5B84"/>
    <w:rsid w:val="00FE5CEF"/>
    <w:rsid w:val="00FE5F40"/>
    <w:rsid w:val="00FE6341"/>
    <w:rsid w:val="00FE679E"/>
    <w:rsid w:val="00FE6DC2"/>
    <w:rsid w:val="00FE7649"/>
    <w:rsid w:val="00FF13C3"/>
    <w:rsid w:val="00FF1D60"/>
    <w:rsid w:val="00FF1FAC"/>
    <w:rsid w:val="00FF25A8"/>
    <w:rsid w:val="00FF27C7"/>
    <w:rsid w:val="00FF3589"/>
    <w:rsid w:val="00FF3D24"/>
    <w:rsid w:val="00FF470E"/>
    <w:rsid w:val="00FF4C31"/>
    <w:rsid w:val="00FF5097"/>
    <w:rsid w:val="00FF558E"/>
    <w:rsid w:val="00FF59CE"/>
    <w:rsid w:val="00FF5D06"/>
    <w:rsid w:val="00FF5EFF"/>
    <w:rsid w:val="00FF6212"/>
    <w:rsid w:val="00FF626E"/>
    <w:rsid w:val="00FF6D4B"/>
    <w:rsid w:val="00FF7184"/>
    <w:rsid w:val="00FF75B9"/>
    <w:rsid w:val="00FF7DFD"/>
    <w:rsid w:val="0115F67F"/>
    <w:rsid w:val="015DD643"/>
    <w:rsid w:val="01E2335F"/>
    <w:rsid w:val="02021C0E"/>
    <w:rsid w:val="021E1545"/>
    <w:rsid w:val="02234B8D"/>
    <w:rsid w:val="0225A971"/>
    <w:rsid w:val="025644BB"/>
    <w:rsid w:val="027CF936"/>
    <w:rsid w:val="02A65C2E"/>
    <w:rsid w:val="02D1C14A"/>
    <w:rsid w:val="030116E1"/>
    <w:rsid w:val="03275859"/>
    <w:rsid w:val="0387CE30"/>
    <w:rsid w:val="03910908"/>
    <w:rsid w:val="03A131AD"/>
    <w:rsid w:val="042DBF7F"/>
    <w:rsid w:val="042FCC82"/>
    <w:rsid w:val="0434C2A6"/>
    <w:rsid w:val="045F8AFF"/>
    <w:rsid w:val="04B3F50D"/>
    <w:rsid w:val="04B73672"/>
    <w:rsid w:val="053EBF60"/>
    <w:rsid w:val="05592573"/>
    <w:rsid w:val="05CAD740"/>
    <w:rsid w:val="05F2AE31"/>
    <w:rsid w:val="05F61FD8"/>
    <w:rsid w:val="05FE3575"/>
    <w:rsid w:val="061CC4A7"/>
    <w:rsid w:val="06689A7D"/>
    <w:rsid w:val="0694E965"/>
    <w:rsid w:val="06C60E12"/>
    <w:rsid w:val="06C884E7"/>
    <w:rsid w:val="0748A68B"/>
    <w:rsid w:val="07671929"/>
    <w:rsid w:val="0772A916"/>
    <w:rsid w:val="078E8C04"/>
    <w:rsid w:val="079F8804"/>
    <w:rsid w:val="08226412"/>
    <w:rsid w:val="0855B271"/>
    <w:rsid w:val="089FC21E"/>
    <w:rsid w:val="091FD367"/>
    <w:rsid w:val="09613077"/>
    <w:rsid w:val="0970B293"/>
    <w:rsid w:val="099C91FA"/>
    <w:rsid w:val="09D341EC"/>
    <w:rsid w:val="09FB3328"/>
    <w:rsid w:val="0A0D2DF3"/>
    <w:rsid w:val="0A596EA2"/>
    <w:rsid w:val="0ABEACF7"/>
    <w:rsid w:val="0B0CAFB7"/>
    <w:rsid w:val="0B2520E8"/>
    <w:rsid w:val="0BDB4BF2"/>
    <w:rsid w:val="0BDB5377"/>
    <w:rsid w:val="0BE37E7B"/>
    <w:rsid w:val="0C45FA63"/>
    <w:rsid w:val="0C766090"/>
    <w:rsid w:val="0C7A0DF1"/>
    <w:rsid w:val="0C859006"/>
    <w:rsid w:val="0CD90A89"/>
    <w:rsid w:val="0D0C7CB0"/>
    <w:rsid w:val="0D2B288A"/>
    <w:rsid w:val="0D44248E"/>
    <w:rsid w:val="0D4CBC3B"/>
    <w:rsid w:val="0D723AB3"/>
    <w:rsid w:val="0DADF403"/>
    <w:rsid w:val="0DE0FCD8"/>
    <w:rsid w:val="0DE60097"/>
    <w:rsid w:val="0DF8AAF1"/>
    <w:rsid w:val="0E038444"/>
    <w:rsid w:val="0E217374"/>
    <w:rsid w:val="0E3891A8"/>
    <w:rsid w:val="0E4E93DD"/>
    <w:rsid w:val="0E5AA68D"/>
    <w:rsid w:val="0E788A50"/>
    <w:rsid w:val="0EACAC61"/>
    <w:rsid w:val="0EE09F16"/>
    <w:rsid w:val="0F219658"/>
    <w:rsid w:val="0F296467"/>
    <w:rsid w:val="0F65A67C"/>
    <w:rsid w:val="100A875D"/>
    <w:rsid w:val="1039AC4C"/>
    <w:rsid w:val="104E6305"/>
    <w:rsid w:val="106FBDB4"/>
    <w:rsid w:val="10C1947D"/>
    <w:rsid w:val="10C383D8"/>
    <w:rsid w:val="10F77723"/>
    <w:rsid w:val="113E9066"/>
    <w:rsid w:val="11793FD9"/>
    <w:rsid w:val="117B4556"/>
    <w:rsid w:val="11DB0A8B"/>
    <w:rsid w:val="11FFB1A6"/>
    <w:rsid w:val="1202C6B1"/>
    <w:rsid w:val="120817CC"/>
    <w:rsid w:val="121538D1"/>
    <w:rsid w:val="122A7647"/>
    <w:rsid w:val="12D39246"/>
    <w:rsid w:val="1319DF84"/>
    <w:rsid w:val="13675944"/>
    <w:rsid w:val="13762DBB"/>
    <w:rsid w:val="138B433C"/>
    <w:rsid w:val="13E205CF"/>
    <w:rsid w:val="142D1464"/>
    <w:rsid w:val="142DCC2B"/>
    <w:rsid w:val="145EB391"/>
    <w:rsid w:val="146116CF"/>
    <w:rsid w:val="14A5831D"/>
    <w:rsid w:val="14C27BFE"/>
    <w:rsid w:val="14C6B26D"/>
    <w:rsid w:val="14EDC148"/>
    <w:rsid w:val="1527BB1E"/>
    <w:rsid w:val="15436C71"/>
    <w:rsid w:val="155C40CE"/>
    <w:rsid w:val="1576E59D"/>
    <w:rsid w:val="15805D37"/>
    <w:rsid w:val="159C83AE"/>
    <w:rsid w:val="15B04079"/>
    <w:rsid w:val="15DE086A"/>
    <w:rsid w:val="162BCF1D"/>
    <w:rsid w:val="16401899"/>
    <w:rsid w:val="165D3D77"/>
    <w:rsid w:val="16CA9B1C"/>
    <w:rsid w:val="16DBFDE6"/>
    <w:rsid w:val="16E13F18"/>
    <w:rsid w:val="16F63ACC"/>
    <w:rsid w:val="1702FF12"/>
    <w:rsid w:val="176202C6"/>
    <w:rsid w:val="180E877C"/>
    <w:rsid w:val="18FD6160"/>
    <w:rsid w:val="1964F05B"/>
    <w:rsid w:val="196E3189"/>
    <w:rsid w:val="1A060F3D"/>
    <w:rsid w:val="1A07DF94"/>
    <w:rsid w:val="1A0FA2D8"/>
    <w:rsid w:val="1A2B3F43"/>
    <w:rsid w:val="1A5535B2"/>
    <w:rsid w:val="1AA31551"/>
    <w:rsid w:val="1AF108EC"/>
    <w:rsid w:val="1AF39148"/>
    <w:rsid w:val="1B699BB9"/>
    <w:rsid w:val="1B6BC044"/>
    <w:rsid w:val="1C52940A"/>
    <w:rsid w:val="1CB9EC33"/>
    <w:rsid w:val="1CC32E52"/>
    <w:rsid w:val="1CFCCC07"/>
    <w:rsid w:val="1D0D7585"/>
    <w:rsid w:val="1D62E005"/>
    <w:rsid w:val="1D746DA7"/>
    <w:rsid w:val="1D7F7FFE"/>
    <w:rsid w:val="1D9B8EC6"/>
    <w:rsid w:val="1E0FC2D9"/>
    <w:rsid w:val="1E3D5484"/>
    <w:rsid w:val="1F2858A7"/>
    <w:rsid w:val="1F31C085"/>
    <w:rsid w:val="1F3FC575"/>
    <w:rsid w:val="1F4EDB32"/>
    <w:rsid w:val="1F57D1ED"/>
    <w:rsid w:val="1F60DC1B"/>
    <w:rsid w:val="1FA84673"/>
    <w:rsid w:val="1FB77845"/>
    <w:rsid w:val="1FCA5C11"/>
    <w:rsid w:val="1FF75A62"/>
    <w:rsid w:val="203F08F7"/>
    <w:rsid w:val="208E93F2"/>
    <w:rsid w:val="209A80C7"/>
    <w:rsid w:val="20C668EA"/>
    <w:rsid w:val="210AC4A8"/>
    <w:rsid w:val="21396735"/>
    <w:rsid w:val="21631167"/>
    <w:rsid w:val="21C2FA37"/>
    <w:rsid w:val="2265214A"/>
    <w:rsid w:val="22949CF0"/>
    <w:rsid w:val="23050A9B"/>
    <w:rsid w:val="23907C28"/>
    <w:rsid w:val="23ABD609"/>
    <w:rsid w:val="23E99ECD"/>
    <w:rsid w:val="24130D6A"/>
    <w:rsid w:val="24147900"/>
    <w:rsid w:val="24491CFB"/>
    <w:rsid w:val="247C7AAA"/>
    <w:rsid w:val="24A2C89A"/>
    <w:rsid w:val="24B26980"/>
    <w:rsid w:val="24B579CD"/>
    <w:rsid w:val="24DA1403"/>
    <w:rsid w:val="25732BDB"/>
    <w:rsid w:val="261340A8"/>
    <w:rsid w:val="26C7CC8F"/>
    <w:rsid w:val="26EB0899"/>
    <w:rsid w:val="26EEAABB"/>
    <w:rsid w:val="27150BFF"/>
    <w:rsid w:val="27412751"/>
    <w:rsid w:val="27768468"/>
    <w:rsid w:val="27A8A530"/>
    <w:rsid w:val="27B4F74E"/>
    <w:rsid w:val="27BCDAE2"/>
    <w:rsid w:val="27E2887C"/>
    <w:rsid w:val="282EBA44"/>
    <w:rsid w:val="28E95AAB"/>
    <w:rsid w:val="2970B9C9"/>
    <w:rsid w:val="297FD38F"/>
    <w:rsid w:val="298E99A6"/>
    <w:rsid w:val="29A13E36"/>
    <w:rsid w:val="29BCE1FF"/>
    <w:rsid w:val="29C18924"/>
    <w:rsid w:val="2A16E91D"/>
    <w:rsid w:val="2A51E05D"/>
    <w:rsid w:val="2A9DC5E5"/>
    <w:rsid w:val="2ACC88CF"/>
    <w:rsid w:val="2B104CD5"/>
    <w:rsid w:val="2B1BFDA3"/>
    <w:rsid w:val="2BD202EE"/>
    <w:rsid w:val="2BED268E"/>
    <w:rsid w:val="2C0365A2"/>
    <w:rsid w:val="2C565AC0"/>
    <w:rsid w:val="2C9E142F"/>
    <w:rsid w:val="2CBB316C"/>
    <w:rsid w:val="2CE91140"/>
    <w:rsid w:val="2D13064A"/>
    <w:rsid w:val="2DC053B7"/>
    <w:rsid w:val="2DF19D82"/>
    <w:rsid w:val="2E5C3BD6"/>
    <w:rsid w:val="2E629258"/>
    <w:rsid w:val="2E670DD8"/>
    <w:rsid w:val="2E759A65"/>
    <w:rsid w:val="2E7B11DC"/>
    <w:rsid w:val="2E93EED3"/>
    <w:rsid w:val="2EA029C3"/>
    <w:rsid w:val="2F0DA970"/>
    <w:rsid w:val="2F72A5EB"/>
    <w:rsid w:val="2F940635"/>
    <w:rsid w:val="3007B2C8"/>
    <w:rsid w:val="306D737B"/>
    <w:rsid w:val="30A91755"/>
    <w:rsid w:val="30B531D3"/>
    <w:rsid w:val="30DE96C7"/>
    <w:rsid w:val="310DA3CA"/>
    <w:rsid w:val="311FD694"/>
    <w:rsid w:val="31592BA7"/>
    <w:rsid w:val="31668593"/>
    <w:rsid w:val="316867E8"/>
    <w:rsid w:val="318B3F27"/>
    <w:rsid w:val="3197A226"/>
    <w:rsid w:val="31A7D33E"/>
    <w:rsid w:val="31B147EE"/>
    <w:rsid w:val="31D5C6C2"/>
    <w:rsid w:val="31D8ABB9"/>
    <w:rsid w:val="31F3D27A"/>
    <w:rsid w:val="321400EB"/>
    <w:rsid w:val="32299F4E"/>
    <w:rsid w:val="325A56C7"/>
    <w:rsid w:val="326057CB"/>
    <w:rsid w:val="32624831"/>
    <w:rsid w:val="327B3AEB"/>
    <w:rsid w:val="327EC36F"/>
    <w:rsid w:val="32880DE0"/>
    <w:rsid w:val="329A117E"/>
    <w:rsid w:val="32C72953"/>
    <w:rsid w:val="330376E9"/>
    <w:rsid w:val="330DE72B"/>
    <w:rsid w:val="330F10D8"/>
    <w:rsid w:val="332C2076"/>
    <w:rsid w:val="3369361B"/>
    <w:rsid w:val="33991BDA"/>
    <w:rsid w:val="342C163B"/>
    <w:rsid w:val="345C6780"/>
    <w:rsid w:val="34670922"/>
    <w:rsid w:val="34687721"/>
    <w:rsid w:val="348115F7"/>
    <w:rsid w:val="34968181"/>
    <w:rsid w:val="34A08833"/>
    <w:rsid w:val="34ACD0FD"/>
    <w:rsid w:val="34C2DFE9"/>
    <w:rsid w:val="34DC9106"/>
    <w:rsid w:val="34DCD1A3"/>
    <w:rsid w:val="34E7FF1F"/>
    <w:rsid w:val="34E81C94"/>
    <w:rsid w:val="34FC988B"/>
    <w:rsid w:val="3526E836"/>
    <w:rsid w:val="355FA468"/>
    <w:rsid w:val="35C7486A"/>
    <w:rsid w:val="35C7EE8D"/>
    <w:rsid w:val="364AF147"/>
    <w:rsid w:val="366C10A0"/>
    <w:rsid w:val="36A79591"/>
    <w:rsid w:val="36AFBD21"/>
    <w:rsid w:val="36E5C9C8"/>
    <w:rsid w:val="37BD2440"/>
    <w:rsid w:val="3807D460"/>
    <w:rsid w:val="381F81B1"/>
    <w:rsid w:val="38314D7F"/>
    <w:rsid w:val="3843A7F7"/>
    <w:rsid w:val="3857C17C"/>
    <w:rsid w:val="389BB214"/>
    <w:rsid w:val="38C697AE"/>
    <w:rsid w:val="3910FF29"/>
    <w:rsid w:val="39905B93"/>
    <w:rsid w:val="39A9BF3F"/>
    <w:rsid w:val="39C579FE"/>
    <w:rsid w:val="39F3E926"/>
    <w:rsid w:val="3A1DFD5D"/>
    <w:rsid w:val="3A659D13"/>
    <w:rsid w:val="3A70AB1E"/>
    <w:rsid w:val="3A943ED5"/>
    <w:rsid w:val="3B0B5EE5"/>
    <w:rsid w:val="3B27C1BE"/>
    <w:rsid w:val="3B285D37"/>
    <w:rsid w:val="3B7875B8"/>
    <w:rsid w:val="3BA5E787"/>
    <w:rsid w:val="3BA8CEFE"/>
    <w:rsid w:val="3C1EE1A2"/>
    <w:rsid w:val="3C25381A"/>
    <w:rsid w:val="3C3B4012"/>
    <w:rsid w:val="3C418C32"/>
    <w:rsid w:val="3C6298CA"/>
    <w:rsid w:val="3C85154E"/>
    <w:rsid w:val="3C970797"/>
    <w:rsid w:val="3C9822B9"/>
    <w:rsid w:val="3CEFFB20"/>
    <w:rsid w:val="3D15A165"/>
    <w:rsid w:val="3D16E1AC"/>
    <w:rsid w:val="3D3B2719"/>
    <w:rsid w:val="3D713C60"/>
    <w:rsid w:val="3D8A5911"/>
    <w:rsid w:val="3DB4F3A8"/>
    <w:rsid w:val="3DF0775B"/>
    <w:rsid w:val="3E075970"/>
    <w:rsid w:val="3E234EE3"/>
    <w:rsid w:val="3ECF073F"/>
    <w:rsid w:val="3F20A7F5"/>
    <w:rsid w:val="3F368B2C"/>
    <w:rsid w:val="3FA40812"/>
    <w:rsid w:val="40187054"/>
    <w:rsid w:val="4027EFE6"/>
    <w:rsid w:val="40CA644E"/>
    <w:rsid w:val="41105D81"/>
    <w:rsid w:val="413D95E5"/>
    <w:rsid w:val="417CBFF5"/>
    <w:rsid w:val="41FFD656"/>
    <w:rsid w:val="4272FAF9"/>
    <w:rsid w:val="428129B7"/>
    <w:rsid w:val="42A051C5"/>
    <w:rsid w:val="43261712"/>
    <w:rsid w:val="4337FCB8"/>
    <w:rsid w:val="439318C8"/>
    <w:rsid w:val="4409D3E8"/>
    <w:rsid w:val="442794ED"/>
    <w:rsid w:val="4437B002"/>
    <w:rsid w:val="44547F56"/>
    <w:rsid w:val="44B21912"/>
    <w:rsid w:val="44D30FA4"/>
    <w:rsid w:val="450608B9"/>
    <w:rsid w:val="451097A8"/>
    <w:rsid w:val="45B7CA7B"/>
    <w:rsid w:val="45D0C5B5"/>
    <w:rsid w:val="45DF6E7D"/>
    <w:rsid w:val="45ECEA8B"/>
    <w:rsid w:val="460DD744"/>
    <w:rsid w:val="4692EA14"/>
    <w:rsid w:val="469519DD"/>
    <w:rsid w:val="46957E02"/>
    <w:rsid w:val="46A35258"/>
    <w:rsid w:val="46D42EA2"/>
    <w:rsid w:val="46F477D2"/>
    <w:rsid w:val="4724A0B4"/>
    <w:rsid w:val="47B8E1AE"/>
    <w:rsid w:val="47FAA399"/>
    <w:rsid w:val="486BAD7A"/>
    <w:rsid w:val="487D943A"/>
    <w:rsid w:val="4885D1BA"/>
    <w:rsid w:val="48E9AE45"/>
    <w:rsid w:val="48F47A28"/>
    <w:rsid w:val="491CF737"/>
    <w:rsid w:val="4925FF43"/>
    <w:rsid w:val="493BF868"/>
    <w:rsid w:val="4995C904"/>
    <w:rsid w:val="49E70EC5"/>
    <w:rsid w:val="4A3A56FD"/>
    <w:rsid w:val="4A9AB4F7"/>
    <w:rsid w:val="4AB0C579"/>
    <w:rsid w:val="4AB2A1B2"/>
    <w:rsid w:val="4AD4CBCC"/>
    <w:rsid w:val="4ADBD0FA"/>
    <w:rsid w:val="4B543D23"/>
    <w:rsid w:val="4BA1C5F2"/>
    <w:rsid w:val="4BA4D7E4"/>
    <w:rsid w:val="4C5A4D8E"/>
    <w:rsid w:val="4C880538"/>
    <w:rsid w:val="4CC5CFA8"/>
    <w:rsid w:val="4CDA0CA9"/>
    <w:rsid w:val="4CE7AD22"/>
    <w:rsid w:val="4CFE5A29"/>
    <w:rsid w:val="4D0F31DE"/>
    <w:rsid w:val="4D5C254B"/>
    <w:rsid w:val="4D6A683A"/>
    <w:rsid w:val="4DD3BED5"/>
    <w:rsid w:val="4DFCDF46"/>
    <w:rsid w:val="4ECA9948"/>
    <w:rsid w:val="4F29F891"/>
    <w:rsid w:val="4F551CCB"/>
    <w:rsid w:val="4FD4720F"/>
    <w:rsid w:val="4FFC4643"/>
    <w:rsid w:val="502A0E99"/>
    <w:rsid w:val="50470D7A"/>
    <w:rsid w:val="507D6B7A"/>
    <w:rsid w:val="508804EF"/>
    <w:rsid w:val="50D4E9AC"/>
    <w:rsid w:val="50DD830E"/>
    <w:rsid w:val="50E6BEB6"/>
    <w:rsid w:val="50FD50B5"/>
    <w:rsid w:val="51394E0F"/>
    <w:rsid w:val="516BC9F3"/>
    <w:rsid w:val="5177ED48"/>
    <w:rsid w:val="5197EE95"/>
    <w:rsid w:val="51A81BBC"/>
    <w:rsid w:val="51CF2A6A"/>
    <w:rsid w:val="52112A56"/>
    <w:rsid w:val="5257A29E"/>
    <w:rsid w:val="526FAE71"/>
    <w:rsid w:val="52F44BB7"/>
    <w:rsid w:val="530977C5"/>
    <w:rsid w:val="53873B9C"/>
    <w:rsid w:val="5461ADAA"/>
    <w:rsid w:val="546C296D"/>
    <w:rsid w:val="54A7E7FE"/>
    <w:rsid w:val="55A8CD6D"/>
    <w:rsid w:val="55B80EA4"/>
    <w:rsid w:val="561760F1"/>
    <w:rsid w:val="568F96DA"/>
    <w:rsid w:val="56BD146D"/>
    <w:rsid w:val="56C498BD"/>
    <w:rsid w:val="5707A5CA"/>
    <w:rsid w:val="5717E0B6"/>
    <w:rsid w:val="5768FB0E"/>
    <w:rsid w:val="576C3BD5"/>
    <w:rsid w:val="57760141"/>
    <w:rsid w:val="57765C39"/>
    <w:rsid w:val="57A60A15"/>
    <w:rsid w:val="57C902DE"/>
    <w:rsid w:val="57DCDD4A"/>
    <w:rsid w:val="57EA0A8C"/>
    <w:rsid w:val="5804F1A9"/>
    <w:rsid w:val="5805E878"/>
    <w:rsid w:val="5862E2CC"/>
    <w:rsid w:val="587A07C8"/>
    <w:rsid w:val="58C6ED57"/>
    <w:rsid w:val="58FDD7DD"/>
    <w:rsid w:val="592B6DE2"/>
    <w:rsid w:val="5945AA34"/>
    <w:rsid w:val="59775E57"/>
    <w:rsid w:val="59A18CF4"/>
    <w:rsid w:val="59A9CFB0"/>
    <w:rsid w:val="5A2622AE"/>
    <w:rsid w:val="5A6A7A68"/>
    <w:rsid w:val="5AB31E67"/>
    <w:rsid w:val="5AB3F8CD"/>
    <w:rsid w:val="5AB7E33F"/>
    <w:rsid w:val="5AE77BEB"/>
    <w:rsid w:val="5B42B6BD"/>
    <w:rsid w:val="5B498989"/>
    <w:rsid w:val="5B6C0FD3"/>
    <w:rsid w:val="5B7D71C4"/>
    <w:rsid w:val="5BD1144B"/>
    <w:rsid w:val="5C0900D3"/>
    <w:rsid w:val="5C2631D6"/>
    <w:rsid w:val="5C86F7EF"/>
    <w:rsid w:val="5C88639F"/>
    <w:rsid w:val="5C8BEA1E"/>
    <w:rsid w:val="5C8D5F72"/>
    <w:rsid w:val="5C977F20"/>
    <w:rsid w:val="5D3019FC"/>
    <w:rsid w:val="5D5F5299"/>
    <w:rsid w:val="5DA3ED71"/>
    <w:rsid w:val="5E023426"/>
    <w:rsid w:val="5E58EE71"/>
    <w:rsid w:val="5E5E875C"/>
    <w:rsid w:val="5E801E41"/>
    <w:rsid w:val="5EB4E876"/>
    <w:rsid w:val="5EE69FCB"/>
    <w:rsid w:val="5F0373EA"/>
    <w:rsid w:val="5F24A702"/>
    <w:rsid w:val="5F6DD91A"/>
    <w:rsid w:val="5F85C78C"/>
    <w:rsid w:val="5FB986B2"/>
    <w:rsid w:val="5FE26975"/>
    <w:rsid w:val="60009B8A"/>
    <w:rsid w:val="60090CC8"/>
    <w:rsid w:val="606E9422"/>
    <w:rsid w:val="60A098BE"/>
    <w:rsid w:val="60A93CE1"/>
    <w:rsid w:val="60BC6880"/>
    <w:rsid w:val="60BF66F2"/>
    <w:rsid w:val="60E2FDAE"/>
    <w:rsid w:val="6144D803"/>
    <w:rsid w:val="6162A905"/>
    <w:rsid w:val="617F4168"/>
    <w:rsid w:val="61CAE39A"/>
    <w:rsid w:val="61E168FA"/>
    <w:rsid w:val="62165510"/>
    <w:rsid w:val="625B2BF8"/>
    <w:rsid w:val="6267A530"/>
    <w:rsid w:val="628F6C62"/>
    <w:rsid w:val="62970A44"/>
    <w:rsid w:val="62E0D88D"/>
    <w:rsid w:val="62F59B92"/>
    <w:rsid w:val="6306BB48"/>
    <w:rsid w:val="6337DE15"/>
    <w:rsid w:val="638E3AA9"/>
    <w:rsid w:val="63B0F519"/>
    <w:rsid w:val="63CC5CE1"/>
    <w:rsid w:val="6408E0E6"/>
    <w:rsid w:val="64209215"/>
    <w:rsid w:val="644CFA52"/>
    <w:rsid w:val="646AEE95"/>
    <w:rsid w:val="64907AFB"/>
    <w:rsid w:val="649CB8AF"/>
    <w:rsid w:val="64B1EFBF"/>
    <w:rsid w:val="64BE8108"/>
    <w:rsid w:val="64E4A43D"/>
    <w:rsid w:val="6517B17F"/>
    <w:rsid w:val="651CBA5A"/>
    <w:rsid w:val="652125AC"/>
    <w:rsid w:val="65251E8F"/>
    <w:rsid w:val="6572181D"/>
    <w:rsid w:val="662B2173"/>
    <w:rsid w:val="6648AA77"/>
    <w:rsid w:val="665B72F3"/>
    <w:rsid w:val="669E1E5F"/>
    <w:rsid w:val="66C3B194"/>
    <w:rsid w:val="673F9CDD"/>
    <w:rsid w:val="67460F44"/>
    <w:rsid w:val="67E084B1"/>
    <w:rsid w:val="680383C7"/>
    <w:rsid w:val="6805F6E6"/>
    <w:rsid w:val="68462367"/>
    <w:rsid w:val="690ECAA4"/>
    <w:rsid w:val="694057E6"/>
    <w:rsid w:val="69C72868"/>
    <w:rsid w:val="6A3A26A9"/>
    <w:rsid w:val="6A489004"/>
    <w:rsid w:val="6A679486"/>
    <w:rsid w:val="6AA97D29"/>
    <w:rsid w:val="6AB5A88F"/>
    <w:rsid w:val="6B8E8DC6"/>
    <w:rsid w:val="6BA7977B"/>
    <w:rsid w:val="6BCEBC4F"/>
    <w:rsid w:val="6C032207"/>
    <w:rsid w:val="6C1BC823"/>
    <w:rsid w:val="6C5A23EF"/>
    <w:rsid w:val="6C69C5FE"/>
    <w:rsid w:val="6D47CBAF"/>
    <w:rsid w:val="6DDA5BE8"/>
    <w:rsid w:val="6E00918B"/>
    <w:rsid w:val="6E247227"/>
    <w:rsid w:val="6E5FB72B"/>
    <w:rsid w:val="6E60855A"/>
    <w:rsid w:val="6E6A75A6"/>
    <w:rsid w:val="6E7A02A6"/>
    <w:rsid w:val="6E7E9FD2"/>
    <w:rsid w:val="6E913E71"/>
    <w:rsid w:val="6E937BD0"/>
    <w:rsid w:val="6EAF7428"/>
    <w:rsid w:val="6EBA461B"/>
    <w:rsid w:val="6EE09AA7"/>
    <w:rsid w:val="6F042B0E"/>
    <w:rsid w:val="6F12958A"/>
    <w:rsid w:val="6F7B8E5F"/>
    <w:rsid w:val="6F821560"/>
    <w:rsid w:val="6FA12D26"/>
    <w:rsid w:val="6FC4FD97"/>
    <w:rsid w:val="6FEB31EB"/>
    <w:rsid w:val="6FF3FA33"/>
    <w:rsid w:val="70015A9C"/>
    <w:rsid w:val="7026E0EA"/>
    <w:rsid w:val="70670A87"/>
    <w:rsid w:val="7092069F"/>
    <w:rsid w:val="709B7AF1"/>
    <w:rsid w:val="70A1297D"/>
    <w:rsid w:val="70FA7708"/>
    <w:rsid w:val="71DE576B"/>
    <w:rsid w:val="721A6E8F"/>
    <w:rsid w:val="723F4C7D"/>
    <w:rsid w:val="72435038"/>
    <w:rsid w:val="7277D83D"/>
    <w:rsid w:val="72B12CC5"/>
    <w:rsid w:val="7324B3CD"/>
    <w:rsid w:val="735CADC1"/>
    <w:rsid w:val="737FFF7C"/>
    <w:rsid w:val="73A0F101"/>
    <w:rsid w:val="73B57E93"/>
    <w:rsid w:val="74150D57"/>
    <w:rsid w:val="741AFBF8"/>
    <w:rsid w:val="742A459C"/>
    <w:rsid w:val="742BD706"/>
    <w:rsid w:val="745C04AC"/>
    <w:rsid w:val="74829FBE"/>
    <w:rsid w:val="748829F6"/>
    <w:rsid w:val="751E3EC1"/>
    <w:rsid w:val="75798758"/>
    <w:rsid w:val="75DACCCF"/>
    <w:rsid w:val="763F8882"/>
    <w:rsid w:val="7651B915"/>
    <w:rsid w:val="767462A6"/>
    <w:rsid w:val="76A19D5E"/>
    <w:rsid w:val="76FB5571"/>
    <w:rsid w:val="7734A02E"/>
    <w:rsid w:val="7799EFD5"/>
    <w:rsid w:val="77D8FC7D"/>
    <w:rsid w:val="77E619CD"/>
    <w:rsid w:val="7804444B"/>
    <w:rsid w:val="782E2A01"/>
    <w:rsid w:val="787A5F9A"/>
    <w:rsid w:val="787FB2B1"/>
    <w:rsid w:val="789709DD"/>
    <w:rsid w:val="78B9D2F3"/>
    <w:rsid w:val="78BC62EC"/>
    <w:rsid w:val="796B8301"/>
    <w:rsid w:val="7992B7ED"/>
    <w:rsid w:val="79946021"/>
    <w:rsid w:val="79AE17A1"/>
    <w:rsid w:val="7A4D6F46"/>
    <w:rsid w:val="7A6B1B94"/>
    <w:rsid w:val="7A782B0F"/>
    <w:rsid w:val="7A88F4AB"/>
    <w:rsid w:val="7A8BBA66"/>
    <w:rsid w:val="7AD7751D"/>
    <w:rsid w:val="7ADEBC25"/>
    <w:rsid w:val="7AEE03CB"/>
    <w:rsid w:val="7B31F426"/>
    <w:rsid w:val="7B86ED42"/>
    <w:rsid w:val="7B949B4D"/>
    <w:rsid w:val="7BB4F9C1"/>
    <w:rsid w:val="7BE102BC"/>
    <w:rsid w:val="7BE1E789"/>
    <w:rsid w:val="7BE29EBB"/>
    <w:rsid w:val="7BE7EA65"/>
    <w:rsid w:val="7BE9182D"/>
    <w:rsid w:val="7BEE2836"/>
    <w:rsid w:val="7BF853E5"/>
    <w:rsid w:val="7C2BBA05"/>
    <w:rsid w:val="7C321EC6"/>
    <w:rsid w:val="7C4CA687"/>
    <w:rsid w:val="7C5DD50B"/>
    <w:rsid w:val="7C78399F"/>
    <w:rsid w:val="7C7EA11F"/>
    <w:rsid w:val="7C99E375"/>
    <w:rsid w:val="7CA09E31"/>
    <w:rsid w:val="7CBAFA10"/>
    <w:rsid w:val="7D07386F"/>
    <w:rsid w:val="7D0E1B01"/>
    <w:rsid w:val="7D1A7900"/>
    <w:rsid w:val="7D29117D"/>
    <w:rsid w:val="7D341296"/>
    <w:rsid w:val="7D5928BD"/>
    <w:rsid w:val="7D716421"/>
    <w:rsid w:val="7DB8D39D"/>
    <w:rsid w:val="7DD5A077"/>
    <w:rsid w:val="7E53D5CD"/>
    <w:rsid w:val="7E89B4D0"/>
    <w:rsid w:val="7EC3F806"/>
    <w:rsid w:val="7EE823A5"/>
    <w:rsid w:val="7EE93F2A"/>
    <w:rsid w:val="7EF0D5B8"/>
    <w:rsid w:val="7F08E311"/>
    <w:rsid w:val="7F2107D0"/>
    <w:rsid w:val="7F30B424"/>
    <w:rsid w:val="7F58DEE6"/>
    <w:rsid w:val="7F85D1B2"/>
    <w:rsid w:val="7F9FEFB2"/>
    <w:rsid w:val="7FD28198"/>
    <w:rsid w:val="7FED1A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8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3923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s Points"/>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paragraph" w:customStyle="1" w:styleId="Body">
    <w:name w:val="Body"/>
    <w:basedOn w:val="Normal"/>
    <w:link w:val="BodyChar"/>
    <w:qFormat/>
    <w:rsid w:val="00BD5D20"/>
    <w:pPr>
      <w:spacing w:after="240"/>
      <w:jc w:val="both"/>
    </w:pPr>
    <w:rPr>
      <w:rFonts w:cs="Calibri"/>
      <w:szCs w:val="24"/>
      <w:lang w:eastAsia="en-AU"/>
    </w:rPr>
  </w:style>
  <w:style w:type="character" w:customStyle="1" w:styleId="BodyChar">
    <w:name w:val="Body Char"/>
    <w:link w:val="Body"/>
    <w:rsid w:val="00BD5D20"/>
    <w:rPr>
      <w:rFonts w:ascii="Calibri" w:eastAsia="Calibri" w:hAnsi="Calibri" w:cs="Calibri"/>
      <w:szCs w:val="24"/>
      <w:lang w:eastAsia="en-AU"/>
    </w:rPr>
  </w:style>
  <w:style w:type="paragraph" w:styleId="FootnoteText">
    <w:name w:val="footnote text"/>
    <w:basedOn w:val="Normal"/>
    <w:link w:val="FootnoteTextChar"/>
    <w:uiPriority w:val="99"/>
    <w:semiHidden/>
    <w:unhideWhenUsed/>
    <w:rsid w:val="003577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7F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577F5"/>
    <w:rPr>
      <w:vertAlign w:val="superscript"/>
    </w:rPr>
  </w:style>
  <w:style w:type="character" w:customStyle="1" w:styleId="Heading4Char">
    <w:name w:val="Heading 4 Char"/>
    <w:basedOn w:val="DefaultParagraphFont"/>
    <w:link w:val="Heading4"/>
    <w:uiPriority w:val="9"/>
    <w:rsid w:val="003923CC"/>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1F60A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41507036">
      <w:bodyDiv w:val="1"/>
      <w:marLeft w:val="0"/>
      <w:marRight w:val="0"/>
      <w:marTop w:val="0"/>
      <w:marBottom w:val="0"/>
      <w:divBdr>
        <w:top w:val="none" w:sz="0" w:space="0" w:color="auto"/>
        <w:left w:val="none" w:sz="0" w:space="0" w:color="auto"/>
        <w:bottom w:val="none" w:sz="0" w:space="0" w:color="auto"/>
        <w:right w:val="none" w:sz="0" w:space="0" w:color="auto"/>
      </w:divBdr>
    </w:div>
    <w:div w:id="239338170">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24831">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07967711">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31845520">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50138234">
      <w:bodyDiv w:val="1"/>
      <w:marLeft w:val="0"/>
      <w:marRight w:val="0"/>
      <w:marTop w:val="0"/>
      <w:marBottom w:val="0"/>
      <w:divBdr>
        <w:top w:val="none" w:sz="0" w:space="0" w:color="auto"/>
        <w:left w:val="none" w:sz="0" w:space="0" w:color="auto"/>
        <w:bottom w:val="none" w:sz="0" w:space="0" w:color="auto"/>
        <w:right w:val="none" w:sz="0" w:space="0" w:color="auto"/>
      </w:divBdr>
      <w:divsChild>
        <w:div w:id="1481845704">
          <w:marLeft w:val="0"/>
          <w:marRight w:val="0"/>
          <w:marTop w:val="0"/>
          <w:marBottom w:val="0"/>
          <w:divBdr>
            <w:top w:val="none" w:sz="0" w:space="0" w:color="auto"/>
            <w:left w:val="none" w:sz="0" w:space="0" w:color="auto"/>
            <w:bottom w:val="none" w:sz="0" w:space="0" w:color="auto"/>
            <w:right w:val="none" w:sz="0" w:space="0" w:color="auto"/>
          </w:divBdr>
          <w:divsChild>
            <w:div w:id="587929126">
              <w:marLeft w:val="0"/>
              <w:marRight w:val="0"/>
              <w:marTop w:val="0"/>
              <w:marBottom w:val="0"/>
              <w:divBdr>
                <w:top w:val="none" w:sz="0" w:space="0" w:color="auto"/>
                <w:left w:val="none" w:sz="0" w:space="0" w:color="auto"/>
                <w:bottom w:val="none" w:sz="0" w:space="0" w:color="auto"/>
                <w:right w:val="none" w:sz="0" w:space="0" w:color="auto"/>
              </w:divBdr>
            </w:div>
            <w:div w:id="826749430">
              <w:marLeft w:val="0"/>
              <w:marRight w:val="0"/>
              <w:marTop w:val="0"/>
              <w:marBottom w:val="0"/>
              <w:divBdr>
                <w:top w:val="none" w:sz="0" w:space="0" w:color="auto"/>
                <w:left w:val="none" w:sz="0" w:space="0" w:color="auto"/>
                <w:bottom w:val="none" w:sz="0" w:space="0" w:color="auto"/>
                <w:right w:val="none" w:sz="0" w:space="0" w:color="auto"/>
              </w:divBdr>
            </w:div>
            <w:div w:id="920601941">
              <w:marLeft w:val="0"/>
              <w:marRight w:val="0"/>
              <w:marTop w:val="0"/>
              <w:marBottom w:val="0"/>
              <w:divBdr>
                <w:top w:val="none" w:sz="0" w:space="0" w:color="auto"/>
                <w:left w:val="none" w:sz="0" w:space="0" w:color="auto"/>
                <w:bottom w:val="none" w:sz="0" w:space="0" w:color="auto"/>
                <w:right w:val="none" w:sz="0" w:space="0" w:color="auto"/>
              </w:divBdr>
            </w:div>
            <w:div w:id="1222710642">
              <w:marLeft w:val="0"/>
              <w:marRight w:val="0"/>
              <w:marTop w:val="0"/>
              <w:marBottom w:val="0"/>
              <w:divBdr>
                <w:top w:val="none" w:sz="0" w:space="0" w:color="auto"/>
                <w:left w:val="none" w:sz="0" w:space="0" w:color="auto"/>
                <w:bottom w:val="none" w:sz="0" w:space="0" w:color="auto"/>
                <w:right w:val="none" w:sz="0" w:space="0" w:color="auto"/>
              </w:divBdr>
            </w:div>
            <w:div w:id="1564943603">
              <w:marLeft w:val="0"/>
              <w:marRight w:val="0"/>
              <w:marTop w:val="0"/>
              <w:marBottom w:val="0"/>
              <w:divBdr>
                <w:top w:val="none" w:sz="0" w:space="0" w:color="auto"/>
                <w:left w:val="none" w:sz="0" w:space="0" w:color="auto"/>
                <w:bottom w:val="none" w:sz="0" w:space="0" w:color="auto"/>
                <w:right w:val="none" w:sz="0" w:space="0" w:color="auto"/>
              </w:divBdr>
            </w:div>
          </w:divsChild>
        </w:div>
        <w:div w:id="2114282236">
          <w:marLeft w:val="0"/>
          <w:marRight w:val="0"/>
          <w:marTop w:val="0"/>
          <w:marBottom w:val="0"/>
          <w:divBdr>
            <w:top w:val="none" w:sz="0" w:space="0" w:color="auto"/>
            <w:left w:val="none" w:sz="0" w:space="0" w:color="auto"/>
            <w:bottom w:val="none" w:sz="0" w:space="0" w:color="auto"/>
            <w:right w:val="none" w:sz="0" w:space="0" w:color="auto"/>
          </w:divBdr>
          <w:divsChild>
            <w:div w:id="605112803">
              <w:marLeft w:val="0"/>
              <w:marRight w:val="0"/>
              <w:marTop w:val="0"/>
              <w:marBottom w:val="0"/>
              <w:divBdr>
                <w:top w:val="none" w:sz="0" w:space="0" w:color="auto"/>
                <w:left w:val="none" w:sz="0" w:space="0" w:color="auto"/>
                <w:bottom w:val="none" w:sz="0" w:space="0" w:color="auto"/>
                <w:right w:val="none" w:sz="0" w:space="0" w:color="auto"/>
              </w:divBdr>
            </w:div>
            <w:div w:id="8434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66930089">
      <w:bodyDiv w:val="1"/>
      <w:marLeft w:val="0"/>
      <w:marRight w:val="0"/>
      <w:marTop w:val="0"/>
      <w:marBottom w:val="0"/>
      <w:divBdr>
        <w:top w:val="none" w:sz="0" w:space="0" w:color="auto"/>
        <w:left w:val="none" w:sz="0" w:space="0" w:color="auto"/>
        <w:bottom w:val="none" w:sz="0" w:space="0" w:color="auto"/>
        <w:right w:val="none" w:sz="0" w:space="0" w:color="auto"/>
      </w:divBdr>
    </w:div>
    <w:div w:id="786630247">
      <w:bodyDiv w:val="1"/>
      <w:marLeft w:val="0"/>
      <w:marRight w:val="0"/>
      <w:marTop w:val="0"/>
      <w:marBottom w:val="0"/>
      <w:divBdr>
        <w:top w:val="none" w:sz="0" w:space="0" w:color="auto"/>
        <w:left w:val="none" w:sz="0" w:space="0" w:color="auto"/>
        <w:bottom w:val="none" w:sz="0" w:space="0" w:color="auto"/>
        <w:right w:val="none" w:sz="0" w:space="0" w:color="auto"/>
      </w:divBdr>
    </w:div>
    <w:div w:id="875241044">
      <w:bodyDiv w:val="1"/>
      <w:marLeft w:val="0"/>
      <w:marRight w:val="0"/>
      <w:marTop w:val="0"/>
      <w:marBottom w:val="0"/>
      <w:divBdr>
        <w:top w:val="none" w:sz="0" w:space="0" w:color="auto"/>
        <w:left w:val="none" w:sz="0" w:space="0" w:color="auto"/>
        <w:bottom w:val="none" w:sz="0" w:space="0" w:color="auto"/>
        <w:right w:val="none" w:sz="0" w:space="0" w:color="auto"/>
      </w:divBdr>
      <w:divsChild>
        <w:div w:id="138958010">
          <w:marLeft w:val="0"/>
          <w:marRight w:val="0"/>
          <w:marTop w:val="0"/>
          <w:marBottom w:val="0"/>
          <w:divBdr>
            <w:top w:val="none" w:sz="0" w:space="0" w:color="auto"/>
            <w:left w:val="none" w:sz="0" w:space="0" w:color="auto"/>
            <w:bottom w:val="none" w:sz="0" w:space="0" w:color="auto"/>
            <w:right w:val="none" w:sz="0" w:space="0" w:color="auto"/>
          </w:divBdr>
          <w:divsChild>
            <w:div w:id="744842869">
              <w:marLeft w:val="0"/>
              <w:marRight w:val="0"/>
              <w:marTop w:val="0"/>
              <w:marBottom w:val="0"/>
              <w:divBdr>
                <w:top w:val="none" w:sz="0" w:space="0" w:color="auto"/>
                <w:left w:val="none" w:sz="0" w:space="0" w:color="auto"/>
                <w:bottom w:val="none" w:sz="0" w:space="0" w:color="auto"/>
                <w:right w:val="none" w:sz="0" w:space="0" w:color="auto"/>
              </w:divBdr>
            </w:div>
            <w:div w:id="1269042707">
              <w:marLeft w:val="0"/>
              <w:marRight w:val="0"/>
              <w:marTop w:val="0"/>
              <w:marBottom w:val="0"/>
              <w:divBdr>
                <w:top w:val="none" w:sz="0" w:space="0" w:color="auto"/>
                <w:left w:val="none" w:sz="0" w:space="0" w:color="auto"/>
                <w:bottom w:val="none" w:sz="0" w:space="0" w:color="auto"/>
                <w:right w:val="none" w:sz="0" w:space="0" w:color="auto"/>
              </w:divBdr>
            </w:div>
          </w:divsChild>
        </w:div>
        <w:div w:id="702286753">
          <w:marLeft w:val="0"/>
          <w:marRight w:val="0"/>
          <w:marTop w:val="0"/>
          <w:marBottom w:val="0"/>
          <w:divBdr>
            <w:top w:val="none" w:sz="0" w:space="0" w:color="auto"/>
            <w:left w:val="none" w:sz="0" w:space="0" w:color="auto"/>
            <w:bottom w:val="none" w:sz="0" w:space="0" w:color="auto"/>
            <w:right w:val="none" w:sz="0" w:space="0" w:color="auto"/>
          </w:divBdr>
          <w:divsChild>
            <w:div w:id="520356213">
              <w:marLeft w:val="0"/>
              <w:marRight w:val="0"/>
              <w:marTop w:val="0"/>
              <w:marBottom w:val="0"/>
              <w:divBdr>
                <w:top w:val="none" w:sz="0" w:space="0" w:color="auto"/>
                <w:left w:val="none" w:sz="0" w:space="0" w:color="auto"/>
                <w:bottom w:val="none" w:sz="0" w:space="0" w:color="auto"/>
                <w:right w:val="none" w:sz="0" w:space="0" w:color="auto"/>
              </w:divBdr>
            </w:div>
            <w:div w:id="1339967092">
              <w:marLeft w:val="0"/>
              <w:marRight w:val="0"/>
              <w:marTop w:val="0"/>
              <w:marBottom w:val="0"/>
              <w:divBdr>
                <w:top w:val="none" w:sz="0" w:space="0" w:color="auto"/>
                <w:left w:val="none" w:sz="0" w:space="0" w:color="auto"/>
                <w:bottom w:val="none" w:sz="0" w:space="0" w:color="auto"/>
                <w:right w:val="none" w:sz="0" w:space="0" w:color="auto"/>
              </w:divBdr>
            </w:div>
            <w:div w:id="1962879203">
              <w:marLeft w:val="0"/>
              <w:marRight w:val="0"/>
              <w:marTop w:val="0"/>
              <w:marBottom w:val="0"/>
              <w:divBdr>
                <w:top w:val="none" w:sz="0" w:space="0" w:color="auto"/>
                <w:left w:val="none" w:sz="0" w:space="0" w:color="auto"/>
                <w:bottom w:val="none" w:sz="0" w:space="0" w:color="auto"/>
                <w:right w:val="none" w:sz="0" w:space="0" w:color="auto"/>
              </w:divBdr>
            </w:div>
            <w:div w:id="2074230018">
              <w:marLeft w:val="0"/>
              <w:marRight w:val="0"/>
              <w:marTop w:val="0"/>
              <w:marBottom w:val="0"/>
              <w:divBdr>
                <w:top w:val="none" w:sz="0" w:space="0" w:color="auto"/>
                <w:left w:val="none" w:sz="0" w:space="0" w:color="auto"/>
                <w:bottom w:val="none" w:sz="0" w:space="0" w:color="auto"/>
                <w:right w:val="none" w:sz="0" w:space="0" w:color="auto"/>
              </w:divBdr>
            </w:div>
            <w:div w:id="21001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542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06776295">
      <w:bodyDiv w:val="1"/>
      <w:marLeft w:val="0"/>
      <w:marRight w:val="0"/>
      <w:marTop w:val="0"/>
      <w:marBottom w:val="0"/>
      <w:divBdr>
        <w:top w:val="none" w:sz="0" w:space="0" w:color="auto"/>
        <w:left w:val="none" w:sz="0" w:space="0" w:color="auto"/>
        <w:bottom w:val="none" w:sz="0" w:space="0" w:color="auto"/>
        <w:right w:val="none" w:sz="0" w:space="0" w:color="auto"/>
      </w:divBdr>
    </w:div>
    <w:div w:id="11563347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084">
          <w:marLeft w:val="0"/>
          <w:marRight w:val="0"/>
          <w:marTop w:val="0"/>
          <w:marBottom w:val="0"/>
          <w:divBdr>
            <w:top w:val="none" w:sz="0" w:space="0" w:color="auto"/>
            <w:left w:val="none" w:sz="0" w:space="0" w:color="auto"/>
            <w:bottom w:val="none" w:sz="0" w:space="0" w:color="auto"/>
            <w:right w:val="none" w:sz="0" w:space="0" w:color="auto"/>
          </w:divBdr>
        </w:div>
      </w:divsChild>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426417614">
      <w:bodyDiv w:val="1"/>
      <w:marLeft w:val="0"/>
      <w:marRight w:val="0"/>
      <w:marTop w:val="0"/>
      <w:marBottom w:val="0"/>
      <w:divBdr>
        <w:top w:val="none" w:sz="0" w:space="0" w:color="auto"/>
        <w:left w:val="none" w:sz="0" w:space="0" w:color="auto"/>
        <w:bottom w:val="none" w:sz="0" w:space="0" w:color="auto"/>
        <w:right w:val="none" w:sz="0" w:space="0" w:color="auto"/>
      </w:divBdr>
    </w:div>
    <w:div w:id="1456677500">
      <w:bodyDiv w:val="1"/>
      <w:marLeft w:val="0"/>
      <w:marRight w:val="0"/>
      <w:marTop w:val="0"/>
      <w:marBottom w:val="0"/>
      <w:divBdr>
        <w:top w:val="none" w:sz="0" w:space="0" w:color="auto"/>
        <w:left w:val="none" w:sz="0" w:space="0" w:color="auto"/>
        <w:bottom w:val="none" w:sz="0" w:space="0" w:color="auto"/>
        <w:right w:val="none" w:sz="0" w:space="0" w:color="auto"/>
      </w:divBdr>
    </w:div>
    <w:div w:id="1459227590">
      <w:bodyDiv w:val="1"/>
      <w:marLeft w:val="0"/>
      <w:marRight w:val="0"/>
      <w:marTop w:val="0"/>
      <w:marBottom w:val="0"/>
      <w:divBdr>
        <w:top w:val="none" w:sz="0" w:space="0" w:color="auto"/>
        <w:left w:val="none" w:sz="0" w:space="0" w:color="auto"/>
        <w:bottom w:val="none" w:sz="0" w:space="0" w:color="auto"/>
        <w:right w:val="none" w:sz="0" w:space="0" w:color="auto"/>
      </w:divBdr>
    </w:div>
    <w:div w:id="1491948023">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13171981">
      <w:bodyDiv w:val="1"/>
      <w:marLeft w:val="0"/>
      <w:marRight w:val="0"/>
      <w:marTop w:val="0"/>
      <w:marBottom w:val="0"/>
      <w:divBdr>
        <w:top w:val="none" w:sz="0" w:space="0" w:color="auto"/>
        <w:left w:val="none" w:sz="0" w:space="0" w:color="auto"/>
        <w:bottom w:val="none" w:sz="0" w:space="0" w:color="auto"/>
        <w:right w:val="none" w:sz="0" w:space="0" w:color="auto"/>
      </w:divBdr>
    </w:div>
    <w:div w:id="1674069404">
      <w:bodyDiv w:val="1"/>
      <w:marLeft w:val="0"/>
      <w:marRight w:val="0"/>
      <w:marTop w:val="0"/>
      <w:marBottom w:val="0"/>
      <w:divBdr>
        <w:top w:val="none" w:sz="0" w:space="0" w:color="auto"/>
        <w:left w:val="none" w:sz="0" w:space="0" w:color="auto"/>
        <w:bottom w:val="none" w:sz="0" w:space="0" w:color="auto"/>
        <w:right w:val="none" w:sz="0" w:space="0" w:color="auto"/>
      </w:divBdr>
    </w:div>
    <w:div w:id="1684624963">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36006991">
      <w:bodyDiv w:val="1"/>
      <w:marLeft w:val="0"/>
      <w:marRight w:val="0"/>
      <w:marTop w:val="0"/>
      <w:marBottom w:val="0"/>
      <w:divBdr>
        <w:top w:val="none" w:sz="0" w:space="0" w:color="auto"/>
        <w:left w:val="none" w:sz="0" w:space="0" w:color="auto"/>
        <w:bottom w:val="none" w:sz="0" w:space="0" w:color="auto"/>
        <w:right w:val="none" w:sz="0" w:space="0" w:color="auto"/>
      </w:divBdr>
    </w:div>
    <w:div w:id="1749619647">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957905280">
      <w:bodyDiv w:val="1"/>
      <w:marLeft w:val="0"/>
      <w:marRight w:val="0"/>
      <w:marTop w:val="0"/>
      <w:marBottom w:val="0"/>
      <w:divBdr>
        <w:top w:val="none" w:sz="0" w:space="0" w:color="auto"/>
        <w:left w:val="none" w:sz="0" w:space="0" w:color="auto"/>
        <w:bottom w:val="none" w:sz="0" w:space="0" w:color="auto"/>
        <w:right w:val="none" w:sz="0" w:space="0" w:color="auto"/>
      </w:divBdr>
      <w:divsChild>
        <w:div w:id="42297511">
          <w:marLeft w:val="0"/>
          <w:marRight w:val="0"/>
          <w:marTop w:val="0"/>
          <w:marBottom w:val="0"/>
          <w:divBdr>
            <w:top w:val="none" w:sz="0" w:space="0" w:color="auto"/>
            <w:left w:val="none" w:sz="0" w:space="0" w:color="auto"/>
            <w:bottom w:val="none" w:sz="0" w:space="0" w:color="auto"/>
            <w:right w:val="none" w:sz="0" w:space="0" w:color="auto"/>
          </w:divBdr>
        </w:div>
      </w:divsChild>
    </w:div>
    <w:div w:id="1958758807">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051220114">
      <w:bodyDiv w:val="1"/>
      <w:marLeft w:val="0"/>
      <w:marRight w:val="0"/>
      <w:marTop w:val="0"/>
      <w:marBottom w:val="0"/>
      <w:divBdr>
        <w:top w:val="none" w:sz="0" w:space="0" w:color="auto"/>
        <w:left w:val="none" w:sz="0" w:space="0" w:color="auto"/>
        <w:bottom w:val="none" w:sz="0" w:space="0" w:color="auto"/>
        <w:right w:val="none" w:sz="0" w:space="0" w:color="auto"/>
      </w:divBdr>
    </w:div>
    <w:div w:id="21241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ga.gov.au/sites/default/files/auspar-bevacizumab-220202.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linicaltrials.gov/study/NCT0160955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ata.fda.gov/cdrh_docs/pdf22/P220006B.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er.cancer.gov/archive/csr/1975_2017/results_merged/sect_21_ovary.pdf" TargetMode="External"/><Relationship Id="rId1" Type="http://schemas.openxmlformats.org/officeDocument/2006/relationships/hyperlink" Target="https://www.canceraustralia.gov.au/cancer-types/ovarian-cancer/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15922</Words>
  <Characters>90759</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2025-02-07T05:35:00Z</dcterms:created>
  <dcterms:modified xsi:type="dcterms:W3CDTF">2025-02-07T05:35:00Z</dcterms:modified>
</cp:coreProperties>
</file>