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A2BC" w14:textId="75C4D537" w:rsidR="009F4336" w:rsidRPr="009F4336" w:rsidRDefault="008B5A06" w:rsidP="009F4336">
      <w:pPr>
        <w:pStyle w:val="Title"/>
        <w:spacing w:before="720" w:after="600"/>
        <w:contextualSpacing w:val="0"/>
        <w:jc w:val="center"/>
        <w:rPr>
          <w:rFonts w:ascii="Times New Roman" w:hAnsi="Times New Roman" w:cs="Times New Roman"/>
          <w:sz w:val="24"/>
          <w:szCs w:val="24"/>
          <w:shd w:val="clear" w:color="auto" w:fill="FFFFFF"/>
        </w:rPr>
      </w:pPr>
      <w:bookmarkStart w:id="0" w:name="_Hlk181277161"/>
      <w:r w:rsidRPr="00044F8B">
        <w:rPr>
          <w:rFonts w:ascii="Segoe UI" w:hAnsi="Segoe UI" w:cs="Segoe UI"/>
          <w:b/>
          <w:bCs/>
        </w:rPr>
        <w:t>MSAC Application 1771.1</w:t>
      </w:r>
      <w:r>
        <w:rPr>
          <w:rFonts w:ascii="Times New Roman" w:hAnsi="Times New Roman" w:cs="Times New Roman"/>
          <w:sz w:val="24"/>
          <w:szCs w:val="24"/>
          <w:shd w:val="clear" w:color="auto" w:fill="FFFFFF"/>
        </w:rPr>
        <w:t xml:space="preserve"> </w:t>
      </w:r>
    </w:p>
    <w:p w14:paraId="084637DB" w14:textId="2BB4637A"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 xml:space="preserve">Axicabtagene ciloleucel </w:t>
      </w:r>
      <w:r w:rsidR="008B5A06">
        <w:rPr>
          <w:rFonts w:ascii="Segoe UI" w:eastAsiaTheme="minorHAnsi" w:hAnsi="Segoe UI" w:cs="Segoe UI"/>
          <w:b/>
          <w:bCs/>
          <w:color w:val="153D63" w:themeColor="text2" w:themeTint="E6"/>
          <w:sz w:val="48"/>
          <w:szCs w:val="48"/>
          <w:lang w:eastAsia="en-US"/>
        </w:rPr>
        <w:t xml:space="preserve">therapy </w:t>
      </w:r>
      <w:r w:rsidRPr="005B57C1">
        <w:rPr>
          <w:rFonts w:ascii="Segoe UI" w:eastAsiaTheme="minorHAnsi" w:hAnsi="Segoe UI" w:cs="Segoe UI"/>
          <w:b/>
          <w:bCs/>
          <w:color w:val="153D63" w:themeColor="text2" w:themeTint="E6"/>
          <w:sz w:val="48"/>
          <w:szCs w:val="48"/>
          <w:lang w:eastAsia="en-US"/>
        </w:rPr>
        <w:t>for patients with relapsed</w:t>
      </w:r>
      <w:r w:rsidR="008B5A06">
        <w:rPr>
          <w:rFonts w:ascii="Segoe UI" w:eastAsiaTheme="minorHAnsi" w:hAnsi="Segoe UI" w:cs="Segoe UI"/>
          <w:b/>
          <w:bCs/>
          <w:color w:val="153D63" w:themeColor="text2" w:themeTint="E6"/>
          <w:sz w:val="48"/>
          <w:szCs w:val="48"/>
          <w:lang w:eastAsia="en-US"/>
        </w:rPr>
        <w:t xml:space="preserve"> or </w:t>
      </w:r>
      <w:r w:rsidRPr="005B57C1">
        <w:rPr>
          <w:rFonts w:ascii="Segoe UI" w:eastAsiaTheme="minorHAnsi" w:hAnsi="Segoe UI" w:cs="Segoe UI"/>
          <w:b/>
          <w:bCs/>
          <w:color w:val="153D63" w:themeColor="text2" w:themeTint="E6"/>
          <w:sz w:val="48"/>
          <w:szCs w:val="48"/>
          <w:lang w:eastAsia="en-US"/>
        </w:rPr>
        <w:t>refractory follicular lymphoma</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HPP200262</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Resubmission Axicabtagene ciloleucel for patients with relapsed/refractory follicular lymphoma</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GILEAD SCIENCES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71072611708</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Follicular Lymphoma (FL)  is a type of blood cancer that changes certain blood cells in your body called B-cell lymphocytes (B-cells). It can affect your lymph nodes (sometimes called glands) and your lymphatic system. These are all part of your body’s immune system which fight infection and disease. Follicular lymphoma is considered an indolent lymphoma, which means it is usually slow growing and often “sleeping”, so many people with FL do not need active treatment during indolent stages of their disease. However, if your FL “wakes up” and starts to grow, you may experience symptoms and need treatment.</w:t>
      </w:r>
      <w:r w:rsidRPr="00DA3592">
        <w:rPr>
          <w:rFonts w:ascii="Segoe UI" w:eastAsia="Segoe UI" w:hAnsi="Segoe UI" w:cs="Segoe UI"/>
          <w:color w:val="000000"/>
        </w:rPr>
        <w:br/>
      </w:r>
      <w:r w:rsidRPr="00DA3592">
        <w:rPr>
          <w:rFonts w:ascii="Segoe UI" w:eastAsia="Segoe UI" w:hAnsi="Segoe UI" w:cs="Segoe UI"/>
          <w:color w:val="000000"/>
        </w:rPr>
        <w:br/>
        <w:t>Source Lymphoma Australia: https://www.lymphoma.org.au/types-of-lymphoma/non-hodgkin-lymphoma/indolent-slow-growing-b-cell-nhl/follicular-lymphoma/ [accessed 22 Oct 2023]</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Axicabtagene ciloleucel is a CAR T-cell therapy that is produced using a patient’s own T-cells (another form of immune cell), making the product unique to each patient. For CAR-T therapy, a patient’s T-cells are collected and genetically modified in a lab to express an anti-CD19 chimeric antigen receptor (CAR) that targets the lymphoma B-cells. The modified T-cells are multiplied and then infused back into the patient where they target and kill the cancerous lymphoma B-cells, thereby treating the </w:t>
      </w:r>
      <w:r w:rsidRPr="00DA3592">
        <w:rPr>
          <w:rFonts w:ascii="Segoe UI" w:eastAsia="Segoe UI" w:hAnsi="Segoe UI" w:cs="Segoe UI"/>
          <w:color w:val="000000"/>
        </w:rPr>
        <w:lastRenderedPageBreak/>
        <w:t>lymphoma.</w:t>
      </w:r>
      <w:r w:rsidRPr="00DA3592">
        <w:rPr>
          <w:rFonts w:ascii="Segoe UI" w:eastAsia="Segoe UI" w:hAnsi="Segoe UI" w:cs="Segoe UI"/>
          <w:color w:val="000000"/>
        </w:rPr>
        <w:br/>
        <w:t>Axicabtagene ciloleucel is used when patients with follicular lymphoma do not respond to (refractory), or relapse (come back) after, other types of treatment, such as chemotherapy.</w:t>
      </w:r>
    </w:p>
    <w:p w14:paraId="6B61DA55" w14:textId="7664D689" w:rsidR="00133449" w:rsidRPr="0010048D" w:rsidRDefault="00133449" w:rsidP="00133449">
      <w:pPr>
        <w:pStyle w:val="Heading1"/>
        <w:rPr>
          <w:rFonts w:cs="Segoe UI"/>
        </w:rPr>
      </w:pPr>
      <w:r w:rsidRPr="0010048D">
        <w:rPr>
          <w:rFonts w:cs="Segoe UI"/>
        </w:rPr>
        <w:t>Application contact details</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Default="00133449" w:rsidP="00133449">
      <w:pPr>
        <w:rPr>
          <w:rFonts w:ascii="Segoe UI" w:eastAsia="Segoe UI" w:hAnsi="Segoe UI" w:cs="Segoe UI"/>
          <w:color w:val="000000"/>
        </w:rPr>
      </w:pPr>
      <w:r w:rsidRPr="00DA3592">
        <w:rPr>
          <w:rFonts w:ascii="Segoe UI" w:eastAsia="Segoe UI" w:hAnsi="Segoe UI" w:cs="Segoe UI"/>
          <w:color w:val="000000"/>
        </w:rPr>
        <w:t>Organisation</w:t>
      </w:r>
    </w:p>
    <w:p w14:paraId="7DF286D6" w14:textId="77777777" w:rsidR="00887431" w:rsidRPr="00FB3833" w:rsidRDefault="00887431" w:rsidP="00887431">
      <w:pPr>
        <w:rPr>
          <w:rFonts w:ascii="Segoe UI" w:hAnsi="Segoe UI" w:cs="Segoe UI"/>
        </w:rPr>
      </w:pPr>
      <w:r w:rsidRPr="00FB3833">
        <w:rPr>
          <w:rFonts w:ascii="Segoe UI" w:eastAsia="Segoe UI" w:hAnsi="Segoe UI" w:cs="Segoe UI"/>
          <w:b/>
          <w:color w:val="000000"/>
        </w:rPr>
        <w:t>Is the applicant organisation the organisation you are representing in the HPP today?</w:t>
      </w:r>
    </w:p>
    <w:p w14:paraId="62A563CC" w14:textId="16CE2DD9" w:rsidR="00887431" w:rsidRPr="00DA3592" w:rsidRDefault="00887431" w:rsidP="00133449">
      <w:pPr>
        <w:rPr>
          <w:rFonts w:ascii="Segoe UI" w:hAnsi="Segoe UI" w:cs="Segoe UI"/>
        </w:rPr>
      </w:pPr>
      <w:r>
        <w:rPr>
          <w:rFonts w:ascii="Segoe UI" w:eastAsia="Segoe UI" w:hAnsi="Segoe UI" w:cs="Segoe UI"/>
          <w:color w:val="000000"/>
        </w:rPr>
        <w:t>Yes</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GILEAD SCIENCES PTY LIMITED</w:t>
      </w:r>
    </w:p>
    <w:p w14:paraId="3E3352C1" w14:textId="77777777" w:rsidR="00133449"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63369A78" w14:textId="77777777" w:rsidR="00D932B0" w:rsidRPr="00FB3833" w:rsidRDefault="00D932B0" w:rsidP="00D932B0">
      <w:pPr>
        <w:rPr>
          <w:rFonts w:ascii="Segoe UI" w:hAnsi="Segoe UI" w:cs="Segoe UI"/>
          <w:b/>
          <w:bCs/>
        </w:rPr>
      </w:pPr>
      <w:r w:rsidRPr="00FB3833">
        <w:rPr>
          <w:rFonts w:ascii="Segoe UI" w:hAnsi="Segoe UI" w:cs="Segoe UI"/>
          <w:b/>
          <w:bCs/>
        </w:rPr>
        <w:t>Please select the program through which the health technology would be funded:</w:t>
      </w:r>
    </w:p>
    <w:p w14:paraId="3F54D01B" w14:textId="4259095A" w:rsidR="00D932B0" w:rsidRPr="00FB3833" w:rsidRDefault="00D932B0" w:rsidP="00D932B0">
      <w:pPr>
        <w:rPr>
          <w:rFonts w:ascii="Segoe UI" w:hAnsi="Segoe UI" w:cs="Segoe UI"/>
        </w:rPr>
      </w:pPr>
      <w:r>
        <w:rPr>
          <w:rFonts w:ascii="Segoe UI" w:hAnsi="Segoe UI" w:cs="Segoe UI"/>
        </w:rPr>
        <w:t>National Health Reform Agreement Addendum (Highly specialised therapies)</w:t>
      </w:r>
    </w:p>
    <w:p w14:paraId="33C06DEE" w14:textId="77777777" w:rsidR="00D932B0" w:rsidRPr="00FB3833" w:rsidRDefault="00D932B0" w:rsidP="00D932B0">
      <w:pPr>
        <w:rPr>
          <w:rFonts w:ascii="Segoe UI" w:hAnsi="Segoe UI" w:cs="Segoe UI"/>
          <w:b/>
          <w:bCs/>
        </w:rPr>
      </w:pPr>
      <w:r w:rsidRPr="00FB3833">
        <w:rPr>
          <w:rFonts w:ascii="Segoe UI" w:hAnsi="Segoe UI" w:cs="Segoe UI"/>
          <w:b/>
          <w:bCs/>
        </w:rPr>
        <w:t>Please provide justification for selecting the above program:</w:t>
      </w:r>
    </w:p>
    <w:p w14:paraId="7846204B" w14:textId="3F45950E" w:rsidR="00D932B0" w:rsidRPr="00FB3833" w:rsidRDefault="00D932B0" w:rsidP="00D932B0">
      <w:pPr>
        <w:rPr>
          <w:rFonts w:ascii="Segoe UI" w:hAnsi="Segoe UI" w:cs="Segoe UI"/>
        </w:rPr>
      </w:pPr>
      <w:r>
        <w:rPr>
          <w:rFonts w:ascii="Segoe UI" w:eastAsia="Segoe UI" w:hAnsi="Segoe UI" w:cs="Segoe UI"/>
          <w:color w:val="000000"/>
        </w:rPr>
        <w:t>The application seeks joint funding by the Commonwealth and states and territories through the</w:t>
      </w:r>
      <w:r w:rsidR="008B5A06">
        <w:rPr>
          <w:rFonts w:ascii="Segoe UI" w:eastAsia="Segoe UI" w:hAnsi="Segoe UI" w:cs="Segoe UI"/>
          <w:color w:val="000000"/>
        </w:rPr>
        <w:t xml:space="preserve"> </w:t>
      </w:r>
      <w:r>
        <w:rPr>
          <w:rFonts w:ascii="Segoe UI" w:eastAsia="Segoe UI" w:hAnsi="Segoe UI" w:cs="Segoe UI"/>
          <w:color w:val="000000"/>
        </w:rPr>
        <w:t>High Cost, Highly Specialised Therapy arrangements included in the National Health Reform</w:t>
      </w:r>
      <w:r w:rsidR="008B5A06">
        <w:rPr>
          <w:rFonts w:ascii="Segoe UI" w:eastAsia="Segoe UI" w:hAnsi="Segoe UI" w:cs="Segoe UI"/>
          <w:color w:val="000000"/>
        </w:rPr>
        <w:t xml:space="preserve"> </w:t>
      </w:r>
      <w:r>
        <w:rPr>
          <w:rFonts w:ascii="Segoe UI" w:eastAsia="Segoe UI" w:hAnsi="Segoe UI" w:cs="Segoe UI"/>
          <w:color w:val="000000"/>
        </w:rPr>
        <w:t>Agreement (NHRA) Addendum 2020–25.</w:t>
      </w:r>
      <w:r>
        <w:rPr>
          <w:rFonts w:ascii="Segoe UI" w:eastAsia="Segoe UI" w:hAnsi="Segoe UI" w:cs="Segoe UI"/>
          <w:color w:val="000000"/>
        </w:rPr>
        <w:br/>
        <w:t>This program is the current funding mechanism for CAR T-cell therapies provided in Australia.</w:t>
      </w:r>
    </w:p>
    <w:p w14:paraId="3551DF79" w14:textId="77777777" w:rsidR="00D932B0" w:rsidRPr="00FB3833" w:rsidRDefault="00D932B0" w:rsidP="00D932B0">
      <w:pPr>
        <w:rPr>
          <w:rFonts w:ascii="Segoe UI" w:hAnsi="Segoe UI" w:cs="Segoe UI"/>
          <w:b/>
          <w:bCs/>
        </w:rPr>
      </w:pPr>
      <w:r w:rsidRPr="00FB3833">
        <w:rPr>
          <w:rFonts w:ascii="Segoe UI" w:hAnsi="Segoe UI" w:cs="Segoe UI"/>
          <w:b/>
          <w:bCs/>
        </w:rPr>
        <w:t xml:space="preserve">Is the application for a new listing or a change to an existing listing? </w:t>
      </w:r>
    </w:p>
    <w:p w14:paraId="752AB019" w14:textId="6B740A7B" w:rsidR="00D932B0" w:rsidRPr="00FB3833" w:rsidRDefault="00473295" w:rsidP="00D932B0">
      <w:pPr>
        <w:rPr>
          <w:rFonts w:ascii="Segoe UI" w:hAnsi="Segoe UI" w:cs="Segoe UI"/>
        </w:rPr>
      </w:pPr>
      <w:r>
        <w:rPr>
          <w:rFonts w:ascii="Segoe UI" w:hAnsi="Segoe UI" w:cs="Segoe UI"/>
        </w:rPr>
        <w:t>New listing</w:t>
      </w:r>
    </w:p>
    <w:p w14:paraId="01B2B5F5" w14:textId="77777777" w:rsidR="00D932B0" w:rsidRPr="00FB3833" w:rsidRDefault="00D932B0" w:rsidP="00D932B0">
      <w:pPr>
        <w:rPr>
          <w:rFonts w:ascii="Segoe UI" w:hAnsi="Segoe UI" w:cs="Segoe UI"/>
          <w:b/>
          <w:bCs/>
        </w:rPr>
      </w:pPr>
      <w:r w:rsidRPr="00FB3833">
        <w:rPr>
          <w:rFonts w:ascii="Segoe UI" w:hAnsi="Segoe UI" w:cs="Segoe UI"/>
          <w:b/>
          <w:bCs/>
        </w:rPr>
        <w:t xml:space="preserve">What is the type of service or health technology? </w:t>
      </w:r>
    </w:p>
    <w:p w14:paraId="2686730F" w14:textId="5A893E81" w:rsidR="00133449" w:rsidRPr="00473295" w:rsidRDefault="00473295" w:rsidP="00473295">
      <w:pPr>
        <w:rPr>
          <w:rFonts w:ascii="Segoe UI" w:hAnsi="Segoe UI" w:cs="Segoe UI"/>
        </w:rPr>
      </w:pPr>
      <w:r>
        <w:rPr>
          <w:rFonts w:ascii="Segoe UI" w:eastAsia="Segoe UI" w:hAnsi="Segoe UI" w:cs="Segoe UI"/>
          <w:color w:val="000000"/>
        </w:rPr>
        <w:t>Therapeutic</w:t>
      </w:r>
    </w:p>
    <w:p w14:paraId="0EF8D594" w14:textId="77777777" w:rsidR="00133449" w:rsidRPr="0010048D" w:rsidRDefault="00133449" w:rsidP="008B5A06">
      <w:pPr>
        <w:pStyle w:val="Heading1"/>
        <w:keepNext/>
        <w:keepLines/>
        <w:rPr>
          <w:rFonts w:cs="Segoe UI"/>
        </w:rPr>
      </w:pPr>
      <w:r w:rsidRPr="0010048D">
        <w:rPr>
          <w:rFonts w:cs="Segoe UI"/>
        </w:rPr>
        <w:t>Relevant MBS items</w:t>
      </w:r>
    </w:p>
    <w:p w14:paraId="7B263B0C" w14:textId="77777777" w:rsidR="00133449" w:rsidRPr="0010048D" w:rsidRDefault="00133449" w:rsidP="008B5A06">
      <w:pPr>
        <w:keepNext/>
        <w:keepLines/>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8B5A06">
            <w:pPr>
              <w:keepNext/>
              <w:keepLines/>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8B5A06">
            <w:pPr>
              <w:keepNext/>
              <w:keepLines/>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1C43F6EE" w14:textId="7D612391" w:rsidR="008B5A06" w:rsidRPr="008B5A06" w:rsidRDefault="00133449" w:rsidP="008B5A06">
      <w:pPr>
        <w:rPr>
          <w:rFonts w:ascii="Segoe UI" w:eastAsia="Segoe UI" w:hAnsi="Segoe UI" w:cs="Segoe UI"/>
          <w:color w:val="000000"/>
        </w:rPr>
      </w:pPr>
      <w:r w:rsidRPr="005B57C1">
        <w:rPr>
          <w:rFonts w:ascii="Segoe UI" w:eastAsia="Segoe UI" w:hAnsi="Segoe UI" w:cs="Segoe UI"/>
          <w:color w:val="000000"/>
        </w:rPr>
        <w:t>Therapeutic</w:t>
      </w:r>
    </w:p>
    <w:p w14:paraId="16E68CEB" w14:textId="2C358534" w:rsidR="00133449" w:rsidRPr="0010048D" w:rsidRDefault="00133449" w:rsidP="00133449">
      <w:pPr>
        <w:pStyle w:val="Heading1"/>
        <w:rPr>
          <w:rFonts w:cs="Segoe UI"/>
        </w:rPr>
      </w:pPr>
      <w:r w:rsidRPr="0010048D">
        <w:rPr>
          <w:rFonts w:cs="Segoe UI"/>
        </w:rPr>
        <w:t>PICO sets</w:t>
      </w:r>
    </w:p>
    <w:p w14:paraId="25B8C5A6" w14:textId="70754354" w:rsidR="00133449" w:rsidRPr="0010048D" w:rsidRDefault="00133449" w:rsidP="00133449">
      <w:pPr>
        <w:rPr>
          <w:rFonts w:ascii="Segoe UI" w:hAnsi="Segoe UI" w:cs="Segoe UI"/>
          <w:b/>
          <w:bCs/>
        </w:rPr>
      </w:pPr>
      <w:r w:rsidRPr="0010048D">
        <w:rPr>
          <w:rFonts w:ascii="Segoe UI" w:hAnsi="Segoe UI" w:cs="Segoe UI"/>
          <w:b/>
          <w:bCs/>
        </w:rPr>
        <w:t>Application PICO set:</w:t>
      </w:r>
    </w:p>
    <w:tbl>
      <w:tblPr>
        <w:tblStyle w:val="TableGrid"/>
        <w:tblW w:w="9067" w:type="dxa"/>
        <w:tblLook w:val="0620" w:firstRow="1" w:lastRow="0" w:firstColumn="0" w:lastColumn="0" w:noHBand="1" w:noVBand="1"/>
      </w:tblPr>
      <w:tblGrid>
        <w:gridCol w:w="9067"/>
      </w:tblGrid>
      <w:tr w:rsidR="00133449" w:rsidRPr="0010048D" w14:paraId="13374401" w14:textId="77777777" w:rsidTr="008B5A06">
        <w:trPr>
          <w:tblHeader/>
        </w:trPr>
        <w:tc>
          <w:tcPr>
            <w:tcW w:w="9067" w:type="dxa"/>
            <w:shd w:val="clear" w:color="auto" w:fill="auto"/>
            <w:tcMar>
              <w:top w:w="113" w:type="dxa"/>
              <w:bottom w:w="113" w:type="dxa"/>
            </w:tcMar>
          </w:tcPr>
          <w:p w14:paraId="3C834693" w14:textId="77777777" w:rsidR="00133449" w:rsidRPr="0010048D" w:rsidRDefault="00133449" w:rsidP="0065027C">
            <w:pPr>
              <w:rPr>
                <w:rFonts w:ascii="Segoe UI" w:hAnsi="Segoe UI" w:cs="Segoe UI"/>
                <w:b/>
              </w:rPr>
            </w:pPr>
            <w:r w:rsidRPr="0010048D">
              <w:rPr>
                <w:rFonts w:ascii="Segoe UI" w:hAnsi="Segoe UI" w:cs="Segoe UI"/>
                <w:b/>
              </w:rPr>
              <w:t>PICO set name</w:t>
            </w:r>
          </w:p>
        </w:tc>
      </w:tr>
      <w:tr w:rsidR="00133449" w:rsidRPr="0010048D" w14:paraId="79C27EF3" w14:textId="77777777" w:rsidTr="008B5A06">
        <w:tc>
          <w:tcPr>
            <w:tcW w:w="9067" w:type="dxa"/>
            <w:tcMar>
              <w:top w:w="113" w:type="dxa"/>
              <w:bottom w:w="113" w:type="dxa"/>
            </w:tcMar>
          </w:tcPr>
          <w:p w14:paraId="4A38A298" w14:textId="77777777" w:rsidR="00133449" w:rsidRPr="0010048D" w:rsidRDefault="00133449" w:rsidP="0065027C">
            <w:pPr>
              <w:rPr>
                <w:rFonts w:ascii="Segoe UI" w:hAnsi="Segoe UI" w:cs="Segoe UI"/>
                <w:bCs/>
              </w:rPr>
            </w:pPr>
            <w:r>
              <w:rPr>
                <w:rFonts w:ascii="Segoe UI" w:hAnsi="Segoe UI" w:cs="Segoe UI"/>
                <w:bCs/>
              </w:rPr>
              <w:t>Axicabtagene ciloleucel for patient with relapsed/refractory follicular lymphoma</w:t>
            </w:r>
          </w:p>
        </w:tc>
      </w:tr>
    </w:tbl>
    <w:p w14:paraId="358D3966" w14:textId="77777777" w:rsidR="00133449" w:rsidRDefault="00133449" w:rsidP="00133449">
      <w:pPr>
        <w:rPr>
          <w:rFonts w:ascii="Segoe UI" w:hAnsi="Segoe UI" w:cs="Segoe UI"/>
        </w:rPr>
      </w:pPr>
    </w:p>
    <w:p w14:paraId="0774857F" w14:textId="77777777" w:rsidR="00886115" w:rsidRPr="006C2837" w:rsidRDefault="00886115" w:rsidP="00886115">
      <w:pPr>
        <w:pStyle w:val="Heading2"/>
        <w:rPr>
          <w:rFonts w:ascii="Segoe UI" w:hAnsi="Segoe UI" w:cs="Segoe UI"/>
          <w:b/>
          <w:bCs/>
          <w:sz w:val="24"/>
          <w:szCs w:val="24"/>
        </w:rPr>
      </w:pPr>
      <w:r w:rsidRPr="006C2837">
        <w:rPr>
          <w:rFonts w:ascii="Segoe UI" w:hAnsi="Segoe UI" w:cs="Segoe UI"/>
          <w:b/>
          <w:bCs/>
          <w:sz w:val="24"/>
          <w:szCs w:val="24"/>
        </w:rPr>
        <w:t>Population</w:t>
      </w:r>
    </w:p>
    <w:p w14:paraId="26A44A20" w14:textId="77777777" w:rsidR="00886115" w:rsidRPr="0010048D" w:rsidRDefault="00886115" w:rsidP="00886115">
      <w:pPr>
        <w:rPr>
          <w:rFonts w:ascii="Segoe UI" w:hAnsi="Segoe UI" w:cs="Segoe UI"/>
          <w:b/>
          <w:bCs/>
        </w:rPr>
      </w:pPr>
      <w:r w:rsidRPr="0010048D">
        <w:rPr>
          <w:rFonts w:ascii="Segoe UI" w:hAnsi="Segoe UI" w:cs="Segoe UI"/>
          <w:b/>
          <w:bCs/>
        </w:rPr>
        <w:t>Describe the population in which the proposed health technology is intended to be used:</w:t>
      </w:r>
    </w:p>
    <w:p w14:paraId="07BC6A19" w14:textId="77777777" w:rsidR="00886115" w:rsidRPr="00EA413F" w:rsidRDefault="00886115" w:rsidP="00886115">
      <w:pPr>
        <w:rPr>
          <w:rFonts w:ascii="Segoe UI" w:hAnsi="Segoe UI" w:cs="Segoe UI"/>
        </w:rPr>
      </w:pPr>
      <w:r>
        <w:rPr>
          <w:rFonts w:ascii="Segoe UI" w:eastAsia="Segoe UI" w:hAnsi="Segoe UI" w:cs="Segoe UI"/>
          <w:color w:val="000000"/>
        </w:rPr>
        <w:t>Adult patients with Grade 1, Grade 2 or Grade 3a follicular lymphoma and relapsed or refractory disease after two or more lines of therapy.</w:t>
      </w:r>
    </w:p>
    <w:p w14:paraId="623EE499" w14:textId="77777777" w:rsidR="00886115" w:rsidRPr="0010048D" w:rsidRDefault="00886115" w:rsidP="00886115">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21D49F2B"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Follicular non-Hodgkin's lymphoma</w:t>
      </w:r>
    </w:p>
    <w:p w14:paraId="74EB0970" w14:textId="77777777" w:rsidR="00886115" w:rsidRPr="00886115" w:rsidRDefault="00886115" w:rsidP="00886115">
      <w:pPr>
        <w:pStyle w:val="Heading2"/>
        <w:rPr>
          <w:rFonts w:ascii="Segoe UI" w:hAnsi="Segoe UI" w:cs="Segoe UI"/>
          <w:b/>
          <w:bCs/>
          <w:sz w:val="24"/>
          <w:szCs w:val="24"/>
        </w:rPr>
      </w:pPr>
      <w:r w:rsidRPr="00886115">
        <w:rPr>
          <w:rFonts w:ascii="Segoe UI" w:hAnsi="Segoe UI" w:cs="Segoe UI"/>
          <w:b/>
          <w:bCs/>
          <w:sz w:val="24"/>
          <w:szCs w:val="24"/>
        </w:rPr>
        <w:t>Intervention</w:t>
      </w:r>
    </w:p>
    <w:p w14:paraId="77D5FF33" w14:textId="77777777" w:rsidR="00886115" w:rsidRPr="0010048D" w:rsidRDefault="00886115" w:rsidP="00886115">
      <w:pPr>
        <w:rPr>
          <w:rFonts w:ascii="Segoe UI" w:hAnsi="Segoe UI" w:cs="Segoe UI"/>
          <w:b/>
          <w:bCs/>
        </w:rPr>
      </w:pPr>
      <w:r w:rsidRPr="0010048D">
        <w:rPr>
          <w:rFonts w:ascii="Segoe UI" w:hAnsi="Segoe UI" w:cs="Segoe UI"/>
          <w:b/>
          <w:bCs/>
        </w:rPr>
        <w:t>Name of the proposed health technology:</w:t>
      </w:r>
    </w:p>
    <w:p w14:paraId="67AC4EEC" w14:textId="77777777" w:rsidR="00886115" w:rsidRPr="0010048D" w:rsidRDefault="00886115" w:rsidP="00886115">
      <w:pPr>
        <w:rPr>
          <w:rFonts w:ascii="Segoe UI" w:eastAsia="Segoe UI" w:hAnsi="Segoe UI" w:cs="Segoe UI"/>
          <w:color w:val="000000"/>
        </w:rPr>
      </w:pPr>
      <w:proofErr w:type="spellStart"/>
      <w:r>
        <w:rPr>
          <w:rFonts w:ascii="Segoe UI" w:eastAsia="Segoe UI" w:hAnsi="Segoe UI" w:cs="Segoe UI"/>
          <w:color w:val="000000"/>
        </w:rPr>
        <w:t>Yescarta</w:t>
      </w:r>
      <w:proofErr w:type="spellEnd"/>
      <w:r>
        <w:rPr>
          <w:rFonts w:ascii="Segoe UI" w:eastAsia="Segoe UI" w:hAnsi="Segoe UI" w:cs="Segoe UI"/>
          <w:color w:val="000000"/>
        </w:rPr>
        <w:t>™ (axicabtagene ciloleucel)</w:t>
      </w:r>
    </w:p>
    <w:p w14:paraId="585C9644" w14:textId="77777777" w:rsidR="00886115" w:rsidRPr="00886115" w:rsidRDefault="00886115" w:rsidP="00886115">
      <w:pPr>
        <w:pStyle w:val="Heading2"/>
        <w:rPr>
          <w:rFonts w:ascii="Segoe UI" w:hAnsi="Segoe UI" w:cs="Segoe UI"/>
          <w:b/>
          <w:bCs/>
          <w:sz w:val="24"/>
          <w:szCs w:val="24"/>
        </w:rPr>
      </w:pPr>
      <w:r w:rsidRPr="00886115">
        <w:rPr>
          <w:rFonts w:ascii="Segoe UI" w:hAnsi="Segoe UI" w:cs="Segoe UI"/>
          <w:b/>
          <w:bCs/>
          <w:sz w:val="24"/>
          <w:szCs w:val="24"/>
        </w:rPr>
        <w:t>Comparator</w:t>
      </w:r>
    </w:p>
    <w:p w14:paraId="72FD8312" w14:textId="77777777" w:rsidR="00886115" w:rsidRPr="0010048D" w:rsidRDefault="00886115" w:rsidP="00886115">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29A379D"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Standard of Care (SoC), represented by a ‘basket’ of anti CD20 monotherapy, anti CD20 therapy in combination with chemotherapy and chemotherapy regimens.</w:t>
      </w:r>
      <w:r>
        <w:rPr>
          <w:rFonts w:ascii="Segoe UI" w:eastAsia="Segoe UI" w:hAnsi="Segoe UI" w:cs="Segoe UI"/>
          <w:color w:val="000000"/>
        </w:rPr>
        <w:br/>
        <w:t>Standard of Care requires administration by intravenous infusion. This would take place in outpatient clinics and is funded through MBS item 13950.</w:t>
      </w:r>
    </w:p>
    <w:p w14:paraId="71542F10" w14:textId="77777777" w:rsidR="00886115" w:rsidRPr="00886115" w:rsidRDefault="00886115" w:rsidP="00886115">
      <w:pPr>
        <w:pStyle w:val="Heading2"/>
        <w:rPr>
          <w:rFonts w:ascii="Segoe UI" w:hAnsi="Segoe UI" w:cs="Segoe UI"/>
          <w:b/>
          <w:bCs/>
          <w:sz w:val="24"/>
          <w:szCs w:val="24"/>
        </w:rPr>
      </w:pPr>
      <w:r w:rsidRPr="00886115">
        <w:rPr>
          <w:rFonts w:ascii="Segoe UI" w:hAnsi="Segoe UI" w:cs="Segoe UI"/>
          <w:b/>
          <w:bCs/>
          <w:sz w:val="24"/>
          <w:szCs w:val="24"/>
        </w:rPr>
        <w:t>Outcomes</w:t>
      </w:r>
    </w:p>
    <w:p w14:paraId="459E7F63" w14:textId="77777777" w:rsidR="00886115" w:rsidRPr="0010048D" w:rsidRDefault="00886115" w:rsidP="00886115">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6C89CC35"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 xml:space="preserve">Not applicable. </w:t>
      </w:r>
      <w:proofErr w:type="spellStart"/>
      <w:r>
        <w:rPr>
          <w:rFonts w:ascii="Segoe UI" w:eastAsia="Segoe UI" w:hAnsi="Segoe UI" w:cs="Segoe UI"/>
          <w:color w:val="000000"/>
        </w:rPr>
        <w:t>Yescarta</w:t>
      </w:r>
      <w:proofErr w:type="spellEnd"/>
      <w:r>
        <w:rPr>
          <w:rFonts w:ascii="Segoe UI" w:eastAsia="Segoe UI" w:hAnsi="Segoe UI" w:cs="Segoe UI"/>
          <w:color w:val="000000"/>
        </w:rPr>
        <w:t xml:space="preserve"> is not a test used for diagnostic or risk assessment purposes.</w:t>
      </w:r>
    </w:p>
    <w:p w14:paraId="5F2596D0" w14:textId="77777777" w:rsidR="003512C4" w:rsidRPr="003512C4" w:rsidRDefault="003512C4" w:rsidP="003512C4">
      <w:pPr>
        <w:pStyle w:val="Heading2"/>
        <w:rPr>
          <w:rFonts w:ascii="Segoe UI" w:hAnsi="Segoe UI" w:cs="Segoe UI"/>
          <w:b/>
          <w:bCs/>
          <w:sz w:val="24"/>
          <w:szCs w:val="24"/>
        </w:rPr>
      </w:pPr>
      <w:r w:rsidRPr="003512C4">
        <w:rPr>
          <w:rFonts w:ascii="Segoe UI" w:hAnsi="Segoe UI" w:cs="Segoe UI"/>
          <w:b/>
          <w:bCs/>
          <w:sz w:val="24"/>
          <w:szCs w:val="24"/>
        </w:rPr>
        <w:t xml:space="preserve">Specified restrictions for funding </w:t>
      </w:r>
    </w:p>
    <w:p w14:paraId="4E422200" w14:textId="77777777" w:rsidR="003512C4" w:rsidRDefault="003512C4" w:rsidP="00886115">
      <w:pPr>
        <w:rPr>
          <w:rFonts w:ascii="Segoe UI" w:eastAsia="Segoe UI" w:hAnsi="Segoe UI" w:cs="Segoe UI"/>
          <w:b/>
          <w:color w:val="000000"/>
        </w:rPr>
      </w:pPr>
      <w:r w:rsidRPr="003512C4">
        <w:rPr>
          <w:rFonts w:ascii="Segoe UI" w:eastAsia="Segoe UI" w:hAnsi="Segoe UI" w:cs="Segoe UI"/>
          <w:b/>
          <w:color w:val="000000"/>
        </w:rPr>
        <w:t>Please add one or more items, with specified restriction for funding, for each Population / Intervention:</w:t>
      </w:r>
    </w:p>
    <w:p w14:paraId="7A546B2C" w14:textId="77777777" w:rsidR="003512C4" w:rsidRDefault="003512C4" w:rsidP="003512C4">
      <w:pPr>
        <w:rPr>
          <w:rFonts w:ascii="Segoe UI" w:hAnsi="Segoe UI" w:cs="Segoe UI"/>
          <w:b/>
        </w:rPr>
      </w:pPr>
      <w:r w:rsidRPr="0010048D">
        <w:rPr>
          <w:rFonts w:ascii="Segoe UI" w:hAnsi="Segoe UI" w:cs="Segoe UI"/>
          <w:b/>
        </w:rPr>
        <w:t>Proposed item:</w:t>
      </w:r>
      <w:r>
        <w:rPr>
          <w:rFonts w:ascii="Segoe UI" w:hAnsi="Segoe UI" w:cs="Segoe UI"/>
          <w:b/>
        </w:rPr>
        <w:t xml:space="preserve"> </w:t>
      </w:r>
    </w:p>
    <w:p w14:paraId="52BE77A8" w14:textId="1518FAA6" w:rsidR="003512C4" w:rsidRDefault="003512C4" w:rsidP="003512C4">
      <w:pPr>
        <w:rPr>
          <w:rFonts w:ascii="Segoe UI" w:hAnsi="Segoe UI" w:cs="Segoe UI"/>
          <w:bCs/>
        </w:rPr>
      </w:pPr>
      <w:r>
        <w:rPr>
          <w:rFonts w:ascii="Segoe UI" w:hAnsi="Segoe UI" w:cs="Segoe UI"/>
          <w:bCs/>
        </w:rPr>
        <w:t>AAAAA</w:t>
      </w:r>
    </w:p>
    <w:p w14:paraId="0D42E730" w14:textId="77777777" w:rsidR="003512C4" w:rsidRDefault="003512C4" w:rsidP="003512C4">
      <w:pPr>
        <w:rPr>
          <w:rFonts w:ascii="Segoe UI" w:hAnsi="Segoe UI" w:cs="Segoe UI"/>
          <w:b/>
        </w:rPr>
      </w:pPr>
      <w:r w:rsidRPr="003512C4">
        <w:rPr>
          <w:rFonts w:ascii="Segoe UI" w:hAnsi="Segoe UI" w:cs="Segoe UI"/>
          <w:b/>
        </w:rPr>
        <w:t xml:space="preserve">Is the proposed item restricted: </w:t>
      </w:r>
    </w:p>
    <w:p w14:paraId="3B7CCF73" w14:textId="13A07205" w:rsidR="003512C4" w:rsidRDefault="003512C4" w:rsidP="003512C4">
      <w:pPr>
        <w:rPr>
          <w:rFonts w:ascii="Segoe UI" w:eastAsia="Segoe UI" w:hAnsi="Segoe UI"/>
          <w:color w:val="000000"/>
          <w:sz w:val="22"/>
        </w:rPr>
      </w:pPr>
      <w:r>
        <w:rPr>
          <w:rFonts w:ascii="Segoe UI" w:eastAsia="Segoe UI" w:hAnsi="Segoe UI"/>
          <w:color w:val="000000"/>
          <w:sz w:val="22"/>
        </w:rPr>
        <w:t>Yes – restricted</w:t>
      </w:r>
    </w:p>
    <w:p w14:paraId="2D80AD8F" w14:textId="77777777" w:rsidR="003512C4" w:rsidRDefault="003512C4" w:rsidP="003512C4">
      <w:pPr>
        <w:rPr>
          <w:rFonts w:ascii="Segoe UI" w:hAnsi="Segoe UI" w:cs="Segoe UI"/>
          <w:b/>
        </w:rPr>
      </w:pPr>
      <w:r w:rsidRPr="003512C4">
        <w:rPr>
          <w:rFonts w:ascii="Segoe UI" w:hAnsi="Segoe UI" w:cs="Segoe UI"/>
          <w:b/>
        </w:rPr>
        <w:t>Provide a short description of the restriction:</w:t>
      </w:r>
      <w:r>
        <w:rPr>
          <w:rFonts w:ascii="Segoe UI" w:hAnsi="Segoe UI" w:cs="Segoe UI"/>
          <w:b/>
        </w:rPr>
        <w:t xml:space="preserve"> </w:t>
      </w:r>
    </w:p>
    <w:p w14:paraId="6E108582" w14:textId="599468AD" w:rsidR="003512C4" w:rsidRDefault="003512C4" w:rsidP="003512C4">
      <w:pPr>
        <w:rPr>
          <w:rFonts w:ascii="Segoe UI" w:eastAsia="Segoe UI" w:hAnsi="Segoe UI"/>
          <w:color w:val="000000"/>
          <w:sz w:val="22"/>
        </w:rPr>
      </w:pPr>
      <w:r>
        <w:rPr>
          <w:rFonts w:ascii="Segoe UI" w:eastAsia="Segoe UI" w:hAnsi="Segoe UI"/>
          <w:color w:val="000000"/>
          <w:sz w:val="22"/>
        </w:rPr>
        <w:t>Patients who have relapsed/refractory follicular lymphoma who have failed at least 2 lines of therapy</w:t>
      </w:r>
    </w:p>
    <w:p w14:paraId="0AF84555" w14:textId="77777777" w:rsidR="003512C4" w:rsidRDefault="003512C4" w:rsidP="003512C4">
      <w:pPr>
        <w:rPr>
          <w:rFonts w:ascii="Segoe UI" w:hAnsi="Segoe UI" w:cs="Segoe UI"/>
          <w:b/>
        </w:rPr>
      </w:pPr>
      <w:r w:rsidRPr="003512C4">
        <w:rPr>
          <w:rFonts w:ascii="Segoe UI" w:hAnsi="Segoe UI" w:cs="Segoe UI"/>
          <w:b/>
        </w:rPr>
        <w:t>Proposed price of supply:</w:t>
      </w:r>
      <w:r>
        <w:rPr>
          <w:rFonts w:ascii="Segoe UI" w:hAnsi="Segoe UI" w:cs="Segoe UI"/>
          <w:b/>
        </w:rPr>
        <w:t xml:space="preserve"> </w:t>
      </w:r>
    </w:p>
    <w:p w14:paraId="16BE7E2A" w14:textId="5AABC6D8" w:rsidR="003512C4" w:rsidRDefault="003512C4" w:rsidP="003512C4">
      <w:pPr>
        <w:rPr>
          <w:rFonts w:ascii="Segoe UI" w:eastAsia="Segoe UI" w:hAnsi="Segoe UI"/>
          <w:color w:val="000000"/>
          <w:sz w:val="22"/>
        </w:rPr>
      </w:pPr>
      <w:r w:rsidRPr="004D7A71">
        <w:rPr>
          <w:rFonts w:ascii="Segoe UI" w:eastAsia="Segoe UI" w:hAnsi="Segoe UI"/>
          <w:color w:val="000000"/>
          <w:sz w:val="22"/>
          <w:highlight w:val="yellow"/>
        </w:rPr>
        <w:t>Redacted</w:t>
      </w:r>
    </w:p>
    <w:p w14:paraId="07A0CAF0" w14:textId="77777777" w:rsidR="003512C4" w:rsidRPr="003512C4" w:rsidRDefault="003512C4" w:rsidP="003512C4">
      <w:pPr>
        <w:rPr>
          <w:rFonts w:ascii="Segoe UI" w:hAnsi="Segoe UI" w:cs="Segoe UI"/>
          <w:b/>
        </w:rPr>
      </w:pPr>
      <w:r w:rsidRPr="003512C4">
        <w:rPr>
          <w:rFonts w:ascii="Segoe UI" w:hAnsi="Segoe UI" w:cs="Segoe UI"/>
          <w:b/>
        </w:rPr>
        <w:t>Indicate the overall cost per patient of providing the proposed health technology:</w:t>
      </w:r>
    </w:p>
    <w:p w14:paraId="7FE4CD31" w14:textId="3E960FA9" w:rsidR="003512C4" w:rsidRDefault="003512C4" w:rsidP="003512C4">
      <w:pPr>
        <w:rPr>
          <w:rFonts w:ascii="Segoe UI" w:eastAsia="Segoe UI" w:hAnsi="Segoe UI"/>
          <w:color w:val="000000"/>
          <w:sz w:val="22"/>
        </w:rPr>
      </w:pPr>
      <w:r w:rsidRPr="004D7A71">
        <w:rPr>
          <w:rFonts w:ascii="Segoe UI" w:eastAsia="Segoe UI" w:hAnsi="Segoe UI"/>
          <w:color w:val="000000"/>
          <w:sz w:val="22"/>
          <w:highlight w:val="yellow"/>
        </w:rPr>
        <w:t>Redacted</w:t>
      </w:r>
    </w:p>
    <w:p w14:paraId="67237798" w14:textId="542944D2"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56AFF60F" w14:textId="4A2E59FD" w:rsidR="00886115" w:rsidRPr="0010048D" w:rsidRDefault="00886115" w:rsidP="00886115">
      <w:pPr>
        <w:rPr>
          <w:rFonts w:ascii="Segoe UI" w:eastAsia="Segoe UI" w:hAnsi="Segoe UI" w:cs="Segoe UI"/>
          <w:color w:val="000000"/>
        </w:rPr>
      </w:pPr>
      <w:proofErr w:type="spellStart"/>
      <w:r>
        <w:rPr>
          <w:rFonts w:ascii="Segoe UI" w:eastAsia="Segoe UI" w:hAnsi="Segoe UI" w:cs="Segoe UI"/>
          <w:color w:val="000000"/>
        </w:rPr>
        <w:t>Yescarta</w:t>
      </w:r>
      <w:proofErr w:type="spellEnd"/>
      <w:r>
        <w:rPr>
          <w:rFonts w:ascii="Segoe UI" w:eastAsia="Segoe UI" w:hAnsi="Segoe UI" w:cs="Segoe UI"/>
          <w:color w:val="000000"/>
        </w:rPr>
        <w:t xml:space="preserve"> is not currently funded for the treatment of patients with relapsed or refractory follicular lymphoma.</w:t>
      </w:r>
      <w:r>
        <w:rPr>
          <w:rFonts w:ascii="Segoe UI" w:eastAsia="Segoe UI" w:hAnsi="Segoe UI" w:cs="Segoe UI"/>
          <w:color w:val="000000"/>
        </w:rPr>
        <w:br/>
      </w:r>
      <w:proofErr w:type="spellStart"/>
      <w:r>
        <w:rPr>
          <w:rFonts w:ascii="Segoe UI" w:eastAsia="Segoe UI" w:hAnsi="Segoe UI" w:cs="Segoe UI"/>
          <w:color w:val="000000"/>
        </w:rPr>
        <w:t>Yescarta</w:t>
      </w:r>
      <w:proofErr w:type="spellEnd"/>
      <w:r>
        <w:rPr>
          <w:rFonts w:ascii="Segoe UI" w:eastAsia="Segoe UI" w:hAnsi="Segoe UI" w:cs="Segoe UI"/>
          <w:color w:val="000000"/>
        </w:rPr>
        <w:t xml:space="preserve"> is currently funded for the treatment of adults relapsed or refractory large B-cell lymphoma through the National Health Reform Agreement Addendum (Highly Specialised Therapies).</w:t>
      </w:r>
    </w:p>
    <w:p w14:paraId="377F703F" w14:textId="77777777" w:rsidR="00886115" w:rsidRPr="003512C4" w:rsidRDefault="00886115" w:rsidP="00886115">
      <w:pPr>
        <w:pStyle w:val="Heading2"/>
        <w:rPr>
          <w:rFonts w:ascii="Segoe UI" w:hAnsi="Segoe UI" w:cs="Segoe UI"/>
          <w:b/>
          <w:bCs/>
          <w:sz w:val="24"/>
          <w:szCs w:val="24"/>
        </w:rPr>
      </w:pPr>
      <w:r w:rsidRPr="003512C4">
        <w:rPr>
          <w:rFonts w:ascii="Segoe UI" w:hAnsi="Segoe UI" w:cs="Segoe UI"/>
          <w:b/>
          <w:bCs/>
          <w:sz w:val="24"/>
          <w:szCs w:val="24"/>
        </w:rPr>
        <w:t>Claims</w:t>
      </w:r>
    </w:p>
    <w:p w14:paraId="2F01EFB6"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7855F640"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Superior</w:t>
      </w:r>
    </w:p>
    <w:p w14:paraId="14D4ECFD"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47946393"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Claim is based on the indirect comparison between ZUMA-5 study and the external cohort SCHOLAR-5 study.  Additional data for ZUMA-5 is now available with a data cut-off of 60 months.</w:t>
      </w:r>
    </w:p>
    <w:p w14:paraId="22BCEB0D" w14:textId="77777777" w:rsidR="00886115" w:rsidRPr="003512C4" w:rsidRDefault="00886115" w:rsidP="00886115">
      <w:pPr>
        <w:pStyle w:val="Heading2"/>
        <w:rPr>
          <w:rFonts w:ascii="Segoe UI" w:hAnsi="Segoe UI" w:cs="Segoe UI"/>
          <w:b/>
          <w:bCs/>
          <w:sz w:val="24"/>
          <w:szCs w:val="24"/>
        </w:rPr>
      </w:pPr>
      <w:r w:rsidRPr="003512C4">
        <w:rPr>
          <w:rFonts w:ascii="Segoe UI" w:hAnsi="Segoe UI" w:cs="Segoe UI"/>
          <w:b/>
          <w:bCs/>
          <w:sz w:val="24"/>
          <w:szCs w:val="24"/>
        </w:rPr>
        <w:t>Estimated utilisation</w:t>
      </w:r>
    </w:p>
    <w:p w14:paraId="449213BC"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330BEE1C" w14:textId="1B928C4C" w:rsidR="00886115" w:rsidRPr="0010048D" w:rsidRDefault="00886115" w:rsidP="00886115">
      <w:pPr>
        <w:rPr>
          <w:rFonts w:ascii="Segoe UI" w:eastAsia="Segoe UI" w:hAnsi="Segoe UI" w:cs="Segoe UI"/>
          <w:color w:val="000000"/>
        </w:rPr>
      </w:pPr>
      <w:r>
        <w:rPr>
          <w:rFonts w:ascii="Segoe UI" w:eastAsia="Segoe UI" w:hAnsi="Segoe UI" w:cs="Segoe UI"/>
          <w:color w:val="000000"/>
        </w:rPr>
        <w:t xml:space="preserve">In 2023 it was estimated that less than 200 adult patients with Grade 1, Grade 2 or Grade 3a follicular lymphoma that commenced second line therapy within 24 months of diagnosis. This patient cohort would become eligible for </w:t>
      </w:r>
      <w:proofErr w:type="spellStart"/>
      <w:r>
        <w:rPr>
          <w:rFonts w:ascii="Segoe UI" w:eastAsia="Segoe UI" w:hAnsi="Segoe UI" w:cs="Segoe UI"/>
          <w:color w:val="000000"/>
        </w:rPr>
        <w:t>Yescarta</w:t>
      </w:r>
      <w:proofErr w:type="spellEnd"/>
      <w:r>
        <w:rPr>
          <w:rFonts w:ascii="Segoe UI" w:eastAsia="Segoe UI" w:hAnsi="Segoe UI" w:cs="Segoe UI"/>
          <w:color w:val="000000"/>
        </w:rPr>
        <w:t xml:space="preserve"> upon developing relapsed or refractory disease after their second line therapy.</w:t>
      </w:r>
    </w:p>
    <w:p w14:paraId="6BBA87B4"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6DF4F4EE"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69654811"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to be provided</w:t>
      </w:r>
    </w:p>
    <w:p w14:paraId="6D8AACE2"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7C174BD7"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to be provided</w:t>
      </w:r>
    </w:p>
    <w:p w14:paraId="24C56D1F"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44F7F509"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to be provided</w:t>
      </w:r>
    </w:p>
    <w:p w14:paraId="77802BA3"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0B171676"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to be provided</w:t>
      </w:r>
    </w:p>
    <w:p w14:paraId="0FC5654B"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22CB991B" w14:textId="77777777" w:rsidR="00886115" w:rsidRPr="0010048D" w:rsidRDefault="00886115" w:rsidP="00886115">
      <w:pPr>
        <w:rPr>
          <w:rFonts w:ascii="Segoe UI" w:eastAsia="Segoe UI" w:hAnsi="Segoe UI" w:cs="Segoe UI"/>
          <w:color w:val="000000"/>
        </w:rPr>
      </w:pPr>
      <w:r>
        <w:rPr>
          <w:rFonts w:ascii="Segoe UI" w:eastAsia="Segoe UI" w:hAnsi="Segoe UI" w:cs="Segoe UI"/>
          <w:color w:val="000000"/>
        </w:rPr>
        <w:t>Less than 200</w:t>
      </w:r>
    </w:p>
    <w:p w14:paraId="77BD76C0"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A818AB4" w14:textId="77777777" w:rsidR="00886115" w:rsidRPr="0010048D" w:rsidRDefault="00886115" w:rsidP="00886115">
      <w:pPr>
        <w:rPr>
          <w:rFonts w:ascii="Segoe UI" w:eastAsia="Segoe UI" w:hAnsi="Segoe UI" w:cs="Segoe UI"/>
          <w:color w:val="000000"/>
        </w:rPr>
      </w:pPr>
    </w:p>
    <w:p w14:paraId="16B2E50C" w14:textId="77777777" w:rsidR="00886115" w:rsidRPr="0010048D" w:rsidRDefault="00886115" w:rsidP="00886115">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794FDA3E" w14:textId="601CFF99" w:rsidR="00886115" w:rsidRPr="003512C4" w:rsidRDefault="00886115" w:rsidP="00133449">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2456CDC0" w14:textId="77777777" w:rsidR="003512C4" w:rsidRPr="001B4E28" w:rsidRDefault="003512C4" w:rsidP="003512C4">
      <w:pPr>
        <w:rPr>
          <w:rFonts w:ascii="Segoe UI" w:hAnsi="Segoe UI" w:cs="Segoe UI"/>
          <w:b/>
        </w:rPr>
      </w:pPr>
      <w:r w:rsidRPr="001B4E28">
        <w:rPr>
          <w:rFonts w:ascii="Segoe UI" w:hAnsi="Segoe UI" w:cs="Segoe UI"/>
          <w:b/>
        </w:rPr>
        <w:t>Entit</w:t>
      </w:r>
      <w:r>
        <w:rPr>
          <w:rFonts w:ascii="Segoe UI" w:hAnsi="Segoe UI" w:cs="Segoe UI"/>
          <w:b/>
        </w:rPr>
        <w:t>ies</w:t>
      </w:r>
      <w:r w:rsidRPr="001B4E28">
        <w:rPr>
          <w:rFonts w:ascii="Segoe UI" w:hAnsi="Segoe UI" w:cs="Segoe UI"/>
          <w:b/>
        </w:rPr>
        <w:t xml:space="preserve"> who provide the health technology/service</w:t>
      </w:r>
    </w:p>
    <w:p w14:paraId="5D1D5F13" w14:textId="77777777" w:rsidR="000E2250" w:rsidRDefault="000E2250" w:rsidP="000E2250">
      <w:pPr>
        <w:rPr>
          <w:rFonts w:ascii="Segoe UI" w:hAnsi="Segoe UI" w:cs="Segoe UI"/>
          <w:bCs/>
        </w:rPr>
      </w:pPr>
      <w:r>
        <w:rPr>
          <w:rFonts w:ascii="Segoe UI" w:hAnsi="Segoe UI" w:cs="Segoe UI"/>
          <w:bCs/>
        </w:rPr>
        <w:t>Australia and New Zealand Transplant and Cellular Therapies society (ANZTCT)</w:t>
      </w:r>
    </w:p>
    <w:p w14:paraId="596A79CF" w14:textId="77777777" w:rsidR="003512C4" w:rsidRDefault="003512C4" w:rsidP="003512C4">
      <w:pPr>
        <w:rPr>
          <w:rFonts w:ascii="Segoe UI" w:hAnsi="Segoe UI" w:cs="Segoe UI"/>
          <w:bCs/>
        </w:rPr>
      </w:pPr>
      <w:r>
        <w:rPr>
          <w:rFonts w:ascii="Segoe UI" w:hAnsi="Segoe UI" w:cs="Segoe UI"/>
          <w:bCs/>
        </w:rPr>
        <w:t>Haematology Society of Australia and New Zealand (HSANZ)</w:t>
      </w:r>
    </w:p>
    <w:p w14:paraId="5DE6CDDC" w14:textId="77777777" w:rsidR="003512C4" w:rsidRDefault="003512C4" w:rsidP="003512C4">
      <w:pPr>
        <w:rPr>
          <w:rFonts w:ascii="Segoe UI" w:hAnsi="Segoe UI" w:cs="Segoe UI"/>
          <w:bCs/>
        </w:rPr>
      </w:pPr>
      <w:r>
        <w:rPr>
          <w:rFonts w:ascii="Segoe UI" w:hAnsi="Segoe UI" w:cs="Segoe UI"/>
          <w:bCs/>
        </w:rPr>
        <w:t>The Australian Leukaemia and Lymphoma Group (ALLG)</w:t>
      </w:r>
    </w:p>
    <w:p w14:paraId="5FF92F73" w14:textId="77777777" w:rsidR="000E2250" w:rsidRDefault="000E2250" w:rsidP="000E2250">
      <w:pPr>
        <w:rPr>
          <w:rFonts w:ascii="Segoe UI" w:hAnsi="Segoe UI" w:cs="Segoe UI"/>
          <w:b/>
        </w:rPr>
      </w:pPr>
      <w:r w:rsidRPr="00203536">
        <w:rPr>
          <w:rFonts w:ascii="Segoe UI" w:hAnsi="Segoe UI" w:cs="Segoe UI"/>
          <w:b/>
        </w:rPr>
        <w:t>Entity who may be impacted by the health technology/service</w:t>
      </w:r>
    </w:p>
    <w:p w14:paraId="3BBE5092" w14:textId="77777777" w:rsidR="00BD4CF9" w:rsidRDefault="00BD4CF9" w:rsidP="00BD4CF9">
      <w:pPr>
        <w:rPr>
          <w:rFonts w:ascii="Segoe UI" w:hAnsi="Segoe UI" w:cs="Segoe UI"/>
          <w:bCs/>
        </w:rPr>
      </w:pPr>
      <w:r>
        <w:rPr>
          <w:rFonts w:ascii="Segoe UI" w:hAnsi="Segoe UI" w:cs="Segoe UI"/>
          <w:bCs/>
        </w:rPr>
        <w:t>Novartis Australia and New Zealand</w:t>
      </w:r>
    </w:p>
    <w:p w14:paraId="0E711C49" w14:textId="72C9EA96" w:rsidR="003512C4" w:rsidRDefault="00203536" w:rsidP="00133449">
      <w:pPr>
        <w:rPr>
          <w:rFonts w:ascii="Segoe UI" w:hAnsi="Segoe UI" w:cs="Segoe UI"/>
          <w:b/>
        </w:rPr>
      </w:pPr>
      <w:r w:rsidRPr="00203536">
        <w:rPr>
          <w:rFonts w:ascii="Segoe UI" w:hAnsi="Segoe UI" w:cs="Segoe UI"/>
          <w:b/>
        </w:rPr>
        <w:t>Entity who produces similar products</w:t>
      </w:r>
    </w:p>
    <w:p w14:paraId="06B0B071" w14:textId="77777777" w:rsidR="00E6316C" w:rsidRDefault="00E6316C" w:rsidP="00E6316C">
      <w:pPr>
        <w:rPr>
          <w:rFonts w:ascii="Segoe UI" w:hAnsi="Segoe UI" w:cs="Segoe UI"/>
          <w:bCs/>
        </w:rPr>
      </w:pPr>
      <w:r>
        <w:rPr>
          <w:rFonts w:ascii="Segoe UI" w:hAnsi="Segoe UI" w:cs="Segoe UI"/>
          <w:bCs/>
        </w:rPr>
        <w:t>Australia and New Zealand Transplant and Cellular Therapies society (ANZTCT)</w:t>
      </w:r>
    </w:p>
    <w:p w14:paraId="4B945DDB" w14:textId="77777777" w:rsidR="00C60F93" w:rsidRDefault="00C60F93" w:rsidP="00C60F93">
      <w:pPr>
        <w:rPr>
          <w:rFonts w:ascii="Segoe UI" w:hAnsi="Segoe UI" w:cs="Segoe UI"/>
          <w:bCs/>
        </w:rPr>
      </w:pPr>
      <w:r>
        <w:rPr>
          <w:rFonts w:ascii="Segoe UI" w:hAnsi="Segoe UI" w:cs="Segoe UI"/>
          <w:bCs/>
        </w:rPr>
        <w:t>Haematology Society of Australia and New Zealand (HSANZ)</w:t>
      </w:r>
    </w:p>
    <w:p w14:paraId="66EF8EB6" w14:textId="77777777" w:rsidR="00C60F93" w:rsidRDefault="00C60F93" w:rsidP="00C60F93">
      <w:pPr>
        <w:rPr>
          <w:rFonts w:ascii="Segoe UI" w:hAnsi="Segoe UI" w:cs="Segoe UI"/>
          <w:bCs/>
        </w:rPr>
      </w:pPr>
      <w:r>
        <w:rPr>
          <w:rFonts w:ascii="Segoe UI" w:hAnsi="Segoe UI" w:cs="Segoe UI"/>
          <w:bCs/>
        </w:rPr>
        <w:t>The Australian Leukaemia and Lymphoma Group (ALLG)</w:t>
      </w:r>
    </w:p>
    <w:p w14:paraId="6C8C1667" w14:textId="3C5E048C" w:rsidR="00203536" w:rsidRDefault="00203536" w:rsidP="00133449">
      <w:pPr>
        <w:rPr>
          <w:rFonts w:ascii="Segoe UI" w:hAnsi="Segoe UI" w:cs="Segoe UI"/>
          <w:b/>
        </w:rPr>
      </w:pPr>
      <w:r w:rsidRPr="00203536">
        <w:rPr>
          <w:rFonts w:ascii="Segoe UI" w:hAnsi="Segoe UI" w:cs="Segoe UI"/>
          <w:b/>
        </w:rPr>
        <w:t>Patient and consumer advocacy organisations relevant to the proposed service/health technology</w:t>
      </w:r>
    </w:p>
    <w:p w14:paraId="01041C04" w14:textId="77777777" w:rsidR="00203536" w:rsidRDefault="00203536" w:rsidP="00203536">
      <w:pPr>
        <w:rPr>
          <w:rFonts w:ascii="Segoe UI" w:hAnsi="Segoe UI" w:cs="Segoe UI"/>
          <w:bCs/>
        </w:rPr>
      </w:pPr>
      <w:r>
        <w:rPr>
          <w:rFonts w:ascii="Segoe UI" w:hAnsi="Segoe UI" w:cs="Segoe UI"/>
          <w:bCs/>
        </w:rPr>
        <w:t>Lymphoma Australia</w:t>
      </w:r>
    </w:p>
    <w:p w14:paraId="2001F271" w14:textId="69D42309" w:rsidR="00133449" w:rsidRPr="000E2250" w:rsidRDefault="00203536" w:rsidP="00133449">
      <w:pPr>
        <w:rPr>
          <w:rFonts w:ascii="Segoe UI" w:hAnsi="Segoe UI" w:cs="Segoe UI"/>
          <w:bCs/>
        </w:rPr>
      </w:pPr>
      <w:r>
        <w:rPr>
          <w:rFonts w:ascii="Segoe UI" w:hAnsi="Segoe UI" w:cs="Segoe UI"/>
          <w:bCs/>
        </w:rPr>
        <w:t>Rare Cancers Australia</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133449" w:rsidRPr="0010048D" w14:paraId="1A5F28AD" w14:textId="77777777" w:rsidTr="0065027C">
        <w:tc>
          <w:tcPr>
            <w:tcW w:w="4507"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400895</w:t>
            </w:r>
          </w:p>
        </w:tc>
        <w:tc>
          <w:tcPr>
            <w:tcW w:w="4508"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 xml:space="preserve">Cellular Therapies - T Cells - Axicabtagene ciloleucel, cryopreserved - T - </w:t>
            </w:r>
            <w:proofErr w:type="spellStart"/>
            <w:r>
              <w:rPr>
                <w:rFonts w:ascii="Segoe UI" w:hAnsi="Segoe UI" w:cs="Segoe UI"/>
                <w:bCs/>
              </w:rPr>
              <w:t>Yescarta</w:t>
            </w:r>
            <w:proofErr w:type="spellEnd"/>
            <w:r>
              <w:rPr>
                <w:rFonts w:ascii="Segoe UI" w:hAnsi="Segoe UI" w:cs="Segoe UI"/>
                <w:bCs/>
              </w:rPr>
              <w:t xml:space="preserve"> - Gilead Sciences Pty Ltd - Injection, intravenous infusion - Bag</w:t>
            </w:r>
          </w:p>
        </w:tc>
      </w:tr>
    </w:tbl>
    <w:p w14:paraId="5E79B719" w14:textId="77777777" w:rsidR="000E2250" w:rsidRDefault="000E2250" w:rsidP="00133449">
      <w:pPr>
        <w:rPr>
          <w:rFonts w:ascii="Segoe UI" w:eastAsia="Segoe UI" w:hAnsi="Segoe UI" w:cs="Segoe UI"/>
          <w:b/>
          <w:color w:val="000000"/>
        </w:rPr>
      </w:pPr>
    </w:p>
    <w:p w14:paraId="7B8DA621" w14:textId="0A50F2A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bookmarkEnd w:id="0"/>
    <w:sectPr w:rsidR="00133449" w:rsidRPr="007C5FA4"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13E7" w14:textId="77777777" w:rsidR="00A51977" w:rsidRDefault="00A51977">
      <w:pPr>
        <w:spacing w:after="0" w:line="240" w:lineRule="auto"/>
      </w:pPr>
      <w:r>
        <w:separator/>
      </w:r>
    </w:p>
  </w:endnote>
  <w:endnote w:type="continuationSeparator" w:id="0">
    <w:p w14:paraId="37616CAA" w14:textId="77777777" w:rsidR="00A51977" w:rsidRDefault="00A5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0C04" w14:textId="77777777" w:rsidR="00BE0D18" w:rsidRDefault="00BE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1B376D" w:rsidRDefault="000E22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1B376D" w:rsidRDefault="001B376D">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64EF" w14:textId="77777777" w:rsidR="00BE0D18" w:rsidRDefault="00BE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DE4A" w14:textId="77777777" w:rsidR="00A51977" w:rsidRDefault="00A51977">
      <w:pPr>
        <w:spacing w:after="0" w:line="240" w:lineRule="auto"/>
      </w:pPr>
      <w:r>
        <w:separator/>
      </w:r>
    </w:p>
  </w:footnote>
  <w:footnote w:type="continuationSeparator" w:id="0">
    <w:p w14:paraId="57DA5CBD" w14:textId="77777777" w:rsidR="00A51977" w:rsidRDefault="00A5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31B0" w14:textId="77777777" w:rsidR="00BE0D18" w:rsidRDefault="00BE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1B376D" w:rsidRDefault="000E225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3ED1" w14:textId="77777777" w:rsidR="00BE0D18" w:rsidRDefault="00BE0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823DF"/>
    <w:rsid w:val="000E2250"/>
    <w:rsid w:val="00133449"/>
    <w:rsid w:val="001B376D"/>
    <w:rsid w:val="00203536"/>
    <w:rsid w:val="0030067A"/>
    <w:rsid w:val="003512C4"/>
    <w:rsid w:val="00473295"/>
    <w:rsid w:val="00634E9C"/>
    <w:rsid w:val="00886115"/>
    <w:rsid w:val="00887431"/>
    <w:rsid w:val="008B5A06"/>
    <w:rsid w:val="009F4336"/>
    <w:rsid w:val="00A078AA"/>
    <w:rsid w:val="00A51977"/>
    <w:rsid w:val="00AD1FAF"/>
    <w:rsid w:val="00BD4CF9"/>
    <w:rsid w:val="00BE0D18"/>
    <w:rsid w:val="00C60F93"/>
    <w:rsid w:val="00D932B0"/>
    <w:rsid w:val="00E63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unhideWhenUsed/>
    <w:qFormat/>
    <w:rsid w:val="0088611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styleId="PlaceholderText">
    <w:name w:val="Placeholder Text"/>
    <w:basedOn w:val="DefaultParagraphFont"/>
    <w:uiPriority w:val="99"/>
    <w:semiHidden/>
    <w:rsid w:val="00887431"/>
    <w:rPr>
      <w:color w:val="666666"/>
    </w:rPr>
  </w:style>
  <w:style w:type="character" w:customStyle="1" w:styleId="Heading2Char">
    <w:name w:val="Heading 2 Char"/>
    <w:basedOn w:val="DefaultParagraphFont"/>
    <w:link w:val="Heading2"/>
    <w:uiPriority w:val="9"/>
    <w:rsid w:val="00886115"/>
    <w:rPr>
      <w:rFonts w:asciiTheme="majorHAnsi" w:eastAsiaTheme="majorEastAsia" w:hAnsiTheme="majorHAnsi" w:cstheme="majorBidi"/>
      <w:color w:val="0F4761" w:themeColor="accent1" w:themeShade="BF"/>
      <w:sz w:val="26"/>
      <w:szCs w:val="26"/>
    </w:rPr>
  </w:style>
  <w:style w:type="paragraph" w:styleId="Revision">
    <w:name w:val="Revision"/>
    <w:hidden/>
    <w:uiPriority w:val="99"/>
    <w:semiHidden/>
    <w:rsid w:val="00BD4CF9"/>
    <w:pPr>
      <w:spacing w:after="0" w:line="240" w:lineRule="auto"/>
    </w:pPr>
  </w:style>
  <w:style w:type="paragraph" w:styleId="Header">
    <w:name w:val="header"/>
    <w:basedOn w:val="Normal"/>
    <w:link w:val="HeaderChar"/>
    <w:uiPriority w:val="99"/>
    <w:unhideWhenUsed/>
    <w:rsid w:val="00BE0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2025-02-18T00:51:00Z</dcterms:created>
  <dcterms:modified xsi:type="dcterms:W3CDTF">2025-02-18T00:51:00Z</dcterms:modified>
</cp:coreProperties>
</file>