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7CB21" w14:textId="645E85A4" w:rsidR="00435EB2" w:rsidRPr="000260E8" w:rsidRDefault="00435EB2" w:rsidP="00435EB2">
      <w:pPr>
        <w:pStyle w:val="Heading1"/>
        <w:numPr>
          <w:ilvl w:val="0"/>
          <w:numId w:val="0"/>
        </w:numPr>
        <w:spacing w:before="0" w:after="360"/>
        <w:ind w:left="788"/>
        <w:jc w:val="center"/>
        <w:rPr>
          <w:rFonts w:ascii="Arial" w:hAnsi="Arial" w:cs="Arial"/>
          <w:b/>
          <w:bCs w:val="0"/>
          <w:color w:val="000080"/>
          <w:sz w:val="36"/>
          <w:szCs w:val="36"/>
        </w:rPr>
      </w:pPr>
      <w:bookmarkStart w:id="0" w:name="_Ref169517843"/>
      <w:bookmarkEnd w:id="0"/>
      <w:r w:rsidRPr="000260E8">
        <w:rPr>
          <w:rFonts w:ascii="Arial" w:hAnsi="Arial" w:cs="Arial"/>
          <w:b/>
          <w:bCs w:val="0"/>
          <w:color w:val="000080"/>
          <w:sz w:val="36"/>
          <w:szCs w:val="36"/>
        </w:rPr>
        <w:t>Medical Services Advisory Committee (MSAC)</w:t>
      </w:r>
      <w:r w:rsidRPr="000260E8">
        <w:rPr>
          <w:rFonts w:ascii="Arial" w:hAnsi="Arial" w:cs="Arial"/>
          <w:b/>
          <w:bCs w:val="0"/>
          <w:color w:val="000080"/>
          <w:sz w:val="36"/>
          <w:szCs w:val="36"/>
        </w:rPr>
        <w:br/>
        <w:t>Public Summary Document</w:t>
      </w:r>
    </w:p>
    <w:p w14:paraId="55419F67" w14:textId="42D08E34" w:rsidR="00ED42D6" w:rsidRDefault="00ED42D6" w:rsidP="00ED42D6">
      <w:pPr>
        <w:spacing w:after="240"/>
        <w:jc w:val="center"/>
        <w:rPr>
          <w:rFonts w:ascii="Arial" w:hAnsi="Arial" w:cs="Arial"/>
          <w:b/>
          <w:bCs/>
          <w:i/>
          <w:color w:val="000080"/>
          <w:sz w:val="28"/>
          <w:szCs w:val="28"/>
        </w:rPr>
      </w:pPr>
      <w:r w:rsidRPr="0044058B">
        <w:rPr>
          <w:rFonts w:ascii="Arial" w:hAnsi="Arial" w:cs="Arial"/>
          <w:b/>
          <w:bCs/>
          <w:i/>
          <w:color w:val="000080"/>
          <w:sz w:val="28"/>
          <w:szCs w:val="28"/>
        </w:rPr>
        <w:t xml:space="preserve">Application No. </w:t>
      </w:r>
      <w:r w:rsidRPr="005B7371">
        <w:rPr>
          <w:rFonts w:ascii="Arial" w:hAnsi="Arial" w:cs="Arial"/>
          <w:b/>
          <w:bCs/>
          <w:i/>
          <w:color w:val="000080"/>
          <w:sz w:val="28"/>
          <w:szCs w:val="28"/>
        </w:rPr>
        <w:t xml:space="preserve">1750 – Testing of tumour tissue to detect IDH1 mutations in patients with cholangiocarcinoma to determine eligibility for </w:t>
      </w:r>
      <w:proofErr w:type="spellStart"/>
      <w:r w:rsidRPr="005B7371">
        <w:rPr>
          <w:rFonts w:ascii="Arial" w:hAnsi="Arial" w:cs="Arial"/>
          <w:b/>
          <w:bCs/>
          <w:i/>
          <w:color w:val="000080"/>
          <w:sz w:val="28"/>
          <w:szCs w:val="28"/>
        </w:rPr>
        <w:t>ivosidenib</w:t>
      </w:r>
      <w:proofErr w:type="spellEnd"/>
      <w:r w:rsidRPr="005B7371">
        <w:rPr>
          <w:rFonts w:ascii="Arial" w:hAnsi="Arial" w:cs="Arial"/>
          <w:b/>
          <w:bCs/>
          <w:i/>
          <w:color w:val="000080"/>
          <w:sz w:val="28"/>
          <w:szCs w:val="28"/>
        </w:rPr>
        <w:t xml:space="preserve"> on the Pharmac</w:t>
      </w:r>
      <w:r>
        <w:rPr>
          <w:rFonts w:ascii="Arial" w:hAnsi="Arial" w:cs="Arial"/>
          <w:b/>
          <w:bCs/>
          <w:i/>
          <w:color w:val="000080"/>
          <w:sz w:val="28"/>
          <w:szCs w:val="28"/>
        </w:rPr>
        <w:t>e</w:t>
      </w:r>
      <w:r w:rsidRPr="005B7371">
        <w:rPr>
          <w:rFonts w:ascii="Arial" w:hAnsi="Arial" w:cs="Arial"/>
          <w:b/>
          <w:bCs/>
          <w:i/>
          <w:color w:val="000080"/>
          <w:sz w:val="28"/>
          <w:szCs w:val="28"/>
        </w:rPr>
        <w:t>utical Benefits Scheme</w:t>
      </w:r>
    </w:p>
    <w:p w14:paraId="22CF6387" w14:textId="524E6F59" w:rsidR="00BC1364" w:rsidRPr="00F715D1" w:rsidRDefault="00B35595" w:rsidP="000A5FAF">
      <w:pPr>
        <w:tabs>
          <w:tab w:val="left" w:pos="3686"/>
        </w:tabs>
        <w:spacing w:before="360"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F15280">
        <w:rPr>
          <w:rFonts w:ascii="Arial" w:hAnsi="Arial" w:cs="Arial"/>
          <w:b/>
          <w:szCs w:val="24"/>
        </w:rPr>
        <w:tab/>
      </w:r>
      <w:r w:rsidR="00F15280" w:rsidRPr="008F5246">
        <w:rPr>
          <w:rFonts w:ascii="Arial" w:hAnsi="Arial" w:cs="Arial"/>
          <w:b/>
        </w:rPr>
        <w:t>Servier Laboratories (Aust.) Pty. Ltd.</w:t>
      </w:r>
    </w:p>
    <w:p w14:paraId="0929F196" w14:textId="494AB6AA" w:rsidR="00BC1364" w:rsidRPr="00F715D1" w:rsidRDefault="00BC1364" w:rsidP="006370ED">
      <w:pPr>
        <w:tabs>
          <w:tab w:val="left" w:pos="3420"/>
        </w:tabs>
        <w:spacing w:before="240"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bookmarkStart w:id="1" w:name="_Hlk89076073"/>
      <w:r w:rsidR="00F15280">
        <w:rPr>
          <w:rFonts w:ascii="Arial" w:hAnsi="Arial" w:cs="Arial"/>
          <w:b/>
          <w:szCs w:val="24"/>
        </w:rPr>
        <w:tab/>
      </w:r>
      <w:r w:rsidR="006370ED">
        <w:rPr>
          <w:rFonts w:ascii="Arial" w:hAnsi="Arial" w:cs="Arial"/>
          <w:b/>
          <w:szCs w:val="24"/>
        </w:rPr>
        <w:t>2</w:t>
      </w:r>
      <w:r w:rsidR="00B875D2">
        <w:rPr>
          <w:rFonts w:ascii="Arial" w:hAnsi="Arial" w:cs="Arial"/>
          <w:b/>
          <w:szCs w:val="24"/>
        </w:rPr>
        <w:t>9</w:t>
      </w:r>
      <w:r w:rsidR="006370ED">
        <w:rPr>
          <w:rFonts w:ascii="Arial" w:hAnsi="Arial" w:cs="Arial"/>
          <w:b/>
          <w:szCs w:val="24"/>
        </w:rPr>
        <w:t xml:space="preserve"> November 202</w:t>
      </w:r>
      <w:bookmarkEnd w:id="1"/>
      <w:r w:rsidR="00B875D2">
        <w:rPr>
          <w:rFonts w:ascii="Arial" w:hAnsi="Arial" w:cs="Arial"/>
          <w:b/>
          <w:szCs w:val="24"/>
        </w:rPr>
        <w:t>4</w:t>
      </w:r>
    </w:p>
    <w:p w14:paraId="7037729E" w14:textId="77777777" w:rsidR="00B13349" w:rsidRPr="008F5246" w:rsidRDefault="00B13349" w:rsidP="00B13349">
      <w:pPr>
        <w:spacing w:before="240" w:after="360"/>
        <w:rPr>
          <w:color w:val="0000FF"/>
          <w:u w:val="single"/>
        </w:rPr>
      </w:pPr>
      <w:r w:rsidRPr="008F5246">
        <w:t xml:space="preserve">Context for decision: MSAC makes its advice in accordance with its Terms of Reference, </w:t>
      </w:r>
      <w:hyperlink r:id="rId11" w:tooltip="Link to Medical Services Advisory Committee website" w:history="1">
        <w:r w:rsidRPr="008F5246">
          <w:rPr>
            <w:rStyle w:val="Hyperlink"/>
          </w:rPr>
          <w:t>visit the MSAC website</w:t>
        </w:r>
      </w:hyperlink>
    </w:p>
    <w:p w14:paraId="27B08BB3" w14:textId="1DFB53CC" w:rsidR="003D7F29" w:rsidRPr="00F715D1" w:rsidRDefault="003D7F29" w:rsidP="00F715D1">
      <w:pPr>
        <w:pStyle w:val="Heading1"/>
      </w:pPr>
      <w:r w:rsidRPr="00F715D1">
        <w:t>Purpose of application</w:t>
      </w:r>
      <w:r w:rsidR="00822C7E" w:rsidRPr="00F715D1">
        <w:t xml:space="preserve"> </w:t>
      </w:r>
    </w:p>
    <w:p w14:paraId="340532D3" w14:textId="43B41139" w:rsidR="00CE6B6D" w:rsidRDefault="00987628" w:rsidP="00DF489D">
      <w:pPr>
        <w:spacing w:after="240"/>
        <w:rPr>
          <w:iCs/>
        </w:rPr>
      </w:pPr>
      <w:r>
        <w:rPr>
          <w:iCs/>
        </w:rPr>
        <w:t>This</w:t>
      </w:r>
      <w:r w:rsidR="00CA198B">
        <w:rPr>
          <w:iCs/>
        </w:rPr>
        <w:t xml:space="preserve"> </w:t>
      </w:r>
      <w:r w:rsidR="00CE6B6D">
        <w:rPr>
          <w:iCs/>
        </w:rPr>
        <w:t>streamlined codependent</w:t>
      </w:r>
      <w:r>
        <w:rPr>
          <w:iCs/>
        </w:rPr>
        <w:t xml:space="preserve"> </w:t>
      </w:r>
      <w:r w:rsidR="00C35797">
        <w:t>resubmission requested</w:t>
      </w:r>
      <w:r w:rsidR="00CE6B6D">
        <w:rPr>
          <w:iCs/>
        </w:rPr>
        <w:t>:</w:t>
      </w:r>
    </w:p>
    <w:p w14:paraId="0AB55582" w14:textId="1BE01BC2" w:rsidR="00790B03" w:rsidRPr="000A5FAF" w:rsidRDefault="00854496" w:rsidP="000A5FAF">
      <w:pPr>
        <w:pStyle w:val="ListParagraph"/>
        <w:numPr>
          <w:ilvl w:val="0"/>
          <w:numId w:val="26"/>
        </w:numPr>
        <w:spacing w:after="240"/>
        <w:ind w:left="714" w:hanging="357"/>
        <w:contextualSpacing w:val="0"/>
        <w:rPr>
          <w:iCs/>
        </w:rPr>
      </w:pPr>
      <w:r w:rsidRPr="00854496">
        <w:rPr>
          <w:iCs/>
        </w:rPr>
        <w:t xml:space="preserve">Medicare Benefits Schedule (MBS) listing of </w:t>
      </w:r>
      <w:r w:rsidRPr="00790B03">
        <w:rPr>
          <w:i/>
        </w:rPr>
        <w:t>isocitrate dehydrogenase 1 (IDH1</w:t>
      </w:r>
      <w:r w:rsidRPr="00854496">
        <w:rPr>
          <w:iCs/>
        </w:rPr>
        <w:t xml:space="preserve">) testing for the evaluation of Tier I IDH1 p.R132X variants for the determination of patient eligibility for treatment with </w:t>
      </w:r>
      <w:proofErr w:type="spellStart"/>
      <w:r w:rsidRPr="00854496">
        <w:rPr>
          <w:iCs/>
        </w:rPr>
        <w:t>ivosidenib</w:t>
      </w:r>
      <w:proofErr w:type="spellEnd"/>
      <w:r w:rsidRPr="00854496">
        <w:rPr>
          <w:iCs/>
        </w:rPr>
        <w:t xml:space="preserve"> in patients with cholangiocarcinoma (CCA)</w:t>
      </w:r>
      <w:r>
        <w:rPr>
          <w:iCs/>
        </w:rPr>
        <w:t>;</w:t>
      </w:r>
      <w:r w:rsidRPr="00854496">
        <w:rPr>
          <w:iCs/>
        </w:rPr>
        <w:t xml:space="preserve"> and</w:t>
      </w:r>
    </w:p>
    <w:p w14:paraId="61BFEED9" w14:textId="40697723" w:rsidR="00B43740" w:rsidRPr="000A5FAF" w:rsidRDefault="000441A6" w:rsidP="000A5FAF">
      <w:pPr>
        <w:pStyle w:val="ListParagraph"/>
        <w:numPr>
          <w:ilvl w:val="0"/>
          <w:numId w:val="26"/>
        </w:numPr>
        <w:spacing w:before="240" w:after="240"/>
        <w:ind w:left="714" w:hanging="357"/>
        <w:contextualSpacing w:val="0"/>
        <w:rPr>
          <w:iCs/>
        </w:rPr>
      </w:pPr>
      <w:r w:rsidRPr="000441A6">
        <w:rPr>
          <w:iCs/>
        </w:rPr>
        <w:t xml:space="preserve">Pharmaceutical Benefits Schedule (PBS) listing of </w:t>
      </w:r>
      <w:proofErr w:type="spellStart"/>
      <w:r w:rsidRPr="000441A6">
        <w:rPr>
          <w:iCs/>
        </w:rPr>
        <w:t>ivosidenib</w:t>
      </w:r>
      <w:proofErr w:type="spellEnd"/>
      <w:r w:rsidRPr="000441A6">
        <w:rPr>
          <w:iCs/>
        </w:rPr>
        <w:t xml:space="preserve"> (</w:t>
      </w:r>
      <w:proofErr w:type="spellStart"/>
      <w:r w:rsidRPr="000441A6">
        <w:rPr>
          <w:iCs/>
        </w:rPr>
        <w:t>Tibsovo</w:t>
      </w:r>
      <w:proofErr w:type="spellEnd"/>
      <w:r w:rsidRPr="00A3409C">
        <w:rPr>
          <w:iCs/>
          <w:vertAlign w:val="superscript"/>
        </w:rPr>
        <w:t>®</w:t>
      </w:r>
      <w:r w:rsidRPr="000441A6">
        <w:rPr>
          <w:iCs/>
        </w:rPr>
        <w:t xml:space="preserve">) for the treatment of adult patients with locally advanced or metastatic cholangiocarcinoma (CCA) who have previously progressed on chemotherapy and a have confirmed </w:t>
      </w:r>
      <w:r w:rsidRPr="00790B03">
        <w:rPr>
          <w:i/>
        </w:rPr>
        <w:t>IDH1</w:t>
      </w:r>
      <w:r w:rsidRPr="000441A6">
        <w:rPr>
          <w:iCs/>
        </w:rPr>
        <w:t xml:space="preserve"> </w:t>
      </w:r>
      <w:r w:rsidR="00EF2C87">
        <w:rPr>
          <w:iCs/>
        </w:rPr>
        <w:t>variant</w:t>
      </w:r>
      <w:r w:rsidR="004F090C">
        <w:rPr>
          <w:iCs/>
        </w:rPr>
        <w:t>.</w:t>
      </w:r>
      <w:r w:rsidRPr="000441A6">
        <w:rPr>
          <w:iCs/>
        </w:rPr>
        <w:t xml:space="preserve"> </w:t>
      </w:r>
    </w:p>
    <w:p w14:paraId="5C4BC48B" w14:textId="0CA7F327" w:rsidR="00B43740" w:rsidRPr="00B43740" w:rsidRDefault="00B43740" w:rsidP="00B43740">
      <w:pPr>
        <w:spacing w:after="240"/>
        <w:rPr>
          <w:i/>
          <w:iCs/>
        </w:rPr>
      </w:pPr>
      <w:r w:rsidRPr="00B43740">
        <w:rPr>
          <w:i/>
          <w:iCs/>
        </w:rPr>
        <w:t xml:space="preserve">The Commentary Executive Summary refers to the ‘PBAC </w:t>
      </w:r>
      <w:r w:rsidR="003F140F">
        <w:rPr>
          <w:i/>
          <w:iCs/>
        </w:rPr>
        <w:t>resubmission</w:t>
      </w:r>
      <w:r w:rsidRPr="00B43740">
        <w:rPr>
          <w:i/>
          <w:iCs/>
        </w:rPr>
        <w:t xml:space="preserve">’ where relevant information was sourced from the resubmission </w:t>
      </w:r>
      <w:r w:rsidR="009C2CE1">
        <w:rPr>
          <w:i/>
          <w:iCs/>
        </w:rPr>
        <w:t xml:space="preserve">commentary </w:t>
      </w:r>
      <w:r w:rsidRPr="00B43740">
        <w:rPr>
          <w:i/>
          <w:iCs/>
        </w:rPr>
        <w:t>to the Pharmaceutical Benefits Advisory Committee (PBAC).</w:t>
      </w:r>
    </w:p>
    <w:p w14:paraId="43BB9A43" w14:textId="77777777" w:rsidR="00E977EE" w:rsidRDefault="00E977EE" w:rsidP="00F715D1">
      <w:pPr>
        <w:pStyle w:val="Heading1"/>
      </w:pPr>
      <w:r w:rsidRPr="00F715D1">
        <w:t>MSAC’s advice to the Minister</w:t>
      </w:r>
    </w:p>
    <w:p w14:paraId="4AD3DD3D" w14:textId="53FE6C36" w:rsidR="002927EC" w:rsidRPr="006B1634" w:rsidRDefault="00407077" w:rsidP="004F358C">
      <w:pPr>
        <w:rPr>
          <w:rFonts w:eastAsia="Franklin Gothic Book" w:cstheme="minorBidi"/>
        </w:rPr>
      </w:pPr>
      <w:r>
        <w:t>After considering the strength of the available evidence in relation to comparative safety, clinical effectiveness, cost-effectiveness and total cost, MSAC</w:t>
      </w:r>
      <w:r w:rsidR="00EC1FA0">
        <w:t xml:space="preserve"> </w:t>
      </w:r>
      <w:r w:rsidR="00EC1FA0" w:rsidRPr="40C37E82">
        <w:rPr>
          <w:rFonts w:eastAsia="Franklin Gothic Book" w:cstheme="minorBidi"/>
        </w:rPr>
        <w:t xml:space="preserve">supported the creation of a new Medicare Benefits Schedule (MBS) item for tumour tissue </w:t>
      </w:r>
      <w:r w:rsidR="00EC1FA0" w:rsidRPr="40C37E82">
        <w:rPr>
          <w:rFonts w:eastAsia="Franklin Gothic Book" w:cstheme="minorBidi"/>
          <w:i/>
          <w:iCs/>
        </w:rPr>
        <w:t>isocitrate dehydrogenase 1 (IDH1)</w:t>
      </w:r>
      <w:r w:rsidR="00EC1FA0" w:rsidRPr="40C37E82">
        <w:rPr>
          <w:rFonts w:eastAsia="Franklin Gothic Book" w:cstheme="minorBidi"/>
        </w:rPr>
        <w:t xml:space="preserve"> variant testing to determine access to a relevant treatment under the Pharmaceutical Benefits Scheme (PBS) in patients with histologically confirmed cholangiocarcinoma. MSAC noted that PBAC</w:t>
      </w:r>
      <w:r w:rsidR="00EC1FA0">
        <w:t xml:space="preserve"> had </w:t>
      </w:r>
      <w:r w:rsidR="00EC1FA0" w:rsidRPr="40C37E82">
        <w:rPr>
          <w:rFonts w:eastAsia="Franklin Gothic Book" w:cstheme="minorBidi"/>
        </w:rPr>
        <w:t xml:space="preserve">recommended </w:t>
      </w:r>
      <w:proofErr w:type="spellStart"/>
      <w:r w:rsidR="00EC1FA0" w:rsidRPr="40C37E82">
        <w:rPr>
          <w:rFonts w:eastAsia="Franklin Gothic Book" w:cstheme="minorBidi"/>
        </w:rPr>
        <w:t>ivosidenib</w:t>
      </w:r>
      <w:proofErr w:type="spellEnd"/>
      <w:r w:rsidR="00EC1FA0" w:rsidRPr="40C37E82">
        <w:rPr>
          <w:rFonts w:eastAsia="Franklin Gothic Book" w:cstheme="minorBidi"/>
        </w:rPr>
        <w:t xml:space="preserve"> for treatment of locally advanced or metastatic cholangiocarcinoma with an </w:t>
      </w:r>
      <w:r w:rsidR="00EC1FA0" w:rsidRPr="40C37E82">
        <w:rPr>
          <w:rFonts w:eastAsia="Franklin Gothic Book" w:cstheme="minorBidi"/>
          <w:i/>
          <w:iCs/>
        </w:rPr>
        <w:t xml:space="preserve">IDH1 </w:t>
      </w:r>
      <w:r w:rsidR="00EC1FA0" w:rsidRPr="40C37E82">
        <w:rPr>
          <w:rFonts w:eastAsia="Franklin Gothic Book" w:cstheme="minorBidi"/>
        </w:rPr>
        <w:t xml:space="preserve">variant, in patients who have previously progressed on chemotherapy. At its August 2024 meeting, MSAC considered the testing was safe, the cost to the MBS was acceptable, and if it provided access to </w:t>
      </w:r>
      <w:proofErr w:type="spellStart"/>
      <w:r w:rsidR="00EC1FA0" w:rsidRPr="40C37E82">
        <w:rPr>
          <w:rFonts w:eastAsia="Franklin Gothic Book" w:cstheme="minorBidi"/>
        </w:rPr>
        <w:t>ivosidenib</w:t>
      </w:r>
      <w:proofErr w:type="spellEnd"/>
      <w:r w:rsidR="00EC1FA0" w:rsidRPr="40C37E82">
        <w:rPr>
          <w:rFonts w:eastAsia="Franklin Gothic Book" w:cstheme="minorBidi"/>
        </w:rPr>
        <w:t xml:space="preserve"> on the PBS</w:t>
      </w:r>
      <w:r w:rsidR="00F13992">
        <w:rPr>
          <w:rFonts w:eastAsia="Franklin Gothic Book" w:cstheme="minorBidi"/>
          <w:szCs w:val="22"/>
        </w:rPr>
        <w:t>,</w:t>
      </w:r>
      <w:r w:rsidR="00EC1FA0" w:rsidRPr="40C37E82">
        <w:rPr>
          <w:rFonts w:eastAsia="Franklin Gothic Book" w:cstheme="minorBidi"/>
        </w:rPr>
        <w:t xml:space="preserve"> then this test would improve health outcomes for the subset of patients with cholangiocarcinoma who harbour an </w:t>
      </w:r>
      <w:r w:rsidR="00EC1FA0" w:rsidRPr="40C37E82">
        <w:rPr>
          <w:rFonts w:eastAsia="Franklin Gothic Book" w:cstheme="minorBidi"/>
          <w:i/>
          <w:iCs/>
        </w:rPr>
        <w:t>IDH1</w:t>
      </w:r>
      <w:r w:rsidR="00EC1FA0" w:rsidRPr="40C37E82">
        <w:rPr>
          <w:rFonts w:eastAsia="Franklin Gothic Book" w:cstheme="minorBidi"/>
        </w:rPr>
        <w:t xml:space="preserve"> variant. MSAC</w:t>
      </w:r>
      <w:r w:rsidR="00EC1FA0" w:rsidRPr="40C37E82">
        <w:rPr>
          <w:rFonts w:eastAsia="Franklin Gothic Book"/>
        </w:rPr>
        <w:t xml:space="preserve"> </w:t>
      </w:r>
      <w:r w:rsidR="00EC1FA0" w:rsidRPr="40C37E82">
        <w:rPr>
          <w:rFonts w:eastAsia="Franklin Gothic Book" w:cstheme="minorBidi"/>
        </w:rPr>
        <w:t xml:space="preserve">acknowledged the high clinical unmet need in the defined population that would be met by access to this test noting that improved health outcomes were shown for cholangiocarcinoma patients with </w:t>
      </w:r>
      <w:r w:rsidR="00EC1FA0" w:rsidRPr="40C37E82">
        <w:rPr>
          <w:rFonts w:eastAsia="Franklin Gothic Book" w:cstheme="minorBidi"/>
          <w:i/>
          <w:iCs/>
        </w:rPr>
        <w:t>IDH1</w:t>
      </w:r>
      <w:r w:rsidR="00EC1FA0" w:rsidRPr="40C37E82">
        <w:rPr>
          <w:rFonts w:eastAsia="Franklin Gothic Book" w:cstheme="minorBidi"/>
        </w:rPr>
        <w:t xml:space="preserve"> variants treated with </w:t>
      </w:r>
      <w:proofErr w:type="spellStart"/>
      <w:r w:rsidR="00EC1FA0" w:rsidRPr="40C37E82">
        <w:rPr>
          <w:rFonts w:eastAsia="Franklin Gothic Book" w:cstheme="minorBidi"/>
        </w:rPr>
        <w:t>ivosidenib</w:t>
      </w:r>
      <w:proofErr w:type="spellEnd"/>
      <w:r w:rsidR="00EC1FA0" w:rsidRPr="40C37E82">
        <w:rPr>
          <w:rFonts w:eastAsia="Franklin Gothic Book" w:cstheme="minorBidi"/>
        </w:rPr>
        <w:t>.</w:t>
      </w:r>
      <w:r w:rsidR="00EC1FA0" w:rsidRPr="40C37E82">
        <w:rPr>
          <w:rFonts w:eastAsia="Franklin Gothic Book"/>
        </w:rPr>
        <w:t xml:space="preserve"> </w:t>
      </w:r>
      <w:r w:rsidR="00EC1FA0" w:rsidRPr="40C37E82">
        <w:rPr>
          <w:rFonts w:eastAsia="Franklin Gothic Book" w:cstheme="minorBidi"/>
        </w:rPr>
        <w:t xml:space="preserve">MSAC noted that PBAC considered the incremental cost-effectiveness ratio (ICER) of </w:t>
      </w:r>
      <w:proofErr w:type="spellStart"/>
      <w:r w:rsidR="00EC1FA0" w:rsidRPr="40C37E82">
        <w:rPr>
          <w:rFonts w:eastAsia="Franklin Gothic Book" w:cstheme="minorBidi"/>
        </w:rPr>
        <w:t>ivosidenib</w:t>
      </w:r>
      <w:proofErr w:type="spellEnd"/>
      <w:r w:rsidR="00EC1FA0" w:rsidRPr="40C37E82">
        <w:rPr>
          <w:rFonts w:eastAsia="Franklin Gothic Book" w:cstheme="minorBidi"/>
        </w:rPr>
        <w:t xml:space="preserve"> remained high at the proposed price and a further price reduction would be required</w:t>
      </w:r>
      <w:r w:rsidR="000C53B4" w:rsidRPr="40C37E82">
        <w:rPr>
          <w:rFonts w:eastAsia="Franklin Gothic Book" w:cstheme="minorBidi"/>
        </w:rPr>
        <w:t>.</w:t>
      </w:r>
    </w:p>
    <w:p w14:paraId="77E24264" w14:textId="1518E51C" w:rsidR="00407077" w:rsidRPr="002D7ABE" w:rsidRDefault="002927EC" w:rsidP="006B1634">
      <w:pPr>
        <w:pStyle w:val="Caption"/>
        <w:keepNext/>
        <w:keepLines/>
        <w:rPr>
          <w:rFonts w:ascii="Arial Narrow" w:hAnsi="Arial Narrow"/>
          <w:b/>
          <w:bCs/>
          <w:color w:val="auto"/>
          <w:sz w:val="20"/>
          <w:szCs w:val="20"/>
        </w:rPr>
      </w:pPr>
      <w:r w:rsidRPr="002D7ABE">
        <w:rPr>
          <w:rFonts w:ascii="Arial Narrow" w:hAnsi="Arial Narrow"/>
          <w:b/>
          <w:bCs/>
          <w:i w:val="0"/>
          <w:iCs w:val="0"/>
          <w:color w:val="auto"/>
          <w:sz w:val="20"/>
          <w:szCs w:val="20"/>
        </w:rPr>
        <w:t xml:space="preserve">Table </w:t>
      </w:r>
      <w:r w:rsidRPr="002D7ABE">
        <w:rPr>
          <w:rFonts w:ascii="Arial Narrow" w:hAnsi="Arial Narrow"/>
          <w:b/>
          <w:bCs/>
          <w:i w:val="0"/>
          <w:iCs w:val="0"/>
          <w:color w:val="auto"/>
          <w:sz w:val="20"/>
          <w:szCs w:val="20"/>
        </w:rPr>
        <w:fldChar w:fldCharType="begin"/>
      </w:r>
      <w:r w:rsidRPr="002D7ABE">
        <w:rPr>
          <w:rFonts w:ascii="Arial Narrow" w:hAnsi="Arial Narrow"/>
          <w:b/>
          <w:bCs/>
          <w:i w:val="0"/>
          <w:iCs w:val="0"/>
          <w:color w:val="auto"/>
          <w:sz w:val="20"/>
          <w:szCs w:val="20"/>
        </w:rPr>
        <w:instrText xml:space="preserve"> SEQ Table \* ARABIC </w:instrText>
      </w:r>
      <w:r w:rsidRPr="002D7ABE">
        <w:rPr>
          <w:rFonts w:ascii="Arial Narrow" w:hAnsi="Arial Narrow"/>
          <w:b/>
          <w:bCs/>
          <w:i w:val="0"/>
          <w:iCs w:val="0"/>
          <w:color w:val="auto"/>
          <w:sz w:val="20"/>
          <w:szCs w:val="20"/>
        </w:rPr>
        <w:fldChar w:fldCharType="separate"/>
      </w:r>
      <w:r w:rsidRPr="002D7ABE">
        <w:rPr>
          <w:rFonts w:ascii="Arial Narrow" w:hAnsi="Arial Narrow"/>
          <w:b/>
          <w:bCs/>
          <w:i w:val="0"/>
          <w:iCs w:val="0"/>
          <w:noProof/>
          <w:color w:val="auto"/>
          <w:sz w:val="20"/>
          <w:szCs w:val="20"/>
        </w:rPr>
        <w:t>1</w:t>
      </w:r>
      <w:r w:rsidRPr="002D7ABE">
        <w:rPr>
          <w:rFonts w:ascii="Arial Narrow" w:hAnsi="Arial Narrow"/>
          <w:b/>
          <w:bCs/>
          <w:i w:val="0"/>
          <w:iCs w:val="0"/>
          <w:color w:val="auto"/>
          <w:sz w:val="20"/>
          <w:szCs w:val="20"/>
        </w:rPr>
        <w:fldChar w:fldCharType="end"/>
      </w:r>
      <w:r w:rsidR="00DF449C" w:rsidRPr="002D7ABE">
        <w:rPr>
          <w:rFonts w:ascii="Arial Narrow" w:hAnsi="Arial Narrow"/>
          <w:b/>
          <w:bCs/>
          <w:i w:val="0"/>
          <w:iCs w:val="0"/>
          <w:color w:val="auto"/>
          <w:sz w:val="20"/>
          <w:szCs w:val="20"/>
        </w:rPr>
        <w:t xml:space="preserve"> MSAC’s supported MBS item descriptor</w:t>
      </w:r>
    </w:p>
    <w:tbl>
      <w:tblPr>
        <w:tblStyle w:val="TableGrid"/>
        <w:tblW w:w="5000" w:type="pct"/>
        <w:tblLook w:val="04A0" w:firstRow="1" w:lastRow="0" w:firstColumn="1" w:lastColumn="0" w:noHBand="0" w:noVBand="1"/>
        <w:tblDescription w:val="Consumer summary of MSAC consideration"/>
      </w:tblPr>
      <w:tblGrid>
        <w:gridCol w:w="9016"/>
      </w:tblGrid>
      <w:tr w:rsidR="00391E17" w:rsidRPr="00391E17" w14:paraId="1C7274CD" w14:textId="77777777" w:rsidTr="00391E17">
        <w:trPr>
          <w:trHeight w:val="35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B555B" w14:textId="77777777" w:rsidR="00391E17" w:rsidRPr="00391E17" w:rsidRDefault="00391E17" w:rsidP="006B1634">
            <w:pPr>
              <w:keepNext/>
              <w:keepLines/>
              <w:widowControl w:val="0"/>
              <w:spacing w:after="240"/>
              <w:contextualSpacing/>
              <w:jc w:val="right"/>
              <w:rPr>
                <w:rFonts w:ascii="Arial Narrow" w:hAnsi="Arial Narrow"/>
                <w:b/>
                <w:bCs/>
                <w:sz w:val="20"/>
                <w:lang w:val="en-US"/>
              </w:rPr>
            </w:pPr>
            <w:r w:rsidRPr="00391E17">
              <w:rPr>
                <w:rFonts w:ascii="Arial Narrow" w:hAnsi="Arial Narrow"/>
                <w:bCs/>
                <w:sz w:val="20"/>
                <w:lang w:val="en-US"/>
              </w:rPr>
              <w:t>Category 6 – Pathology Services</w:t>
            </w:r>
          </w:p>
          <w:p w14:paraId="0A16817E" w14:textId="77777777" w:rsidR="00391E17" w:rsidRPr="00391E17" w:rsidRDefault="00391E17" w:rsidP="006B1634">
            <w:pPr>
              <w:keepNext/>
              <w:keepLines/>
              <w:widowControl w:val="0"/>
              <w:spacing w:after="240"/>
              <w:contextualSpacing/>
              <w:jc w:val="right"/>
              <w:rPr>
                <w:rFonts w:ascii="Arial Narrow" w:hAnsi="Arial Narrow"/>
                <w:b/>
                <w:bCs/>
                <w:sz w:val="20"/>
                <w:lang w:val="en-US"/>
              </w:rPr>
            </w:pPr>
            <w:r w:rsidRPr="00391E17">
              <w:rPr>
                <w:rFonts w:ascii="Arial Narrow" w:hAnsi="Arial Narrow"/>
                <w:bCs/>
                <w:sz w:val="20"/>
                <w:lang w:val="en-US"/>
              </w:rPr>
              <w:t>Group P7 – Genetics</w:t>
            </w:r>
          </w:p>
        </w:tc>
      </w:tr>
      <w:tr w:rsidR="00391E17" w:rsidRPr="00391E17" w14:paraId="2F1ACF5E" w14:textId="77777777" w:rsidTr="00391E17">
        <w:tc>
          <w:tcPr>
            <w:tcW w:w="5000" w:type="pct"/>
            <w:tcBorders>
              <w:top w:val="single" w:sz="4" w:space="0" w:color="auto"/>
              <w:left w:val="single" w:sz="4" w:space="0" w:color="auto"/>
              <w:bottom w:val="single" w:sz="4" w:space="0" w:color="auto"/>
              <w:right w:val="single" w:sz="4" w:space="0" w:color="auto"/>
            </w:tcBorders>
            <w:hideMark/>
          </w:tcPr>
          <w:p w14:paraId="6DF78E86" w14:textId="77777777" w:rsidR="00391E17" w:rsidRPr="00391E17" w:rsidRDefault="00391E17" w:rsidP="006B1634">
            <w:pPr>
              <w:keepNext/>
              <w:keepLines/>
              <w:widowControl w:val="0"/>
              <w:spacing w:after="240"/>
              <w:contextualSpacing/>
              <w:rPr>
                <w:rFonts w:ascii="Arial Narrow" w:hAnsi="Arial Narrow"/>
                <w:sz w:val="20"/>
                <w:lang w:val="en-US"/>
              </w:rPr>
            </w:pPr>
            <w:r w:rsidRPr="00391E17">
              <w:rPr>
                <w:rFonts w:ascii="Arial Narrow" w:hAnsi="Arial Narrow"/>
                <w:sz w:val="20"/>
                <w:lang w:val="en-US"/>
              </w:rPr>
              <w:t>XXXXX</w:t>
            </w:r>
          </w:p>
          <w:p w14:paraId="4D239168" w14:textId="77777777" w:rsidR="00391E17" w:rsidRPr="00391E17" w:rsidRDefault="00391E17" w:rsidP="006B1634">
            <w:pPr>
              <w:keepNext/>
              <w:keepLines/>
              <w:widowControl w:val="0"/>
              <w:spacing w:after="240"/>
              <w:contextualSpacing/>
              <w:rPr>
                <w:rFonts w:ascii="Arial Narrow" w:hAnsi="Arial Narrow"/>
                <w:sz w:val="20"/>
                <w:lang w:val="en-US"/>
              </w:rPr>
            </w:pPr>
            <w:r w:rsidRPr="00391E17">
              <w:rPr>
                <w:rFonts w:ascii="Arial Narrow" w:hAnsi="Arial Narrow"/>
                <w:sz w:val="20"/>
                <w:lang w:val="en-US"/>
              </w:rPr>
              <w:t xml:space="preserve">Detection in </w:t>
            </w:r>
            <w:proofErr w:type="spellStart"/>
            <w:r w:rsidRPr="00391E17">
              <w:rPr>
                <w:rFonts w:ascii="Arial Narrow" w:hAnsi="Arial Narrow"/>
                <w:sz w:val="20"/>
                <w:lang w:val="en-US"/>
              </w:rPr>
              <w:t>tumour</w:t>
            </w:r>
            <w:proofErr w:type="spellEnd"/>
            <w:r w:rsidRPr="00391E17">
              <w:rPr>
                <w:rFonts w:ascii="Arial Narrow" w:hAnsi="Arial Narrow"/>
                <w:sz w:val="20"/>
                <w:lang w:val="en-US"/>
              </w:rPr>
              <w:t xml:space="preserve"> tissue of </w:t>
            </w:r>
            <w:r w:rsidRPr="00DE3BAE">
              <w:rPr>
                <w:rFonts w:ascii="Arial Narrow" w:hAnsi="Arial Narrow"/>
                <w:i/>
                <w:iCs/>
                <w:sz w:val="20"/>
                <w:lang w:val="en-US"/>
              </w:rPr>
              <w:t xml:space="preserve">isocitrate dehydrogenase 1 (IDH1) </w:t>
            </w:r>
            <w:r w:rsidRPr="00391E17">
              <w:rPr>
                <w:rFonts w:ascii="Arial Narrow" w:hAnsi="Arial Narrow"/>
                <w:sz w:val="20"/>
                <w:lang w:val="en-US"/>
              </w:rPr>
              <w:t xml:space="preserve">variant status, in a patient with histologically confirmed cholangiocarcinoma, to determine access to a relevant treatment under the Pharmaceutical Benefits Scheme. </w:t>
            </w:r>
          </w:p>
          <w:p w14:paraId="688E1DD1" w14:textId="77777777" w:rsidR="00391E17" w:rsidRPr="00391E17" w:rsidRDefault="00391E17" w:rsidP="006B1634">
            <w:pPr>
              <w:keepNext/>
              <w:keepLines/>
              <w:widowControl w:val="0"/>
              <w:spacing w:after="240"/>
              <w:contextualSpacing/>
              <w:rPr>
                <w:rFonts w:ascii="Arial Narrow" w:hAnsi="Arial Narrow"/>
                <w:sz w:val="20"/>
                <w:lang w:val="en-US"/>
              </w:rPr>
            </w:pPr>
            <w:r w:rsidRPr="00391E17">
              <w:rPr>
                <w:rFonts w:ascii="Arial Narrow" w:hAnsi="Arial Narrow"/>
                <w:sz w:val="20"/>
                <w:lang w:val="en-US"/>
              </w:rPr>
              <w:t>Applicable only once per lifetime</w:t>
            </w:r>
          </w:p>
        </w:tc>
      </w:tr>
      <w:tr w:rsidR="00391E17" w:rsidRPr="00391E17" w14:paraId="272205F4" w14:textId="77777777" w:rsidTr="00391E17">
        <w:trPr>
          <w:trHeight w:val="70"/>
        </w:trPr>
        <w:tc>
          <w:tcPr>
            <w:tcW w:w="5000" w:type="pct"/>
            <w:tcBorders>
              <w:top w:val="single" w:sz="4" w:space="0" w:color="auto"/>
              <w:left w:val="single" w:sz="4" w:space="0" w:color="auto"/>
              <w:bottom w:val="single" w:sz="4" w:space="0" w:color="auto"/>
              <w:right w:val="single" w:sz="4" w:space="0" w:color="auto"/>
            </w:tcBorders>
            <w:hideMark/>
          </w:tcPr>
          <w:p w14:paraId="329206F7" w14:textId="77777777" w:rsidR="00391E17" w:rsidRPr="00391E17" w:rsidRDefault="00391E17" w:rsidP="006B1634">
            <w:pPr>
              <w:keepNext/>
              <w:keepLines/>
              <w:widowControl w:val="0"/>
              <w:spacing w:after="240"/>
              <w:contextualSpacing/>
              <w:rPr>
                <w:rFonts w:ascii="Arial Narrow" w:hAnsi="Arial Narrow"/>
                <w:sz w:val="20"/>
                <w:lang w:val="en-US"/>
              </w:rPr>
            </w:pPr>
            <w:r w:rsidRPr="00391E17">
              <w:rPr>
                <w:rFonts w:ascii="Arial Narrow" w:hAnsi="Arial Narrow"/>
                <w:sz w:val="20"/>
                <w:lang w:val="en-US"/>
              </w:rPr>
              <w:t>Fee: $340   Benefit: 75% = $255.00   85% = $289.00</w:t>
            </w:r>
          </w:p>
        </w:tc>
      </w:tr>
    </w:tbl>
    <w:p w14:paraId="1FD643C9" w14:textId="77777777" w:rsidR="00391E17" w:rsidRDefault="00391E17" w:rsidP="00407077">
      <w:pPr>
        <w:widowControl w:val="0"/>
        <w:spacing w:after="240"/>
        <w:contextualSpacing/>
      </w:pPr>
    </w:p>
    <w:tbl>
      <w:tblPr>
        <w:tblStyle w:val="TableGrid"/>
        <w:tblW w:w="5000" w:type="pct"/>
        <w:tblLook w:val="04A0" w:firstRow="1" w:lastRow="0" w:firstColumn="1" w:lastColumn="0" w:noHBand="0" w:noVBand="1"/>
        <w:tblDescription w:val="Consumer summary of MSAC consideration"/>
      </w:tblPr>
      <w:tblGrid>
        <w:gridCol w:w="9016"/>
      </w:tblGrid>
      <w:tr w:rsidR="007C734E" w:rsidRPr="00C86E49" w14:paraId="3F7C7167" w14:textId="77777777" w:rsidTr="40C37E82">
        <w:trPr>
          <w:tblHeader/>
        </w:trPr>
        <w:tc>
          <w:tcPr>
            <w:tcW w:w="5000" w:type="pct"/>
            <w:tcBorders>
              <w:bottom w:val="single" w:sz="4" w:space="0" w:color="auto"/>
            </w:tcBorders>
            <w:shd w:val="clear" w:color="auto" w:fill="auto"/>
          </w:tcPr>
          <w:p w14:paraId="0AD599DD" w14:textId="77777777" w:rsidR="007C734E" w:rsidRPr="007C734E" w:rsidRDefault="007C734E" w:rsidP="008D21E9">
            <w:pPr>
              <w:keepNext/>
              <w:keepLines/>
              <w:spacing w:before="120" w:after="120"/>
              <w:outlineLvl w:val="2"/>
              <w:rPr>
                <w:rFonts w:ascii="Franklin Gothic Medium" w:eastAsia="Calibri" w:hAnsi="Franklin Gothic Medium"/>
                <w:b/>
                <w:bCs/>
                <w:iCs/>
                <w:color w:val="1F3763"/>
                <w:szCs w:val="24"/>
              </w:rPr>
            </w:pPr>
            <w:r w:rsidRPr="007C734E">
              <w:rPr>
                <w:rFonts w:ascii="Franklin Gothic Medium" w:hAnsi="Franklin Gothic Medium"/>
                <w:b/>
                <w:bCs/>
                <w:szCs w:val="24"/>
              </w:rPr>
              <w:t>Consumer summary</w:t>
            </w:r>
          </w:p>
        </w:tc>
      </w:tr>
      <w:tr w:rsidR="007C734E" w:rsidRPr="00C86E49" w14:paraId="39BF7FFE" w14:textId="77777777" w:rsidTr="40C37E82">
        <w:tc>
          <w:tcPr>
            <w:tcW w:w="5000" w:type="pct"/>
          </w:tcPr>
          <w:p w14:paraId="54D9E4EC" w14:textId="56B687A3" w:rsidR="00DA7E58" w:rsidRPr="00DA7E58" w:rsidRDefault="2C9B8014" w:rsidP="00DA7E58">
            <w:pPr>
              <w:keepNext/>
              <w:keepLines/>
              <w:spacing w:before="120" w:after="120"/>
              <w:outlineLvl w:val="2"/>
            </w:pPr>
            <w:r>
              <w:t xml:space="preserve">This </w:t>
            </w:r>
            <w:r w:rsidR="2B22BD2C">
              <w:t xml:space="preserve">was </w:t>
            </w:r>
            <w:r>
              <w:t xml:space="preserve">an application from Servier Laboratories </w:t>
            </w:r>
            <w:r w:rsidR="001D1D3C">
              <w:t>Australia</w:t>
            </w:r>
            <w:r>
              <w:t xml:space="preserve"> Pty</w:t>
            </w:r>
            <w:r w:rsidR="001D1D3C">
              <w:t>.</w:t>
            </w:r>
            <w:r>
              <w:t xml:space="preserve"> Ltd</w:t>
            </w:r>
            <w:r w:rsidR="001D1D3C">
              <w:t>.</w:t>
            </w:r>
            <w:r>
              <w:t xml:space="preserve"> requesting Medicare Benefits Schedule (MBS) listing to </w:t>
            </w:r>
            <w:r w:rsidR="4E23CA35">
              <w:t xml:space="preserve">detect </w:t>
            </w:r>
            <w:r>
              <w:t xml:space="preserve">clinically significant genetic variants </w:t>
            </w:r>
            <w:r w:rsidR="00F13992">
              <w:t>in the gene</w:t>
            </w:r>
            <w:r>
              <w:t xml:space="preserve"> </w:t>
            </w:r>
            <w:r w:rsidRPr="40C37E82">
              <w:rPr>
                <w:i/>
                <w:iCs/>
              </w:rPr>
              <w:t>isocitrate dehydrogenase 1</w:t>
            </w:r>
            <w:r>
              <w:t xml:space="preserve"> (</w:t>
            </w:r>
            <w:r w:rsidRPr="40C37E82">
              <w:rPr>
                <w:i/>
                <w:iCs/>
              </w:rPr>
              <w:t>IDH1</w:t>
            </w:r>
            <w:r>
              <w:t xml:space="preserve">) in </w:t>
            </w:r>
            <w:r w:rsidR="00F13992">
              <w:t xml:space="preserve">the </w:t>
            </w:r>
            <w:r w:rsidR="003F1BDA">
              <w:t>cancer</w:t>
            </w:r>
            <w:r w:rsidR="00F13992">
              <w:t xml:space="preserve"> of </w:t>
            </w:r>
            <w:r>
              <w:t>patients with cholangiocarcinoma. People with</w:t>
            </w:r>
            <w:r w:rsidR="00DA7E58" w:rsidRPr="00DA7E58">
              <w:t xml:space="preserve"> </w:t>
            </w:r>
            <w:r w:rsidR="00F13992">
              <w:t>these</w:t>
            </w:r>
            <w:r>
              <w:t xml:space="preserve"> </w:t>
            </w:r>
            <w:r w:rsidRPr="40C37E82">
              <w:rPr>
                <w:i/>
                <w:iCs/>
              </w:rPr>
              <w:t>IDH1</w:t>
            </w:r>
            <w:r>
              <w:t xml:space="preserve"> variants will then be </w:t>
            </w:r>
            <w:r w:rsidR="309D5A41">
              <w:t>elig</w:t>
            </w:r>
            <w:r w:rsidR="40F2030A">
              <w:t>i</w:t>
            </w:r>
            <w:r w:rsidR="309D5A41">
              <w:t xml:space="preserve">ble </w:t>
            </w:r>
            <w:r>
              <w:t xml:space="preserve">to access a medicine called </w:t>
            </w:r>
            <w:proofErr w:type="spellStart"/>
            <w:r>
              <w:t>ivosidenib</w:t>
            </w:r>
            <w:proofErr w:type="spellEnd"/>
            <w:r>
              <w:t xml:space="preserve"> on the Pharmaceutical Benefits Scheme (PBS). </w:t>
            </w:r>
            <w:r w:rsidR="7DED1310">
              <w:t>At the time that this application was made</w:t>
            </w:r>
            <w:r w:rsidR="7237E260">
              <w:t>,</w:t>
            </w:r>
            <w:r w:rsidR="7DED1310">
              <w:t xml:space="preserve"> </w:t>
            </w:r>
            <w:proofErr w:type="spellStart"/>
            <w:r w:rsidR="588191E5">
              <w:t>i</w:t>
            </w:r>
            <w:r>
              <w:t>vosidenib</w:t>
            </w:r>
            <w:proofErr w:type="spellEnd"/>
            <w:r>
              <w:t xml:space="preserve"> </w:t>
            </w:r>
            <w:r w:rsidR="59913274">
              <w:t>was not</w:t>
            </w:r>
            <w:r>
              <w:t xml:space="preserve"> listed on the PBS, so a codependent application that proposed public funding of both the test and the medicine</w:t>
            </w:r>
            <w:r w:rsidR="671EEC74">
              <w:t xml:space="preserve"> was required</w:t>
            </w:r>
            <w:r>
              <w:t>.</w:t>
            </w:r>
          </w:p>
          <w:p w14:paraId="46302739" w14:textId="337E5128" w:rsidR="00DA7E58" w:rsidRPr="00DA7E58" w:rsidRDefault="00CD3FA7" w:rsidP="00F73312">
            <w:pPr>
              <w:keepNext/>
              <w:keepLines/>
              <w:spacing w:after="120"/>
              <w:outlineLvl w:val="2"/>
            </w:pPr>
            <w:r>
              <w:t>Cholangiocarcinoma</w:t>
            </w:r>
            <w:r w:rsidR="00DA7E58" w:rsidRPr="00DA7E58">
              <w:t xml:space="preserve"> is also known as bile duct cancer. The bile ducts are a group of thin tubes starting inside the liver that carry bile from the liver and gallbladder into the intestine. </w:t>
            </w:r>
            <w:r>
              <w:t>cholangiocarcinoma</w:t>
            </w:r>
            <w:r w:rsidR="00DA7E58" w:rsidRPr="00DA7E58">
              <w:t xml:space="preserve"> is a rare </w:t>
            </w:r>
            <w:r w:rsidR="00F13992">
              <w:t xml:space="preserve">and </w:t>
            </w:r>
            <w:r w:rsidR="00DA7E58" w:rsidRPr="00DA7E58">
              <w:t xml:space="preserve">aggressive form of cancer, with </w:t>
            </w:r>
            <w:r w:rsidR="001D0CA0" w:rsidRPr="001D0CA0">
              <w:t>not many treatment options available to these patients</w:t>
            </w:r>
            <w:r w:rsidR="001D0CA0">
              <w:t xml:space="preserve"> </w:t>
            </w:r>
            <w:r w:rsidR="00DA7E58" w:rsidRPr="00DA7E58">
              <w:t xml:space="preserve">and </w:t>
            </w:r>
            <w:r w:rsidR="008F1D18" w:rsidRPr="008F1D18">
              <w:t>survival after diagnosis</w:t>
            </w:r>
            <w:r w:rsidR="00F13992">
              <w:t xml:space="preserve"> is </w:t>
            </w:r>
            <w:r w:rsidR="00D60239">
              <w:t xml:space="preserve">usually </w:t>
            </w:r>
            <w:r w:rsidR="003F1BDA">
              <w:t>relatively</w:t>
            </w:r>
            <w:r w:rsidR="00D60239">
              <w:t xml:space="preserve"> short</w:t>
            </w:r>
            <w:r w:rsidR="00DA7E58" w:rsidRPr="00DA7E58">
              <w:t xml:space="preserve">. </w:t>
            </w:r>
            <w:r w:rsidR="00F13992">
              <w:t>Significant</w:t>
            </w:r>
            <w:r w:rsidR="00DA7E58" w:rsidRPr="00DA7E58">
              <w:t xml:space="preserve"> </w:t>
            </w:r>
            <w:r w:rsidR="00DA7E58" w:rsidRPr="00DA7E58">
              <w:rPr>
                <w:i/>
                <w:iCs/>
              </w:rPr>
              <w:t>IDH1</w:t>
            </w:r>
            <w:r w:rsidR="00DA7E58" w:rsidRPr="00DA7E58">
              <w:t xml:space="preserve"> genetic </w:t>
            </w:r>
            <w:r w:rsidR="00F13992" w:rsidRPr="00DA7E58">
              <w:t>varia</w:t>
            </w:r>
            <w:r w:rsidR="00F13992">
              <w:t>nts</w:t>
            </w:r>
            <w:r w:rsidR="00F13992" w:rsidRPr="00DA7E58">
              <w:t xml:space="preserve"> </w:t>
            </w:r>
            <w:r w:rsidR="00DA7E58" w:rsidRPr="00DA7E58">
              <w:t xml:space="preserve">occur in </w:t>
            </w:r>
            <w:r w:rsidR="003F1BDA">
              <w:t xml:space="preserve">the cancer of </w:t>
            </w:r>
            <w:r w:rsidR="00DA7E58" w:rsidRPr="00DA7E58">
              <w:t xml:space="preserve">around 10% of people with </w:t>
            </w:r>
            <w:r w:rsidR="00D23D95">
              <w:t>cholangiocarcinoma</w:t>
            </w:r>
            <w:r w:rsidR="00DA7E58" w:rsidRPr="00DA7E58">
              <w:t xml:space="preserve">. </w:t>
            </w:r>
            <w:r w:rsidR="00F73312">
              <w:t>The presence of</w:t>
            </w:r>
            <w:r w:rsidR="00194E55">
              <w:t xml:space="preserve"> the</w:t>
            </w:r>
            <w:r w:rsidR="00F13992">
              <w:t>se</w:t>
            </w:r>
            <w:r w:rsidR="00F73312">
              <w:t xml:space="preserve"> </w:t>
            </w:r>
            <w:r w:rsidR="00F73312" w:rsidRPr="004F358C">
              <w:rPr>
                <w:i/>
                <w:iCs/>
              </w:rPr>
              <w:t>IDH1</w:t>
            </w:r>
            <w:r w:rsidR="00F73312">
              <w:t xml:space="preserve"> variant</w:t>
            </w:r>
            <w:r w:rsidR="00F13992">
              <w:t>s</w:t>
            </w:r>
            <w:r w:rsidR="00F73312">
              <w:t xml:space="preserve"> </w:t>
            </w:r>
            <w:r w:rsidR="007F3699">
              <w:t xml:space="preserve">in patients with </w:t>
            </w:r>
            <w:r>
              <w:t>cholangiocarcinoma</w:t>
            </w:r>
            <w:r w:rsidR="007F3699">
              <w:t xml:space="preserve"> </w:t>
            </w:r>
            <w:r w:rsidR="00F73312">
              <w:t>leads to increased levels of an oncometabolite (</w:t>
            </w:r>
            <w:r w:rsidR="00F73312" w:rsidRPr="00157A2B">
              <w:t xml:space="preserve">a </w:t>
            </w:r>
            <w:r w:rsidR="00F13992">
              <w:t>compound</w:t>
            </w:r>
            <w:r w:rsidR="00F73312" w:rsidRPr="00157A2B">
              <w:t xml:space="preserve"> </w:t>
            </w:r>
            <w:r w:rsidR="00F13992">
              <w:t>that</w:t>
            </w:r>
            <w:r w:rsidR="00F13992" w:rsidRPr="00157A2B">
              <w:t xml:space="preserve"> </w:t>
            </w:r>
            <w:r w:rsidR="00F73312" w:rsidRPr="00157A2B">
              <w:t xml:space="preserve">contributes to </w:t>
            </w:r>
            <w:r w:rsidR="00F13992">
              <w:t>cancer cell</w:t>
            </w:r>
            <w:r w:rsidR="00F13992" w:rsidRPr="00157A2B">
              <w:t xml:space="preserve"> </w:t>
            </w:r>
            <w:r w:rsidR="00F73312" w:rsidRPr="00157A2B">
              <w:t>growth</w:t>
            </w:r>
            <w:r w:rsidR="00F73312">
              <w:t>) called D-2-hydroxyglutarate (D2-HG)</w:t>
            </w:r>
            <w:r w:rsidR="00EF5926">
              <w:t>.</w:t>
            </w:r>
          </w:p>
          <w:p w14:paraId="405D885A" w14:textId="73AEC2AA" w:rsidR="00DA7E58" w:rsidRPr="00DA7E58" w:rsidRDefault="00DA7E58" w:rsidP="00DA7E58">
            <w:pPr>
              <w:keepNext/>
              <w:keepLines/>
              <w:spacing w:after="120"/>
              <w:outlineLvl w:val="2"/>
            </w:pPr>
            <w:r w:rsidRPr="00DA7E58">
              <w:t xml:space="preserve">This application was for </w:t>
            </w:r>
            <w:proofErr w:type="spellStart"/>
            <w:r w:rsidRPr="00DA7E58">
              <w:t>ivosidenib</w:t>
            </w:r>
            <w:proofErr w:type="spellEnd"/>
            <w:r w:rsidRPr="00DA7E58">
              <w:t xml:space="preserve"> </w:t>
            </w:r>
            <w:r w:rsidR="00F13992">
              <w:t xml:space="preserve">treatment </w:t>
            </w:r>
            <w:r w:rsidRPr="00DA7E58">
              <w:t xml:space="preserve">to be funded for patients with locally advanced or metastatic </w:t>
            </w:r>
            <w:r w:rsidR="00CD3FA7">
              <w:t>cholangiocarcinoma</w:t>
            </w:r>
            <w:r w:rsidRPr="00DA7E58">
              <w:t xml:space="preserve"> (metastatic means that the cancer has spread beyond where it originated)</w:t>
            </w:r>
            <w:r w:rsidR="00466936">
              <w:t>,</w:t>
            </w:r>
            <w:r w:rsidRPr="00DA7E58">
              <w:t xml:space="preserve"> who have previously tried chemotherapy</w:t>
            </w:r>
            <w:r w:rsidR="00466936">
              <w:t>,</w:t>
            </w:r>
            <w:r w:rsidRPr="00DA7E58">
              <w:t xml:space="preserve"> and are found to have a</w:t>
            </w:r>
            <w:r w:rsidR="00F13992">
              <w:t>n</w:t>
            </w:r>
            <w:r w:rsidRPr="00DA7E58">
              <w:t xml:space="preserve"> </w:t>
            </w:r>
            <w:r w:rsidRPr="00DA7E58">
              <w:rPr>
                <w:i/>
                <w:iCs/>
              </w:rPr>
              <w:t>IDH1</w:t>
            </w:r>
            <w:r w:rsidRPr="00DA7E58">
              <w:t xml:space="preserve"> genetic variant in their </w:t>
            </w:r>
            <w:r w:rsidR="003F1BDA">
              <w:t>cance</w:t>
            </w:r>
            <w:r w:rsidR="003F1BDA" w:rsidRPr="00DA7E58">
              <w:t>r</w:t>
            </w:r>
            <w:r w:rsidRPr="00DA7E58">
              <w:t xml:space="preserve">. The </w:t>
            </w:r>
            <w:r w:rsidR="000030AD">
              <w:t xml:space="preserve">proposed </w:t>
            </w:r>
            <w:r w:rsidRPr="00DA7E58">
              <w:t xml:space="preserve">genetic test would be done by a pathology laboratory on the tumour sample taken during the </w:t>
            </w:r>
            <w:r w:rsidR="00D63E7C" w:rsidRPr="00D63E7C">
              <w:t xml:space="preserve">biopsy </w:t>
            </w:r>
            <w:r w:rsidR="003D166A" w:rsidRPr="003D166A">
              <w:t xml:space="preserve">that </w:t>
            </w:r>
            <w:r w:rsidR="00F13992">
              <w:t>was done</w:t>
            </w:r>
            <w:r w:rsidR="003D166A" w:rsidRPr="003D166A">
              <w:t xml:space="preserve"> as part of their </w:t>
            </w:r>
            <w:r w:rsidR="00CD3FA7">
              <w:t>cholangiocarcinoma</w:t>
            </w:r>
            <w:r w:rsidR="00D60239" w:rsidRPr="00DA7E58">
              <w:t xml:space="preserve"> </w:t>
            </w:r>
            <w:r w:rsidRPr="00DA7E58">
              <w:t>diagnosis.</w:t>
            </w:r>
          </w:p>
          <w:p w14:paraId="671C6422" w14:textId="30D969F1" w:rsidR="00003475" w:rsidRDefault="00DA7E58" w:rsidP="00DA7E58">
            <w:pPr>
              <w:keepNext/>
              <w:keepLines/>
              <w:spacing w:after="120"/>
              <w:outlineLvl w:val="2"/>
            </w:pPr>
            <w:r w:rsidRPr="00DA7E58">
              <w:t xml:space="preserve">MSAC </w:t>
            </w:r>
            <w:r w:rsidR="00EE223A">
              <w:t xml:space="preserve">recalled that it had previously </w:t>
            </w:r>
            <w:r w:rsidRPr="00DA7E58">
              <w:t xml:space="preserve">accepted that </w:t>
            </w:r>
            <w:r w:rsidRPr="00DA7E58">
              <w:rPr>
                <w:i/>
                <w:iCs/>
              </w:rPr>
              <w:t>IDH1</w:t>
            </w:r>
            <w:r w:rsidRPr="00DA7E58">
              <w:t xml:space="preserve"> testing was safe, effective and </w:t>
            </w:r>
            <w:r w:rsidR="00D60239">
              <w:t xml:space="preserve">acceptable </w:t>
            </w:r>
            <w:r w:rsidRPr="00DA7E58">
              <w:t xml:space="preserve">value for money. It would also have a modest financial impact because </w:t>
            </w:r>
            <w:r w:rsidR="00CD3FA7">
              <w:t>cholangiocarcinoma</w:t>
            </w:r>
            <w:r w:rsidRPr="00DA7E58">
              <w:t xml:space="preserve"> is rare and not many people would need this test and treatment. However,</w:t>
            </w:r>
            <w:r w:rsidR="004123BC">
              <w:t xml:space="preserve"> in August 2024</w:t>
            </w:r>
            <w:r w:rsidR="00584E6F">
              <w:t>,</w:t>
            </w:r>
            <w:r w:rsidRPr="00DA7E58">
              <w:t xml:space="preserve"> </w:t>
            </w:r>
            <w:r w:rsidR="00A351B7" w:rsidRPr="00DA7E58">
              <w:t xml:space="preserve">MSAC deferred its decision on listing the </w:t>
            </w:r>
            <w:r w:rsidR="00A351B7" w:rsidRPr="00DA7E58">
              <w:rPr>
                <w:i/>
                <w:iCs/>
              </w:rPr>
              <w:t xml:space="preserve">IDH1 </w:t>
            </w:r>
            <w:r w:rsidR="00A351B7" w:rsidRPr="00DA7E58">
              <w:t xml:space="preserve">testing </w:t>
            </w:r>
            <w:r w:rsidR="004123BC">
              <w:t>on the MBS</w:t>
            </w:r>
            <w:r w:rsidR="00A351B7">
              <w:t xml:space="preserve"> as </w:t>
            </w:r>
            <w:r w:rsidRPr="00DA7E58">
              <w:t xml:space="preserve">the Pharmaceutical Benefits Advisory Committee (PBAC) did not recommend listing </w:t>
            </w:r>
            <w:proofErr w:type="spellStart"/>
            <w:r w:rsidRPr="00DA7E58">
              <w:t>ivosidenib</w:t>
            </w:r>
            <w:proofErr w:type="spellEnd"/>
            <w:r w:rsidRPr="00DA7E58">
              <w:t xml:space="preserve"> on the PBS at its August 2024 meeting.</w:t>
            </w:r>
            <w:r w:rsidR="00584E6F">
              <w:t xml:space="preserve"> </w:t>
            </w:r>
            <w:r w:rsidRPr="00DA7E58">
              <w:t xml:space="preserve">In November 2024, the PBAC recommended </w:t>
            </w:r>
            <w:proofErr w:type="spellStart"/>
            <w:r w:rsidRPr="00DA7E58">
              <w:t>ivosidenib</w:t>
            </w:r>
            <w:proofErr w:type="spellEnd"/>
            <w:r w:rsidRPr="00DA7E58">
              <w:t xml:space="preserve"> for listing on the PBS as long as the cost of the drug was further reduced. Therefore, MSAC </w:t>
            </w:r>
            <w:r w:rsidR="004123BC">
              <w:t>supported</w:t>
            </w:r>
            <w:r w:rsidR="004123BC" w:rsidRPr="00DA7E58">
              <w:t xml:space="preserve"> </w:t>
            </w:r>
            <w:r w:rsidRPr="00DA7E58">
              <w:t xml:space="preserve">listing </w:t>
            </w:r>
            <w:r w:rsidRPr="00DA7E58">
              <w:rPr>
                <w:i/>
                <w:iCs/>
              </w:rPr>
              <w:t xml:space="preserve">IDH1 </w:t>
            </w:r>
            <w:r w:rsidRPr="00DA7E58">
              <w:t>testing on the MBS.</w:t>
            </w:r>
          </w:p>
          <w:p w14:paraId="473A50C1" w14:textId="77777777" w:rsidR="00003475" w:rsidRPr="003F6F2A" w:rsidRDefault="00003475" w:rsidP="00003475">
            <w:pPr>
              <w:keepNext/>
              <w:keepLines/>
              <w:outlineLvl w:val="2"/>
              <w:rPr>
                <w:b/>
                <w:bCs/>
              </w:rPr>
            </w:pPr>
            <w:r w:rsidRPr="003F6F2A">
              <w:rPr>
                <w:b/>
                <w:bCs/>
              </w:rPr>
              <w:t>MSAC’s advice to the Commonwealth Minister for Health and Aged Care</w:t>
            </w:r>
          </w:p>
          <w:p w14:paraId="2A4F2808" w14:textId="3D3E0639" w:rsidR="007C734E" w:rsidRPr="00217830" w:rsidRDefault="0082293D">
            <w:pPr>
              <w:spacing w:after="120"/>
              <w:rPr>
                <w:rFonts w:eastAsia="Calibri"/>
              </w:rPr>
            </w:pPr>
            <w:r w:rsidRPr="0082293D">
              <w:rPr>
                <w:rFonts w:eastAsia="Calibri"/>
              </w:rPr>
              <w:t xml:space="preserve">MSAC supported listing </w:t>
            </w:r>
            <w:r w:rsidRPr="0082293D">
              <w:rPr>
                <w:rFonts w:eastAsia="Calibri"/>
                <w:i/>
                <w:iCs/>
              </w:rPr>
              <w:t xml:space="preserve">IDH1 </w:t>
            </w:r>
            <w:r w:rsidRPr="0082293D">
              <w:rPr>
                <w:rFonts w:eastAsia="Calibri"/>
              </w:rPr>
              <w:t xml:space="preserve">testing on the MBS for people with </w:t>
            </w:r>
            <w:r w:rsidR="00CD3FA7">
              <w:t>cholangiocarcinoma</w:t>
            </w:r>
            <w:r w:rsidRPr="0082293D">
              <w:rPr>
                <w:rFonts w:eastAsia="Calibri"/>
              </w:rPr>
              <w:t>. The testing is safe, effective</w:t>
            </w:r>
            <w:r w:rsidR="00D60239">
              <w:rPr>
                <w:rFonts w:eastAsia="Calibri"/>
              </w:rPr>
              <w:t>,</w:t>
            </w:r>
            <w:r w:rsidRPr="0082293D">
              <w:rPr>
                <w:rFonts w:eastAsia="Calibri"/>
              </w:rPr>
              <w:t xml:space="preserve"> with a</w:t>
            </w:r>
            <w:r w:rsidR="00856EC8">
              <w:rPr>
                <w:rFonts w:eastAsia="Calibri"/>
              </w:rPr>
              <w:t>n</w:t>
            </w:r>
            <w:r w:rsidRPr="0082293D">
              <w:rPr>
                <w:rFonts w:eastAsia="Calibri"/>
              </w:rPr>
              <w:t xml:space="preserve"> </w:t>
            </w:r>
            <w:r w:rsidR="00856EC8">
              <w:rPr>
                <w:rFonts w:eastAsia="Calibri"/>
              </w:rPr>
              <w:t>acceptable</w:t>
            </w:r>
            <w:r w:rsidR="00856EC8" w:rsidRPr="0082293D">
              <w:rPr>
                <w:rFonts w:eastAsia="Calibri"/>
              </w:rPr>
              <w:t xml:space="preserve"> </w:t>
            </w:r>
            <w:r w:rsidRPr="0082293D">
              <w:rPr>
                <w:rFonts w:eastAsia="Calibri"/>
              </w:rPr>
              <w:t xml:space="preserve">budget impact because </w:t>
            </w:r>
            <w:r w:rsidR="00CD3FA7">
              <w:t>cholangiocarcinoma</w:t>
            </w:r>
            <w:r w:rsidRPr="0082293D">
              <w:rPr>
                <w:rFonts w:eastAsia="Calibri"/>
              </w:rPr>
              <w:t xml:space="preserve"> is rare. </w:t>
            </w:r>
            <w:r w:rsidR="00C34259">
              <w:rPr>
                <w:rFonts w:eastAsia="Calibri"/>
              </w:rPr>
              <w:t>MSAC</w:t>
            </w:r>
            <w:r w:rsidR="00E71608">
              <w:rPr>
                <w:rFonts w:eastAsia="Calibri"/>
              </w:rPr>
              <w:t xml:space="preserve"> noted PBAC </w:t>
            </w:r>
            <w:r w:rsidR="00E12D67">
              <w:rPr>
                <w:rFonts w:eastAsia="Calibri"/>
              </w:rPr>
              <w:t>recommended</w:t>
            </w:r>
            <w:r w:rsidR="00E12D67" w:rsidRPr="0082293D">
              <w:rPr>
                <w:rFonts w:eastAsia="Calibri"/>
              </w:rPr>
              <w:t xml:space="preserve"> </w:t>
            </w:r>
            <w:r w:rsidR="00E12D67">
              <w:rPr>
                <w:rFonts w:eastAsia="Calibri"/>
              </w:rPr>
              <w:t xml:space="preserve">further </w:t>
            </w:r>
            <w:r w:rsidRPr="0082293D">
              <w:rPr>
                <w:rFonts w:eastAsia="Calibri"/>
              </w:rPr>
              <w:t xml:space="preserve">price reduction for the medicine </w:t>
            </w:r>
            <w:proofErr w:type="spellStart"/>
            <w:r w:rsidRPr="0082293D">
              <w:rPr>
                <w:rFonts w:eastAsia="Calibri"/>
              </w:rPr>
              <w:t>ivosidenib</w:t>
            </w:r>
            <w:proofErr w:type="spellEnd"/>
            <w:r w:rsidRPr="0082293D">
              <w:rPr>
                <w:rFonts w:eastAsia="Calibri"/>
              </w:rPr>
              <w:t xml:space="preserve"> before it is listed on the PBS.</w:t>
            </w:r>
          </w:p>
        </w:tc>
      </w:tr>
    </w:tbl>
    <w:p w14:paraId="6D8B627B" w14:textId="77777777" w:rsidR="00550354" w:rsidRPr="00F715D1" w:rsidRDefault="00550354" w:rsidP="00F715D1">
      <w:pPr>
        <w:pStyle w:val="Heading1"/>
      </w:pPr>
      <w:r w:rsidRPr="00F715D1">
        <w:t xml:space="preserve">Summary of consideration and rationale for MSAC’s advice </w:t>
      </w:r>
    </w:p>
    <w:p w14:paraId="27898988" w14:textId="2DDAE112" w:rsidR="00DD5A7E" w:rsidRDefault="00DD5A7E" w:rsidP="00DD5A7E">
      <w:pPr>
        <w:spacing w:after="120"/>
      </w:pPr>
      <w:r>
        <w:t xml:space="preserve">MSAC noted that this </w:t>
      </w:r>
      <w:r w:rsidR="003C6009" w:rsidRPr="003C6009">
        <w:t xml:space="preserve">was a streamlined codependent </w:t>
      </w:r>
      <w:r>
        <w:t>application from Servier Laboratories (</w:t>
      </w:r>
      <w:r w:rsidR="004009BF">
        <w:t>Aust.</w:t>
      </w:r>
      <w:r>
        <w:t>) Pty</w:t>
      </w:r>
      <w:r w:rsidR="004009BF">
        <w:t>.</w:t>
      </w:r>
      <w:r>
        <w:t xml:space="preserve"> Ltd</w:t>
      </w:r>
      <w:r w:rsidR="004009BF">
        <w:t>.</w:t>
      </w:r>
      <w:r>
        <w:t xml:space="preserve"> </w:t>
      </w:r>
      <w:r w:rsidR="00C15C7B" w:rsidRPr="00C15C7B">
        <w:t xml:space="preserve">requesting MBS listing of testing to detect </w:t>
      </w:r>
      <w:r w:rsidR="00C15C7B">
        <w:rPr>
          <w:i/>
          <w:iCs/>
        </w:rPr>
        <w:t>isocitrate dehydrogenase 1</w:t>
      </w:r>
      <w:r w:rsidR="00C15C7B">
        <w:t xml:space="preserve"> (</w:t>
      </w:r>
      <w:r w:rsidR="00C15C7B">
        <w:rPr>
          <w:i/>
          <w:iCs/>
        </w:rPr>
        <w:t>IDH1</w:t>
      </w:r>
      <w:r w:rsidR="00C15C7B">
        <w:t>)</w:t>
      </w:r>
      <w:r w:rsidR="00C15C7B" w:rsidRPr="00C15C7B">
        <w:t xml:space="preserve"> genetic variants in the tumours of adult patients with locally advanced or metastatic </w:t>
      </w:r>
      <w:r w:rsidR="00BE7DBB">
        <w:t>cholangiocarcinoma (CCA)</w:t>
      </w:r>
      <w:r w:rsidR="00C15C7B" w:rsidRPr="00C15C7B">
        <w:t xml:space="preserve"> who have previously progressed on chemotherapy, and PBS listing of </w:t>
      </w:r>
      <w:proofErr w:type="spellStart"/>
      <w:r w:rsidR="00C15C7B" w:rsidRPr="00C15C7B">
        <w:t>ivosidenib</w:t>
      </w:r>
      <w:proofErr w:type="spellEnd"/>
      <w:r w:rsidR="00C15C7B" w:rsidRPr="00C15C7B">
        <w:t xml:space="preserve"> (</w:t>
      </w:r>
      <w:proofErr w:type="spellStart"/>
      <w:r w:rsidR="00C15C7B" w:rsidRPr="00C15C7B">
        <w:t>Tibsovo</w:t>
      </w:r>
      <w:proofErr w:type="spellEnd"/>
      <w:r w:rsidR="00C15C7B" w:rsidRPr="004A4037">
        <w:rPr>
          <w:vertAlign w:val="superscript"/>
        </w:rPr>
        <w:t>®</w:t>
      </w:r>
      <w:r w:rsidR="00C15C7B" w:rsidRPr="00C15C7B">
        <w:t xml:space="preserve">) for the treatment of those patients whose tumours are found to have an </w:t>
      </w:r>
      <w:r w:rsidR="00C15C7B" w:rsidRPr="004F358C">
        <w:rPr>
          <w:i/>
          <w:iCs/>
        </w:rPr>
        <w:t>IDH1</w:t>
      </w:r>
      <w:r w:rsidR="00C15C7B" w:rsidRPr="00C15C7B">
        <w:t xml:space="preserve"> genetic variant. </w:t>
      </w:r>
    </w:p>
    <w:p w14:paraId="626DFF1F" w14:textId="75D7A42E" w:rsidR="00DD5A7E" w:rsidRDefault="00DD5A7E" w:rsidP="00DD5A7E">
      <w:pPr>
        <w:spacing w:after="120"/>
      </w:pPr>
      <w:r>
        <w:t xml:space="preserve">MSAC noted that this codependent application </w:t>
      </w:r>
      <w:r w:rsidR="004F2DF2">
        <w:t xml:space="preserve">claimed </w:t>
      </w:r>
      <w:r>
        <w:t xml:space="preserve">that the IDH1 inhibitor </w:t>
      </w:r>
      <w:proofErr w:type="spellStart"/>
      <w:r w:rsidR="00BB5163">
        <w:t>ivosidenib</w:t>
      </w:r>
      <w:proofErr w:type="spellEnd"/>
      <w:r w:rsidR="00BB5163">
        <w:t xml:space="preserve"> (</w:t>
      </w:r>
      <w:proofErr w:type="spellStart"/>
      <w:r>
        <w:t>Tibsovo</w:t>
      </w:r>
      <w:proofErr w:type="spellEnd"/>
      <w:r>
        <w:t>®</w:t>
      </w:r>
      <w:r w:rsidR="00BB5163">
        <w:t>)</w:t>
      </w:r>
      <w:r>
        <w:t xml:space="preserve"> is a highly targeted therapeutic candidate for treating patients with CCA who have a clinically significant </w:t>
      </w:r>
      <w:r>
        <w:rPr>
          <w:i/>
          <w:iCs/>
        </w:rPr>
        <w:t>IDH1</w:t>
      </w:r>
      <w:r>
        <w:t xml:space="preserve"> variant. </w:t>
      </w:r>
      <w:r w:rsidR="001D7587">
        <w:t>MSAC noted that t</w:t>
      </w:r>
      <w:r>
        <w:t xml:space="preserve">esting for </w:t>
      </w:r>
      <w:r>
        <w:rPr>
          <w:i/>
          <w:iCs/>
        </w:rPr>
        <w:t>IDH1</w:t>
      </w:r>
      <w:r>
        <w:t xml:space="preserve"> variants is required to determine eligibility for </w:t>
      </w:r>
      <w:proofErr w:type="spellStart"/>
      <w:r>
        <w:t>ivosidenib</w:t>
      </w:r>
      <w:proofErr w:type="spellEnd"/>
      <w:r>
        <w:t xml:space="preserve"> </w:t>
      </w:r>
      <w:r w:rsidR="00C4690B">
        <w:t xml:space="preserve">if listed </w:t>
      </w:r>
      <w:r>
        <w:t>on the Pharmaceutical Benefits Scheme (PBS).</w:t>
      </w:r>
    </w:p>
    <w:p w14:paraId="30E12480" w14:textId="0B1BC325" w:rsidR="00DD5A7E" w:rsidRDefault="00DD5A7E" w:rsidP="00DD5A7E">
      <w:pPr>
        <w:spacing w:after="120"/>
      </w:pPr>
      <w:r>
        <w:t xml:space="preserve">MSAC recalled </w:t>
      </w:r>
      <w:r w:rsidR="008E291D">
        <w:t xml:space="preserve">at its August 2024 meeting, it had considered </w:t>
      </w:r>
      <w:r w:rsidR="008E291D" w:rsidRPr="008E291D">
        <w:rPr>
          <w:i/>
          <w:iCs/>
          <w:lang w:val="en-US"/>
        </w:rPr>
        <w:t>IDH1</w:t>
      </w:r>
      <w:r w:rsidR="008E291D" w:rsidRPr="008E291D">
        <w:rPr>
          <w:lang w:val="en-US"/>
        </w:rPr>
        <w:t xml:space="preserve"> genetic testing </w:t>
      </w:r>
      <w:r w:rsidR="008E291D">
        <w:rPr>
          <w:lang w:val="en-US"/>
        </w:rPr>
        <w:t>to be</w:t>
      </w:r>
      <w:r w:rsidR="008E291D" w:rsidRPr="008E291D">
        <w:rPr>
          <w:lang w:val="en-US"/>
        </w:rPr>
        <w:t xml:space="preserve"> comparatively safe, would have an acceptable financial cost to the MBS, and if testing provided access to </w:t>
      </w:r>
      <w:proofErr w:type="spellStart"/>
      <w:r w:rsidR="008E291D" w:rsidRPr="008E291D">
        <w:rPr>
          <w:lang w:val="en-US"/>
        </w:rPr>
        <w:t>ivosidenib</w:t>
      </w:r>
      <w:proofErr w:type="spellEnd"/>
      <w:r w:rsidR="008E291D" w:rsidRPr="008E291D">
        <w:rPr>
          <w:lang w:val="en-US"/>
        </w:rPr>
        <w:t xml:space="preserve"> on the PBS then it would improve health outcomes for patients with </w:t>
      </w:r>
      <w:r w:rsidR="008E291D" w:rsidRPr="008E291D">
        <w:rPr>
          <w:i/>
          <w:iCs/>
          <w:lang w:val="en-US"/>
        </w:rPr>
        <w:t xml:space="preserve">IDH1 </w:t>
      </w:r>
      <w:r w:rsidR="00E15FBC">
        <w:rPr>
          <w:lang w:val="en-US"/>
        </w:rPr>
        <w:t>variants</w:t>
      </w:r>
      <w:r w:rsidR="008E291D">
        <w:rPr>
          <w:lang w:val="en-US"/>
        </w:rPr>
        <w:t>. MSAC further recalled</w:t>
      </w:r>
      <w:r w:rsidR="008E291D" w:rsidRPr="008E291D">
        <w:t xml:space="preserve"> </w:t>
      </w:r>
      <w:r>
        <w:t xml:space="preserve">that the Pharmaceutical Benefits Advisory Committee (PBAC) </w:t>
      </w:r>
      <w:r w:rsidR="001F464B">
        <w:t xml:space="preserve">did not recommend </w:t>
      </w:r>
      <w:r>
        <w:t xml:space="preserve">the initial </w:t>
      </w:r>
      <w:r w:rsidR="0034775D">
        <w:t>submission</w:t>
      </w:r>
      <w:r w:rsidR="00CF4D34">
        <w:t xml:space="preserve"> at its July 2024 meeting</w:t>
      </w:r>
      <w:r w:rsidR="0034775D">
        <w:t xml:space="preserve"> </w:t>
      </w:r>
      <w:r>
        <w:t xml:space="preserve">because of the high incremental cost-effectiveness ratio (ICER) at the proposed price and the optimistic assumptions </w:t>
      </w:r>
      <w:r w:rsidR="008061CC">
        <w:t xml:space="preserve">used </w:t>
      </w:r>
      <w:r>
        <w:t xml:space="preserve">in the economic model. The PBAC considered that these issues could be addressed in an early re-entry submission. </w:t>
      </w:r>
      <w:r w:rsidR="00ED71C2">
        <w:t>Consequently</w:t>
      </w:r>
      <w:r>
        <w:t xml:space="preserve">, MSAC deferred its decision for public funding of </w:t>
      </w:r>
      <w:r>
        <w:rPr>
          <w:i/>
          <w:iCs/>
        </w:rPr>
        <w:t>IDH1</w:t>
      </w:r>
      <w:r>
        <w:t xml:space="preserve"> genetic testing in patients with CCA at its August 2024 meeting.</w:t>
      </w:r>
    </w:p>
    <w:p w14:paraId="48420CFB" w14:textId="6F4541F2" w:rsidR="00DD5A7E" w:rsidRDefault="00DD5A7E" w:rsidP="00DD5A7E">
      <w:pPr>
        <w:spacing w:after="120"/>
      </w:pPr>
      <w:r>
        <w:t xml:space="preserve">MSAC noted that the PBAC at its November 2024 meeting recommended listing </w:t>
      </w:r>
      <w:proofErr w:type="spellStart"/>
      <w:r>
        <w:t>ivosidenib</w:t>
      </w:r>
      <w:proofErr w:type="spellEnd"/>
      <w:r>
        <w:t xml:space="preserve"> on the PBS, with a </w:t>
      </w:r>
      <w:r w:rsidR="00FD3C21">
        <w:t xml:space="preserve">further </w:t>
      </w:r>
      <w:r>
        <w:t>price reduction.</w:t>
      </w:r>
    </w:p>
    <w:p w14:paraId="28F8C1CA" w14:textId="68FE9888" w:rsidR="00DD5A7E" w:rsidRDefault="00DD5A7E" w:rsidP="00DD5A7E">
      <w:pPr>
        <w:spacing w:after="120"/>
      </w:pPr>
      <w:r>
        <w:t>MSAC noted that CCA accounts for 3% of gastrointestinal cancers, which are broadly classified as intrahepatic (</w:t>
      </w:r>
      <w:proofErr w:type="spellStart"/>
      <w:r>
        <w:t>iCCA</w:t>
      </w:r>
      <w:proofErr w:type="spellEnd"/>
      <w:r>
        <w:t>) or extrahepatic (</w:t>
      </w:r>
      <w:proofErr w:type="spellStart"/>
      <w:r>
        <w:t>eCCA</w:t>
      </w:r>
      <w:proofErr w:type="spellEnd"/>
      <w:r>
        <w:t>)</w:t>
      </w:r>
      <w:r w:rsidR="00D123B9">
        <w:t xml:space="preserve"> cancers</w:t>
      </w:r>
      <w:r>
        <w:t xml:space="preserve">. The prognosis for CCA is poor due to the aggressive nature of the disease (typically advanced at diagnosis) and lack of effective treatment options. </w:t>
      </w:r>
      <w:r w:rsidR="00216D2F">
        <w:t>MSAC noted t</w:t>
      </w:r>
      <w:r>
        <w:t xml:space="preserve">he </w:t>
      </w:r>
      <w:r w:rsidR="00D60239">
        <w:t>low</w:t>
      </w:r>
      <w:r>
        <w:t xml:space="preserve"> 5-year survival rate for patients with locally advanced or metastatic</w:t>
      </w:r>
      <w:r w:rsidR="00C67975">
        <w:t xml:space="preserve"> CCA</w:t>
      </w:r>
      <w:r>
        <w:t xml:space="preserve">. </w:t>
      </w:r>
      <w:r w:rsidR="00031CE2">
        <w:t xml:space="preserve">MSAC noted that </w:t>
      </w:r>
      <w:r>
        <w:rPr>
          <w:i/>
          <w:iCs/>
        </w:rPr>
        <w:t>IDH1</w:t>
      </w:r>
      <w:r>
        <w:t xml:space="preserve"> genetic variations</w:t>
      </w:r>
      <w:r w:rsidR="00D60239">
        <w:t xml:space="preserve"> are </w:t>
      </w:r>
      <w:r>
        <w:t>predominantly somatic</w:t>
      </w:r>
      <w:r w:rsidR="002329C4">
        <w:t xml:space="preserve"> and </w:t>
      </w:r>
      <w:r>
        <w:t xml:space="preserve">occur in around 10% of CCA cases. The variants are mostly heterozygous missense </w:t>
      </w:r>
      <w:r w:rsidR="007D6013">
        <w:t xml:space="preserve">variants </w:t>
      </w:r>
      <w:r w:rsidR="00D60239">
        <w:t xml:space="preserve">at the arginine residue </w:t>
      </w:r>
      <w:r>
        <w:rPr>
          <w:i/>
          <w:iCs/>
        </w:rPr>
        <w:t>IDH1</w:t>
      </w:r>
      <w:r>
        <w:t>:R132</w:t>
      </w:r>
      <w:r w:rsidR="00D60239" w:rsidRPr="00D60239">
        <w:t xml:space="preserve"> </w:t>
      </w:r>
      <w:r w:rsidR="00D60239">
        <w:t>in the catalytic site</w:t>
      </w:r>
      <w:r>
        <w:t xml:space="preserve">, consistent with a direct gain of function impact on </w:t>
      </w:r>
      <w:r w:rsidR="00644DAE">
        <w:t xml:space="preserve">the </w:t>
      </w:r>
      <w:r>
        <w:t xml:space="preserve">enzyme function. </w:t>
      </w:r>
      <w:proofErr w:type="spellStart"/>
      <w:r>
        <w:t>Ivosidenib</w:t>
      </w:r>
      <w:proofErr w:type="spellEnd"/>
      <w:r>
        <w:t xml:space="preserve"> inhibits isocitrate dehydrogenase </w:t>
      </w:r>
      <w:r w:rsidR="00644DAE">
        <w:t xml:space="preserve">enzyme </w:t>
      </w:r>
      <w:r>
        <w:t xml:space="preserve">activity and reduces production of the oncometabolite </w:t>
      </w:r>
      <w:r w:rsidR="002F2A61">
        <w:t>D2-HG</w:t>
      </w:r>
      <w:r>
        <w:t>.</w:t>
      </w:r>
    </w:p>
    <w:p w14:paraId="13FB1E7D" w14:textId="61852188" w:rsidR="008B4F02" w:rsidRDefault="008B4F02" w:rsidP="00DD5A7E">
      <w:pPr>
        <w:spacing w:after="120"/>
      </w:pPr>
      <w:r w:rsidRPr="008B4F02">
        <w:t>MSAC noted the population, intervention, comparator and outcome (PICO) that had been ratified by the PICO Advisory Subcommittee</w:t>
      </w:r>
      <w:r>
        <w:t>.</w:t>
      </w:r>
    </w:p>
    <w:p w14:paraId="6A2F3C98" w14:textId="7AE26007" w:rsidR="00DD5A7E" w:rsidRDefault="00DD5A7E" w:rsidP="00DD5A7E">
      <w:pPr>
        <w:spacing w:after="120"/>
      </w:pPr>
      <w:r>
        <w:t xml:space="preserve">MSAC noted the </w:t>
      </w:r>
      <w:r w:rsidR="00F817D5">
        <w:t>consu</w:t>
      </w:r>
      <w:r w:rsidR="007A64E7">
        <w:t>l</w:t>
      </w:r>
      <w:r w:rsidR="00F817D5">
        <w:t xml:space="preserve">tation </w:t>
      </w:r>
      <w:r>
        <w:t xml:space="preserve">feedback, which was supportive of </w:t>
      </w:r>
      <w:r w:rsidR="003306D4">
        <w:t xml:space="preserve">testing </w:t>
      </w:r>
      <w:r>
        <w:t xml:space="preserve">to enable a more personalised treatment approach. Feedback raised concerns about access to testing and access to appropriate medical and non-medical interventions. </w:t>
      </w:r>
      <w:r w:rsidR="00747198">
        <w:t xml:space="preserve">MSAC noted </w:t>
      </w:r>
      <w:proofErr w:type="spellStart"/>
      <w:r>
        <w:t>Pancare</w:t>
      </w:r>
      <w:proofErr w:type="spellEnd"/>
      <w:r>
        <w:t xml:space="preserve"> and the Cholangiocarcinoma Foundation Australia </w:t>
      </w:r>
      <w:r w:rsidR="008F375D">
        <w:t xml:space="preserve">emphasized </w:t>
      </w:r>
      <w:r w:rsidR="00AF03D0">
        <w:t xml:space="preserve">the need for supporting </w:t>
      </w:r>
      <w:r>
        <w:t xml:space="preserve">patients </w:t>
      </w:r>
      <w:r w:rsidR="00AF03D0">
        <w:t xml:space="preserve">undergoing </w:t>
      </w:r>
      <w:r>
        <w:t xml:space="preserve">the testing, including </w:t>
      </w:r>
      <w:r w:rsidR="00AF03D0">
        <w:t xml:space="preserve">providing </w:t>
      </w:r>
      <w:r>
        <w:t>genetic counselling and psychological support</w:t>
      </w:r>
      <w:r w:rsidR="00AF03D0">
        <w:t>. However,</w:t>
      </w:r>
      <w:r>
        <w:t xml:space="preserve"> MSAC </w:t>
      </w:r>
      <w:r w:rsidR="00CB4760">
        <w:t xml:space="preserve">considered </w:t>
      </w:r>
      <w:r>
        <w:t xml:space="preserve">that this </w:t>
      </w:r>
      <w:r w:rsidR="0002071D">
        <w:t xml:space="preserve">was </w:t>
      </w:r>
      <w:r>
        <w:t xml:space="preserve">likely unnecessary as almost all </w:t>
      </w:r>
      <w:r w:rsidR="0002071D">
        <w:t>var</w:t>
      </w:r>
      <w:r w:rsidR="00207CF7">
        <w:t xml:space="preserve">iations identified </w:t>
      </w:r>
      <w:r>
        <w:t xml:space="preserve">are somatic. </w:t>
      </w:r>
      <w:r w:rsidR="00873A1B">
        <w:t>MSAC noted</w:t>
      </w:r>
      <w:r w:rsidR="00861E91">
        <w:t xml:space="preserve"> </w:t>
      </w:r>
      <w:r w:rsidR="002E254B">
        <w:t>t</w:t>
      </w:r>
      <w:r>
        <w:t>he Royal College of Pathologists of Australasia (RCPA)</w:t>
      </w:r>
      <w:r w:rsidR="00704828">
        <w:t xml:space="preserve"> </w:t>
      </w:r>
      <w:r w:rsidR="0031367C">
        <w:t>feedback highlighted</w:t>
      </w:r>
      <w:r>
        <w:t xml:space="preserve"> the application </w:t>
      </w:r>
      <w:r w:rsidR="00F05D00">
        <w:t xml:space="preserve">mentioned </w:t>
      </w:r>
      <w:r>
        <w:t>‘tissue’ in the item descriptor, and that this could potentially include specimen types unsuitable for genetic testing (such as cytology specimens).</w:t>
      </w:r>
    </w:p>
    <w:p w14:paraId="313487BC" w14:textId="2A1B9171" w:rsidR="00DD5A7E" w:rsidRDefault="00DD5A7E" w:rsidP="00DD5A7E">
      <w:pPr>
        <w:spacing w:after="120"/>
      </w:pPr>
      <w:r>
        <w:t xml:space="preserve">MSAC noted that most contemporary </w:t>
      </w:r>
      <w:r>
        <w:rPr>
          <w:i/>
          <w:iCs/>
        </w:rPr>
        <w:t>IDH1</w:t>
      </w:r>
      <w:r>
        <w:t xml:space="preserve"> </w:t>
      </w:r>
      <w:r w:rsidR="003F1BDA">
        <w:t xml:space="preserve">tumour </w:t>
      </w:r>
      <w:r>
        <w:t>testing is performed as part of a gene panel test (using next generation sequencing) rather than as a single gene test.</w:t>
      </w:r>
    </w:p>
    <w:p w14:paraId="2F9E81BB" w14:textId="4F753B02" w:rsidR="00DD5A7E" w:rsidRDefault="006467DF" w:rsidP="00DD5A7E">
      <w:pPr>
        <w:spacing w:after="120"/>
      </w:pPr>
      <w:r>
        <w:t>MSAC noted that </w:t>
      </w:r>
      <w:r>
        <w:rPr>
          <w:i/>
          <w:iCs/>
        </w:rPr>
        <w:t>IDH1</w:t>
      </w:r>
      <w:r>
        <w:t xml:space="preserve"> genetic testing is currently performed for other tumours, notably gliomas, which has the same </w:t>
      </w:r>
      <w:r w:rsidR="009E61A4">
        <w:t xml:space="preserve">test </w:t>
      </w:r>
      <w:r>
        <w:t xml:space="preserve">fee of $340. </w:t>
      </w:r>
      <w:r w:rsidR="00DD5A7E">
        <w:t>MSAC noted the MBS item descriptor. MSAC agreed with ESC</w:t>
      </w:r>
      <w:r w:rsidR="00A04DB0">
        <w:t xml:space="preserve"> advice from </w:t>
      </w:r>
      <w:r w:rsidR="007D675C">
        <w:t xml:space="preserve">its </w:t>
      </w:r>
      <w:r w:rsidR="00364737">
        <w:t>June 2024</w:t>
      </w:r>
      <w:r w:rsidR="007D675C">
        <w:t xml:space="preserve"> meeting</w:t>
      </w:r>
      <w:r w:rsidR="00364737">
        <w:t>,</w:t>
      </w:r>
      <w:r w:rsidR="00DD5A7E">
        <w:t xml:space="preserve"> that specific reference to </w:t>
      </w:r>
      <w:r w:rsidR="00DD5A7E" w:rsidRPr="00115626">
        <w:t>IDH1</w:t>
      </w:r>
      <w:r w:rsidR="00DD5A7E">
        <w:t xml:space="preserve">:p.R132 variants </w:t>
      </w:r>
      <w:r w:rsidR="00A04DB0">
        <w:t xml:space="preserve">was </w:t>
      </w:r>
      <w:r w:rsidR="00DD5A7E">
        <w:t xml:space="preserve">not required, and that the descriptor should refer to ‘relevant treatment listed under the Pharmaceutical Benefits Scheme’ instead of specifying the drug class. MSAC also considered it appropriate that the test be </w:t>
      </w:r>
      <w:proofErr w:type="gramStart"/>
      <w:r w:rsidR="00DD5A7E">
        <w:t>pathologist-determinable</w:t>
      </w:r>
      <w:proofErr w:type="gramEnd"/>
      <w:r w:rsidR="007442BD">
        <w:t>.</w:t>
      </w:r>
      <w:r w:rsidR="005057DC" w:rsidRPr="005057DC">
        <w:t xml:space="preserve"> MSAC noted ESC’s concern about possible diagnostic expansion </w:t>
      </w:r>
      <w:r w:rsidR="005057DC">
        <w:t>of</w:t>
      </w:r>
      <w:r w:rsidR="005057DC" w:rsidRPr="005057DC">
        <w:t xml:space="preserve"> </w:t>
      </w:r>
      <w:r w:rsidR="005057DC" w:rsidRPr="004F358C">
        <w:rPr>
          <w:i/>
          <w:iCs/>
        </w:rPr>
        <w:t>IDH1</w:t>
      </w:r>
      <w:r w:rsidR="005057DC" w:rsidRPr="005057DC">
        <w:t xml:space="preserve"> testing</w:t>
      </w:r>
      <w:r w:rsidR="00E71D34">
        <w:t xml:space="preserve"> for </w:t>
      </w:r>
      <w:r w:rsidR="00E71D34" w:rsidRPr="00E71D34">
        <w:t>cancers of unknown primary that occur in the liver or bile duct</w:t>
      </w:r>
      <w:r w:rsidR="005057DC" w:rsidRPr="005057DC">
        <w:t xml:space="preserve"> </w:t>
      </w:r>
      <w:r w:rsidR="009543A6">
        <w:t>but agreed with applicant’s</w:t>
      </w:r>
      <w:r w:rsidR="007442BD">
        <w:t xml:space="preserve"> </w:t>
      </w:r>
      <w:r w:rsidR="00DD5A7E">
        <w:t xml:space="preserve">pre-MSAC response </w:t>
      </w:r>
      <w:r w:rsidR="002953F0">
        <w:t>arguing</w:t>
      </w:r>
      <w:r w:rsidR="00DD5A7E">
        <w:t xml:space="preserve"> the risk </w:t>
      </w:r>
      <w:r w:rsidR="00634F31">
        <w:t xml:space="preserve">that use of the test might expand beyond appropriate indications </w:t>
      </w:r>
      <w:r w:rsidR="00DD5A7E">
        <w:t>was small</w:t>
      </w:r>
      <w:r w:rsidR="003F1BDA">
        <w:t>,</w:t>
      </w:r>
      <w:r w:rsidR="00DD5A7E">
        <w:t xml:space="preserve"> </w:t>
      </w:r>
      <w:r w:rsidR="00CB68EB" w:rsidRPr="00CB68EB">
        <w:t xml:space="preserve">as a diagnosis of CCA is required </w:t>
      </w:r>
      <w:r w:rsidR="003F1BDA">
        <w:t>prior to</w:t>
      </w:r>
      <w:r w:rsidR="00CB68EB" w:rsidRPr="00CB68EB">
        <w:t xml:space="preserve"> genetic testing of the tumour tissu</w:t>
      </w:r>
      <w:r w:rsidR="00197A5B">
        <w:t>e</w:t>
      </w:r>
      <w:r w:rsidR="00CB68EB">
        <w:t xml:space="preserve"> </w:t>
      </w:r>
      <w:r w:rsidR="003F1BDA">
        <w:t>,</w:t>
      </w:r>
      <w:r w:rsidR="00DD5A7E">
        <w:t>due to the MBS item descriptor specifying ‘histologically confirmed cholangiocarcinoma’.</w:t>
      </w:r>
    </w:p>
    <w:p w14:paraId="6EE39D13" w14:textId="69A62B0B" w:rsidR="00DD5A7E" w:rsidRDefault="00DD5A7E" w:rsidP="00DD5A7E">
      <w:pPr>
        <w:spacing w:after="120"/>
      </w:pPr>
      <w:r>
        <w:t xml:space="preserve">MSAC </w:t>
      </w:r>
      <w:r w:rsidR="004D5EE9">
        <w:t xml:space="preserve">agreed with </w:t>
      </w:r>
      <w:r>
        <w:t>the clinical management algorithm.</w:t>
      </w:r>
    </w:p>
    <w:p w14:paraId="2D0DE04F" w14:textId="227CB3D1" w:rsidR="00DD5A7E" w:rsidRDefault="00DD5A7E" w:rsidP="00DD5A7E">
      <w:pPr>
        <w:spacing w:after="120"/>
      </w:pPr>
      <w:r>
        <w:t xml:space="preserve">MSAC noted that the clinical evidence was derived </w:t>
      </w:r>
      <w:r w:rsidR="002F356C">
        <w:t xml:space="preserve">primarily </w:t>
      </w:r>
      <w:r>
        <w:t xml:space="preserve">from the </w:t>
      </w:r>
      <w:proofErr w:type="spellStart"/>
      <w:r>
        <w:t>ClarIDHy</w:t>
      </w:r>
      <w:proofErr w:type="spellEnd"/>
      <w:r>
        <w:t xml:space="preserve"> trial, which compared </w:t>
      </w:r>
      <w:proofErr w:type="spellStart"/>
      <w:r>
        <w:t>ivosidenib</w:t>
      </w:r>
      <w:proofErr w:type="spellEnd"/>
      <w:r>
        <w:t xml:space="preserve"> with placebo in locally advanced or metastatic CCA patients with </w:t>
      </w:r>
      <w:r>
        <w:rPr>
          <w:i/>
          <w:iCs/>
        </w:rPr>
        <w:t>IDH1</w:t>
      </w:r>
      <w:r>
        <w:t xml:space="preserve"> variants who had disease progression after at least one line of chemotherapy. MSAC noted that </w:t>
      </w:r>
      <w:proofErr w:type="spellStart"/>
      <w:r>
        <w:t>ivosidenib</w:t>
      </w:r>
      <w:proofErr w:type="spellEnd"/>
      <w:r>
        <w:t xml:space="preserve"> has inferior safety compared to standard treatment, but with manageable adverse events (AEs). </w:t>
      </w:r>
      <w:r w:rsidR="00117541">
        <w:t xml:space="preserve">MSAC noted </w:t>
      </w:r>
      <w:r w:rsidR="003F1BDA">
        <w:t>that</w:t>
      </w:r>
      <w:r w:rsidR="00117541">
        <w:t xml:space="preserve"> during </w:t>
      </w:r>
      <w:proofErr w:type="spellStart"/>
      <w:r w:rsidR="002F58F2">
        <w:t>ivosidenib</w:t>
      </w:r>
      <w:proofErr w:type="spellEnd"/>
      <w:r w:rsidR="002F58F2">
        <w:t xml:space="preserve"> therapy, t</w:t>
      </w:r>
      <w:r>
        <w:t>here is a potential for prolongation of the QT interval</w:t>
      </w:r>
      <w:r w:rsidR="002F58F2">
        <w:t>. Therefore,</w:t>
      </w:r>
      <w:r>
        <w:t xml:space="preserve"> electrocardiogram (ECG) testing before and during </w:t>
      </w:r>
      <w:r w:rsidR="002F58F2">
        <w:t xml:space="preserve">treatment </w:t>
      </w:r>
      <w:r>
        <w:t>(an average of 7.7 ECG</w:t>
      </w:r>
      <w:r w:rsidR="00117541">
        <w:t xml:space="preserve"> tests</w:t>
      </w:r>
      <w:r>
        <w:t xml:space="preserve"> per patient</w:t>
      </w:r>
      <w:r w:rsidR="002F58F2">
        <w:t>)</w:t>
      </w:r>
      <w:r w:rsidR="00117541">
        <w:t xml:space="preserve"> is required</w:t>
      </w:r>
      <w:r>
        <w:t>.</w:t>
      </w:r>
    </w:p>
    <w:p w14:paraId="0862FAAA" w14:textId="5F65A67F" w:rsidR="00DD5A7E" w:rsidRDefault="00DD5A7E" w:rsidP="00DD5A7E">
      <w:pPr>
        <w:spacing w:after="120"/>
      </w:pPr>
      <w:r>
        <w:t xml:space="preserve">MSAC noted that the clinical claim </w:t>
      </w:r>
      <w:r w:rsidR="00741298">
        <w:t>wa</w:t>
      </w:r>
      <w:r>
        <w:t xml:space="preserve">s </w:t>
      </w:r>
      <w:proofErr w:type="spellStart"/>
      <w:r w:rsidR="007C3A1C" w:rsidRPr="007C3A1C">
        <w:t>ivosidenib</w:t>
      </w:r>
      <w:proofErr w:type="spellEnd"/>
      <w:r w:rsidR="007C3A1C" w:rsidRPr="007C3A1C">
        <w:t xml:space="preserve"> </w:t>
      </w:r>
      <w:r w:rsidR="007C3A1C">
        <w:t>was</w:t>
      </w:r>
      <w:r w:rsidR="007C3A1C" w:rsidRPr="007C3A1C">
        <w:t xml:space="preserve"> superior in terms of efficacy </w:t>
      </w:r>
      <w:r>
        <w:t xml:space="preserve">compared to standard (palliative) care. Data from the </w:t>
      </w:r>
      <w:proofErr w:type="spellStart"/>
      <w:r>
        <w:t>ClarIDHy</w:t>
      </w:r>
      <w:proofErr w:type="spellEnd"/>
      <w:r>
        <w:t xml:space="preserve"> trial showed that, for patients with </w:t>
      </w:r>
      <w:r>
        <w:rPr>
          <w:i/>
          <w:iCs/>
        </w:rPr>
        <w:t>IDH1</w:t>
      </w:r>
      <w:r>
        <w:t xml:space="preserve"> gene</w:t>
      </w:r>
      <w:r w:rsidR="00E530C2">
        <w:t>tic</w:t>
      </w:r>
      <w:r>
        <w:t xml:space="preserve"> variants, </w:t>
      </w:r>
      <w:proofErr w:type="spellStart"/>
      <w:r>
        <w:t>ivosidenib</w:t>
      </w:r>
      <w:proofErr w:type="spellEnd"/>
      <w:r>
        <w:t xml:space="preserve"> resulted in a small </w:t>
      </w:r>
      <w:r w:rsidR="003F1BDA">
        <w:t>progression-</w:t>
      </w:r>
      <w:r>
        <w:t xml:space="preserve">free survival </w:t>
      </w:r>
      <w:r w:rsidR="003F1BDA">
        <w:t xml:space="preserve">advantage </w:t>
      </w:r>
      <w:r w:rsidR="003356C4">
        <w:t>(</w:t>
      </w:r>
      <w:r w:rsidR="00F75CA1">
        <w:t xml:space="preserve">median ~1.3 months) </w:t>
      </w:r>
      <w:r>
        <w:t xml:space="preserve">and moderate overall survival </w:t>
      </w:r>
      <w:r w:rsidR="005631B4">
        <w:t xml:space="preserve">(OS) </w:t>
      </w:r>
      <w:r>
        <w:t>advantage</w:t>
      </w:r>
      <w:r w:rsidR="00F75CA1">
        <w:t xml:space="preserve"> (median ~2.8 </w:t>
      </w:r>
      <w:r w:rsidR="00C24F0D">
        <w:t>months</w:t>
      </w:r>
      <w:r w:rsidR="00F75CA1">
        <w:t>)</w:t>
      </w:r>
      <w:r>
        <w:t xml:space="preserve"> compared with standard treatment. </w:t>
      </w:r>
      <w:r w:rsidR="005631B4">
        <w:t xml:space="preserve">However, MSAC noted the </w:t>
      </w:r>
      <w:r w:rsidR="00BF22A2">
        <w:t>gain in</w:t>
      </w:r>
      <w:r w:rsidR="005631B4">
        <w:t xml:space="preserve"> OS was not statistically significant.</w:t>
      </w:r>
      <w:r w:rsidR="005D37A1">
        <w:t xml:space="preserve"> Therefore, MSAC </w:t>
      </w:r>
      <w:r w:rsidR="00BD5BCE">
        <w:t>considered</w:t>
      </w:r>
      <w:r w:rsidR="005D37A1">
        <w:t xml:space="preserve"> that </w:t>
      </w:r>
      <w:r w:rsidR="00EB08C7">
        <w:t>g</w:t>
      </w:r>
      <w:r w:rsidR="005D37A1" w:rsidRPr="005D37A1">
        <w:t xml:space="preserve">ains were very </w:t>
      </w:r>
      <w:r w:rsidR="00C90434" w:rsidRPr="005D37A1">
        <w:t>modest,</w:t>
      </w:r>
      <w:r w:rsidR="005D37A1" w:rsidRPr="005D37A1">
        <w:t xml:space="preserve"> and survival remained poor</w:t>
      </w:r>
      <w:r w:rsidR="00BD5BCE">
        <w:t xml:space="preserve">. </w:t>
      </w:r>
      <w:r w:rsidR="00EB08C7">
        <w:t>MSAC noted when a</w:t>
      </w:r>
      <w:r>
        <w:t xml:space="preserve">djustment </w:t>
      </w:r>
      <w:r w:rsidR="00EB08C7">
        <w:t xml:space="preserve">was made </w:t>
      </w:r>
      <w:r>
        <w:t xml:space="preserve">for crossover from the placebo arm using a rank-preserving structural failure time model </w:t>
      </w:r>
      <w:r w:rsidR="00814243">
        <w:t>(</w:t>
      </w:r>
      <w:r w:rsidR="00814243" w:rsidRPr="00814243">
        <w:t>RPSFT)</w:t>
      </w:r>
      <w:r w:rsidR="00814243">
        <w:t>, it</w:t>
      </w:r>
      <w:r w:rsidR="00814243" w:rsidRPr="00814243">
        <w:t xml:space="preserve"> </w:t>
      </w:r>
      <w:r>
        <w:t xml:space="preserve">improved the </w:t>
      </w:r>
      <w:r w:rsidR="005F2204">
        <w:t xml:space="preserve">OS </w:t>
      </w:r>
      <w:r>
        <w:t xml:space="preserve">survival gain with </w:t>
      </w:r>
      <w:proofErr w:type="spellStart"/>
      <w:r>
        <w:t>ivosidenib</w:t>
      </w:r>
      <w:proofErr w:type="spellEnd"/>
      <w:r>
        <w:t xml:space="preserve"> to a median of 5.2</w:t>
      </w:r>
      <w:r w:rsidR="00BA269A">
        <w:t xml:space="preserve"> </w:t>
      </w:r>
      <w:r>
        <w:t>months.</w:t>
      </w:r>
      <w:r w:rsidR="00BD5BCE">
        <w:t xml:space="preserve"> Overall</w:t>
      </w:r>
      <w:r w:rsidR="00637146">
        <w:t xml:space="preserve"> MSAC</w:t>
      </w:r>
      <w:r w:rsidR="00BD5BCE">
        <w:t xml:space="preserve"> considered that </w:t>
      </w:r>
      <w:r w:rsidR="00BD5BCE" w:rsidRPr="00C042B8">
        <w:t xml:space="preserve">testing would be comparatively effective if it provided access to </w:t>
      </w:r>
      <w:proofErr w:type="spellStart"/>
      <w:r w:rsidR="00BD5BCE" w:rsidRPr="00C042B8">
        <w:t>ivosidenib</w:t>
      </w:r>
      <w:proofErr w:type="spellEnd"/>
      <w:r w:rsidR="00637146">
        <w:t>.</w:t>
      </w:r>
    </w:p>
    <w:p w14:paraId="5836F591" w14:textId="6FB35659" w:rsidR="00DD5A7E" w:rsidRPr="00F05520" w:rsidRDefault="00DD5A7E" w:rsidP="00DD5A7E">
      <w:pPr>
        <w:spacing w:after="120"/>
      </w:pPr>
      <w:r>
        <w:t xml:space="preserve">MSAC noted that the submission presented a </w:t>
      </w:r>
      <w:r w:rsidR="00521297">
        <w:t>cost utility analysis</w:t>
      </w:r>
      <w:r>
        <w:t xml:space="preserve"> with a </w:t>
      </w:r>
      <w:r w:rsidR="001D023F">
        <w:t>5</w:t>
      </w:r>
      <w:r>
        <w:t xml:space="preserve">-year time horizon, based on the </w:t>
      </w:r>
      <w:proofErr w:type="spellStart"/>
      <w:r>
        <w:t>ClarIDHy</w:t>
      </w:r>
      <w:proofErr w:type="spellEnd"/>
      <w:r>
        <w:t xml:space="preserve"> trial. The base case results demonstrate</w:t>
      </w:r>
      <w:r w:rsidR="00521297">
        <w:t>d</w:t>
      </w:r>
      <w:r>
        <w:t xml:space="preserve"> that </w:t>
      </w:r>
      <w:proofErr w:type="spellStart"/>
      <w:r>
        <w:t>ivosidenib</w:t>
      </w:r>
      <w:proofErr w:type="spellEnd"/>
      <w:r>
        <w:t xml:space="preserve"> </w:t>
      </w:r>
      <w:r w:rsidR="00521297">
        <w:t>wa</w:t>
      </w:r>
      <w:r>
        <w:t xml:space="preserve">s more costly but more effective than standard care in CCA patients with a </w:t>
      </w:r>
      <w:r>
        <w:rPr>
          <w:i/>
          <w:iCs/>
        </w:rPr>
        <w:t xml:space="preserve">IDH1 </w:t>
      </w:r>
      <w:r>
        <w:t>gene</w:t>
      </w:r>
      <w:r w:rsidR="0075543C">
        <w:t>tic</w:t>
      </w:r>
      <w:r>
        <w:t xml:space="preserve"> variant. The total cost associated with </w:t>
      </w:r>
      <w:r>
        <w:rPr>
          <w:i/>
          <w:iCs/>
        </w:rPr>
        <w:t>IDH1</w:t>
      </w:r>
      <w:r>
        <w:t xml:space="preserve"> testing and </w:t>
      </w:r>
      <w:proofErr w:type="spellStart"/>
      <w:r>
        <w:t>ivosidenib</w:t>
      </w:r>
      <w:proofErr w:type="spellEnd"/>
      <w:r>
        <w:t xml:space="preserve"> treatment was $</w:t>
      </w:r>
      <w:r w:rsidR="006C319E" w:rsidRPr="008D5C07">
        <w:rPr>
          <w:b/>
          <w:bCs/>
        </w:rPr>
        <w:t>redacted</w:t>
      </w:r>
      <w:r>
        <w:t>, compared with $25,</w:t>
      </w:r>
      <w:r w:rsidR="009A1387">
        <w:t>158</w:t>
      </w:r>
      <w:r>
        <w:t xml:space="preserve">.1 for no testing and standard </w:t>
      </w:r>
      <w:r w:rsidR="00F45052">
        <w:t xml:space="preserve">of </w:t>
      </w:r>
      <w:r>
        <w:t xml:space="preserve">care (incremental cost </w:t>
      </w:r>
      <w:r w:rsidR="00771C10">
        <w:t xml:space="preserve">of </w:t>
      </w:r>
      <w:r>
        <w:t>$</w:t>
      </w:r>
      <w:r w:rsidR="006C319E" w:rsidRPr="006C319E">
        <w:rPr>
          <w:b/>
          <w:bCs/>
        </w:rPr>
        <w:t xml:space="preserve"> </w:t>
      </w:r>
      <w:r w:rsidR="006C319E" w:rsidRPr="00C85ABF">
        <w:rPr>
          <w:b/>
          <w:bCs/>
        </w:rPr>
        <w:t>redacted</w:t>
      </w:r>
      <w:r>
        <w:t xml:space="preserve">). </w:t>
      </w:r>
      <w:r w:rsidR="00771C10">
        <w:t>MSAC noted the q</w:t>
      </w:r>
      <w:r>
        <w:t xml:space="preserve">uality-adjusted life years (QALYs) associated with </w:t>
      </w:r>
      <w:r>
        <w:rPr>
          <w:i/>
          <w:iCs/>
        </w:rPr>
        <w:t>IDH1</w:t>
      </w:r>
      <w:r>
        <w:t xml:space="preserve"> testing and </w:t>
      </w:r>
      <w:proofErr w:type="spellStart"/>
      <w:r>
        <w:t>ivosidenib</w:t>
      </w:r>
      <w:proofErr w:type="spellEnd"/>
      <w:r>
        <w:t xml:space="preserve"> were </w:t>
      </w:r>
      <w:r w:rsidR="0025717A">
        <w:t>1.009</w:t>
      </w:r>
      <w:r>
        <w:t xml:space="preserve">, compared with </w:t>
      </w:r>
      <w:r w:rsidR="0025717A">
        <w:t>0.481</w:t>
      </w:r>
      <w:r>
        <w:t xml:space="preserve"> for standard of care (incremental QALYs </w:t>
      </w:r>
      <w:r w:rsidR="00771C10">
        <w:t xml:space="preserve">of </w:t>
      </w:r>
      <w:r w:rsidR="0025717A">
        <w:t>0.528</w:t>
      </w:r>
      <w:r>
        <w:t xml:space="preserve">). MSAC noted that this translated to a base case ICER of </w:t>
      </w:r>
      <w:r w:rsidR="008B49F1" w:rsidRPr="00F05520">
        <w:t>$55,000</w:t>
      </w:r>
      <w:r w:rsidR="008B49F1" w:rsidRPr="00F05520" w:rsidDel="008B49F1">
        <w:t xml:space="preserve"> </w:t>
      </w:r>
      <w:r w:rsidR="00BA4877" w:rsidRPr="00F05520">
        <w:t xml:space="preserve">&lt; </w:t>
      </w:r>
      <w:r w:rsidR="00B8588F" w:rsidRPr="00F05520">
        <w:t>$75,000</w:t>
      </w:r>
      <w:r w:rsidR="00B8588F" w:rsidRPr="00F05520" w:rsidDel="00B8588F">
        <w:t xml:space="preserve"> </w:t>
      </w:r>
      <w:r w:rsidRPr="00F05520">
        <w:t>per QALY</w:t>
      </w:r>
      <w:r w:rsidR="00E602E2" w:rsidRPr="00F05520">
        <w:t xml:space="preserve">. </w:t>
      </w:r>
      <w:r w:rsidRPr="00F05520">
        <w:t xml:space="preserve">Sensitivity analyses demonstrated that the ICERs range from </w:t>
      </w:r>
      <w:r w:rsidR="009D23BC" w:rsidRPr="00F05520">
        <w:t>$55,000</w:t>
      </w:r>
      <w:r w:rsidR="009D23BC" w:rsidRPr="00F05520" w:rsidDel="008B49F1">
        <w:t xml:space="preserve"> </w:t>
      </w:r>
      <w:r w:rsidR="00250BFC" w:rsidRPr="00F05520">
        <w:t xml:space="preserve">&lt; </w:t>
      </w:r>
      <w:r w:rsidR="009D23BC" w:rsidRPr="00F05520">
        <w:t>$75,000</w:t>
      </w:r>
      <w:r w:rsidR="009D23BC" w:rsidRPr="00F05520" w:rsidDel="00B8588F">
        <w:t xml:space="preserve"> </w:t>
      </w:r>
      <w:r w:rsidRPr="00F05520">
        <w:t>to $</w:t>
      </w:r>
      <w:r w:rsidR="005377F7" w:rsidRPr="00F05520">
        <w:t>7</w:t>
      </w:r>
      <w:r w:rsidR="00BA4877" w:rsidRPr="00F05520">
        <w:t>5,000 &lt; $</w:t>
      </w:r>
      <w:r w:rsidR="00AA770D" w:rsidRPr="00F05520">
        <w:t>9</w:t>
      </w:r>
      <w:r w:rsidR="00BA4877" w:rsidRPr="00F05520">
        <w:t>5,000</w:t>
      </w:r>
      <w:r w:rsidR="00250BFC" w:rsidRPr="00F05520">
        <w:t xml:space="preserve"> </w:t>
      </w:r>
      <w:r w:rsidRPr="00F05520">
        <w:t>per QALY for the companion test and treatment.</w:t>
      </w:r>
    </w:p>
    <w:p w14:paraId="4F77A327" w14:textId="5621A481" w:rsidR="00DD5A7E" w:rsidRDefault="00DD5A7E" w:rsidP="00DD5A7E">
      <w:pPr>
        <w:spacing w:after="120"/>
      </w:pPr>
      <w:r>
        <w:t>MSAC noted the financial impact and the applicant’s updated estimated uptake</w:t>
      </w:r>
      <w:r w:rsidR="000A4C94">
        <w:t xml:space="preserve"> of the test</w:t>
      </w:r>
      <w:r>
        <w:t xml:space="preserve">. </w:t>
      </w:r>
      <w:r w:rsidR="00D97BC5">
        <w:t xml:space="preserve">MSAC noted </w:t>
      </w:r>
      <w:r w:rsidR="00D97BC5" w:rsidRPr="00D97BC5">
        <w:t xml:space="preserve">assuming </w:t>
      </w:r>
      <w:r w:rsidR="00D97BC5">
        <w:t xml:space="preserve">an </w:t>
      </w:r>
      <w:r w:rsidR="00D97BC5" w:rsidRPr="00D97BC5">
        <w:t>85% benefit</w:t>
      </w:r>
      <w:r w:rsidR="00C408D6">
        <w:t>,</w:t>
      </w:r>
      <w:r w:rsidR="00D97BC5" w:rsidRPr="00D97BC5" w:rsidDel="00D97BC5">
        <w:t xml:space="preserve"> </w:t>
      </w:r>
      <w:r w:rsidR="00D97BC5">
        <w:t>t</w:t>
      </w:r>
      <w:r>
        <w:t>he financial impact to the MBS was $</w:t>
      </w:r>
      <w:r w:rsidR="00F07DFD">
        <w:t>0 &lt; $10</w:t>
      </w:r>
      <w:r>
        <w:t xml:space="preserve"> </w:t>
      </w:r>
      <w:r w:rsidR="00F07DFD">
        <w:t xml:space="preserve">million </w:t>
      </w:r>
      <w:r>
        <w:t xml:space="preserve">in </w:t>
      </w:r>
      <w:r w:rsidR="00D63B6A">
        <w:t>Y</w:t>
      </w:r>
      <w:r>
        <w:t>ear 1 increasing to $</w:t>
      </w:r>
      <w:r w:rsidR="00F07DFD">
        <w:t>0 &lt; $10 million</w:t>
      </w:r>
      <w:r>
        <w:t xml:space="preserve"> in </w:t>
      </w:r>
      <w:r w:rsidR="00D63B6A">
        <w:t>Y</w:t>
      </w:r>
      <w:r>
        <w:t xml:space="preserve">ear 6 </w:t>
      </w:r>
      <w:r w:rsidR="00D97BC5">
        <w:t xml:space="preserve">and considered </w:t>
      </w:r>
      <w:r w:rsidR="002B70FF">
        <w:t xml:space="preserve">it to be </w:t>
      </w:r>
      <w:r>
        <w:t xml:space="preserve">a modest budget impact </w:t>
      </w:r>
      <w:r w:rsidR="002B70FF">
        <w:t>noting</w:t>
      </w:r>
      <w:r>
        <w:t xml:space="preserve"> the rarity of the condition. MSAC noted that the financial impact to the total health budget was $</w:t>
      </w:r>
      <w:r w:rsidR="00F07DFD">
        <w:t>0 &lt; $10</w:t>
      </w:r>
      <w:r w:rsidR="005B05FD">
        <w:t xml:space="preserve"> </w:t>
      </w:r>
      <w:r>
        <w:t xml:space="preserve">million in </w:t>
      </w:r>
      <w:r w:rsidR="00804919">
        <w:t>Y</w:t>
      </w:r>
      <w:r>
        <w:t>ear 1 increasing to $</w:t>
      </w:r>
      <w:r w:rsidR="00F07DFD">
        <w:t>0 &lt; $10</w:t>
      </w:r>
      <w:r>
        <w:t xml:space="preserve"> million in </w:t>
      </w:r>
      <w:r w:rsidR="00804919">
        <w:t>Y</w:t>
      </w:r>
      <w:r>
        <w:t xml:space="preserve">ear 6. </w:t>
      </w:r>
    </w:p>
    <w:p w14:paraId="113366C8" w14:textId="48CB222A" w:rsidR="0060062D" w:rsidRPr="00DD5A7E" w:rsidRDefault="00635D0C" w:rsidP="00DD5A7E">
      <w:pPr>
        <w:spacing w:after="120"/>
      </w:pPr>
      <w:r w:rsidRPr="00635D0C">
        <w:t xml:space="preserve">Overall, MSAC considered </w:t>
      </w:r>
      <w:r w:rsidRPr="004F358C">
        <w:rPr>
          <w:i/>
          <w:iCs/>
        </w:rPr>
        <w:t>IDH1</w:t>
      </w:r>
      <w:r w:rsidRPr="00635D0C">
        <w:t xml:space="preserve"> genetic testing was comparatively safe</w:t>
      </w:r>
      <w:r w:rsidR="00642014">
        <w:t xml:space="preserve"> and that</w:t>
      </w:r>
      <w:r w:rsidRPr="00635D0C">
        <w:t xml:space="preserve"> </w:t>
      </w:r>
      <w:r w:rsidR="00FE607C">
        <w:t xml:space="preserve">if testing provided access to </w:t>
      </w:r>
      <w:proofErr w:type="spellStart"/>
      <w:r w:rsidR="00FE607C">
        <w:t>ivosidenib</w:t>
      </w:r>
      <w:proofErr w:type="spellEnd"/>
      <w:r w:rsidR="00FE607C">
        <w:t xml:space="preserve"> on the PBS it </w:t>
      </w:r>
      <w:r w:rsidR="000A3CEB" w:rsidRPr="000A3CEB">
        <w:t xml:space="preserve">would improve health outcomes for the patients with </w:t>
      </w:r>
      <w:r w:rsidR="00FE607C">
        <w:t>CCA</w:t>
      </w:r>
      <w:r w:rsidR="000A3CEB" w:rsidRPr="000A3CEB">
        <w:t xml:space="preserve"> who harbour an </w:t>
      </w:r>
      <w:r w:rsidR="000A3CEB" w:rsidRPr="004F358C">
        <w:rPr>
          <w:i/>
          <w:iCs/>
        </w:rPr>
        <w:t>IDH1</w:t>
      </w:r>
      <w:r w:rsidR="000A3CEB" w:rsidRPr="000A3CEB">
        <w:t xml:space="preserve"> variant</w:t>
      </w:r>
      <w:r w:rsidR="00FE607C">
        <w:t xml:space="preserve">. </w:t>
      </w:r>
      <w:r w:rsidR="00F4157D">
        <w:t>MSAC considered</w:t>
      </w:r>
      <w:r w:rsidR="000A3CEB">
        <w:t xml:space="preserve"> </w:t>
      </w:r>
      <w:r w:rsidR="00F4157D">
        <w:t xml:space="preserve">the </w:t>
      </w:r>
      <w:r w:rsidRPr="00635D0C">
        <w:t>financial cost to the MBS</w:t>
      </w:r>
      <w:r w:rsidR="00F4157D">
        <w:t xml:space="preserve"> was </w:t>
      </w:r>
      <w:r w:rsidR="00F4157D" w:rsidRPr="00635D0C">
        <w:t>acceptable</w:t>
      </w:r>
      <w:r w:rsidR="000A3CEB">
        <w:t>. Therefore,</w:t>
      </w:r>
      <w:r w:rsidRPr="00635D0C">
        <w:t xml:space="preserve"> </w:t>
      </w:r>
      <w:r w:rsidR="00DD5A7E">
        <w:t xml:space="preserve">MSAC supported listing </w:t>
      </w:r>
      <w:r w:rsidR="000A3CEB">
        <w:t xml:space="preserve">of </w:t>
      </w:r>
      <w:r w:rsidR="00DD5A7E">
        <w:rPr>
          <w:i/>
          <w:iCs/>
        </w:rPr>
        <w:t>IDH1</w:t>
      </w:r>
      <w:r w:rsidR="00DD5A7E">
        <w:t xml:space="preserve"> gene</w:t>
      </w:r>
      <w:r w:rsidR="000A3CEB">
        <w:t>tic</w:t>
      </w:r>
      <w:r w:rsidR="00DD5A7E">
        <w:t xml:space="preserve"> variant</w:t>
      </w:r>
      <w:r w:rsidR="000A3CEB">
        <w:t xml:space="preserve"> testing for </w:t>
      </w:r>
      <w:r w:rsidR="00DD5A7E">
        <w:t xml:space="preserve">patients with cholangiocarcinoma (CCA). MSAC noted that the PBAC’s positive recommendation for listing </w:t>
      </w:r>
      <w:proofErr w:type="spellStart"/>
      <w:r w:rsidR="00DD5A7E">
        <w:t>ivosidenib</w:t>
      </w:r>
      <w:proofErr w:type="spellEnd"/>
      <w:r w:rsidR="00DD5A7E">
        <w:t xml:space="preserve"> on the PBS depended on a </w:t>
      </w:r>
      <w:r w:rsidR="00FE607C">
        <w:t xml:space="preserve">further </w:t>
      </w:r>
      <w:r w:rsidR="00DD5A7E">
        <w:t>price reduction.</w:t>
      </w:r>
    </w:p>
    <w:p w14:paraId="691DBC64" w14:textId="77777777" w:rsidR="00BC1364" w:rsidRPr="00F715D1" w:rsidRDefault="00BC1364" w:rsidP="00F715D1">
      <w:pPr>
        <w:pStyle w:val="Heading1"/>
      </w:pPr>
      <w:r w:rsidRPr="00F715D1">
        <w:t>Background</w:t>
      </w:r>
    </w:p>
    <w:p w14:paraId="56AE1691" w14:textId="33EA768E" w:rsidR="00BC1364" w:rsidRDefault="00E63251" w:rsidP="00F715D1">
      <w:pPr>
        <w:spacing w:after="240"/>
      </w:pPr>
      <w:r>
        <w:rPr>
          <w:bCs/>
          <w:szCs w:val="24"/>
        </w:rPr>
        <w:t xml:space="preserve">MSAC </w:t>
      </w:r>
      <w:r w:rsidR="0073536F">
        <w:rPr>
          <w:bCs/>
          <w:szCs w:val="24"/>
        </w:rPr>
        <w:t xml:space="preserve">had </w:t>
      </w:r>
      <w:r w:rsidR="000424EE">
        <w:rPr>
          <w:bCs/>
          <w:szCs w:val="24"/>
        </w:rPr>
        <w:t xml:space="preserve">previously considered </w:t>
      </w:r>
      <w:r w:rsidR="000424EE" w:rsidRPr="00790B03">
        <w:rPr>
          <w:i/>
        </w:rPr>
        <w:t>IDH1</w:t>
      </w:r>
      <w:r w:rsidR="000424EE" w:rsidRPr="00854496">
        <w:rPr>
          <w:iCs/>
        </w:rPr>
        <w:t xml:space="preserve"> testing </w:t>
      </w:r>
      <w:r w:rsidR="00AD7126">
        <w:rPr>
          <w:iCs/>
        </w:rPr>
        <w:t xml:space="preserve">in patients with CCA </w:t>
      </w:r>
      <w:r w:rsidR="00B261CD">
        <w:rPr>
          <w:iCs/>
        </w:rPr>
        <w:t>to determine</w:t>
      </w:r>
      <w:r w:rsidR="00757D87">
        <w:rPr>
          <w:iCs/>
        </w:rPr>
        <w:t xml:space="preserve"> access to</w:t>
      </w:r>
      <w:r w:rsidR="000260E8" w:rsidRPr="000441A6">
        <w:rPr>
          <w:iCs/>
        </w:rPr>
        <w:t xml:space="preserve"> </w:t>
      </w:r>
      <w:proofErr w:type="spellStart"/>
      <w:r w:rsidR="000260E8" w:rsidRPr="000441A6">
        <w:rPr>
          <w:iCs/>
        </w:rPr>
        <w:t>ivosidenib</w:t>
      </w:r>
      <w:proofErr w:type="spellEnd"/>
      <w:r w:rsidR="000260E8" w:rsidRPr="000441A6">
        <w:rPr>
          <w:iCs/>
        </w:rPr>
        <w:t xml:space="preserve"> (</w:t>
      </w:r>
      <w:proofErr w:type="spellStart"/>
      <w:r w:rsidR="000260E8" w:rsidRPr="000441A6">
        <w:rPr>
          <w:iCs/>
        </w:rPr>
        <w:t>Tibsovo</w:t>
      </w:r>
      <w:proofErr w:type="spellEnd"/>
      <w:r w:rsidR="000260E8" w:rsidRPr="00A3409C">
        <w:rPr>
          <w:iCs/>
          <w:vertAlign w:val="superscript"/>
        </w:rPr>
        <w:t>®</w:t>
      </w:r>
      <w:r w:rsidR="000260E8" w:rsidRPr="000441A6">
        <w:rPr>
          <w:iCs/>
        </w:rPr>
        <w:t>)</w:t>
      </w:r>
      <w:r w:rsidR="007C7224">
        <w:rPr>
          <w:iCs/>
        </w:rPr>
        <w:t xml:space="preserve"> </w:t>
      </w:r>
      <w:r w:rsidR="00F4083B" w:rsidRPr="00F4083B">
        <w:rPr>
          <w:iCs/>
        </w:rPr>
        <w:t xml:space="preserve">for the treatment of locally advanced or metastatic cholangiocarcinoma in patients who have evidence of an </w:t>
      </w:r>
      <w:r w:rsidR="00F4083B" w:rsidRPr="00A82EC4">
        <w:rPr>
          <w:i/>
        </w:rPr>
        <w:t>IDH1</w:t>
      </w:r>
      <w:r w:rsidR="00F4083B" w:rsidRPr="00F4083B">
        <w:rPr>
          <w:iCs/>
        </w:rPr>
        <w:t xml:space="preserve"> variant and who have previously progressed on systemic therapy.</w:t>
      </w:r>
      <w:r w:rsidR="00F4083B">
        <w:rPr>
          <w:iCs/>
        </w:rPr>
        <w:t xml:space="preserve"> </w:t>
      </w:r>
      <w:r w:rsidR="003B309A">
        <w:t>The original application was considered by MSAC at its August 2024 meeting.</w:t>
      </w:r>
    </w:p>
    <w:p w14:paraId="696EFB1E" w14:textId="200CF5DD" w:rsidR="003B309A" w:rsidRDefault="003B309A" w:rsidP="00F715D1">
      <w:pPr>
        <w:spacing w:after="240"/>
        <w:rPr>
          <w:iCs/>
        </w:rPr>
      </w:pPr>
      <w:r>
        <w:t xml:space="preserve">MSAC deferred its decision and foreshadowed that </w:t>
      </w:r>
      <w:r w:rsidR="00EF4B57">
        <w:t xml:space="preserve">it </w:t>
      </w:r>
      <w:r>
        <w:t>would reconsider if the PBAC recommended the PBS listing of</w:t>
      </w:r>
      <w:r w:rsidR="00D05026">
        <w:t xml:space="preserve"> </w:t>
      </w:r>
      <w:proofErr w:type="spellStart"/>
      <w:r w:rsidR="00D05026" w:rsidRPr="000441A6">
        <w:rPr>
          <w:iCs/>
        </w:rPr>
        <w:t>ivosidenib</w:t>
      </w:r>
      <w:proofErr w:type="spellEnd"/>
      <w:r w:rsidR="00DB014D">
        <w:rPr>
          <w:iCs/>
        </w:rPr>
        <w:t xml:space="preserve"> </w:t>
      </w:r>
      <w:r w:rsidR="00DB014D" w:rsidRPr="000441A6">
        <w:rPr>
          <w:iCs/>
        </w:rPr>
        <w:t>for the treatment of adult patients with locally advanced or metastatic CCA</w:t>
      </w:r>
      <w:r w:rsidR="008F2D95">
        <w:rPr>
          <w:iCs/>
        </w:rPr>
        <w:t xml:space="preserve"> with a confirmed </w:t>
      </w:r>
      <w:r w:rsidR="008F2D95" w:rsidRPr="00790B03">
        <w:rPr>
          <w:i/>
        </w:rPr>
        <w:t>IDH1</w:t>
      </w:r>
      <w:r w:rsidR="008F2D95" w:rsidRPr="000441A6">
        <w:rPr>
          <w:iCs/>
        </w:rPr>
        <w:t xml:space="preserve"> </w:t>
      </w:r>
      <w:r w:rsidR="008F2D95">
        <w:rPr>
          <w:iCs/>
        </w:rPr>
        <w:t xml:space="preserve">variant and </w:t>
      </w:r>
      <w:r w:rsidR="00DB014D" w:rsidRPr="000441A6">
        <w:rPr>
          <w:iCs/>
        </w:rPr>
        <w:t>who have previously progressed on chemotherapy</w:t>
      </w:r>
      <w:r w:rsidR="00DB014D">
        <w:rPr>
          <w:iCs/>
        </w:rPr>
        <w:t>.</w:t>
      </w:r>
      <w:r w:rsidR="00D30558">
        <w:rPr>
          <w:iCs/>
        </w:rPr>
        <w:t xml:space="preserve"> </w:t>
      </w:r>
    </w:p>
    <w:p w14:paraId="4A5210FD" w14:textId="7E33B098" w:rsidR="006F4F98" w:rsidRPr="00003475" w:rsidRDefault="004F0C5F" w:rsidP="00003475">
      <w:r>
        <w:rPr>
          <w:i/>
          <w:iCs/>
        </w:rPr>
        <w:t xml:space="preserve">IDH1 </w:t>
      </w:r>
      <w:r>
        <w:t>genetic testing is</w:t>
      </w:r>
      <w:r w:rsidRPr="00B816E7">
        <w:t xml:space="preserve"> </w:t>
      </w:r>
      <w:r>
        <w:t xml:space="preserve">already </w:t>
      </w:r>
      <w:r w:rsidRPr="00B816E7">
        <w:t xml:space="preserve">funded for </w:t>
      </w:r>
      <w:r>
        <w:t xml:space="preserve">patients with </w:t>
      </w:r>
      <w:r w:rsidRPr="00B816E7">
        <w:t>glioma</w:t>
      </w:r>
      <w:r>
        <w:t xml:space="preserve"> or glioblastoma </w:t>
      </w:r>
      <w:r w:rsidR="00C06F6E" w:rsidRPr="008F5246">
        <w:rPr>
          <w:color w:val="0D0D0D"/>
        </w:rPr>
        <w:t>(MSAC application</w:t>
      </w:r>
      <w:r w:rsidR="00C06F6E">
        <w:rPr>
          <w:color w:val="0D0D0D"/>
        </w:rPr>
        <w:t>s</w:t>
      </w:r>
      <w:r w:rsidR="00C06F6E" w:rsidRPr="008F5246">
        <w:rPr>
          <w:color w:val="0D0D0D"/>
        </w:rPr>
        <w:t xml:space="preserve"> 1527</w:t>
      </w:r>
      <w:r w:rsidR="00C06F6E" w:rsidRPr="008F5246">
        <w:rPr>
          <w:rStyle w:val="FootnoteReference"/>
          <w:color w:val="0D0D0D"/>
        </w:rPr>
        <w:footnoteReference w:id="2"/>
      </w:r>
      <w:r w:rsidR="00C06F6E" w:rsidRPr="008F5246">
        <w:rPr>
          <w:color w:val="0D0D0D"/>
        </w:rPr>
        <w:t xml:space="preserve"> and 1709</w:t>
      </w:r>
      <w:r w:rsidR="00C06F6E" w:rsidRPr="008F5246">
        <w:rPr>
          <w:rStyle w:val="FootnoteReference"/>
          <w:color w:val="0D0D0D"/>
        </w:rPr>
        <w:footnoteReference w:id="3"/>
      </w:r>
      <w:r w:rsidR="00C06F6E" w:rsidRPr="008F5246">
        <w:rPr>
          <w:color w:val="0D0D0D"/>
        </w:rPr>
        <w:t xml:space="preserve">) </w:t>
      </w:r>
      <w:r w:rsidR="00063642">
        <w:t xml:space="preserve">where patients can </w:t>
      </w:r>
      <w:r>
        <w:t>currently access</w:t>
      </w:r>
      <w:r w:rsidRPr="00B816E7">
        <w:t xml:space="preserve"> </w:t>
      </w:r>
      <w:r w:rsidRPr="00B816E7">
        <w:rPr>
          <w:i/>
          <w:iCs/>
        </w:rPr>
        <w:t>IDH1/2</w:t>
      </w:r>
      <w:r w:rsidRPr="00B816E7">
        <w:t xml:space="preserve"> testing</w:t>
      </w:r>
      <w:r>
        <w:t xml:space="preserve"> under</w:t>
      </w:r>
      <w:r w:rsidRPr="00B816E7">
        <w:t xml:space="preserve"> MBS item 73372</w:t>
      </w:r>
      <w:r>
        <w:t>,</w:t>
      </w:r>
      <w:r w:rsidRPr="00B816E7">
        <w:t xml:space="preserve"> </w:t>
      </w:r>
      <w:r>
        <w:t>and gene panel testing under MBS item 73429</w:t>
      </w:r>
      <w:r w:rsidRPr="006541B2">
        <w:t>.</w:t>
      </w:r>
      <w:r>
        <w:t xml:space="preserve"> Other MBS items </w:t>
      </w:r>
      <w:r w:rsidR="00B95A44">
        <w:t>(</w:t>
      </w:r>
      <w:r w:rsidR="00B95A44" w:rsidRPr="008F5246">
        <w:rPr>
          <w:color w:val="0D0D0D"/>
        </w:rPr>
        <w:t>73445, 73446, 73447 and 73448</w:t>
      </w:r>
      <w:r w:rsidR="00B95A44">
        <w:rPr>
          <w:color w:val="0D0D0D"/>
        </w:rPr>
        <w:t xml:space="preserve">) </w:t>
      </w:r>
      <w:r w:rsidR="00570EF7">
        <w:t xml:space="preserve">are </w:t>
      </w:r>
      <w:r>
        <w:t>also</w:t>
      </w:r>
      <w:r w:rsidR="00570EF7">
        <w:t xml:space="preserve"> available that </w:t>
      </w:r>
      <w:r>
        <w:t xml:space="preserve">provide gene </w:t>
      </w:r>
      <w:r w:rsidRPr="00B816E7">
        <w:t>panel</w:t>
      </w:r>
      <w:r>
        <w:t xml:space="preserve"> testing</w:t>
      </w:r>
      <w:r w:rsidRPr="00B816E7">
        <w:t xml:space="preserve"> for</w:t>
      </w:r>
      <w:r>
        <w:t xml:space="preserve"> the</w:t>
      </w:r>
      <w:r w:rsidRPr="00B816E7">
        <w:t xml:space="preserve"> diagnosis and classification of haematological malignancies</w:t>
      </w:r>
      <w:r>
        <w:t xml:space="preserve">, which must include genes described in clinical guidelines, and these currently include </w:t>
      </w:r>
      <w:r w:rsidR="00B0401D">
        <w:t xml:space="preserve">the </w:t>
      </w:r>
      <w:r>
        <w:rPr>
          <w:i/>
          <w:iCs/>
        </w:rPr>
        <w:t>IDH1</w:t>
      </w:r>
      <w:r w:rsidR="00B0401D">
        <w:rPr>
          <w:i/>
          <w:iCs/>
        </w:rPr>
        <w:t xml:space="preserve"> </w:t>
      </w:r>
      <w:r w:rsidR="00B0401D" w:rsidRPr="00B0401D">
        <w:t>gene</w:t>
      </w:r>
      <w:r w:rsidRPr="00B816E7">
        <w:t>.</w:t>
      </w:r>
    </w:p>
    <w:p w14:paraId="6FA4A1F3" w14:textId="77777777" w:rsidR="00BC1364" w:rsidRDefault="00BC1364" w:rsidP="00F715D1">
      <w:pPr>
        <w:pStyle w:val="Heading1"/>
      </w:pPr>
      <w:r w:rsidRPr="00F715D1">
        <w:t>Prerequisites to implementation of any funding advice</w:t>
      </w:r>
    </w:p>
    <w:p w14:paraId="2ED4F6D4" w14:textId="1314B80A" w:rsidR="005F6341" w:rsidRDefault="005F6341" w:rsidP="40C37E82">
      <w:pPr>
        <w:spacing w:line="259" w:lineRule="auto"/>
        <w:rPr>
          <w:color w:val="0D0D0D"/>
        </w:rPr>
      </w:pPr>
      <w:r w:rsidRPr="008F5246">
        <w:rPr>
          <w:color w:val="0D0D0D"/>
        </w:rPr>
        <w:t xml:space="preserve">The test is a Class 3 in-house </w:t>
      </w:r>
      <w:r w:rsidRPr="40C37E82">
        <w:rPr>
          <w:i/>
          <w:iCs/>
          <w:color w:val="0D0D0D"/>
        </w:rPr>
        <w:t>in vitro</w:t>
      </w:r>
      <w:r w:rsidRPr="008F5246">
        <w:rPr>
          <w:color w:val="0D0D0D"/>
        </w:rPr>
        <w:t xml:space="preserve"> diagnostic (IVD) and </w:t>
      </w:r>
      <w:r w:rsidR="363E6B39" w:rsidRPr="40C37E82">
        <w:rPr>
          <w:rFonts w:eastAsia="Franklin Gothic Book" w:cs="Franklin Gothic Book"/>
          <w:color w:val="0D0D0D" w:themeColor="text1" w:themeTint="F2"/>
          <w:szCs w:val="22"/>
        </w:rPr>
        <w:t>as such, is exempt from inclusion on the ARTG. However, laboratories providing the test and not using an ARTG listed product, must meet the requirements for in-house IVDs. L</w:t>
      </w:r>
      <w:r w:rsidR="363E6B39" w:rsidRPr="40C37E82">
        <w:rPr>
          <w:rFonts w:eastAsia="Franklin Gothic Book" w:cs="Franklin Gothic Book"/>
          <w:szCs w:val="22"/>
        </w:rPr>
        <w:t xml:space="preserve">aboratories that manufacture class 1-3 in-house IVDs to perform this test must comply with the conformity assessment procedure in Part 6A, Schedule 3, of the </w:t>
      </w:r>
      <w:r w:rsidR="363E6B39" w:rsidRPr="40C37E82">
        <w:rPr>
          <w:rFonts w:eastAsia="Franklin Gothic Book" w:cs="Franklin Gothic Book"/>
          <w:i/>
          <w:iCs/>
          <w:szCs w:val="22"/>
        </w:rPr>
        <w:t xml:space="preserve">Therapeutic Goods </w:t>
      </w:r>
      <w:r w:rsidR="363E6B39" w:rsidRPr="40C37E82">
        <w:rPr>
          <w:rFonts w:eastAsia="Franklin Gothic Book" w:cs="Franklin Gothic Book"/>
          <w:szCs w:val="22"/>
        </w:rPr>
        <w:t>(Medical Devices)</w:t>
      </w:r>
      <w:r w:rsidR="363E6B39" w:rsidRPr="40C37E82">
        <w:rPr>
          <w:rFonts w:eastAsia="Franklin Gothic Book" w:cs="Franklin Gothic Book"/>
          <w:i/>
          <w:iCs/>
          <w:szCs w:val="22"/>
        </w:rPr>
        <w:t xml:space="preserve"> Regulations 2002</w:t>
      </w:r>
      <w:r w:rsidRPr="008F5246">
        <w:rPr>
          <w:color w:val="0D0D0D"/>
          <w:vertAlign w:val="superscript"/>
        </w:rPr>
        <w:footnoteReference w:id="4"/>
      </w:r>
      <w:r w:rsidRPr="008F5246">
        <w:rPr>
          <w:color w:val="0D0D0D"/>
        </w:rPr>
        <w:t xml:space="preserve">.  </w:t>
      </w:r>
    </w:p>
    <w:p w14:paraId="243F6366" w14:textId="6329E18B" w:rsidR="005F6341" w:rsidRPr="00003475" w:rsidRDefault="005F6341" w:rsidP="00003475">
      <w:pPr>
        <w:spacing w:before="240" w:line="259" w:lineRule="auto"/>
        <w:rPr>
          <w:color w:val="0D0D0D"/>
        </w:rPr>
      </w:pPr>
      <w:r w:rsidRPr="008F5246">
        <w:rPr>
          <w:color w:val="0D0D0D"/>
        </w:rPr>
        <w:t>The ratified PICO confirmation stated that laboratories who offer the test will need to participate in the relevant Royal College of Pathologists of Australasia (RCPA) Quality Assurance Program or a similar external quality assurance program.</w:t>
      </w:r>
    </w:p>
    <w:p w14:paraId="1F5C3FFE" w14:textId="77777777" w:rsidR="00BC1364" w:rsidRPr="00F715D1" w:rsidRDefault="00BC1364" w:rsidP="00F715D1">
      <w:pPr>
        <w:pStyle w:val="Heading1"/>
      </w:pPr>
      <w:r w:rsidRPr="00F715D1">
        <w:t>Proposal for public funding</w:t>
      </w:r>
    </w:p>
    <w:p w14:paraId="24542F60" w14:textId="4BF66F4A" w:rsidR="00477215" w:rsidRDefault="00271010" w:rsidP="00477215">
      <w:pPr>
        <w:tabs>
          <w:tab w:val="num" w:pos="426"/>
        </w:tabs>
      </w:pPr>
      <w:r>
        <w:t xml:space="preserve">The resubmission proposed a new MBS item </w:t>
      </w:r>
      <w:r w:rsidR="002F679E">
        <w:t xml:space="preserve">descriptor for testing </w:t>
      </w:r>
      <w:r w:rsidR="002F679E">
        <w:rPr>
          <w:i/>
          <w:iCs/>
        </w:rPr>
        <w:t xml:space="preserve">IDH1 </w:t>
      </w:r>
      <w:r w:rsidR="002F679E">
        <w:t xml:space="preserve">variant status in CCA patients and is presented in </w:t>
      </w:r>
      <w:r w:rsidR="00C549EC" w:rsidRPr="00C549EC">
        <w:fldChar w:fldCharType="begin"/>
      </w:r>
      <w:r w:rsidR="00C549EC" w:rsidRPr="00C549EC">
        <w:instrText xml:space="preserve"> REF _Ref177657791 \h  \* MERGEFORMAT </w:instrText>
      </w:r>
      <w:r w:rsidR="00C549EC" w:rsidRPr="00C549EC">
        <w:fldChar w:fldCharType="separate"/>
      </w:r>
      <w:r w:rsidR="00A16C03" w:rsidRPr="004F358C">
        <w:t xml:space="preserve">Table </w:t>
      </w:r>
      <w:r w:rsidR="00A16C03" w:rsidRPr="004F358C">
        <w:rPr>
          <w:noProof/>
        </w:rPr>
        <w:t>2</w:t>
      </w:r>
      <w:r w:rsidR="00C549EC" w:rsidRPr="00C549EC">
        <w:fldChar w:fldCharType="end"/>
      </w:r>
      <w:r w:rsidR="00C549EC">
        <w:t>.</w:t>
      </w:r>
    </w:p>
    <w:p w14:paraId="7D0FC73A" w14:textId="11772B72" w:rsidR="00477215" w:rsidRPr="00003475" w:rsidRDefault="00EC6D4B" w:rsidP="00003475">
      <w:pPr>
        <w:tabs>
          <w:tab w:val="num" w:pos="426"/>
        </w:tabs>
        <w:spacing w:before="240" w:after="240"/>
        <w:rPr>
          <w:b/>
        </w:rPr>
      </w:pPr>
      <w:r w:rsidRPr="008F5246">
        <w:rPr>
          <w:rFonts w:cs="Arial"/>
          <w:color w:val="0D0D0D"/>
        </w:rPr>
        <w:t xml:space="preserve">The proposed fee is identical to the current MBS item 73372 for </w:t>
      </w:r>
      <w:r w:rsidRPr="008F5246">
        <w:rPr>
          <w:rFonts w:cs="Arial"/>
          <w:i/>
          <w:iCs/>
          <w:color w:val="0D0D0D"/>
        </w:rPr>
        <w:t>IDH1/2</w:t>
      </w:r>
      <w:r w:rsidRPr="008F5246">
        <w:rPr>
          <w:rFonts w:cs="Arial"/>
          <w:color w:val="0D0D0D"/>
        </w:rPr>
        <w:t xml:space="preserve"> variant testing. </w:t>
      </w:r>
      <w:r w:rsidRPr="008F5246">
        <w:rPr>
          <w:rFonts w:cs="Arial"/>
          <w:i/>
          <w:iCs/>
          <w:color w:val="0D0D0D"/>
        </w:rPr>
        <w:t xml:space="preserve"> </w:t>
      </w:r>
      <w:bookmarkStart w:id="2" w:name="_Hlk87265974"/>
    </w:p>
    <w:p w14:paraId="532DF80F" w14:textId="48183556" w:rsidR="00861B2C" w:rsidRPr="003C1180" w:rsidRDefault="00861B2C" w:rsidP="00861B2C">
      <w:pPr>
        <w:pStyle w:val="Caption"/>
        <w:rPr>
          <w:rFonts w:ascii="Arial Narrow" w:hAnsi="Arial Narrow"/>
          <w:b/>
          <w:bCs/>
          <w:i w:val="0"/>
          <w:iCs w:val="0"/>
          <w:color w:val="auto"/>
          <w:sz w:val="20"/>
          <w:szCs w:val="20"/>
        </w:rPr>
      </w:pPr>
      <w:bookmarkStart w:id="3" w:name="_Ref177657791"/>
      <w:bookmarkStart w:id="4" w:name="_Toc153973018"/>
      <w:bookmarkStart w:id="5" w:name="_Toc175834833"/>
      <w:r w:rsidRPr="003C1180">
        <w:rPr>
          <w:rFonts w:ascii="Arial Narrow" w:hAnsi="Arial Narrow"/>
          <w:b/>
          <w:bCs/>
          <w:i w:val="0"/>
          <w:iCs w:val="0"/>
          <w:color w:val="auto"/>
          <w:sz w:val="20"/>
          <w:szCs w:val="20"/>
        </w:rPr>
        <w:t xml:space="preserve">Table </w:t>
      </w:r>
      <w:r w:rsidRPr="003C1180">
        <w:rPr>
          <w:rFonts w:ascii="Arial Narrow" w:hAnsi="Arial Narrow"/>
          <w:b/>
          <w:bCs/>
          <w:i w:val="0"/>
          <w:iCs w:val="0"/>
          <w:color w:val="auto"/>
          <w:sz w:val="20"/>
          <w:szCs w:val="20"/>
        </w:rPr>
        <w:fldChar w:fldCharType="begin"/>
      </w:r>
      <w:r w:rsidRPr="003C1180">
        <w:rPr>
          <w:rFonts w:ascii="Arial Narrow" w:hAnsi="Arial Narrow"/>
          <w:b/>
          <w:bCs/>
          <w:i w:val="0"/>
          <w:iCs w:val="0"/>
          <w:color w:val="auto"/>
          <w:sz w:val="20"/>
          <w:szCs w:val="20"/>
        </w:rPr>
        <w:instrText xml:space="preserve"> SEQ Table \* ARABIC </w:instrText>
      </w:r>
      <w:r w:rsidRPr="003C1180">
        <w:rPr>
          <w:rFonts w:ascii="Arial Narrow" w:hAnsi="Arial Narrow"/>
          <w:b/>
          <w:bCs/>
          <w:i w:val="0"/>
          <w:iCs w:val="0"/>
          <w:color w:val="auto"/>
          <w:sz w:val="20"/>
          <w:szCs w:val="20"/>
        </w:rPr>
        <w:fldChar w:fldCharType="separate"/>
      </w:r>
      <w:r w:rsidR="002927EC">
        <w:rPr>
          <w:rFonts w:ascii="Arial Narrow" w:hAnsi="Arial Narrow"/>
          <w:b/>
          <w:bCs/>
          <w:i w:val="0"/>
          <w:iCs w:val="0"/>
          <w:noProof/>
          <w:color w:val="auto"/>
          <w:sz w:val="20"/>
          <w:szCs w:val="20"/>
        </w:rPr>
        <w:t>2</w:t>
      </w:r>
      <w:r w:rsidRPr="003C1180">
        <w:rPr>
          <w:rFonts w:ascii="Arial Narrow" w:hAnsi="Arial Narrow"/>
          <w:b/>
          <w:bCs/>
          <w:i w:val="0"/>
          <w:iCs w:val="0"/>
          <w:color w:val="auto"/>
          <w:sz w:val="20"/>
          <w:szCs w:val="20"/>
        </w:rPr>
        <w:fldChar w:fldCharType="end"/>
      </w:r>
      <w:bookmarkEnd w:id="3"/>
      <w:r w:rsidRPr="003C1180">
        <w:rPr>
          <w:rFonts w:ascii="Arial Narrow" w:hAnsi="Arial Narrow"/>
          <w:b/>
          <w:bCs/>
          <w:i w:val="0"/>
          <w:iCs w:val="0"/>
          <w:color w:val="auto"/>
          <w:sz w:val="20"/>
          <w:szCs w:val="20"/>
        </w:rPr>
        <w:t xml:space="preserve"> Proposed MBS item descriptor </w:t>
      </w:r>
      <w:bookmarkEnd w:id="4"/>
      <w:bookmarkEnd w:id="5"/>
    </w:p>
    <w:tbl>
      <w:tblPr>
        <w:tblStyle w:val="TableGrid"/>
        <w:tblW w:w="5000" w:type="pct"/>
        <w:tblLook w:val="04A0" w:firstRow="1" w:lastRow="0" w:firstColumn="1" w:lastColumn="0" w:noHBand="0" w:noVBand="1"/>
      </w:tblPr>
      <w:tblGrid>
        <w:gridCol w:w="9016"/>
      </w:tblGrid>
      <w:tr w:rsidR="00E61ED5" w:rsidRPr="00C15DF8" w14:paraId="524E8052" w14:textId="77777777" w:rsidTr="00E61ED5">
        <w:trPr>
          <w:trHeight w:val="351"/>
        </w:trPr>
        <w:tc>
          <w:tcPr>
            <w:tcW w:w="5000" w:type="pct"/>
            <w:hideMark/>
          </w:tcPr>
          <w:p w14:paraId="052E0A51" w14:textId="77777777" w:rsidR="00E61ED5" w:rsidRPr="00C15DF8" w:rsidRDefault="00E61ED5">
            <w:pPr>
              <w:widowControl w:val="0"/>
              <w:rPr>
                <w:rFonts w:ascii="Arial Narrow" w:hAnsi="Arial Narrow" w:cs="Arial"/>
                <w:color w:val="0D0D0D"/>
              </w:rPr>
            </w:pPr>
            <w:r w:rsidRPr="00C15DF8">
              <w:rPr>
                <w:rFonts w:ascii="Arial Narrow" w:hAnsi="Arial Narrow" w:cs="Arial"/>
                <w:color w:val="0D0D0D"/>
                <w:sz w:val="20"/>
              </w:rPr>
              <w:t>Category 6 – PATHOLOGY SERVICES</w:t>
            </w:r>
          </w:p>
        </w:tc>
      </w:tr>
      <w:tr w:rsidR="00E61ED5" w:rsidRPr="00C15DF8" w14:paraId="2D9D3DD2" w14:textId="77777777" w:rsidTr="00E61ED5">
        <w:tc>
          <w:tcPr>
            <w:tcW w:w="5000" w:type="pct"/>
            <w:hideMark/>
          </w:tcPr>
          <w:p w14:paraId="289D9ACA" w14:textId="77777777" w:rsidR="00E61ED5" w:rsidRPr="00C15DF8" w:rsidRDefault="00E61ED5">
            <w:pPr>
              <w:rPr>
                <w:rFonts w:ascii="Arial Narrow" w:hAnsi="Arial Narrow" w:cs="Arial"/>
                <w:color w:val="0D0D0D"/>
                <w:sz w:val="20"/>
                <w:lang w:eastAsia="ja-JP"/>
              </w:rPr>
            </w:pPr>
            <w:r w:rsidRPr="00C15DF8">
              <w:rPr>
                <w:rFonts w:ascii="Arial Narrow" w:hAnsi="Arial Narrow" w:cs="Arial"/>
                <w:color w:val="0D0D0D"/>
                <w:sz w:val="20"/>
                <w:lang w:eastAsia="ja-JP"/>
              </w:rPr>
              <w:t>XXXXX</w:t>
            </w:r>
          </w:p>
          <w:p w14:paraId="792C6AB0" w14:textId="77777777" w:rsidR="00E61ED5" w:rsidRPr="00E61ED5" w:rsidRDefault="00E61ED5" w:rsidP="00E61ED5">
            <w:pPr>
              <w:rPr>
                <w:rFonts w:ascii="Arial Narrow" w:hAnsi="Arial Narrow" w:cs="Arial"/>
                <w:color w:val="0D0D0D"/>
                <w:sz w:val="20"/>
                <w:lang w:eastAsia="ja-JP"/>
              </w:rPr>
            </w:pPr>
            <w:r w:rsidRPr="00E61ED5">
              <w:rPr>
                <w:rFonts w:ascii="Arial Narrow" w:hAnsi="Arial Narrow" w:cs="Arial"/>
                <w:color w:val="0D0D0D"/>
                <w:sz w:val="20"/>
                <w:lang w:eastAsia="ja-JP"/>
              </w:rPr>
              <w:t>Detection in tumour tissue of p.R132X tier 1 variant status, in a patient with histologically confirmed cholangiocarcinoma, to determine access to an isocitrate dehydrogenase 1 inhibitor under the Pharmaceutical Benefits Scheme (PBS).</w:t>
            </w:r>
          </w:p>
          <w:p w14:paraId="09FBAD96" w14:textId="77777777" w:rsidR="00E61ED5" w:rsidRDefault="00E61ED5">
            <w:pPr>
              <w:rPr>
                <w:rFonts w:ascii="Arial Narrow" w:hAnsi="Arial Narrow" w:cs="Arial"/>
                <w:color w:val="0D0D0D"/>
                <w:sz w:val="20"/>
                <w:lang w:eastAsia="ja-JP"/>
              </w:rPr>
            </w:pPr>
          </w:p>
          <w:p w14:paraId="01121431" w14:textId="558FD56E" w:rsidR="00E61ED5" w:rsidRPr="00C15DF8" w:rsidRDefault="00E61ED5">
            <w:pPr>
              <w:rPr>
                <w:rFonts w:ascii="Arial Narrow" w:hAnsi="Arial Narrow" w:cs="Arial"/>
                <w:color w:val="0D0D0D"/>
                <w:sz w:val="20"/>
                <w:lang w:eastAsia="ja-JP"/>
              </w:rPr>
            </w:pPr>
            <w:r w:rsidRPr="00C15DF8">
              <w:rPr>
                <w:rFonts w:ascii="Arial Narrow" w:hAnsi="Arial Narrow" w:cs="Arial"/>
                <w:color w:val="0D0D0D"/>
                <w:sz w:val="20"/>
                <w:lang w:eastAsia="ja-JP"/>
              </w:rPr>
              <w:t>Applicable only once per lifetime</w:t>
            </w:r>
          </w:p>
        </w:tc>
      </w:tr>
      <w:tr w:rsidR="00E61ED5" w:rsidRPr="00C15DF8" w14:paraId="74C1E198" w14:textId="77777777" w:rsidTr="00E61ED5">
        <w:trPr>
          <w:trHeight w:val="70"/>
        </w:trPr>
        <w:tc>
          <w:tcPr>
            <w:tcW w:w="5000" w:type="pct"/>
            <w:hideMark/>
          </w:tcPr>
          <w:p w14:paraId="0459669A" w14:textId="4712E0FD" w:rsidR="00E61ED5" w:rsidRPr="00C15DF8" w:rsidRDefault="00E61ED5">
            <w:pPr>
              <w:widowControl w:val="0"/>
              <w:rPr>
                <w:rFonts w:ascii="Arial Narrow" w:hAnsi="Arial Narrow" w:cs="Arial"/>
                <w:color w:val="0D0D0D"/>
                <w:sz w:val="20"/>
              </w:rPr>
            </w:pPr>
            <w:r w:rsidRPr="00C15DF8">
              <w:rPr>
                <w:rFonts w:ascii="Arial Narrow" w:hAnsi="Arial Narrow" w:cs="Arial"/>
                <w:color w:val="0D0D0D"/>
                <w:sz w:val="20"/>
                <w:lang w:eastAsia="ja-JP"/>
              </w:rPr>
              <w:t xml:space="preserve">Fee: $340   </w:t>
            </w:r>
          </w:p>
        </w:tc>
      </w:tr>
    </w:tbl>
    <w:p w14:paraId="69D44801" w14:textId="03DCC233" w:rsidR="00BA52AC" w:rsidRPr="00C4365E" w:rsidRDefault="00BA52AC" w:rsidP="00BA52AC">
      <w:pPr>
        <w:widowControl w:val="0"/>
        <w:contextualSpacing/>
        <w:rPr>
          <w:rFonts w:ascii="Arial Narrow" w:hAnsi="Arial Narrow" w:cs="Arial"/>
          <w:snapToGrid w:val="0"/>
          <w:color w:val="0D0D0D"/>
          <w:sz w:val="18"/>
          <w:szCs w:val="16"/>
        </w:rPr>
      </w:pPr>
      <w:r w:rsidRPr="00C4365E">
        <w:rPr>
          <w:rFonts w:ascii="Arial Narrow" w:hAnsi="Arial Narrow" w:cs="Arial"/>
          <w:snapToGrid w:val="0"/>
          <w:color w:val="0D0D0D"/>
          <w:sz w:val="18"/>
          <w:szCs w:val="16"/>
        </w:rPr>
        <w:t>Source: Table 1-</w:t>
      </w:r>
      <w:r>
        <w:rPr>
          <w:rFonts w:ascii="Arial Narrow" w:hAnsi="Arial Narrow" w:cs="Arial"/>
          <w:snapToGrid w:val="0"/>
          <w:color w:val="0D0D0D"/>
          <w:sz w:val="18"/>
          <w:szCs w:val="16"/>
        </w:rPr>
        <w:t>2</w:t>
      </w:r>
      <w:r w:rsidRPr="00C4365E">
        <w:rPr>
          <w:rFonts w:ascii="Arial Narrow" w:hAnsi="Arial Narrow" w:cs="Arial"/>
          <w:snapToGrid w:val="0"/>
          <w:color w:val="0D0D0D"/>
          <w:sz w:val="18"/>
          <w:szCs w:val="16"/>
        </w:rPr>
        <w:t>, p</w:t>
      </w:r>
      <w:r w:rsidR="001F37E8">
        <w:rPr>
          <w:rFonts w:ascii="Arial Narrow" w:hAnsi="Arial Narrow" w:cs="Arial"/>
          <w:snapToGrid w:val="0"/>
          <w:color w:val="0D0D0D"/>
          <w:sz w:val="18"/>
          <w:szCs w:val="16"/>
        </w:rPr>
        <w:t>19</w:t>
      </w:r>
      <w:r w:rsidRPr="00C4365E">
        <w:rPr>
          <w:rFonts w:ascii="Arial Narrow" w:hAnsi="Arial Narrow" w:cs="Arial"/>
          <w:snapToGrid w:val="0"/>
          <w:color w:val="0D0D0D"/>
          <w:sz w:val="18"/>
          <w:szCs w:val="16"/>
        </w:rPr>
        <w:t xml:space="preserve"> of the </w:t>
      </w:r>
      <w:r w:rsidR="001F37E8">
        <w:rPr>
          <w:rFonts w:ascii="Arial Narrow" w:hAnsi="Arial Narrow" w:cs="Arial"/>
          <w:snapToGrid w:val="0"/>
          <w:color w:val="0D0D0D"/>
          <w:sz w:val="18"/>
          <w:szCs w:val="16"/>
        </w:rPr>
        <w:t>re</w:t>
      </w:r>
      <w:r w:rsidRPr="00C4365E">
        <w:rPr>
          <w:rFonts w:ascii="Arial Narrow" w:hAnsi="Arial Narrow" w:cs="Arial"/>
          <w:snapToGrid w:val="0"/>
          <w:color w:val="0D0D0D"/>
          <w:sz w:val="18"/>
          <w:szCs w:val="16"/>
        </w:rPr>
        <w:t xml:space="preserve">submission </w:t>
      </w:r>
    </w:p>
    <w:p w14:paraId="04DEB804" w14:textId="63C2FAB5" w:rsidR="004734C9" w:rsidRDefault="00D80E46" w:rsidP="00003475">
      <w:pPr>
        <w:tabs>
          <w:tab w:val="num" w:pos="426"/>
        </w:tabs>
        <w:spacing w:before="240"/>
        <w:rPr>
          <w:bCs/>
        </w:rPr>
      </w:pPr>
      <w:r>
        <w:rPr>
          <w:bCs/>
        </w:rPr>
        <w:t xml:space="preserve">Due to unavailability of </w:t>
      </w:r>
      <w:r w:rsidR="00FC3322">
        <w:rPr>
          <w:bCs/>
        </w:rPr>
        <w:t xml:space="preserve">the </w:t>
      </w:r>
      <w:r w:rsidR="00306DB3" w:rsidRPr="00306DB3">
        <w:rPr>
          <w:bCs/>
        </w:rPr>
        <w:t xml:space="preserve">MSAC </w:t>
      </w:r>
      <w:r w:rsidR="00306DB3">
        <w:rPr>
          <w:bCs/>
        </w:rPr>
        <w:t>PSD</w:t>
      </w:r>
      <w:r w:rsidR="00306DB3" w:rsidRPr="00306DB3">
        <w:rPr>
          <w:bCs/>
        </w:rPr>
        <w:t xml:space="preserve"> from the August 2024 meeting at the time </w:t>
      </w:r>
      <w:r w:rsidR="00FC3322">
        <w:rPr>
          <w:bCs/>
        </w:rPr>
        <w:t>of</w:t>
      </w:r>
      <w:r w:rsidR="00306DB3" w:rsidRPr="00306DB3">
        <w:rPr>
          <w:bCs/>
        </w:rPr>
        <w:t xml:space="preserve"> the</w:t>
      </w:r>
      <w:r w:rsidR="00306DB3">
        <w:rPr>
          <w:bCs/>
        </w:rPr>
        <w:t xml:space="preserve"> </w:t>
      </w:r>
      <w:r w:rsidR="00306DB3" w:rsidRPr="00306DB3">
        <w:rPr>
          <w:bCs/>
        </w:rPr>
        <w:t>resubmission lodge</w:t>
      </w:r>
      <w:r w:rsidR="00306DB3">
        <w:rPr>
          <w:bCs/>
        </w:rPr>
        <w:t>ment</w:t>
      </w:r>
      <w:r w:rsidR="00306DB3" w:rsidRPr="00306DB3">
        <w:rPr>
          <w:bCs/>
        </w:rPr>
        <w:t>, specific points relevant to MSAC’s consideration</w:t>
      </w:r>
      <w:r w:rsidR="00306DB3">
        <w:rPr>
          <w:bCs/>
        </w:rPr>
        <w:t xml:space="preserve"> of the</w:t>
      </w:r>
      <w:r w:rsidR="00F77508">
        <w:rPr>
          <w:bCs/>
        </w:rPr>
        <w:t xml:space="preserve"> item descriptor</w:t>
      </w:r>
      <w:r w:rsidR="00306DB3" w:rsidRPr="00306DB3">
        <w:rPr>
          <w:bCs/>
        </w:rPr>
        <w:t xml:space="preserve"> </w:t>
      </w:r>
      <w:r w:rsidR="00306DB3">
        <w:rPr>
          <w:bCs/>
        </w:rPr>
        <w:t>were</w:t>
      </w:r>
      <w:r w:rsidR="00306DB3" w:rsidRPr="00306DB3">
        <w:rPr>
          <w:bCs/>
        </w:rPr>
        <w:t xml:space="preserve"> not addressed</w:t>
      </w:r>
      <w:r w:rsidR="00306DB3">
        <w:rPr>
          <w:bCs/>
        </w:rPr>
        <w:t xml:space="preserve"> in the resubmission.</w:t>
      </w:r>
      <w:r w:rsidR="00F77508">
        <w:rPr>
          <w:bCs/>
        </w:rPr>
        <w:t xml:space="preserve"> The applicant </w:t>
      </w:r>
      <w:r w:rsidR="000E3E3D">
        <w:rPr>
          <w:bCs/>
        </w:rPr>
        <w:t>confirmed in its pre-PBAC</w:t>
      </w:r>
      <w:r w:rsidR="00BD7F3E">
        <w:rPr>
          <w:bCs/>
        </w:rPr>
        <w:t xml:space="preserve"> response for </w:t>
      </w:r>
      <w:proofErr w:type="spellStart"/>
      <w:r w:rsidR="00BD7F3E">
        <w:rPr>
          <w:bCs/>
        </w:rPr>
        <w:t>ivosidenib</w:t>
      </w:r>
      <w:proofErr w:type="spellEnd"/>
      <w:r w:rsidR="00BD7F3E">
        <w:rPr>
          <w:bCs/>
        </w:rPr>
        <w:t xml:space="preserve"> that </w:t>
      </w:r>
      <w:r w:rsidR="00BE6FDC">
        <w:rPr>
          <w:bCs/>
        </w:rPr>
        <w:t xml:space="preserve">it </w:t>
      </w:r>
      <w:r w:rsidR="008A7A84">
        <w:rPr>
          <w:bCs/>
        </w:rPr>
        <w:t>agreed to the MSAC supported item descriptor from the August 2024 meeting</w:t>
      </w:r>
      <w:r w:rsidR="00EF15E2">
        <w:rPr>
          <w:bCs/>
        </w:rPr>
        <w:t xml:space="preserve"> (</w:t>
      </w:r>
      <w:r w:rsidR="000047BF" w:rsidRPr="000047BF">
        <w:fldChar w:fldCharType="begin"/>
      </w:r>
      <w:r w:rsidR="000047BF" w:rsidRPr="000047BF">
        <w:instrText xml:space="preserve"> REF _Ref181714357 \h </w:instrText>
      </w:r>
      <w:r w:rsidR="000047BF">
        <w:instrText xml:space="preserve"> \* MERGEFORMAT </w:instrText>
      </w:r>
      <w:r w:rsidR="000047BF" w:rsidRPr="000047BF">
        <w:fldChar w:fldCharType="separate"/>
      </w:r>
      <w:r w:rsidR="00A16C03" w:rsidRPr="004F358C">
        <w:t>Table 3</w:t>
      </w:r>
      <w:r w:rsidR="000047BF" w:rsidRPr="000047BF">
        <w:fldChar w:fldCharType="end"/>
      </w:r>
      <w:r w:rsidR="000047BF">
        <w:rPr>
          <w:bCs/>
        </w:rPr>
        <w:t>)</w:t>
      </w:r>
      <w:r w:rsidR="008A7A84">
        <w:rPr>
          <w:bCs/>
        </w:rPr>
        <w:t>.</w:t>
      </w:r>
    </w:p>
    <w:p w14:paraId="17D7B5FF" w14:textId="4A18E31F" w:rsidR="004734C9" w:rsidRPr="004734C9" w:rsidRDefault="00EF15E2" w:rsidP="00003475">
      <w:pPr>
        <w:pStyle w:val="Caption"/>
        <w:keepNext/>
        <w:keepLines/>
        <w:spacing w:before="240"/>
        <w:rPr>
          <w:rFonts w:ascii="Arial Narrow" w:hAnsi="Arial Narrow"/>
          <w:b/>
          <w:bCs/>
          <w:i w:val="0"/>
          <w:iCs w:val="0"/>
          <w:color w:val="auto"/>
          <w:sz w:val="20"/>
        </w:rPr>
      </w:pPr>
      <w:bookmarkStart w:id="6" w:name="_Ref181714357"/>
      <w:r w:rsidRPr="00EF15E2">
        <w:rPr>
          <w:rFonts w:ascii="Arial Narrow" w:hAnsi="Arial Narrow"/>
          <w:b/>
          <w:bCs/>
          <w:i w:val="0"/>
          <w:iCs w:val="0"/>
          <w:color w:val="auto"/>
          <w:sz w:val="20"/>
          <w:szCs w:val="20"/>
        </w:rPr>
        <w:t xml:space="preserve">Table </w:t>
      </w:r>
      <w:r w:rsidRPr="00EF15E2">
        <w:rPr>
          <w:rFonts w:ascii="Arial Narrow" w:hAnsi="Arial Narrow"/>
          <w:b/>
          <w:bCs/>
          <w:i w:val="0"/>
          <w:iCs w:val="0"/>
          <w:color w:val="auto"/>
          <w:sz w:val="20"/>
          <w:szCs w:val="20"/>
        </w:rPr>
        <w:fldChar w:fldCharType="begin"/>
      </w:r>
      <w:r w:rsidRPr="00EF15E2">
        <w:rPr>
          <w:rFonts w:ascii="Arial Narrow" w:hAnsi="Arial Narrow"/>
          <w:b/>
          <w:bCs/>
          <w:i w:val="0"/>
          <w:iCs w:val="0"/>
          <w:color w:val="auto"/>
          <w:sz w:val="20"/>
          <w:szCs w:val="20"/>
        </w:rPr>
        <w:instrText xml:space="preserve"> SEQ Table \* ARABIC </w:instrText>
      </w:r>
      <w:r w:rsidRPr="00EF15E2">
        <w:rPr>
          <w:rFonts w:ascii="Arial Narrow" w:hAnsi="Arial Narrow"/>
          <w:b/>
          <w:bCs/>
          <w:i w:val="0"/>
          <w:iCs w:val="0"/>
          <w:color w:val="auto"/>
          <w:sz w:val="20"/>
          <w:szCs w:val="20"/>
        </w:rPr>
        <w:fldChar w:fldCharType="separate"/>
      </w:r>
      <w:r w:rsidR="002927EC">
        <w:rPr>
          <w:rFonts w:ascii="Arial Narrow" w:hAnsi="Arial Narrow"/>
          <w:b/>
          <w:bCs/>
          <w:i w:val="0"/>
          <w:iCs w:val="0"/>
          <w:noProof/>
          <w:color w:val="auto"/>
          <w:sz w:val="20"/>
          <w:szCs w:val="20"/>
        </w:rPr>
        <w:t>3</w:t>
      </w:r>
      <w:r w:rsidRPr="00EF15E2">
        <w:rPr>
          <w:rFonts w:ascii="Arial Narrow" w:hAnsi="Arial Narrow"/>
          <w:b/>
          <w:bCs/>
          <w:i w:val="0"/>
          <w:iCs w:val="0"/>
          <w:color w:val="auto"/>
          <w:sz w:val="20"/>
          <w:szCs w:val="20"/>
        </w:rPr>
        <w:fldChar w:fldCharType="end"/>
      </w:r>
      <w:bookmarkEnd w:id="6"/>
      <w:r w:rsidRPr="00EF15E2">
        <w:rPr>
          <w:rFonts w:ascii="Arial Narrow" w:hAnsi="Arial Narrow"/>
          <w:b/>
          <w:bCs/>
          <w:i w:val="0"/>
          <w:iCs w:val="0"/>
          <w:color w:val="auto"/>
          <w:sz w:val="20"/>
        </w:rPr>
        <w:t xml:space="preserve"> </w:t>
      </w:r>
      <w:r w:rsidR="004734C9" w:rsidRPr="004734C9">
        <w:rPr>
          <w:rFonts w:ascii="Arial Narrow" w:hAnsi="Arial Narrow"/>
          <w:b/>
          <w:bCs/>
          <w:i w:val="0"/>
          <w:iCs w:val="0"/>
          <w:color w:val="auto"/>
          <w:sz w:val="20"/>
        </w:rPr>
        <w:tab/>
        <w:t>MSAC’s revised MBS item descriptor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734C9" w:rsidRPr="004734C9" w14:paraId="2365F14D" w14:textId="77777777" w:rsidTr="004734C9">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FFFFFF"/>
            <w:hideMark/>
          </w:tcPr>
          <w:p w14:paraId="496DC6C3" w14:textId="77777777" w:rsidR="004734C9" w:rsidRPr="004734C9" w:rsidRDefault="004734C9" w:rsidP="00003475">
            <w:pPr>
              <w:keepNext/>
              <w:keepLines/>
              <w:tabs>
                <w:tab w:val="num" w:pos="426"/>
              </w:tabs>
              <w:jc w:val="right"/>
              <w:rPr>
                <w:rFonts w:ascii="Arial Narrow" w:hAnsi="Arial Narrow"/>
                <w:b/>
                <w:bCs/>
                <w:sz w:val="20"/>
                <w:szCs w:val="18"/>
              </w:rPr>
            </w:pPr>
            <w:r w:rsidRPr="004734C9">
              <w:rPr>
                <w:rFonts w:ascii="Arial Narrow" w:hAnsi="Arial Narrow"/>
                <w:bCs/>
                <w:sz w:val="20"/>
                <w:szCs w:val="18"/>
              </w:rPr>
              <w:t>Category 6 – Pathology Services</w:t>
            </w:r>
            <w:r w:rsidRPr="004734C9">
              <w:rPr>
                <w:rFonts w:ascii="Arial Narrow" w:hAnsi="Arial Narrow"/>
                <w:b/>
                <w:bCs/>
                <w:sz w:val="20"/>
                <w:szCs w:val="18"/>
              </w:rPr>
              <w:t> </w:t>
            </w:r>
          </w:p>
          <w:p w14:paraId="136EF97D" w14:textId="77777777" w:rsidR="004734C9" w:rsidRPr="004734C9" w:rsidRDefault="004734C9" w:rsidP="00003475">
            <w:pPr>
              <w:keepNext/>
              <w:keepLines/>
              <w:tabs>
                <w:tab w:val="num" w:pos="426"/>
              </w:tabs>
              <w:jc w:val="right"/>
              <w:rPr>
                <w:rFonts w:ascii="Arial Narrow" w:hAnsi="Arial Narrow"/>
                <w:b/>
                <w:bCs/>
                <w:sz w:val="20"/>
                <w:szCs w:val="18"/>
              </w:rPr>
            </w:pPr>
            <w:r w:rsidRPr="004734C9">
              <w:rPr>
                <w:rFonts w:ascii="Arial Narrow" w:hAnsi="Arial Narrow"/>
                <w:bCs/>
                <w:sz w:val="20"/>
                <w:szCs w:val="18"/>
              </w:rPr>
              <w:t>Group P7 – Genetics</w:t>
            </w:r>
            <w:r w:rsidRPr="004734C9">
              <w:rPr>
                <w:rFonts w:ascii="Arial Narrow" w:hAnsi="Arial Narrow"/>
                <w:b/>
                <w:bCs/>
                <w:sz w:val="20"/>
                <w:szCs w:val="18"/>
              </w:rPr>
              <w:t> </w:t>
            </w:r>
          </w:p>
        </w:tc>
      </w:tr>
      <w:tr w:rsidR="004734C9" w:rsidRPr="004734C9" w14:paraId="5D8A4712" w14:textId="77777777" w:rsidTr="004734C9">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8E6D5FD" w14:textId="77777777" w:rsidR="004734C9" w:rsidRPr="004734C9" w:rsidRDefault="004734C9" w:rsidP="00003475">
            <w:pPr>
              <w:keepNext/>
              <w:keepLines/>
              <w:tabs>
                <w:tab w:val="num" w:pos="426"/>
              </w:tabs>
              <w:rPr>
                <w:rFonts w:ascii="Arial Narrow" w:hAnsi="Arial Narrow"/>
                <w:bCs/>
                <w:sz w:val="20"/>
                <w:szCs w:val="18"/>
              </w:rPr>
            </w:pPr>
            <w:r w:rsidRPr="004734C9">
              <w:rPr>
                <w:rFonts w:ascii="Arial Narrow" w:hAnsi="Arial Narrow"/>
                <w:bCs/>
                <w:sz w:val="20"/>
                <w:szCs w:val="18"/>
              </w:rPr>
              <w:t>XXXXX </w:t>
            </w:r>
          </w:p>
          <w:p w14:paraId="6AAC1B88" w14:textId="77777777" w:rsidR="004734C9" w:rsidRPr="004734C9" w:rsidRDefault="004734C9" w:rsidP="00003475">
            <w:pPr>
              <w:keepNext/>
              <w:keepLines/>
              <w:tabs>
                <w:tab w:val="num" w:pos="426"/>
              </w:tabs>
              <w:rPr>
                <w:rFonts w:ascii="Arial Narrow" w:hAnsi="Arial Narrow"/>
                <w:bCs/>
                <w:sz w:val="20"/>
                <w:szCs w:val="18"/>
              </w:rPr>
            </w:pPr>
            <w:r w:rsidRPr="004734C9">
              <w:rPr>
                <w:rFonts w:ascii="Arial Narrow" w:hAnsi="Arial Narrow"/>
                <w:bCs/>
                <w:sz w:val="20"/>
                <w:szCs w:val="18"/>
              </w:rPr>
              <w:t xml:space="preserve">Detection in tumour tissue of </w:t>
            </w:r>
            <w:r w:rsidRPr="004734C9">
              <w:rPr>
                <w:rFonts w:ascii="Arial Narrow" w:hAnsi="Arial Narrow"/>
                <w:bCs/>
                <w:i/>
                <w:iCs/>
                <w:sz w:val="20"/>
                <w:szCs w:val="18"/>
              </w:rPr>
              <w:t xml:space="preserve">isocitrate dehydrogenase 1 (IDH1) </w:t>
            </w:r>
            <w:r w:rsidRPr="004734C9">
              <w:rPr>
                <w:rFonts w:ascii="Arial Narrow" w:hAnsi="Arial Narrow"/>
                <w:bCs/>
                <w:sz w:val="20"/>
                <w:szCs w:val="18"/>
              </w:rPr>
              <w:t>variant status, in a patient with histologically confirmed cholangiocarcinoma, to determine access to a relevant treatment under the Pharmaceutical Benefits Scheme.  </w:t>
            </w:r>
          </w:p>
          <w:p w14:paraId="67A91B54" w14:textId="77777777" w:rsidR="004734C9" w:rsidRPr="004734C9" w:rsidRDefault="004734C9" w:rsidP="00003475">
            <w:pPr>
              <w:keepNext/>
              <w:keepLines/>
              <w:tabs>
                <w:tab w:val="num" w:pos="426"/>
              </w:tabs>
              <w:rPr>
                <w:rFonts w:ascii="Arial Narrow" w:hAnsi="Arial Narrow"/>
                <w:bCs/>
                <w:sz w:val="20"/>
                <w:szCs w:val="18"/>
              </w:rPr>
            </w:pPr>
            <w:r w:rsidRPr="004734C9">
              <w:rPr>
                <w:rFonts w:ascii="Arial Narrow" w:hAnsi="Arial Narrow"/>
                <w:bCs/>
                <w:sz w:val="20"/>
                <w:szCs w:val="18"/>
              </w:rPr>
              <w:t>Applicable only once per lifetime </w:t>
            </w:r>
          </w:p>
        </w:tc>
      </w:tr>
      <w:tr w:rsidR="004734C9" w:rsidRPr="004734C9" w14:paraId="42601510" w14:textId="77777777" w:rsidTr="004734C9">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CD56A6A" w14:textId="77777777" w:rsidR="004734C9" w:rsidRPr="004734C9" w:rsidRDefault="004734C9" w:rsidP="004734C9">
            <w:pPr>
              <w:tabs>
                <w:tab w:val="num" w:pos="426"/>
              </w:tabs>
              <w:rPr>
                <w:rFonts w:ascii="Arial Narrow" w:hAnsi="Arial Narrow"/>
                <w:bCs/>
                <w:sz w:val="20"/>
                <w:szCs w:val="18"/>
              </w:rPr>
            </w:pPr>
            <w:r w:rsidRPr="004734C9">
              <w:rPr>
                <w:rFonts w:ascii="Arial Narrow" w:hAnsi="Arial Narrow"/>
                <w:bCs/>
                <w:sz w:val="20"/>
                <w:szCs w:val="18"/>
              </w:rPr>
              <w:t>Fee: $340   Benefit: 75% = $255.00   85% = $289.00 </w:t>
            </w:r>
          </w:p>
        </w:tc>
      </w:tr>
    </w:tbl>
    <w:bookmarkEnd w:id="2"/>
    <w:p w14:paraId="10CBA27E" w14:textId="77777777" w:rsidR="009E58A8" w:rsidRDefault="009E58A8" w:rsidP="009E58A8">
      <w:pPr>
        <w:pStyle w:val="Heading1"/>
      </w:pPr>
      <w:r>
        <w:t>Summary of public consultation input</w:t>
      </w:r>
    </w:p>
    <w:p w14:paraId="6F257684" w14:textId="1C46878F" w:rsidR="009E58A8" w:rsidRDefault="009E58A8" w:rsidP="009E58A8">
      <w:r>
        <w:t>A summary of previous consultation feedback received for MSAC Application 1750 is available in the Public Summary Document. Please refer to application 1750 PSD August 202</w:t>
      </w:r>
      <w:r w:rsidR="00BB2A77">
        <w:t>4</w:t>
      </w:r>
      <w:r w:rsidR="00BC1FC3">
        <w:rPr>
          <w:rStyle w:val="FootnoteReference"/>
        </w:rPr>
        <w:footnoteReference w:id="5"/>
      </w:r>
      <w:r>
        <w:t xml:space="preserve"> (</w:t>
      </w:r>
      <w:r w:rsidR="00861F33" w:rsidRPr="00115626">
        <w:t>pp 8</w:t>
      </w:r>
      <w:r w:rsidRPr="00115626">
        <w:t>-</w:t>
      </w:r>
      <w:r w:rsidR="00861F33" w:rsidRPr="0086107F">
        <w:t>9</w:t>
      </w:r>
      <w:r>
        <w:t>).</w:t>
      </w:r>
    </w:p>
    <w:p w14:paraId="6CB0F7D5" w14:textId="77777777" w:rsidR="00BC1364" w:rsidRDefault="00BC1364" w:rsidP="00F715D1">
      <w:pPr>
        <w:pStyle w:val="Heading1"/>
      </w:pPr>
      <w:r w:rsidRPr="00F715D1">
        <w:t>Comparative effectiveness</w:t>
      </w:r>
    </w:p>
    <w:p w14:paraId="6EC56DB7" w14:textId="0D3C23F6" w:rsidR="005F0B6D" w:rsidRDefault="00C84D7E" w:rsidP="005F0B6D">
      <w:r>
        <w:t>No new clinical evidence was presented in this resubmission.</w:t>
      </w:r>
      <w:r w:rsidR="005F0B6D">
        <w:t xml:space="preserve"> The </w:t>
      </w:r>
      <w:r w:rsidR="005F0B6D" w:rsidRPr="00B816E7">
        <w:t xml:space="preserve">clinical evidence </w:t>
      </w:r>
      <w:r w:rsidR="0038552A">
        <w:t xml:space="preserve">in the original submission </w:t>
      </w:r>
      <w:r w:rsidR="005F0B6D" w:rsidRPr="00B816E7">
        <w:t xml:space="preserve">was </w:t>
      </w:r>
      <w:r w:rsidR="005F0B6D">
        <w:t xml:space="preserve">primarily </w:t>
      </w:r>
      <w:r w:rsidR="0038552A">
        <w:t>based on</w:t>
      </w:r>
      <w:r w:rsidR="005F0B6D" w:rsidRPr="00B816E7">
        <w:t xml:space="preserve"> the </w:t>
      </w:r>
      <w:proofErr w:type="spellStart"/>
      <w:r w:rsidR="005F0B6D" w:rsidRPr="00B816E7">
        <w:t>ClarIDHy</w:t>
      </w:r>
      <w:proofErr w:type="spellEnd"/>
      <w:r w:rsidR="005F0B6D" w:rsidRPr="00B816E7">
        <w:t xml:space="preserve"> trial, a multicentre, randomised, double-blinded, placebo-controlled phase 3 study.</w:t>
      </w:r>
      <w:r w:rsidR="00322414">
        <w:t xml:space="preserve"> At its August 2024 meeting, MSAC had considered the evidence demonstrated that treating patients who have an </w:t>
      </w:r>
      <w:r w:rsidR="00322414">
        <w:rPr>
          <w:i/>
          <w:iCs/>
        </w:rPr>
        <w:t>IDH1</w:t>
      </w:r>
      <w:r w:rsidR="00322414">
        <w:t xml:space="preserve"> variant with </w:t>
      </w:r>
      <w:proofErr w:type="spellStart"/>
      <w:r w:rsidR="00322414">
        <w:t>ivosidenib</w:t>
      </w:r>
      <w:proofErr w:type="spellEnd"/>
      <w:r w:rsidR="00322414">
        <w:t xml:space="preserve"> resulted in a modest improvement to survival, and so advised the testing would be comparatively effective if it provided access to </w:t>
      </w:r>
      <w:proofErr w:type="spellStart"/>
      <w:r w:rsidR="00322414">
        <w:t>ivosidenib</w:t>
      </w:r>
      <w:proofErr w:type="spellEnd"/>
      <w:r w:rsidR="00322414">
        <w:t>.</w:t>
      </w:r>
    </w:p>
    <w:p w14:paraId="7EFA4D62" w14:textId="21E45B55" w:rsidR="00322414" w:rsidRDefault="00F40731" w:rsidP="00F715D1">
      <w:pPr>
        <w:pStyle w:val="Heading1"/>
      </w:pPr>
      <w:r>
        <w:t>Comparative safety</w:t>
      </w:r>
    </w:p>
    <w:p w14:paraId="059E5951" w14:textId="7FDC3EE7" w:rsidR="005F7154" w:rsidRPr="00FD68E8" w:rsidRDefault="006C7616" w:rsidP="00FD68E8">
      <w:r>
        <w:t>No additional safety data were presented in the resubmission</w:t>
      </w:r>
      <w:r w:rsidR="00B61997">
        <w:t xml:space="preserve">. </w:t>
      </w:r>
      <w:r w:rsidR="00B61997" w:rsidRPr="00B816E7">
        <w:t xml:space="preserve">MSAC </w:t>
      </w:r>
      <w:r w:rsidR="00113E1A">
        <w:t xml:space="preserve">had </w:t>
      </w:r>
      <w:r w:rsidR="00B61997" w:rsidRPr="00B816E7">
        <w:t xml:space="preserve">considered there to be no </w:t>
      </w:r>
      <w:r w:rsidR="00B61997">
        <w:t>additional</w:t>
      </w:r>
      <w:r w:rsidR="00B61997" w:rsidRPr="00B816E7">
        <w:t xml:space="preserve"> adverse events expected from </w:t>
      </w:r>
      <w:r w:rsidR="00B61997">
        <w:t xml:space="preserve">this </w:t>
      </w:r>
      <w:r w:rsidR="00B61997" w:rsidRPr="00B816E7">
        <w:t>testi</w:t>
      </w:r>
      <w:r w:rsidR="00B61997">
        <w:t xml:space="preserve">ng </w:t>
      </w:r>
      <w:r w:rsidR="00113E1A">
        <w:t>because</w:t>
      </w:r>
      <w:r w:rsidR="00113E1A" w:rsidRPr="00B816E7">
        <w:t xml:space="preserve"> testing for </w:t>
      </w:r>
      <w:r w:rsidR="00113E1A" w:rsidRPr="00B816E7">
        <w:rPr>
          <w:i/>
          <w:iCs/>
        </w:rPr>
        <w:t>IDH1</w:t>
      </w:r>
      <w:r w:rsidR="00113E1A" w:rsidRPr="00B816E7">
        <w:t xml:space="preserve"> variants </w:t>
      </w:r>
      <w:r w:rsidR="00113E1A">
        <w:t>would be</w:t>
      </w:r>
      <w:r w:rsidR="00113E1A" w:rsidRPr="00B816E7">
        <w:t xml:space="preserve"> performed on the same tumour tissue used to histologically diagnose CCA</w:t>
      </w:r>
      <w:r w:rsidR="00113E1A">
        <w:t>.</w:t>
      </w:r>
    </w:p>
    <w:p w14:paraId="12B49097" w14:textId="77777777" w:rsidR="005A22E2" w:rsidRDefault="005A22E2" w:rsidP="00F715D1">
      <w:pPr>
        <w:pStyle w:val="Heading1"/>
      </w:pPr>
      <w:r>
        <w:t>Economic evaluation</w:t>
      </w:r>
      <w:r w:rsidRPr="00F715D1">
        <w:t xml:space="preserve"> </w:t>
      </w:r>
    </w:p>
    <w:p w14:paraId="3357D3EC" w14:textId="565565BD" w:rsidR="00571DEE" w:rsidRDefault="00211AE5" w:rsidP="00571DEE">
      <w:r>
        <w:t>The PBAC resubmission presented</w:t>
      </w:r>
      <w:r w:rsidR="00D45210">
        <w:t xml:space="preserve"> a revised cost-effectiveness analysis, based on inputs recommended by the PBAC in its July 2024 consideration of </w:t>
      </w:r>
      <w:proofErr w:type="spellStart"/>
      <w:r w:rsidR="00D45210">
        <w:t>ivosidenib</w:t>
      </w:r>
      <w:proofErr w:type="spellEnd"/>
      <w:r w:rsidR="00D45210">
        <w:t xml:space="preserve">. </w:t>
      </w:r>
      <w:r w:rsidR="00270DC1">
        <w:t>The respecified base case results demonstrate</w:t>
      </w:r>
      <w:r w:rsidR="00DC1E4F">
        <w:t>d</w:t>
      </w:r>
      <w:r w:rsidR="00270DC1">
        <w:t xml:space="preserve"> that </w:t>
      </w:r>
      <w:proofErr w:type="spellStart"/>
      <w:r w:rsidR="00270DC1">
        <w:t>ivosidenib</w:t>
      </w:r>
      <w:proofErr w:type="spellEnd"/>
      <w:r w:rsidR="00270DC1">
        <w:t xml:space="preserve"> </w:t>
      </w:r>
      <w:r w:rsidR="00DC1E4F">
        <w:t>wa</w:t>
      </w:r>
      <w:r w:rsidR="00270DC1">
        <w:t xml:space="preserve">s more costly but more effective than standard of care in </w:t>
      </w:r>
      <w:r w:rsidR="00FA56A2">
        <w:t xml:space="preserve">patients with </w:t>
      </w:r>
      <w:r w:rsidR="00270DC1">
        <w:t xml:space="preserve">CCA </w:t>
      </w:r>
      <w:r w:rsidR="00FA56A2">
        <w:t xml:space="preserve">who harboured an </w:t>
      </w:r>
      <w:r w:rsidR="00FA56A2">
        <w:rPr>
          <w:i/>
          <w:iCs/>
        </w:rPr>
        <w:t xml:space="preserve">IDH1 </w:t>
      </w:r>
      <w:r w:rsidR="00FA56A2" w:rsidRPr="00FA56A2">
        <w:t>variant</w:t>
      </w:r>
      <w:r w:rsidR="00270DC1">
        <w:t xml:space="preserve">. In </w:t>
      </w:r>
      <w:r w:rsidR="00FA56A2">
        <w:t xml:space="preserve">patients with </w:t>
      </w:r>
      <w:r w:rsidR="00270DC1" w:rsidRPr="00BD37D4">
        <w:rPr>
          <w:i/>
          <w:iCs/>
        </w:rPr>
        <w:t>IDH1</w:t>
      </w:r>
      <w:r w:rsidR="00FA56A2">
        <w:rPr>
          <w:i/>
          <w:iCs/>
        </w:rPr>
        <w:t xml:space="preserve"> </w:t>
      </w:r>
      <w:r w:rsidR="00FA56A2" w:rsidRPr="00FA56A2">
        <w:t>variants</w:t>
      </w:r>
      <w:r w:rsidR="00270DC1">
        <w:t>, t</w:t>
      </w:r>
      <w:r w:rsidR="00270DC1" w:rsidRPr="00BD37D4">
        <w:t>he</w:t>
      </w:r>
      <w:r w:rsidR="00270DC1">
        <w:t xml:space="preserve"> cost associated with </w:t>
      </w:r>
      <w:r w:rsidR="00270DC1" w:rsidRPr="009A14A2">
        <w:rPr>
          <w:i/>
        </w:rPr>
        <w:t>IDH1</w:t>
      </w:r>
      <w:r w:rsidR="00270DC1">
        <w:rPr>
          <w:iCs/>
        </w:rPr>
        <w:t xml:space="preserve"> testing and </w:t>
      </w:r>
      <w:proofErr w:type="spellStart"/>
      <w:r w:rsidR="00270DC1">
        <w:rPr>
          <w:iCs/>
        </w:rPr>
        <w:t>ivosidenib</w:t>
      </w:r>
      <w:proofErr w:type="spellEnd"/>
      <w:r w:rsidR="00270DC1">
        <w:rPr>
          <w:iCs/>
        </w:rPr>
        <w:t xml:space="preserve"> treatment was </w:t>
      </w:r>
      <w:r w:rsidR="00270DC1" w:rsidRPr="00F44C36">
        <w:rPr>
          <w:iCs/>
        </w:rPr>
        <w:t>$</w:t>
      </w:r>
      <w:r w:rsidR="007A5814" w:rsidRPr="008D5C07">
        <w:rPr>
          <w:b/>
          <w:bCs/>
          <w:iCs/>
        </w:rPr>
        <w:t>redacted</w:t>
      </w:r>
      <w:r w:rsidR="00270DC1">
        <w:rPr>
          <w:iCs/>
        </w:rPr>
        <w:t xml:space="preserve"> compared to </w:t>
      </w:r>
      <w:r w:rsidR="00270DC1" w:rsidRPr="00BD37D4">
        <w:rPr>
          <w:iCs/>
        </w:rPr>
        <w:t>$25,</w:t>
      </w:r>
      <w:r w:rsidR="00270DC1">
        <w:rPr>
          <w:iCs/>
        </w:rPr>
        <w:t xml:space="preserve">158 with no testing and SoC (incremental cost </w:t>
      </w:r>
      <w:r w:rsidR="00270DC1" w:rsidRPr="00FF7C7C">
        <w:rPr>
          <w:iCs/>
        </w:rPr>
        <w:t>$</w:t>
      </w:r>
      <w:r w:rsidR="007A5814" w:rsidRPr="008D5C07">
        <w:rPr>
          <w:b/>
          <w:bCs/>
          <w:iCs/>
        </w:rPr>
        <w:t>redacted</w:t>
      </w:r>
      <w:r w:rsidR="00270DC1">
        <w:rPr>
          <w:iCs/>
        </w:rPr>
        <w:t xml:space="preserve">). </w:t>
      </w:r>
      <w:r w:rsidR="00270DC1">
        <w:t xml:space="preserve">The </w:t>
      </w:r>
      <w:r w:rsidR="004A5831" w:rsidRPr="004A5831">
        <w:t>quality adjusted life year</w:t>
      </w:r>
      <w:r w:rsidR="004A5831">
        <w:t>s</w:t>
      </w:r>
      <w:r w:rsidR="004A5831" w:rsidRPr="004A5831">
        <w:t xml:space="preserve"> </w:t>
      </w:r>
      <w:r w:rsidR="004A5831">
        <w:t>(</w:t>
      </w:r>
      <w:r w:rsidR="00270DC1">
        <w:t>QALYs</w:t>
      </w:r>
      <w:r w:rsidR="004A5831">
        <w:t>)</w:t>
      </w:r>
      <w:r w:rsidR="00270DC1">
        <w:t xml:space="preserve"> associated with </w:t>
      </w:r>
      <w:proofErr w:type="spellStart"/>
      <w:r w:rsidR="00270DC1">
        <w:t>ivosidenib</w:t>
      </w:r>
      <w:proofErr w:type="spellEnd"/>
      <w:r w:rsidR="00270DC1">
        <w:t xml:space="preserve"> treatment, for patients</w:t>
      </w:r>
      <w:r w:rsidR="00BB0702">
        <w:t xml:space="preserve"> with </w:t>
      </w:r>
      <w:r w:rsidR="00BB0702" w:rsidRPr="00BB0702">
        <w:rPr>
          <w:i/>
          <w:iCs/>
        </w:rPr>
        <w:t>IDH1</w:t>
      </w:r>
      <w:r w:rsidR="00BB0702">
        <w:t xml:space="preserve"> variant</w:t>
      </w:r>
      <w:r w:rsidR="00270DC1">
        <w:t xml:space="preserve"> who underwent treatment</w:t>
      </w:r>
      <w:r w:rsidR="00270DC1" w:rsidRPr="001528CB">
        <w:t xml:space="preserve"> </w:t>
      </w:r>
      <w:r w:rsidR="00270DC1">
        <w:t xml:space="preserve">with </w:t>
      </w:r>
      <w:proofErr w:type="spellStart"/>
      <w:r w:rsidR="00270DC1">
        <w:t>ivosidenib</w:t>
      </w:r>
      <w:proofErr w:type="spellEnd"/>
      <w:r w:rsidR="00270DC1">
        <w:t xml:space="preserve"> were 1.009</w:t>
      </w:r>
      <w:r w:rsidR="00270DC1" w:rsidRPr="001528CB">
        <w:t xml:space="preserve"> </w:t>
      </w:r>
      <w:r w:rsidR="00270DC1">
        <w:t xml:space="preserve">compared to </w:t>
      </w:r>
      <w:r w:rsidR="00270DC1" w:rsidRPr="001528CB">
        <w:t>0.</w:t>
      </w:r>
      <w:r w:rsidR="00270DC1">
        <w:t xml:space="preserve">481 for no testing and </w:t>
      </w:r>
      <w:r w:rsidR="001B181A">
        <w:t>standard of care (</w:t>
      </w:r>
      <w:r w:rsidR="00270DC1">
        <w:t>S</w:t>
      </w:r>
      <w:r w:rsidR="0090696B">
        <w:t>O</w:t>
      </w:r>
      <w:r w:rsidR="00270DC1">
        <w:t>C</w:t>
      </w:r>
      <w:r w:rsidR="001B181A">
        <w:t>)</w:t>
      </w:r>
      <w:r w:rsidR="00270DC1">
        <w:t xml:space="preserve"> (incremental QALYs 0.528</w:t>
      </w:r>
      <w:r w:rsidR="00270DC1" w:rsidRPr="00EE3527">
        <w:t>).</w:t>
      </w:r>
      <w:r w:rsidR="00270DC1">
        <w:t xml:space="preserve"> The respecified base case ICER was $</w:t>
      </w:r>
      <w:r w:rsidR="00F31545">
        <w:t>55,000 &lt; $75,000</w:t>
      </w:r>
      <w:r w:rsidR="00270DC1">
        <w:t xml:space="preserve"> per QALY (</w:t>
      </w:r>
      <w:r w:rsidR="00D66EC7" w:rsidRPr="0090696B">
        <w:fldChar w:fldCharType="begin"/>
      </w:r>
      <w:r w:rsidR="00D66EC7" w:rsidRPr="0090696B">
        <w:instrText xml:space="preserve"> REF _Ref180589212 \h </w:instrText>
      </w:r>
      <w:r w:rsidR="00B970F0" w:rsidRPr="0090696B">
        <w:instrText xml:space="preserve"> \* MERGEFORMAT </w:instrText>
      </w:r>
      <w:r w:rsidR="00D66EC7" w:rsidRPr="0090696B">
        <w:fldChar w:fldCharType="separate"/>
      </w:r>
      <w:r w:rsidR="00F736D7" w:rsidRPr="004F358C">
        <w:t xml:space="preserve">Table </w:t>
      </w:r>
      <w:r w:rsidR="00F736D7" w:rsidRPr="004F358C">
        <w:rPr>
          <w:noProof/>
        </w:rPr>
        <w:t>4</w:t>
      </w:r>
      <w:r w:rsidR="00D66EC7" w:rsidRPr="0090696B">
        <w:fldChar w:fldCharType="end"/>
      </w:r>
      <w:r w:rsidR="00270DC1">
        <w:t>)</w:t>
      </w:r>
      <w:r w:rsidR="00B970F0">
        <w:t>.</w:t>
      </w:r>
    </w:p>
    <w:p w14:paraId="11C3D8C4" w14:textId="2B3915B1" w:rsidR="00DE56BE" w:rsidRPr="00B40461" w:rsidRDefault="00B40461" w:rsidP="009B32A0">
      <w:pPr>
        <w:pStyle w:val="Caption"/>
        <w:keepNext/>
        <w:spacing w:before="240"/>
        <w:rPr>
          <w:rFonts w:ascii="Arial Narrow" w:hAnsi="Arial Narrow"/>
          <w:b/>
          <w:bCs/>
          <w:i w:val="0"/>
          <w:iCs w:val="0"/>
          <w:color w:val="auto"/>
          <w:sz w:val="20"/>
          <w:szCs w:val="20"/>
        </w:rPr>
      </w:pPr>
      <w:bookmarkStart w:id="7" w:name="_Ref180589212"/>
      <w:r w:rsidRPr="00B40461">
        <w:rPr>
          <w:rFonts w:ascii="Arial Narrow" w:hAnsi="Arial Narrow"/>
          <w:b/>
          <w:bCs/>
          <w:i w:val="0"/>
          <w:iCs w:val="0"/>
          <w:color w:val="auto"/>
        </w:rPr>
        <w:t xml:space="preserve">Table </w:t>
      </w:r>
      <w:r w:rsidRPr="00B40461">
        <w:rPr>
          <w:rFonts w:ascii="Arial Narrow" w:hAnsi="Arial Narrow"/>
          <w:b/>
          <w:bCs/>
          <w:i w:val="0"/>
          <w:iCs w:val="0"/>
          <w:color w:val="auto"/>
        </w:rPr>
        <w:fldChar w:fldCharType="begin"/>
      </w:r>
      <w:r w:rsidRPr="00B40461">
        <w:rPr>
          <w:rFonts w:ascii="Arial Narrow" w:hAnsi="Arial Narrow"/>
          <w:b/>
          <w:bCs/>
          <w:i w:val="0"/>
          <w:iCs w:val="0"/>
          <w:color w:val="auto"/>
        </w:rPr>
        <w:instrText xml:space="preserve"> SEQ Table \* ARABIC </w:instrText>
      </w:r>
      <w:r w:rsidRPr="00B40461">
        <w:rPr>
          <w:rFonts w:ascii="Arial Narrow" w:hAnsi="Arial Narrow"/>
          <w:b/>
          <w:bCs/>
          <w:i w:val="0"/>
          <w:iCs w:val="0"/>
          <w:color w:val="auto"/>
        </w:rPr>
        <w:fldChar w:fldCharType="separate"/>
      </w:r>
      <w:r w:rsidR="002927EC">
        <w:rPr>
          <w:rFonts w:ascii="Arial Narrow" w:hAnsi="Arial Narrow"/>
          <w:b/>
          <w:bCs/>
          <w:i w:val="0"/>
          <w:iCs w:val="0"/>
          <w:noProof/>
          <w:color w:val="auto"/>
        </w:rPr>
        <w:t>4</w:t>
      </w:r>
      <w:r w:rsidRPr="00B40461">
        <w:rPr>
          <w:rFonts w:ascii="Arial Narrow" w:hAnsi="Arial Narrow"/>
          <w:b/>
          <w:bCs/>
          <w:i w:val="0"/>
          <w:iCs w:val="0"/>
          <w:color w:val="auto"/>
        </w:rPr>
        <w:fldChar w:fldCharType="end"/>
      </w:r>
      <w:bookmarkEnd w:id="7"/>
      <w:r>
        <w:t xml:space="preserve"> </w:t>
      </w:r>
      <w:r w:rsidR="00DE56BE" w:rsidRPr="00B40461">
        <w:rPr>
          <w:rFonts w:ascii="Arial Narrow" w:hAnsi="Arial Narrow"/>
          <w:b/>
          <w:bCs/>
          <w:i w:val="0"/>
          <w:iCs w:val="0"/>
          <w:color w:val="auto"/>
          <w:sz w:val="20"/>
          <w:szCs w:val="20"/>
        </w:rPr>
        <w:t>Results of the respecified base case analysis</w:t>
      </w:r>
    </w:p>
    <w:tbl>
      <w:tblPr>
        <w:tblStyle w:val="TableGrid"/>
        <w:tblW w:w="4972" w:type="pct"/>
        <w:tblLook w:val="04A0" w:firstRow="1" w:lastRow="0" w:firstColumn="1" w:lastColumn="0" w:noHBand="0" w:noVBand="1"/>
      </w:tblPr>
      <w:tblGrid>
        <w:gridCol w:w="2149"/>
        <w:gridCol w:w="1365"/>
        <w:gridCol w:w="1362"/>
        <w:gridCol w:w="1377"/>
        <w:gridCol w:w="1360"/>
        <w:gridCol w:w="1353"/>
      </w:tblGrid>
      <w:tr w:rsidR="00DE56BE" w:rsidRPr="00DE56BE" w14:paraId="6A4545D3" w14:textId="77777777" w:rsidTr="00B40461">
        <w:trPr>
          <w:trHeight w:val="283"/>
        </w:trPr>
        <w:tc>
          <w:tcPr>
            <w:tcW w:w="1200" w:type="pct"/>
          </w:tcPr>
          <w:p w14:paraId="215F843D" w14:textId="77777777" w:rsidR="00DE56BE" w:rsidRPr="00DE56BE" w:rsidRDefault="00DE56BE">
            <w:pPr>
              <w:pStyle w:val="TableH28pt"/>
              <w:rPr>
                <w:rFonts w:ascii="Arial Narrow" w:hAnsi="Arial Narrow"/>
                <w:sz w:val="18"/>
                <w:szCs w:val="22"/>
              </w:rPr>
            </w:pPr>
          </w:p>
        </w:tc>
        <w:tc>
          <w:tcPr>
            <w:tcW w:w="763" w:type="pct"/>
          </w:tcPr>
          <w:p w14:paraId="6860D201" w14:textId="77777777" w:rsidR="00DE56BE" w:rsidRPr="00DE56BE" w:rsidRDefault="00DE56BE">
            <w:pPr>
              <w:pStyle w:val="TableH28ptCentered"/>
              <w:rPr>
                <w:rFonts w:ascii="Arial Narrow" w:hAnsi="Arial Narrow"/>
                <w:sz w:val="18"/>
                <w:szCs w:val="22"/>
              </w:rPr>
            </w:pPr>
            <w:r w:rsidRPr="00DE56BE">
              <w:rPr>
                <w:rFonts w:ascii="Arial Narrow" w:hAnsi="Arial Narrow"/>
                <w:sz w:val="18"/>
                <w:szCs w:val="22"/>
              </w:rPr>
              <w:t>Cost</w:t>
            </w:r>
          </w:p>
        </w:tc>
        <w:tc>
          <w:tcPr>
            <w:tcW w:w="761" w:type="pct"/>
          </w:tcPr>
          <w:p w14:paraId="656552E4" w14:textId="77777777" w:rsidR="00DE56BE" w:rsidRPr="00DE56BE" w:rsidRDefault="00DE56BE">
            <w:pPr>
              <w:pStyle w:val="TableH28ptCentered"/>
              <w:rPr>
                <w:rFonts w:ascii="Arial Narrow" w:hAnsi="Arial Narrow"/>
                <w:sz w:val="18"/>
                <w:szCs w:val="22"/>
              </w:rPr>
            </w:pPr>
            <w:r w:rsidRPr="00DE56BE">
              <w:rPr>
                <w:rFonts w:ascii="Arial Narrow" w:hAnsi="Arial Narrow"/>
                <w:sz w:val="18"/>
                <w:szCs w:val="22"/>
              </w:rPr>
              <w:t>Incremental cost</w:t>
            </w:r>
          </w:p>
        </w:tc>
        <w:tc>
          <w:tcPr>
            <w:tcW w:w="760" w:type="pct"/>
          </w:tcPr>
          <w:p w14:paraId="7B29EF8F" w14:textId="77777777" w:rsidR="00DE56BE" w:rsidRPr="00DE56BE" w:rsidRDefault="00DE56BE">
            <w:pPr>
              <w:pStyle w:val="TableH28ptCentered"/>
              <w:rPr>
                <w:rFonts w:ascii="Arial Narrow" w:hAnsi="Arial Narrow"/>
                <w:sz w:val="18"/>
                <w:szCs w:val="22"/>
              </w:rPr>
            </w:pPr>
            <w:r w:rsidRPr="00DE56BE">
              <w:rPr>
                <w:rFonts w:ascii="Arial Narrow" w:hAnsi="Arial Narrow"/>
                <w:sz w:val="18"/>
                <w:szCs w:val="22"/>
              </w:rPr>
              <w:t>Effectiveness</w:t>
            </w:r>
          </w:p>
        </w:tc>
        <w:tc>
          <w:tcPr>
            <w:tcW w:w="760" w:type="pct"/>
          </w:tcPr>
          <w:p w14:paraId="12D82F06" w14:textId="77777777" w:rsidR="00DE56BE" w:rsidRPr="00DE56BE" w:rsidRDefault="00DE56BE">
            <w:pPr>
              <w:pStyle w:val="TableH28ptCentered"/>
              <w:rPr>
                <w:rFonts w:ascii="Arial Narrow" w:hAnsi="Arial Narrow"/>
                <w:sz w:val="18"/>
                <w:szCs w:val="22"/>
              </w:rPr>
            </w:pPr>
            <w:r w:rsidRPr="00DE56BE">
              <w:rPr>
                <w:rFonts w:ascii="Arial Narrow" w:hAnsi="Arial Narrow"/>
                <w:sz w:val="18"/>
                <w:szCs w:val="22"/>
              </w:rPr>
              <w:t>Incremental effectiveness</w:t>
            </w:r>
          </w:p>
        </w:tc>
        <w:tc>
          <w:tcPr>
            <w:tcW w:w="756" w:type="pct"/>
          </w:tcPr>
          <w:p w14:paraId="0A90A637" w14:textId="77777777" w:rsidR="00DE56BE" w:rsidRPr="00DE56BE" w:rsidRDefault="00DE56BE">
            <w:pPr>
              <w:pStyle w:val="TableH28ptCentered"/>
              <w:rPr>
                <w:rFonts w:ascii="Arial Narrow" w:hAnsi="Arial Narrow"/>
                <w:sz w:val="18"/>
                <w:szCs w:val="22"/>
              </w:rPr>
            </w:pPr>
            <w:r w:rsidRPr="00DE56BE">
              <w:rPr>
                <w:rFonts w:ascii="Arial Narrow" w:hAnsi="Arial Narrow"/>
                <w:sz w:val="18"/>
                <w:szCs w:val="22"/>
              </w:rPr>
              <w:t>ICER</w:t>
            </w:r>
          </w:p>
        </w:tc>
      </w:tr>
      <w:tr w:rsidR="00DE56BE" w:rsidRPr="00DE56BE" w14:paraId="61299634" w14:textId="77777777" w:rsidTr="00B40461">
        <w:trPr>
          <w:trHeight w:val="283"/>
        </w:trPr>
        <w:tc>
          <w:tcPr>
            <w:tcW w:w="1200" w:type="pct"/>
          </w:tcPr>
          <w:p w14:paraId="7E94922E" w14:textId="77777777" w:rsidR="00DE56BE" w:rsidRPr="00DE56BE" w:rsidRDefault="00DE56BE">
            <w:pPr>
              <w:pStyle w:val="Tabletext8pt"/>
              <w:rPr>
                <w:rFonts w:ascii="Arial Narrow" w:hAnsi="Arial Narrow"/>
                <w:sz w:val="18"/>
                <w:szCs w:val="22"/>
              </w:rPr>
            </w:pPr>
            <w:r w:rsidRPr="00DE56BE">
              <w:rPr>
                <w:rFonts w:ascii="Arial Narrow" w:hAnsi="Arial Narrow"/>
                <w:i/>
                <w:iCs/>
                <w:sz w:val="18"/>
                <w:szCs w:val="22"/>
              </w:rPr>
              <w:t>IDH1</w:t>
            </w:r>
            <w:r w:rsidRPr="00DE56BE">
              <w:rPr>
                <w:rFonts w:ascii="Arial Narrow" w:hAnsi="Arial Narrow"/>
                <w:sz w:val="18"/>
                <w:szCs w:val="22"/>
              </w:rPr>
              <w:t xml:space="preserve"> test + </w:t>
            </w:r>
            <w:proofErr w:type="spellStart"/>
            <w:r w:rsidRPr="00DE56BE">
              <w:rPr>
                <w:rFonts w:ascii="Arial Narrow" w:hAnsi="Arial Narrow"/>
                <w:sz w:val="18"/>
                <w:szCs w:val="22"/>
              </w:rPr>
              <w:t>ivosidenib</w:t>
            </w:r>
            <w:proofErr w:type="spellEnd"/>
          </w:p>
        </w:tc>
        <w:tc>
          <w:tcPr>
            <w:tcW w:w="763" w:type="pct"/>
          </w:tcPr>
          <w:p w14:paraId="24B8E972" w14:textId="252CF986" w:rsidR="00DE56BE" w:rsidRPr="008D5C07" w:rsidRDefault="00DE56BE">
            <w:pPr>
              <w:pStyle w:val="Tabletext8pt"/>
              <w:jc w:val="center"/>
              <w:rPr>
                <w:rFonts w:ascii="Arial Narrow" w:hAnsi="Arial Narrow"/>
                <w:sz w:val="18"/>
                <w:szCs w:val="22"/>
                <w:vertAlign w:val="superscript"/>
              </w:rPr>
            </w:pPr>
            <w:r w:rsidRPr="00DE56BE">
              <w:rPr>
                <w:rFonts w:ascii="Arial Narrow" w:hAnsi="Arial Narrow"/>
                <w:sz w:val="18"/>
                <w:szCs w:val="22"/>
              </w:rPr>
              <w:t>$</w:t>
            </w:r>
            <w:r w:rsidR="007A5814">
              <w:rPr>
                <w:rFonts w:ascii="Arial Narrow" w:hAnsi="Arial Narrow"/>
                <w:sz w:val="18"/>
                <w:szCs w:val="22"/>
              </w:rPr>
              <w:t>redacted</w:t>
            </w:r>
            <w:r w:rsidR="00E3566E">
              <w:rPr>
                <w:rFonts w:ascii="Arial Narrow" w:hAnsi="Arial Narrow"/>
                <w:sz w:val="18"/>
                <w:szCs w:val="22"/>
                <w:vertAlign w:val="superscript"/>
              </w:rPr>
              <w:t>1</w:t>
            </w:r>
          </w:p>
        </w:tc>
        <w:tc>
          <w:tcPr>
            <w:tcW w:w="761" w:type="pct"/>
            <w:vMerge w:val="restart"/>
          </w:tcPr>
          <w:p w14:paraId="64E08245" w14:textId="496D58CE" w:rsidR="00DE56BE" w:rsidRPr="008D5C07" w:rsidRDefault="00DE56BE">
            <w:pPr>
              <w:pStyle w:val="Tabletext8pt"/>
              <w:jc w:val="center"/>
              <w:rPr>
                <w:rFonts w:ascii="Arial Narrow" w:hAnsi="Arial Narrow"/>
                <w:sz w:val="18"/>
                <w:szCs w:val="22"/>
                <w:vertAlign w:val="superscript"/>
              </w:rPr>
            </w:pPr>
            <w:r w:rsidRPr="00DE56BE">
              <w:rPr>
                <w:rFonts w:ascii="Arial Narrow" w:hAnsi="Arial Narrow"/>
                <w:sz w:val="18"/>
                <w:szCs w:val="22"/>
              </w:rPr>
              <w:t>$</w:t>
            </w:r>
            <w:r w:rsidR="00E3566E">
              <w:rPr>
                <w:rFonts w:ascii="Arial Narrow" w:hAnsi="Arial Narrow"/>
                <w:sz w:val="18"/>
                <w:szCs w:val="22"/>
              </w:rPr>
              <w:t>redacted</w:t>
            </w:r>
            <w:r w:rsidR="00E3566E">
              <w:rPr>
                <w:rFonts w:ascii="Arial Narrow" w:hAnsi="Arial Narrow"/>
                <w:sz w:val="18"/>
                <w:szCs w:val="22"/>
                <w:vertAlign w:val="superscript"/>
              </w:rPr>
              <w:t>1</w:t>
            </w:r>
          </w:p>
        </w:tc>
        <w:tc>
          <w:tcPr>
            <w:tcW w:w="760" w:type="pct"/>
          </w:tcPr>
          <w:p w14:paraId="13F27254" w14:textId="77777777" w:rsidR="00DE56BE" w:rsidRPr="00DE56BE" w:rsidRDefault="00DE56BE">
            <w:pPr>
              <w:pStyle w:val="Tabletext8pt"/>
              <w:jc w:val="center"/>
              <w:rPr>
                <w:rFonts w:ascii="Arial Narrow" w:hAnsi="Arial Narrow"/>
                <w:sz w:val="18"/>
                <w:szCs w:val="22"/>
              </w:rPr>
            </w:pPr>
            <w:r w:rsidRPr="00DE56BE">
              <w:rPr>
                <w:rFonts w:ascii="Arial Narrow" w:hAnsi="Arial Narrow"/>
                <w:sz w:val="18"/>
                <w:szCs w:val="22"/>
              </w:rPr>
              <w:t>1.009</w:t>
            </w:r>
          </w:p>
        </w:tc>
        <w:tc>
          <w:tcPr>
            <w:tcW w:w="760" w:type="pct"/>
            <w:vMerge w:val="restart"/>
          </w:tcPr>
          <w:p w14:paraId="5718AB26" w14:textId="77777777" w:rsidR="00DE56BE" w:rsidRPr="00DE56BE" w:rsidRDefault="00DE56BE">
            <w:pPr>
              <w:pStyle w:val="Tabletext8pt"/>
              <w:jc w:val="center"/>
              <w:rPr>
                <w:rFonts w:ascii="Arial Narrow" w:hAnsi="Arial Narrow"/>
                <w:sz w:val="18"/>
                <w:szCs w:val="22"/>
              </w:rPr>
            </w:pPr>
            <w:r w:rsidRPr="00DE56BE">
              <w:rPr>
                <w:rFonts w:ascii="Arial Narrow" w:hAnsi="Arial Narrow"/>
                <w:sz w:val="18"/>
                <w:szCs w:val="22"/>
              </w:rPr>
              <w:t>0.528</w:t>
            </w:r>
          </w:p>
        </w:tc>
        <w:tc>
          <w:tcPr>
            <w:tcW w:w="756" w:type="pct"/>
            <w:vMerge w:val="restart"/>
          </w:tcPr>
          <w:p w14:paraId="686AB834" w14:textId="02F4A97C" w:rsidR="00DE56BE" w:rsidRPr="00C21A6C" w:rsidRDefault="002B46AE">
            <w:pPr>
              <w:pStyle w:val="Tabletext8pt"/>
              <w:jc w:val="center"/>
              <w:rPr>
                <w:rFonts w:ascii="Arial Narrow" w:hAnsi="Arial Narrow"/>
                <w:sz w:val="18"/>
                <w:szCs w:val="22"/>
              </w:rPr>
            </w:pPr>
            <w:r>
              <w:rPr>
                <w:rFonts w:ascii="Arial Narrow" w:hAnsi="Arial Narrow"/>
                <w:sz w:val="18"/>
                <w:szCs w:val="22"/>
              </w:rPr>
              <w:t>redacted</w:t>
            </w:r>
            <w:r>
              <w:rPr>
                <w:rFonts w:ascii="Arial Narrow" w:hAnsi="Arial Narrow"/>
                <w:sz w:val="18"/>
                <w:szCs w:val="22"/>
                <w:vertAlign w:val="superscript"/>
              </w:rPr>
              <w:t>1</w:t>
            </w:r>
            <w:r w:rsidR="00C21A6C">
              <w:rPr>
                <w:rFonts w:ascii="Arial Narrow" w:hAnsi="Arial Narrow"/>
                <w:i/>
                <w:iCs/>
                <w:sz w:val="18"/>
              </w:rPr>
              <w:t xml:space="preserve"> per QALY</w:t>
            </w:r>
          </w:p>
        </w:tc>
      </w:tr>
      <w:tr w:rsidR="00DE56BE" w:rsidRPr="00DE56BE" w14:paraId="212C8758" w14:textId="77777777" w:rsidTr="00B40461">
        <w:trPr>
          <w:trHeight w:val="283"/>
        </w:trPr>
        <w:tc>
          <w:tcPr>
            <w:tcW w:w="1200" w:type="pct"/>
          </w:tcPr>
          <w:p w14:paraId="137437A3" w14:textId="77777777" w:rsidR="00DE56BE" w:rsidRPr="00DE56BE" w:rsidRDefault="00DE56BE">
            <w:pPr>
              <w:pStyle w:val="Tabletext8pt"/>
              <w:rPr>
                <w:rFonts w:ascii="Arial Narrow" w:hAnsi="Arial Narrow"/>
                <w:sz w:val="18"/>
                <w:szCs w:val="22"/>
              </w:rPr>
            </w:pPr>
            <w:r w:rsidRPr="00DE56BE">
              <w:rPr>
                <w:rFonts w:ascii="Arial Narrow" w:hAnsi="Arial Narrow"/>
                <w:sz w:val="18"/>
                <w:szCs w:val="22"/>
              </w:rPr>
              <w:t>No test + SOC</w:t>
            </w:r>
          </w:p>
        </w:tc>
        <w:tc>
          <w:tcPr>
            <w:tcW w:w="763" w:type="pct"/>
          </w:tcPr>
          <w:p w14:paraId="6C872D85" w14:textId="77777777" w:rsidR="00DE56BE" w:rsidRPr="00DE56BE" w:rsidRDefault="00DE56BE">
            <w:pPr>
              <w:pStyle w:val="Tabletext8pt"/>
              <w:jc w:val="center"/>
              <w:rPr>
                <w:rFonts w:ascii="Arial Narrow" w:hAnsi="Arial Narrow"/>
                <w:sz w:val="18"/>
                <w:szCs w:val="22"/>
              </w:rPr>
            </w:pPr>
            <w:r w:rsidRPr="00DE56BE">
              <w:rPr>
                <w:rFonts w:ascii="Arial Narrow" w:hAnsi="Arial Narrow"/>
                <w:sz w:val="18"/>
                <w:szCs w:val="22"/>
              </w:rPr>
              <w:t>$25,158.11</w:t>
            </w:r>
          </w:p>
        </w:tc>
        <w:tc>
          <w:tcPr>
            <w:tcW w:w="761" w:type="pct"/>
            <w:vMerge/>
          </w:tcPr>
          <w:p w14:paraId="18EA4832" w14:textId="77777777" w:rsidR="00DE56BE" w:rsidRPr="00DE56BE" w:rsidRDefault="00DE56BE">
            <w:pPr>
              <w:pStyle w:val="Tabletext8pt"/>
              <w:jc w:val="center"/>
              <w:rPr>
                <w:rFonts w:ascii="Arial Narrow" w:hAnsi="Arial Narrow"/>
                <w:sz w:val="18"/>
                <w:szCs w:val="22"/>
              </w:rPr>
            </w:pPr>
          </w:p>
        </w:tc>
        <w:tc>
          <w:tcPr>
            <w:tcW w:w="760" w:type="pct"/>
          </w:tcPr>
          <w:p w14:paraId="6EE069D2" w14:textId="77777777" w:rsidR="00DE56BE" w:rsidRPr="00DE56BE" w:rsidRDefault="00DE56BE">
            <w:pPr>
              <w:pStyle w:val="Tabletext8pt"/>
              <w:jc w:val="center"/>
              <w:rPr>
                <w:rFonts w:ascii="Arial Narrow" w:hAnsi="Arial Narrow"/>
                <w:sz w:val="18"/>
                <w:szCs w:val="22"/>
              </w:rPr>
            </w:pPr>
            <w:r w:rsidRPr="00DE56BE">
              <w:rPr>
                <w:rFonts w:ascii="Arial Narrow" w:hAnsi="Arial Narrow"/>
                <w:sz w:val="18"/>
                <w:szCs w:val="22"/>
              </w:rPr>
              <w:t>0.481</w:t>
            </w:r>
          </w:p>
        </w:tc>
        <w:tc>
          <w:tcPr>
            <w:tcW w:w="760" w:type="pct"/>
            <w:vMerge/>
          </w:tcPr>
          <w:p w14:paraId="32489E51" w14:textId="77777777" w:rsidR="00DE56BE" w:rsidRPr="00DE56BE" w:rsidRDefault="00DE56BE">
            <w:pPr>
              <w:pStyle w:val="Tabletext8pt"/>
              <w:jc w:val="center"/>
              <w:rPr>
                <w:rFonts w:ascii="Arial Narrow" w:hAnsi="Arial Narrow"/>
                <w:sz w:val="18"/>
                <w:szCs w:val="22"/>
              </w:rPr>
            </w:pPr>
          </w:p>
        </w:tc>
        <w:tc>
          <w:tcPr>
            <w:tcW w:w="756" w:type="pct"/>
            <w:vMerge/>
          </w:tcPr>
          <w:p w14:paraId="26EE5B2D" w14:textId="77777777" w:rsidR="00DE56BE" w:rsidRPr="00DE56BE" w:rsidRDefault="00DE56BE">
            <w:pPr>
              <w:pStyle w:val="Tabletext8pt"/>
              <w:jc w:val="center"/>
              <w:rPr>
                <w:rFonts w:ascii="Arial Narrow" w:hAnsi="Arial Narrow"/>
                <w:sz w:val="18"/>
                <w:szCs w:val="22"/>
              </w:rPr>
            </w:pPr>
          </w:p>
        </w:tc>
      </w:tr>
    </w:tbl>
    <w:p w14:paraId="68B93DFF" w14:textId="0CF57864" w:rsidR="00A8593F" w:rsidRDefault="00BB0702" w:rsidP="00571DEE">
      <w:pPr>
        <w:rPr>
          <w:rFonts w:ascii="Arial Narrow" w:hAnsi="Arial Narrow"/>
          <w:sz w:val="18"/>
          <w:szCs w:val="16"/>
        </w:rPr>
      </w:pPr>
      <w:r w:rsidRPr="00A26B29">
        <w:rPr>
          <w:rFonts w:ascii="Arial Narrow" w:hAnsi="Arial Narrow"/>
          <w:sz w:val="18"/>
          <w:szCs w:val="16"/>
        </w:rPr>
        <w:t xml:space="preserve">Source: </w:t>
      </w:r>
      <w:bookmarkStart w:id="8" w:name="_Ref175834771"/>
      <w:r w:rsidR="00A26B29" w:rsidRPr="00A26B29">
        <w:rPr>
          <w:rFonts w:ascii="Arial Narrow" w:hAnsi="Arial Narrow"/>
          <w:sz w:val="18"/>
          <w:szCs w:val="16"/>
        </w:rPr>
        <w:t xml:space="preserve">Table ES </w:t>
      </w:r>
      <w:r w:rsidR="00A26B29" w:rsidRPr="00A26B29">
        <w:rPr>
          <w:rFonts w:ascii="Arial Narrow" w:hAnsi="Arial Narrow"/>
          <w:sz w:val="18"/>
          <w:szCs w:val="16"/>
        </w:rPr>
        <w:fldChar w:fldCharType="begin"/>
      </w:r>
      <w:r w:rsidR="00A26B29" w:rsidRPr="00A26B29">
        <w:rPr>
          <w:rFonts w:ascii="Arial Narrow" w:hAnsi="Arial Narrow"/>
          <w:sz w:val="18"/>
          <w:szCs w:val="16"/>
        </w:rPr>
        <w:instrText xml:space="preserve"> SEQ Table_ES \* ARABIC </w:instrText>
      </w:r>
      <w:r w:rsidR="00A26B29" w:rsidRPr="00A26B29">
        <w:rPr>
          <w:rFonts w:ascii="Arial Narrow" w:hAnsi="Arial Narrow"/>
          <w:sz w:val="18"/>
          <w:szCs w:val="16"/>
        </w:rPr>
        <w:fldChar w:fldCharType="separate"/>
      </w:r>
      <w:r w:rsidR="00A26B29" w:rsidRPr="00A26B29">
        <w:rPr>
          <w:rFonts w:ascii="Arial Narrow" w:hAnsi="Arial Narrow"/>
          <w:noProof/>
          <w:sz w:val="18"/>
          <w:szCs w:val="16"/>
        </w:rPr>
        <w:t>3</w:t>
      </w:r>
      <w:r w:rsidR="00A26B29" w:rsidRPr="00A26B29">
        <w:rPr>
          <w:rFonts w:ascii="Arial Narrow" w:hAnsi="Arial Narrow"/>
          <w:sz w:val="18"/>
          <w:szCs w:val="16"/>
        </w:rPr>
        <w:fldChar w:fldCharType="end"/>
      </w:r>
      <w:bookmarkEnd w:id="8"/>
      <w:r w:rsidR="00A26B29" w:rsidRPr="00A26B29">
        <w:rPr>
          <w:rFonts w:ascii="Arial Narrow" w:hAnsi="Arial Narrow"/>
          <w:sz w:val="18"/>
          <w:szCs w:val="16"/>
        </w:rPr>
        <w:t xml:space="preserve"> of resubmission Executive summary</w:t>
      </w:r>
    </w:p>
    <w:p w14:paraId="0E7911AE" w14:textId="3BCB7280" w:rsidR="00A26B29" w:rsidRDefault="00A26B29" w:rsidP="00571DEE">
      <w:pPr>
        <w:rPr>
          <w:rFonts w:ascii="Arial Narrow" w:hAnsi="Arial Narrow"/>
          <w:sz w:val="18"/>
          <w:szCs w:val="16"/>
        </w:rPr>
      </w:pPr>
      <w:r>
        <w:rPr>
          <w:rFonts w:ascii="Arial Narrow" w:hAnsi="Arial Narrow"/>
          <w:sz w:val="18"/>
          <w:szCs w:val="16"/>
        </w:rPr>
        <w:t xml:space="preserve">Abbreviations: ICER= </w:t>
      </w:r>
      <w:r w:rsidR="000B1AAF" w:rsidRPr="000B1AAF">
        <w:rPr>
          <w:rFonts w:ascii="Arial Narrow" w:hAnsi="Arial Narrow"/>
          <w:sz w:val="18"/>
          <w:szCs w:val="16"/>
        </w:rPr>
        <w:t>incremental cost-effectiveness ratio</w:t>
      </w:r>
      <w:r w:rsidR="000B1AAF">
        <w:rPr>
          <w:rFonts w:ascii="Arial Narrow" w:hAnsi="Arial Narrow"/>
          <w:sz w:val="18"/>
          <w:szCs w:val="16"/>
        </w:rPr>
        <w:t xml:space="preserve">; </w:t>
      </w:r>
      <w:r w:rsidR="000B1AAF" w:rsidRPr="000B1AAF">
        <w:rPr>
          <w:rFonts w:ascii="Arial Narrow" w:hAnsi="Arial Narrow"/>
          <w:i/>
          <w:iCs/>
          <w:sz w:val="18"/>
          <w:szCs w:val="16"/>
        </w:rPr>
        <w:t>IDH1</w:t>
      </w:r>
      <w:r w:rsidR="000B1AAF">
        <w:rPr>
          <w:rFonts w:ascii="Arial Narrow" w:hAnsi="Arial Narrow"/>
          <w:i/>
          <w:iCs/>
          <w:sz w:val="18"/>
          <w:szCs w:val="16"/>
        </w:rPr>
        <w:t xml:space="preserve"> </w:t>
      </w:r>
      <w:r w:rsidR="000B1AAF">
        <w:rPr>
          <w:rFonts w:ascii="Arial Narrow" w:hAnsi="Arial Narrow"/>
          <w:sz w:val="18"/>
          <w:szCs w:val="16"/>
        </w:rPr>
        <w:t xml:space="preserve">= </w:t>
      </w:r>
      <w:r w:rsidR="000B1AAF" w:rsidRPr="000B1AAF">
        <w:rPr>
          <w:rFonts w:ascii="Arial Narrow" w:hAnsi="Arial Narrow"/>
          <w:i/>
          <w:iCs/>
          <w:sz w:val="18"/>
          <w:szCs w:val="16"/>
        </w:rPr>
        <w:t>isocitrate dehydrogenase 1</w:t>
      </w:r>
      <w:r w:rsidR="000B1AAF">
        <w:rPr>
          <w:rFonts w:ascii="Arial Narrow" w:hAnsi="Arial Narrow"/>
          <w:sz w:val="18"/>
          <w:szCs w:val="16"/>
        </w:rPr>
        <w:t xml:space="preserve"> gene; SOC = standard of care.</w:t>
      </w:r>
    </w:p>
    <w:p w14:paraId="7739C5E4" w14:textId="7C85A650" w:rsidR="002B46AE" w:rsidRDefault="002B46AE" w:rsidP="00571DEE">
      <w:pPr>
        <w:rPr>
          <w:rFonts w:ascii="Arial Narrow" w:hAnsi="Arial Narrow"/>
          <w:i/>
          <w:iCs/>
          <w:sz w:val="18"/>
          <w:szCs w:val="16"/>
        </w:rPr>
      </w:pPr>
      <w:r>
        <w:rPr>
          <w:rFonts w:ascii="Arial Narrow" w:hAnsi="Arial Narrow"/>
          <w:i/>
          <w:iCs/>
          <w:sz w:val="18"/>
          <w:szCs w:val="16"/>
        </w:rPr>
        <w:t>The redact values correspond to the following ranges</w:t>
      </w:r>
      <w:r w:rsidR="005125E3">
        <w:rPr>
          <w:rFonts w:ascii="Arial Narrow" w:hAnsi="Arial Narrow"/>
          <w:i/>
          <w:iCs/>
          <w:sz w:val="18"/>
          <w:szCs w:val="16"/>
        </w:rPr>
        <w:t>:</w:t>
      </w:r>
    </w:p>
    <w:p w14:paraId="72F4934C" w14:textId="7F16BAEE" w:rsidR="005125E3" w:rsidRPr="008D5C07" w:rsidRDefault="005125E3" w:rsidP="00571DEE">
      <w:pPr>
        <w:rPr>
          <w:rFonts w:ascii="Arial Narrow" w:hAnsi="Arial Narrow"/>
          <w:i/>
          <w:iCs/>
          <w:sz w:val="18"/>
          <w:szCs w:val="16"/>
        </w:rPr>
      </w:pPr>
      <w:r w:rsidRPr="008D5C07">
        <w:rPr>
          <w:rFonts w:ascii="Arial Narrow" w:hAnsi="Arial Narrow"/>
          <w:i/>
          <w:iCs/>
          <w:sz w:val="18"/>
          <w:szCs w:val="16"/>
          <w:vertAlign w:val="superscript"/>
        </w:rPr>
        <w:t>1</w:t>
      </w:r>
      <w:r w:rsidRPr="008D5C07">
        <w:rPr>
          <w:rFonts w:ascii="Arial Narrow" w:hAnsi="Arial Narrow"/>
          <w:i/>
          <w:iCs/>
          <w:sz w:val="18"/>
          <w:szCs w:val="16"/>
        </w:rPr>
        <w:t>$55,000 &lt; $75,000</w:t>
      </w:r>
      <w:r w:rsidR="0089066E">
        <w:rPr>
          <w:rFonts w:ascii="Arial Narrow" w:hAnsi="Arial Narrow"/>
          <w:i/>
          <w:iCs/>
          <w:sz w:val="18"/>
          <w:szCs w:val="16"/>
        </w:rPr>
        <w:t xml:space="preserve"> </w:t>
      </w:r>
    </w:p>
    <w:p w14:paraId="509EE742" w14:textId="038A1905" w:rsidR="007119DE" w:rsidRPr="000B1AAF" w:rsidRDefault="007119DE" w:rsidP="009B32A0">
      <w:pPr>
        <w:spacing w:before="240"/>
      </w:pPr>
      <w:r>
        <w:t xml:space="preserve">The resubmission presented univariable and multivariable sensitivity analyses </w:t>
      </w:r>
      <w:r w:rsidR="004538FA">
        <w:t>based on input from PBAC ESC</w:t>
      </w:r>
      <w:r w:rsidR="00451F41">
        <w:t xml:space="preserve"> from the July 2024 PBAC meeting</w:t>
      </w:r>
      <w:r w:rsidR="004538FA">
        <w:t>.</w:t>
      </w:r>
      <w:r>
        <w:t xml:space="preserve"> </w:t>
      </w:r>
    </w:p>
    <w:p w14:paraId="6240B93A" w14:textId="0DD3D58F" w:rsidR="00BC1364" w:rsidRDefault="00BC1364" w:rsidP="00F715D1">
      <w:pPr>
        <w:pStyle w:val="Heading1"/>
      </w:pPr>
      <w:r w:rsidRPr="00F715D1">
        <w:t>Financial/budgetary impacts</w:t>
      </w:r>
    </w:p>
    <w:p w14:paraId="70A7026A" w14:textId="4C1FD3C7" w:rsidR="0017299E" w:rsidRDefault="0017299E" w:rsidP="0017299E">
      <w:r>
        <w:t>Th</w:t>
      </w:r>
      <w:r w:rsidR="004538FA">
        <w:t xml:space="preserve">e </w:t>
      </w:r>
      <w:r>
        <w:t>resubmission present</w:t>
      </w:r>
      <w:r w:rsidR="004538FA">
        <w:t>ed</w:t>
      </w:r>
      <w:r>
        <w:t xml:space="preserve"> updated utilisation and financial estimates based on advice provided by the PBAC and </w:t>
      </w:r>
      <w:r w:rsidR="0036025C" w:rsidRPr="0036025C">
        <w:t>Drug Utilisation Sub Committee</w:t>
      </w:r>
      <w:r w:rsidR="0036025C">
        <w:t xml:space="preserve"> (</w:t>
      </w:r>
      <w:r>
        <w:t>DUSC</w:t>
      </w:r>
      <w:r w:rsidR="0036025C">
        <w:t>)</w:t>
      </w:r>
      <w:r>
        <w:t xml:space="preserve"> on the July 2024 submission. </w:t>
      </w:r>
      <w:r w:rsidR="00BA0CE5">
        <w:t>T</w:t>
      </w:r>
      <w:r>
        <w:t>he budget impact model was updated with the following changes:</w:t>
      </w:r>
    </w:p>
    <w:p w14:paraId="52148F26" w14:textId="0CF4DA85" w:rsidR="0017299E" w:rsidRDefault="0017299E" w:rsidP="001B156F">
      <w:pPr>
        <w:pStyle w:val="ListParagraph"/>
        <w:numPr>
          <w:ilvl w:val="0"/>
          <w:numId w:val="33"/>
        </w:numPr>
      </w:pPr>
      <w:r>
        <w:t xml:space="preserve">The uptake rate of the </w:t>
      </w:r>
      <w:r w:rsidRPr="001B156F">
        <w:rPr>
          <w:i/>
          <w:iCs/>
        </w:rPr>
        <w:t>IDH1</w:t>
      </w:r>
      <w:r>
        <w:t xml:space="preserve"> test was increased to </w:t>
      </w:r>
      <w:r w:rsidR="00D1610A" w:rsidRPr="008D5C07">
        <w:rPr>
          <w:b/>
          <w:bCs/>
        </w:rPr>
        <w:t>redacted</w:t>
      </w:r>
      <w:r>
        <w:t>%</w:t>
      </w:r>
      <w:r w:rsidR="00926918">
        <w:t xml:space="preserve"> </w:t>
      </w:r>
      <w:r w:rsidR="00926918" w:rsidRPr="00926918">
        <w:t xml:space="preserve">(from </w:t>
      </w:r>
      <w:r w:rsidR="00D1610A" w:rsidRPr="008D5C07">
        <w:rPr>
          <w:b/>
          <w:bCs/>
        </w:rPr>
        <w:t>redacted</w:t>
      </w:r>
      <w:r w:rsidR="00926918" w:rsidRPr="00926918">
        <w:t>% in the previous submission).</w:t>
      </w:r>
    </w:p>
    <w:p w14:paraId="026FA1D9" w14:textId="046184C4" w:rsidR="001B156F" w:rsidRDefault="001B156F" w:rsidP="001B156F">
      <w:pPr>
        <w:pStyle w:val="ListParagraph"/>
        <w:numPr>
          <w:ilvl w:val="0"/>
          <w:numId w:val="33"/>
        </w:numPr>
      </w:pPr>
      <w:r w:rsidRPr="001B156F">
        <w:t>A rate of progression to 2L treatment was incorporated into the model, assumed to be 70% per DUSC feedback (assumed 100% in previous submission).</w:t>
      </w:r>
    </w:p>
    <w:p w14:paraId="3406AAE3" w14:textId="37E1F890" w:rsidR="001B156F" w:rsidRPr="001B156F" w:rsidRDefault="001B156F" w:rsidP="001B156F">
      <w:pPr>
        <w:pStyle w:val="ListParagraph"/>
        <w:numPr>
          <w:ilvl w:val="0"/>
          <w:numId w:val="33"/>
        </w:numPr>
      </w:pPr>
      <w:r w:rsidRPr="001B156F">
        <w:t xml:space="preserve">The uptake rate of </w:t>
      </w:r>
      <w:proofErr w:type="spellStart"/>
      <w:r w:rsidRPr="001B156F">
        <w:t>ivosidenib</w:t>
      </w:r>
      <w:proofErr w:type="spellEnd"/>
      <w:r w:rsidRPr="001B156F">
        <w:t xml:space="preserve"> was increased to </w:t>
      </w:r>
      <w:r w:rsidR="00D1610A" w:rsidRPr="008D5C07">
        <w:rPr>
          <w:b/>
          <w:bCs/>
        </w:rPr>
        <w:t>redacted</w:t>
      </w:r>
      <w:r w:rsidR="00D1610A" w:rsidRPr="001B156F" w:rsidDel="00D1610A">
        <w:t xml:space="preserve"> </w:t>
      </w:r>
      <w:r w:rsidRPr="001B156F">
        <w:t xml:space="preserve">% (previously </w:t>
      </w:r>
      <w:r w:rsidR="00D1610A" w:rsidRPr="006B7A2F">
        <w:rPr>
          <w:b/>
          <w:bCs/>
        </w:rPr>
        <w:t>redacted</w:t>
      </w:r>
      <w:r w:rsidR="00D1610A" w:rsidRPr="001B156F" w:rsidDel="00D1610A">
        <w:t xml:space="preserve"> </w:t>
      </w:r>
      <w:r w:rsidRPr="001B156F">
        <w:t xml:space="preserve">% to </w:t>
      </w:r>
      <w:r w:rsidR="00D1610A" w:rsidRPr="006B7A2F">
        <w:rPr>
          <w:b/>
          <w:bCs/>
        </w:rPr>
        <w:t>redacted</w:t>
      </w:r>
      <w:r w:rsidR="00D1610A" w:rsidRPr="001B156F" w:rsidDel="00D1610A">
        <w:t xml:space="preserve"> </w:t>
      </w:r>
      <w:r w:rsidRPr="001B156F">
        <w:t>%), as the rate of progression to 2L treatment already incorporate</w:t>
      </w:r>
      <w:r w:rsidR="00B9125F">
        <w:t>d</w:t>
      </w:r>
      <w:r w:rsidRPr="001B156F">
        <w:t xml:space="preserve"> uptake.</w:t>
      </w:r>
    </w:p>
    <w:p w14:paraId="1FB385EB" w14:textId="14F78AF1" w:rsidR="008675E7" w:rsidRDefault="008675E7" w:rsidP="006617E0">
      <w:pPr>
        <w:spacing w:before="240"/>
        <w:rPr>
          <w:rFonts w:cs="Arial"/>
          <w:color w:val="0D0D0D"/>
        </w:rPr>
      </w:pPr>
      <w:r>
        <w:rPr>
          <w:rFonts w:cs="Arial"/>
          <w:color w:val="0D0D0D"/>
        </w:rPr>
        <w:t xml:space="preserve">Similar to the </w:t>
      </w:r>
      <w:r w:rsidR="009E5203">
        <w:rPr>
          <w:rFonts w:cs="Arial"/>
          <w:color w:val="0D0D0D"/>
        </w:rPr>
        <w:t>previous submission, t</w:t>
      </w:r>
      <w:r w:rsidRPr="00431CF2">
        <w:rPr>
          <w:rFonts w:cs="Arial"/>
          <w:color w:val="0D0D0D"/>
        </w:rPr>
        <w:t xml:space="preserve">he financial analysis included MBS costs associated with electrocardiogram (ECG) monitoring in patients receiving </w:t>
      </w:r>
      <w:proofErr w:type="spellStart"/>
      <w:r w:rsidRPr="00431CF2">
        <w:rPr>
          <w:rFonts w:cs="Arial"/>
          <w:color w:val="0D0D0D"/>
        </w:rPr>
        <w:t>ivosidenib</w:t>
      </w:r>
      <w:proofErr w:type="spellEnd"/>
      <w:r w:rsidRPr="00431CF2">
        <w:rPr>
          <w:rFonts w:cs="Arial"/>
          <w:color w:val="0D0D0D"/>
        </w:rPr>
        <w:t xml:space="preserve"> treatment. As </w:t>
      </w:r>
      <w:proofErr w:type="spellStart"/>
      <w:r w:rsidRPr="00431CF2">
        <w:rPr>
          <w:rFonts w:cs="Arial"/>
          <w:color w:val="0D0D0D"/>
        </w:rPr>
        <w:t>ivosidenib</w:t>
      </w:r>
      <w:proofErr w:type="spellEnd"/>
      <w:r w:rsidRPr="00431CF2">
        <w:rPr>
          <w:rFonts w:cs="Arial"/>
          <w:color w:val="0D0D0D"/>
        </w:rPr>
        <w:t xml:space="preserve"> therapy is associated with an increased risk of prolongation of QTc interval, the </w:t>
      </w:r>
      <w:proofErr w:type="spellStart"/>
      <w:r w:rsidRPr="00431CF2">
        <w:rPr>
          <w:rFonts w:cs="Arial"/>
          <w:color w:val="0D0D0D"/>
        </w:rPr>
        <w:t>ivosidenib</w:t>
      </w:r>
      <w:proofErr w:type="spellEnd"/>
      <w:r w:rsidRPr="00431CF2">
        <w:rPr>
          <w:rFonts w:cs="Arial"/>
          <w:color w:val="0D0D0D"/>
        </w:rPr>
        <w:t xml:space="preserve"> product information recommends performing an ECG prior to treatment initiation</w:t>
      </w:r>
      <w:r w:rsidR="00293A07" w:rsidRPr="00293A07">
        <w:rPr>
          <w:rFonts w:cs="Arial"/>
          <w:color w:val="0D0D0D"/>
        </w:rPr>
        <w:t xml:space="preserve">, at least weekly during the first 3 weeks of therapy and at least monthly thereafter. Based on the average duration of treatment of 25.1 weeks as modelled in the economic evaluation, the submission assumed an average of 7.77 ECGs per patient treated with </w:t>
      </w:r>
      <w:proofErr w:type="spellStart"/>
      <w:r w:rsidR="00293A07" w:rsidRPr="00293A07">
        <w:rPr>
          <w:rFonts w:cs="Arial"/>
          <w:color w:val="0D0D0D"/>
        </w:rPr>
        <w:t>ivosidenib</w:t>
      </w:r>
      <w:proofErr w:type="spellEnd"/>
      <w:r w:rsidR="00293A07" w:rsidRPr="00293A07">
        <w:rPr>
          <w:rFonts w:cs="Arial"/>
          <w:color w:val="0D0D0D"/>
        </w:rPr>
        <w:t>.</w:t>
      </w:r>
    </w:p>
    <w:p w14:paraId="0E22B081" w14:textId="63EB9973" w:rsidR="004246F6" w:rsidRDefault="007F457C" w:rsidP="006617E0">
      <w:pPr>
        <w:spacing w:before="240"/>
      </w:pPr>
      <w:r w:rsidRPr="00F83F58">
        <w:t xml:space="preserve">The </w:t>
      </w:r>
      <w:r>
        <w:t>re</w:t>
      </w:r>
      <w:r w:rsidRPr="00F83F58">
        <w:t>submission estimated</w:t>
      </w:r>
      <w:r>
        <w:t xml:space="preserve"> </w:t>
      </w:r>
      <w:r w:rsidRPr="00A07F31">
        <w:rPr>
          <w:rFonts w:cstheme="minorHAnsi"/>
        </w:rPr>
        <w:t>a net cost</w:t>
      </w:r>
      <w:r>
        <w:rPr>
          <w:rFonts w:cstheme="minorHAnsi"/>
        </w:rPr>
        <w:t xml:space="preserve"> </w:t>
      </w:r>
      <w:r w:rsidRPr="00A07F31">
        <w:rPr>
          <w:rFonts w:cstheme="minorHAnsi"/>
        </w:rPr>
        <w:t>to th</w:t>
      </w:r>
      <w:r>
        <w:rPr>
          <w:rFonts w:cstheme="minorHAnsi"/>
        </w:rPr>
        <w:t xml:space="preserve">e MBS </w:t>
      </w:r>
      <w:r w:rsidR="00900530">
        <w:rPr>
          <w:rFonts w:cstheme="minorHAnsi"/>
        </w:rPr>
        <w:t>(</w:t>
      </w:r>
      <w:r w:rsidR="0099066D">
        <w:rPr>
          <w:rFonts w:cstheme="minorHAnsi"/>
        </w:rPr>
        <w:t>assuming</w:t>
      </w:r>
      <w:r w:rsidR="00900530">
        <w:rPr>
          <w:rFonts w:cstheme="minorHAnsi"/>
        </w:rPr>
        <w:t xml:space="preserve"> 8</w:t>
      </w:r>
      <w:r w:rsidR="004B0BB2">
        <w:rPr>
          <w:rFonts w:cstheme="minorHAnsi"/>
        </w:rPr>
        <w:t>0</w:t>
      </w:r>
      <w:r w:rsidR="00900530">
        <w:rPr>
          <w:rFonts w:cstheme="minorHAnsi"/>
        </w:rPr>
        <w:t>% rebate</w:t>
      </w:r>
      <w:r w:rsidR="000867F7">
        <w:rPr>
          <w:rFonts w:cstheme="minorHAnsi"/>
        </w:rPr>
        <w:t xml:space="preserve"> </w:t>
      </w:r>
      <w:r w:rsidR="000867F7" w:rsidRPr="00431CF2">
        <w:rPr>
          <w:rFonts w:cs="Arial"/>
          <w:color w:val="0D0D0D"/>
        </w:rPr>
        <w:t xml:space="preserve">for both </w:t>
      </w:r>
      <w:r w:rsidR="000867F7" w:rsidRPr="00431CF2">
        <w:rPr>
          <w:rFonts w:cs="Arial"/>
          <w:i/>
          <w:iCs/>
          <w:color w:val="0D0D0D"/>
        </w:rPr>
        <w:t xml:space="preserve">IDH1 </w:t>
      </w:r>
      <w:r w:rsidR="000867F7" w:rsidRPr="00431CF2">
        <w:rPr>
          <w:rFonts w:cs="Arial"/>
          <w:color w:val="0D0D0D"/>
        </w:rPr>
        <w:t xml:space="preserve">testing and </w:t>
      </w:r>
      <w:r w:rsidR="001D606C" w:rsidRPr="00431CF2">
        <w:rPr>
          <w:color w:val="0D0D0D"/>
        </w:rPr>
        <w:t>electrocardiogram</w:t>
      </w:r>
      <w:r w:rsidR="009F22A6">
        <w:rPr>
          <w:color w:val="0D0D0D"/>
        </w:rPr>
        <w:t xml:space="preserve"> </w:t>
      </w:r>
      <w:r w:rsidR="001D606C">
        <w:rPr>
          <w:color w:val="0D0D0D"/>
        </w:rPr>
        <w:t>[</w:t>
      </w:r>
      <w:r w:rsidR="000867F7" w:rsidRPr="00431CF2">
        <w:rPr>
          <w:rFonts w:cs="Arial"/>
          <w:color w:val="0D0D0D"/>
        </w:rPr>
        <w:t>EGC</w:t>
      </w:r>
      <w:r w:rsidR="001D606C">
        <w:rPr>
          <w:rFonts w:cs="Arial"/>
          <w:color w:val="0D0D0D"/>
        </w:rPr>
        <w:t>]</w:t>
      </w:r>
      <w:r w:rsidR="000867F7" w:rsidRPr="00431CF2">
        <w:rPr>
          <w:rFonts w:cs="Arial"/>
          <w:color w:val="0D0D0D"/>
        </w:rPr>
        <w:t xml:space="preserve"> monitoring</w:t>
      </w:r>
      <w:r w:rsidR="00900530">
        <w:rPr>
          <w:rFonts w:cstheme="minorHAnsi"/>
        </w:rPr>
        <w:t xml:space="preserve">) </w:t>
      </w:r>
      <w:r w:rsidR="00850376">
        <w:rPr>
          <w:rFonts w:cstheme="minorHAnsi"/>
        </w:rPr>
        <w:t xml:space="preserve">of </w:t>
      </w:r>
      <w:r w:rsidR="00CD4E5F">
        <w:t xml:space="preserve">$0 &lt; $10 million </w:t>
      </w:r>
      <w:r w:rsidR="001759A7">
        <w:rPr>
          <w:rFonts w:cstheme="minorHAnsi"/>
        </w:rPr>
        <w:t xml:space="preserve">in Year 1 </w:t>
      </w:r>
      <w:r w:rsidR="00E215B0">
        <w:rPr>
          <w:rFonts w:cstheme="minorHAnsi"/>
        </w:rPr>
        <w:t xml:space="preserve">to </w:t>
      </w:r>
      <w:r w:rsidR="00CD4E5F">
        <w:t xml:space="preserve">$0 &lt; $10 million </w:t>
      </w:r>
      <w:r w:rsidR="00E215B0">
        <w:rPr>
          <w:rFonts w:cstheme="minorHAnsi"/>
        </w:rPr>
        <w:t>in Year 6</w:t>
      </w:r>
      <w:r w:rsidR="00850376">
        <w:rPr>
          <w:rFonts w:cstheme="minorHAnsi"/>
        </w:rPr>
        <w:t>.</w:t>
      </w:r>
      <w:r w:rsidR="00111160">
        <w:rPr>
          <w:rFonts w:cstheme="minorHAnsi"/>
        </w:rPr>
        <w:t xml:space="preserve"> The revised net cost to the MBS calculated by the department assuming </w:t>
      </w:r>
      <w:r w:rsidR="006A7AE9">
        <w:rPr>
          <w:rFonts w:cstheme="minorHAnsi"/>
        </w:rPr>
        <w:t xml:space="preserve">85% rebate increased this cost to </w:t>
      </w:r>
      <w:r w:rsidR="00D557E9">
        <w:rPr>
          <w:rFonts w:cstheme="minorHAnsi"/>
        </w:rPr>
        <w:t xml:space="preserve">more than </w:t>
      </w:r>
      <w:r w:rsidR="00CD4E5F">
        <w:t xml:space="preserve">$0 &lt; $10 million </w:t>
      </w:r>
      <w:r w:rsidR="006A7AE9">
        <w:rPr>
          <w:rFonts w:cstheme="minorHAnsi"/>
        </w:rPr>
        <w:t xml:space="preserve">in Year 1 and </w:t>
      </w:r>
      <w:r w:rsidR="00CD4E5F">
        <w:t xml:space="preserve">$0 &lt; $10 million </w:t>
      </w:r>
      <w:r w:rsidR="00564390">
        <w:rPr>
          <w:rFonts w:cstheme="minorHAnsi"/>
        </w:rPr>
        <w:t>in Year 6.</w:t>
      </w:r>
      <w:r w:rsidR="00850376">
        <w:rPr>
          <w:rFonts w:cstheme="minorHAnsi"/>
        </w:rPr>
        <w:t xml:space="preserve"> </w:t>
      </w:r>
      <w:r w:rsidR="00620AE5" w:rsidRPr="00620AE5">
        <w:t xml:space="preserve">Including the cost of </w:t>
      </w:r>
      <w:r w:rsidR="00564390">
        <w:t xml:space="preserve">revised </w:t>
      </w:r>
      <w:r w:rsidR="00620AE5" w:rsidRPr="001B156F">
        <w:rPr>
          <w:i/>
          <w:iCs/>
        </w:rPr>
        <w:t>IDH1</w:t>
      </w:r>
      <w:r w:rsidR="00620AE5" w:rsidRPr="00620AE5">
        <w:t xml:space="preserve"> testing</w:t>
      </w:r>
      <w:r w:rsidR="002C334C">
        <w:t xml:space="preserve"> (85% benefit)</w:t>
      </w:r>
      <w:r w:rsidR="00620AE5" w:rsidRPr="00620AE5">
        <w:t xml:space="preserve">, the listing of </w:t>
      </w:r>
      <w:proofErr w:type="spellStart"/>
      <w:r w:rsidR="00620AE5" w:rsidRPr="00620AE5">
        <w:t>ivosidenib</w:t>
      </w:r>
      <w:proofErr w:type="spellEnd"/>
      <w:r w:rsidR="00620AE5" w:rsidRPr="00620AE5">
        <w:t xml:space="preserve"> is expected to result in a net cost to the health budget of </w:t>
      </w:r>
      <w:r w:rsidR="00CD4E5F">
        <w:t xml:space="preserve">$0 &lt; $10 million </w:t>
      </w:r>
      <w:r w:rsidR="00620AE5" w:rsidRPr="00620AE5">
        <w:t xml:space="preserve">in Year 1 growing to </w:t>
      </w:r>
      <w:r w:rsidR="00DD54C7">
        <w:t>almost</w:t>
      </w:r>
      <w:r w:rsidR="00620AE5" w:rsidRPr="00620AE5">
        <w:t xml:space="preserve"> </w:t>
      </w:r>
      <w:r w:rsidR="00CD4E5F">
        <w:t xml:space="preserve">$0 &lt; $10 million </w:t>
      </w:r>
      <w:r w:rsidR="00620AE5" w:rsidRPr="00620AE5">
        <w:t>in Year 6</w:t>
      </w:r>
      <w:r w:rsidR="000C13EF">
        <w:t xml:space="preserve"> (</w:t>
      </w:r>
      <w:r w:rsidR="002D14E6">
        <w:fldChar w:fldCharType="begin"/>
      </w:r>
      <w:r w:rsidR="002D14E6">
        <w:instrText xml:space="preserve"> REF _Ref184659076 \h </w:instrText>
      </w:r>
      <w:r w:rsidR="002D14E6">
        <w:fldChar w:fldCharType="separate"/>
      </w:r>
      <w:r w:rsidR="002D14E6">
        <w:t xml:space="preserve">Table </w:t>
      </w:r>
      <w:r w:rsidR="002D14E6">
        <w:rPr>
          <w:noProof/>
        </w:rPr>
        <w:t>5</w:t>
      </w:r>
      <w:r w:rsidR="002D14E6">
        <w:fldChar w:fldCharType="end"/>
      </w:r>
      <w:r w:rsidR="000C13EF" w:rsidRPr="001B156F">
        <w:rPr>
          <w:szCs w:val="22"/>
        </w:rPr>
        <w:fldChar w:fldCharType="begin"/>
      </w:r>
      <w:r w:rsidR="000C13EF" w:rsidRPr="001B156F">
        <w:rPr>
          <w:szCs w:val="22"/>
        </w:rPr>
        <w:instrText xml:space="preserve"> REF _Ref178164891 \h  \* MERGEFORMAT </w:instrText>
      </w:r>
      <w:r w:rsidR="000C13EF" w:rsidRPr="001B156F">
        <w:rPr>
          <w:szCs w:val="22"/>
        </w:rPr>
      </w:r>
      <w:r w:rsidR="000C13EF" w:rsidRPr="001B156F">
        <w:rPr>
          <w:szCs w:val="22"/>
        </w:rPr>
        <w:fldChar w:fldCharType="separate"/>
      </w:r>
      <w:r w:rsidR="000C13EF" w:rsidRPr="001B156F">
        <w:rPr>
          <w:szCs w:val="22"/>
        </w:rPr>
        <w:fldChar w:fldCharType="end"/>
      </w:r>
      <w:r w:rsidR="000C13EF" w:rsidRPr="001B156F">
        <w:rPr>
          <w:szCs w:val="22"/>
        </w:rPr>
        <w:t>)</w:t>
      </w:r>
      <w:r w:rsidR="00620AE5" w:rsidRPr="00620AE5">
        <w:t>.</w:t>
      </w:r>
      <w:r w:rsidR="00620AE5">
        <w:t xml:space="preserve"> </w:t>
      </w:r>
    </w:p>
    <w:p w14:paraId="27CB0E79" w14:textId="4F3CA56A" w:rsidR="005B0AAD" w:rsidRDefault="005B0AAD" w:rsidP="00171F18">
      <w:pPr>
        <w:pStyle w:val="TableFigureHeading"/>
        <w:spacing w:before="240"/>
      </w:pPr>
      <w:bookmarkStart w:id="9" w:name="_Ref184659076"/>
      <w:r>
        <w:t xml:space="preserve">Table </w:t>
      </w:r>
      <w:r>
        <w:fldChar w:fldCharType="begin"/>
      </w:r>
      <w:r>
        <w:instrText xml:space="preserve"> SEQ Table \* ARABIC </w:instrText>
      </w:r>
      <w:r>
        <w:fldChar w:fldCharType="separate"/>
      </w:r>
      <w:r w:rsidR="002927EC">
        <w:rPr>
          <w:noProof/>
        </w:rPr>
        <w:t>5</w:t>
      </w:r>
      <w:r>
        <w:fldChar w:fldCharType="end"/>
      </w:r>
      <w:bookmarkEnd w:id="9"/>
      <w:r w:rsidRPr="002C633F">
        <w:t xml:space="preserve">: </w:t>
      </w:r>
      <w:r w:rsidRPr="00CF066B">
        <w:t>Estimated use and financial implications</w:t>
      </w:r>
    </w:p>
    <w:tbl>
      <w:tblPr>
        <w:tblStyle w:val="TableGrid"/>
        <w:tblW w:w="0" w:type="auto"/>
        <w:tblLook w:val="04A0" w:firstRow="1" w:lastRow="0" w:firstColumn="1" w:lastColumn="0" w:noHBand="0" w:noVBand="1"/>
      </w:tblPr>
      <w:tblGrid>
        <w:gridCol w:w="2284"/>
        <w:gridCol w:w="1122"/>
        <w:gridCol w:w="1122"/>
        <w:gridCol w:w="1122"/>
        <w:gridCol w:w="1122"/>
        <w:gridCol w:w="1122"/>
        <w:gridCol w:w="1122"/>
      </w:tblGrid>
      <w:tr w:rsidR="002F5B1D" w14:paraId="4EC0468C" w14:textId="77777777" w:rsidTr="002F5B1D">
        <w:tc>
          <w:tcPr>
            <w:tcW w:w="0" w:type="auto"/>
          </w:tcPr>
          <w:p w14:paraId="62A9E5EF" w14:textId="77777777" w:rsidR="002F5B1D" w:rsidRDefault="002F5B1D">
            <w:pPr>
              <w:pStyle w:val="TableText"/>
            </w:pPr>
          </w:p>
        </w:tc>
        <w:tc>
          <w:tcPr>
            <w:tcW w:w="0" w:type="auto"/>
          </w:tcPr>
          <w:p w14:paraId="2AE6FFB5" w14:textId="77777777" w:rsidR="002F5B1D" w:rsidRDefault="002F5B1D">
            <w:pPr>
              <w:pStyle w:val="In-tableHeading"/>
            </w:pPr>
            <w:r w:rsidRPr="00F25B9C">
              <w:t>Year 1</w:t>
            </w:r>
          </w:p>
        </w:tc>
        <w:tc>
          <w:tcPr>
            <w:tcW w:w="0" w:type="auto"/>
          </w:tcPr>
          <w:p w14:paraId="7AEC7C38" w14:textId="77777777" w:rsidR="002F5B1D" w:rsidRDefault="002F5B1D">
            <w:pPr>
              <w:pStyle w:val="In-tableHeading"/>
            </w:pPr>
            <w:r w:rsidRPr="00F25B9C">
              <w:t>Year 2</w:t>
            </w:r>
          </w:p>
        </w:tc>
        <w:tc>
          <w:tcPr>
            <w:tcW w:w="0" w:type="auto"/>
          </w:tcPr>
          <w:p w14:paraId="5D667CC2" w14:textId="77777777" w:rsidR="002F5B1D" w:rsidRDefault="002F5B1D">
            <w:pPr>
              <w:pStyle w:val="In-tableHeading"/>
            </w:pPr>
            <w:r w:rsidRPr="00F25B9C">
              <w:t>Year 3</w:t>
            </w:r>
          </w:p>
        </w:tc>
        <w:tc>
          <w:tcPr>
            <w:tcW w:w="0" w:type="auto"/>
          </w:tcPr>
          <w:p w14:paraId="3FCD079A" w14:textId="77777777" w:rsidR="002F5B1D" w:rsidRDefault="002F5B1D">
            <w:pPr>
              <w:pStyle w:val="In-tableHeading"/>
            </w:pPr>
            <w:r w:rsidRPr="00F25B9C">
              <w:t>Year 4</w:t>
            </w:r>
          </w:p>
        </w:tc>
        <w:tc>
          <w:tcPr>
            <w:tcW w:w="0" w:type="auto"/>
          </w:tcPr>
          <w:p w14:paraId="37A972B7" w14:textId="77777777" w:rsidR="002F5B1D" w:rsidRDefault="002F5B1D">
            <w:pPr>
              <w:pStyle w:val="In-tableHeading"/>
            </w:pPr>
            <w:r w:rsidRPr="00F25B9C">
              <w:t>Year 5</w:t>
            </w:r>
          </w:p>
        </w:tc>
        <w:tc>
          <w:tcPr>
            <w:tcW w:w="0" w:type="auto"/>
          </w:tcPr>
          <w:p w14:paraId="7AA2B32A" w14:textId="77777777" w:rsidR="002F5B1D" w:rsidRDefault="002F5B1D">
            <w:pPr>
              <w:pStyle w:val="In-tableHeading"/>
            </w:pPr>
            <w:r w:rsidRPr="00F25B9C">
              <w:t>Year 6</w:t>
            </w:r>
          </w:p>
        </w:tc>
      </w:tr>
      <w:tr w:rsidR="002F5B1D" w14:paraId="7E04A4E7" w14:textId="77777777" w:rsidTr="002F5B1D">
        <w:trPr>
          <w:gridAfter w:val="6"/>
        </w:trPr>
        <w:tc>
          <w:tcPr>
            <w:tcW w:w="0" w:type="auto"/>
          </w:tcPr>
          <w:p w14:paraId="415F3F1A" w14:textId="77777777" w:rsidR="002F5B1D" w:rsidRDefault="002F5B1D">
            <w:pPr>
              <w:pStyle w:val="In-tableHeading"/>
            </w:pPr>
            <w:r w:rsidRPr="00F25B9C">
              <w:rPr>
                <w:lang w:eastAsia="en-US"/>
              </w:rPr>
              <w:t>Estimated extent of use</w:t>
            </w:r>
          </w:p>
        </w:tc>
      </w:tr>
      <w:tr w:rsidR="002F5B1D" w14:paraId="06986B33" w14:textId="77777777" w:rsidTr="002F5B1D">
        <w:tc>
          <w:tcPr>
            <w:tcW w:w="0" w:type="auto"/>
          </w:tcPr>
          <w:p w14:paraId="133737AB" w14:textId="77777777" w:rsidR="002F5B1D" w:rsidRDefault="002F5B1D">
            <w:pPr>
              <w:pStyle w:val="TableText"/>
            </w:pPr>
            <w:r w:rsidRPr="00A07C4C">
              <w:t xml:space="preserve">Number of patients </w:t>
            </w:r>
            <w:r>
              <w:t>tested</w:t>
            </w:r>
          </w:p>
        </w:tc>
        <w:tc>
          <w:tcPr>
            <w:tcW w:w="0" w:type="auto"/>
          </w:tcPr>
          <w:p w14:paraId="485F5770" w14:textId="77777777" w:rsidR="002F5B1D" w:rsidRPr="006B7A2F" w:rsidRDefault="002F5B1D">
            <w:pPr>
              <w:pStyle w:val="TableText"/>
              <w:jc w:val="center"/>
              <w:rPr>
                <w:vertAlign w:val="superscript"/>
              </w:rPr>
            </w:pPr>
            <w:r>
              <w:t>redacted</w:t>
            </w:r>
            <w:r>
              <w:rPr>
                <w:vertAlign w:val="superscript"/>
              </w:rPr>
              <w:t>2</w:t>
            </w:r>
          </w:p>
        </w:tc>
        <w:tc>
          <w:tcPr>
            <w:tcW w:w="0" w:type="auto"/>
          </w:tcPr>
          <w:p w14:paraId="0CAA45FF" w14:textId="77777777" w:rsidR="002F5B1D" w:rsidRDefault="002F5B1D">
            <w:pPr>
              <w:pStyle w:val="TableText"/>
              <w:jc w:val="center"/>
            </w:pPr>
            <w:r>
              <w:t>redacted</w:t>
            </w:r>
            <w:r>
              <w:rPr>
                <w:vertAlign w:val="superscript"/>
              </w:rPr>
              <w:t>2</w:t>
            </w:r>
          </w:p>
        </w:tc>
        <w:tc>
          <w:tcPr>
            <w:tcW w:w="0" w:type="auto"/>
          </w:tcPr>
          <w:p w14:paraId="7B4C0719" w14:textId="77777777" w:rsidR="002F5B1D" w:rsidRDefault="002F5B1D">
            <w:pPr>
              <w:pStyle w:val="TableText"/>
              <w:jc w:val="center"/>
            </w:pPr>
            <w:r>
              <w:t>redacted</w:t>
            </w:r>
            <w:r>
              <w:rPr>
                <w:vertAlign w:val="superscript"/>
              </w:rPr>
              <w:t>2</w:t>
            </w:r>
          </w:p>
        </w:tc>
        <w:tc>
          <w:tcPr>
            <w:tcW w:w="0" w:type="auto"/>
          </w:tcPr>
          <w:p w14:paraId="2EB94484" w14:textId="77777777" w:rsidR="002F5B1D" w:rsidRDefault="002F5B1D">
            <w:pPr>
              <w:pStyle w:val="TableText"/>
              <w:jc w:val="center"/>
            </w:pPr>
            <w:r>
              <w:t>redacted</w:t>
            </w:r>
            <w:r>
              <w:rPr>
                <w:vertAlign w:val="superscript"/>
              </w:rPr>
              <w:t>2</w:t>
            </w:r>
          </w:p>
        </w:tc>
        <w:tc>
          <w:tcPr>
            <w:tcW w:w="0" w:type="auto"/>
          </w:tcPr>
          <w:p w14:paraId="14864E4D" w14:textId="77777777" w:rsidR="002F5B1D" w:rsidRDefault="002F5B1D">
            <w:pPr>
              <w:pStyle w:val="TableText"/>
              <w:jc w:val="center"/>
            </w:pPr>
            <w:r>
              <w:t>redacted</w:t>
            </w:r>
            <w:r>
              <w:rPr>
                <w:vertAlign w:val="superscript"/>
              </w:rPr>
              <w:t>2</w:t>
            </w:r>
          </w:p>
        </w:tc>
        <w:tc>
          <w:tcPr>
            <w:tcW w:w="0" w:type="auto"/>
          </w:tcPr>
          <w:p w14:paraId="7F76AB59" w14:textId="77777777" w:rsidR="002F5B1D" w:rsidRDefault="002F5B1D">
            <w:pPr>
              <w:pStyle w:val="TableText"/>
              <w:jc w:val="center"/>
            </w:pPr>
            <w:r>
              <w:t>redacted</w:t>
            </w:r>
            <w:r>
              <w:rPr>
                <w:vertAlign w:val="superscript"/>
              </w:rPr>
              <w:t>2</w:t>
            </w:r>
          </w:p>
        </w:tc>
      </w:tr>
      <w:tr w:rsidR="002F5B1D" w14:paraId="5A55EBC6" w14:textId="77777777" w:rsidTr="002F5B1D">
        <w:tc>
          <w:tcPr>
            <w:tcW w:w="0" w:type="auto"/>
          </w:tcPr>
          <w:p w14:paraId="20552C5E" w14:textId="77777777" w:rsidR="002F5B1D" w:rsidRPr="00A07C4C" w:rsidRDefault="002F5B1D">
            <w:pPr>
              <w:pStyle w:val="TableText"/>
            </w:pPr>
            <w:r>
              <w:t xml:space="preserve">Patients </w:t>
            </w:r>
            <w:proofErr w:type="spellStart"/>
            <w:r>
              <w:t>treated</w:t>
            </w:r>
            <w:r w:rsidRPr="00693500">
              <w:rPr>
                <w:vertAlign w:val="superscript"/>
              </w:rPr>
              <w:t>a</w:t>
            </w:r>
            <w:proofErr w:type="spellEnd"/>
          </w:p>
        </w:tc>
        <w:tc>
          <w:tcPr>
            <w:tcW w:w="0" w:type="auto"/>
          </w:tcPr>
          <w:p w14:paraId="7E93C565" w14:textId="77777777" w:rsidR="002F5B1D" w:rsidRDefault="002F5B1D">
            <w:pPr>
              <w:pStyle w:val="TableText"/>
              <w:jc w:val="center"/>
            </w:pPr>
            <w:r>
              <w:t>redacted</w:t>
            </w:r>
            <w:r w:rsidRPr="006B7A2F">
              <w:rPr>
                <w:vertAlign w:val="superscript"/>
              </w:rPr>
              <w:t>1</w:t>
            </w:r>
          </w:p>
        </w:tc>
        <w:tc>
          <w:tcPr>
            <w:tcW w:w="0" w:type="auto"/>
          </w:tcPr>
          <w:p w14:paraId="0608BD30" w14:textId="77777777" w:rsidR="002F5B1D" w:rsidRDefault="002F5B1D">
            <w:pPr>
              <w:pStyle w:val="TableText"/>
              <w:jc w:val="center"/>
            </w:pPr>
            <w:r>
              <w:t>redacted</w:t>
            </w:r>
            <w:r w:rsidRPr="006B7A2F">
              <w:rPr>
                <w:vertAlign w:val="superscript"/>
              </w:rPr>
              <w:t>1</w:t>
            </w:r>
          </w:p>
        </w:tc>
        <w:tc>
          <w:tcPr>
            <w:tcW w:w="0" w:type="auto"/>
          </w:tcPr>
          <w:p w14:paraId="184E99E8" w14:textId="77777777" w:rsidR="002F5B1D" w:rsidRDefault="002F5B1D">
            <w:pPr>
              <w:pStyle w:val="TableText"/>
              <w:jc w:val="center"/>
            </w:pPr>
            <w:r>
              <w:t>redacted</w:t>
            </w:r>
            <w:r w:rsidRPr="006B7A2F">
              <w:rPr>
                <w:vertAlign w:val="superscript"/>
              </w:rPr>
              <w:t>1</w:t>
            </w:r>
          </w:p>
        </w:tc>
        <w:tc>
          <w:tcPr>
            <w:tcW w:w="0" w:type="auto"/>
          </w:tcPr>
          <w:p w14:paraId="1A7306FD" w14:textId="77777777" w:rsidR="002F5B1D" w:rsidRDefault="002F5B1D">
            <w:pPr>
              <w:pStyle w:val="TableText"/>
              <w:jc w:val="center"/>
            </w:pPr>
            <w:r>
              <w:t>redacted</w:t>
            </w:r>
            <w:r w:rsidRPr="006B7A2F">
              <w:rPr>
                <w:vertAlign w:val="superscript"/>
              </w:rPr>
              <w:t>1</w:t>
            </w:r>
          </w:p>
        </w:tc>
        <w:tc>
          <w:tcPr>
            <w:tcW w:w="0" w:type="auto"/>
          </w:tcPr>
          <w:p w14:paraId="49DFEA1B" w14:textId="77777777" w:rsidR="002F5B1D" w:rsidRDefault="002F5B1D">
            <w:pPr>
              <w:pStyle w:val="TableText"/>
              <w:jc w:val="center"/>
            </w:pPr>
            <w:r>
              <w:t>redacted</w:t>
            </w:r>
            <w:r w:rsidRPr="006B7A2F">
              <w:rPr>
                <w:vertAlign w:val="superscript"/>
              </w:rPr>
              <w:t>1</w:t>
            </w:r>
          </w:p>
        </w:tc>
        <w:tc>
          <w:tcPr>
            <w:tcW w:w="0" w:type="auto"/>
          </w:tcPr>
          <w:p w14:paraId="2E24F19D" w14:textId="77777777" w:rsidR="002F5B1D" w:rsidRDefault="002F5B1D">
            <w:pPr>
              <w:pStyle w:val="TableText"/>
              <w:jc w:val="center"/>
            </w:pPr>
            <w:r>
              <w:t>redacted</w:t>
            </w:r>
            <w:r w:rsidRPr="006B7A2F">
              <w:rPr>
                <w:vertAlign w:val="superscript"/>
              </w:rPr>
              <w:t>1</w:t>
            </w:r>
          </w:p>
        </w:tc>
      </w:tr>
      <w:tr w:rsidR="002F5B1D" w14:paraId="6ACD8C3C" w14:textId="77777777" w:rsidTr="002F5B1D">
        <w:tc>
          <w:tcPr>
            <w:tcW w:w="0" w:type="auto"/>
          </w:tcPr>
          <w:p w14:paraId="2D42FFAB" w14:textId="77777777" w:rsidR="002F5B1D" w:rsidRDefault="002F5B1D">
            <w:pPr>
              <w:pStyle w:val="TableText"/>
            </w:pPr>
            <w:r w:rsidRPr="00A07C4C">
              <w:t xml:space="preserve">Number of scripts </w:t>
            </w:r>
            <w:proofErr w:type="spellStart"/>
            <w:r w:rsidRPr="00A07C4C">
              <w:t>dispensed</w:t>
            </w:r>
            <w:r>
              <w:rPr>
                <w:vertAlign w:val="superscript"/>
              </w:rPr>
              <w:t>b</w:t>
            </w:r>
            <w:proofErr w:type="spellEnd"/>
          </w:p>
        </w:tc>
        <w:tc>
          <w:tcPr>
            <w:tcW w:w="0" w:type="auto"/>
          </w:tcPr>
          <w:p w14:paraId="7E571CCF" w14:textId="77777777" w:rsidR="002F5B1D" w:rsidRDefault="002F5B1D">
            <w:pPr>
              <w:pStyle w:val="TableText"/>
              <w:jc w:val="center"/>
            </w:pPr>
            <w:r>
              <w:t>redacted</w:t>
            </w:r>
          </w:p>
        </w:tc>
        <w:tc>
          <w:tcPr>
            <w:tcW w:w="0" w:type="auto"/>
          </w:tcPr>
          <w:p w14:paraId="6EF91B4C" w14:textId="77777777" w:rsidR="002F5B1D" w:rsidRDefault="002F5B1D">
            <w:pPr>
              <w:pStyle w:val="TableText"/>
              <w:jc w:val="center"/>
            </w:pPr>
            <w:r>
              <w:t>redacted</w:t>
            </w:r>
          </w:p>
        </w:tc>
        <w:tc>
          <w:tcPr>
            <w:tcW w:w="0" w:type="auto"/>
          </w:tcPr>
          <w:p w14:paraId="6599143D" w14:textId="77777777" w:rsidR="002F5B1D" w:rsidRDefault="002F5B1D">
            <w:pPr>
              <w:pStyle w:val="TableText"/>
              <w:jc w:val="center"/>
            </w:pPr>
            <w:r>
              <w:t>redacted</w:t>
            </w:r>
          </w:p>
        </w:tc>
        <w:tc>
          <w:tcPr>
            <w:tcW w:w="0" w:type="auto"/>
          </w:tcPr>
          <w:p w14:paraId="3CAA5C13" w14:textId="77777777" w:rsidR="002F5B1D" w:rsidRDefault="002F5B1D">
            <w:pPr>
              <w:pStyle w:val="TableText"/>
              <w:jc w:val="center"/>
            </w:pPr>
            <w:r>
              <w:t>redacted</w:t>
            </w:r>
          </w:p>
        </w:tc>
        <w:tc>
          <w:tcPr>
            <w:tcW w:w="0" w:type="auto"/>
          </w:tcPr>
          <w:p w14:paraId="6E9B1EAA" w14:textId="77777777" w:rsidR="002F5B1D" w:rsidRDefault="002F5B1D">
            <w:pPr>
              <w:pStyle w:val="TableText"/>
              <w:jc w:val="center"/>
            </w:pPr>
            <w:r>
              <w:t>redacted</w:t>
            </w:r>
          </w:p>
        </w:tc>
        <w:tc>
          <w:tcPr>
            <w:tcW w:w="0" w:type="auto"/>
          </w:tcPr>
          <w:p w14:paraId="4FF450D3" w14:textId="77777777" w:rsidR="002F5B1D" w:rsidRDefault="002F5B1D">
            <w:pPr>
              <w:pStyle w:val="TableText"/>
              <w:jc w:val="center"/>
            </w:pPr>
            <w:r>
              <w:t>redacted</w:t>
            </w:r>
          </w:p>
        </w:tc>
      </w:tr>
      <w:tr w:rsidR="002F5B1D" w14:paraId="44BC6C56" w14:textId="77777777" w:rsidTr="002F5B1D">
        <w:trPr>
          <w:gridAfter w:val="6"/>
        </w:trPr>
        <w:tc>
          <w:tcPr>
            <w:tcW w:w="0" w:type="auto"/>
          </w:tcPr>
          <w:p w14:paraId="6A89D4FA" w14:textId="77777777" w:rsidR="002F5B1D" w:rsidRDefault="002F5B1D">
            <w:pPr>
              <w:pStyle w:val="In-tableHeading"/>
              <w:jc w:val="center"/>
            </w:pPr>
            <w:r w:rsidRPr="00F25B9C">
              <w:t>Estimated financial implications</w:t>
            </w:r>
          </w:p>
        </w:tc>
      </w:tr>
      <w:tr w:rsidR="002F5B1D" w14:paraId="64E416C1" w14:textId="77777777" w:rsidTr="002F5B1D">
        <w:tc>
          <w:tcPr>
            <w:tcW w:w="0" w:type="auto"/>
          </w:tcPr>
          <w:p w14:paraId="0B950034" w14:textId="77777777" w:rsidR="002F5B1D" w:rsidRPr="002C633F" w:rsidRDefault="002F5B1D">
            <w:pPr>
              <w:pStyle w:val="TableText"/>
            </w:pPr>
            <w:r w:rsidRPr="002C633F">
              <w:t>Cost to PBS/RPBS</w:t>
            </w:r>
            <w:r>
              <w:t xml:space="preserve"> </w:t>
            </w:r>
            <w:r w:rsidRPr="00D45E68">
              <w:rPr>
                <w:b/>
              </w:rPr>
              <w:t>$</w:t>
            </w:r>
          </w:p>
        </w:tc>
        <w:tc>
          <w:tcPr>
            <w:tcW w:w="0" w:type="auto"/>
          </w:tcPr>
          <w:p w14:paraId="6E358003" w14:textId="77777777" w:rsidR="002F5B1D" w:rsidRPr="006B7A2F" w:rsidRDefault="002F5B1D">
            <w:pPr>
              <w:pStyle w:val="TableText"/>
              <w:jc w:val="center"/>
              <w:rPr>
                <w:vertAlign w:val="superscript"/>
              </w:rPr>
            </w:pPr>
            <w:r w:rsidRPr="006B7A2F">
              <w:rPr>
                <w:bCs w:val="0"/>
              </w:rPr>
              <w:t>redacted</w:t>
            </w:r>
            <w:r w:rsidRPr="006B7A2F">
              <w:rPr>
                <w:bCs w:val="0"/>
                <w:vertAlign w:val="superscript"/>
              </w:rPr>
              <w:t>3</w:t>
            </w:r>
          </w:p>
        </w:tc>
        <w:tc>
          <w:tcPr>
            <w:tcW w:w="0" w:type="auto"/>
          </w:tcPr>
          <w:p w14:paraId="157CEAFA" w14:textId="77777777" w:rsidR="002F5B1D" w:rsidRDefault="002F5B1D">
            <w:pPr>
              <w:pStyle w:val="TableText"/>
              <w:jc w:val="center"/>
            </w:pPr>
            <w:r w:rsidRPr="006B7A2F">
              <w:rPr>
                <w:bCs w:val="0"/>
              </w:rPr>
              <w:t>redacted</w:t>
            </w:r>
            <w:r w:rsidRPr="006B7A2F">
              <w:rPr>
                <w:bCs w:val="0"/>
                <w:vertAlign w:val="superscript"/>
              </w:rPr>
              <w:t>3</w:t>
            </w:r>
          </w:p>
        </w:tc>
        <w:tc>
          <w:tcPr>
            <w:tcW w:w="0" w:type="auto"/>
          </w:tcPr>
          <w:p w14:paraId="744F4445" w14:textId="77777777" w:rsidR="002F5B1D" w:rsidRDefault="002F5B1D">
            <w:pPr>
              <w:pStyle w:val="TableText"/>
              <w:jc w:val="center"/>
            </w:pPr>
            <w:r w:rsidRPr="006B7A2F">
              <w:rPr>
                <w:bCs w:val="0"/>
              </w:rPr>
              <w:t>redacted</w:t>
            </w:r>
            <w:r w:rsidRPr="006B7A2F">
              <w:rPr>
                <w:bCs w:val="0"/>
                <w:vertAlign w:val="superscript"/>
              </w:rPr>
              <w:t>3</w:t>
            </w:r>
          </w:p>
        </w:tc>
        <w:tc>
          <w:tcPr>
            <w:tcW w:w="0" w:type="auto"/>
          </w:tcPr>
          <w:p w14:paraId="1FFB07E6" w14:textId="77777777" w:rsidR="002F5B1D" w:rsidRDefault="002F5B1D">
            <w:pPr>
              <w:pStyle w:val="TableText"/>
              <w:jc w:val="center"/>
            </w:pPr>
            <w:r w:rsidRPr="006B7A2F">
              <w:rPr>
                <w:bCs w:val="0"/>
              </w:rPr>
              <w:t>redacted</w:t>
            </w:r>
            <w:r w:rsidRPr="006B7A2F">
              <w:rPr>
                <w:bCs w:val="0"/>
                <w:vertAlign w:val="superscript"/>
              </w:rPr>
              <w:t>3</w:t>
            </w:r>
          </w:p>
        </w:tc>
        <w:tc>
          <w:tcPr>
            <w:tcW w:w="0" w:type="auto"/>
          </w:tcPr>
          <w:p w14:paraId="7C6ACDB4" w14:textId="77777777" w:rsidR="002F5B1D" w:rsidRDefault="002F5B1D">
            <w:pPr>
              <w:pStyle w:val="TableText"/>
              <w:jc w:val="center"/>
            </w:pPr>
            <w:r w:rsidRPr="006B7A2F">
              <w:rPr>
                <w:bCs w:val="0"/>
              </w:rPr>
              <w:t>redacted</w:t>
            </w:r>
            <w:r w:rsidRPr="006B7A2F">
              <w:rPr>
                <w:bCs w:val="0"/>
                <w:vertAlign w:val="superscript"/>
              </w:rPr>
              <w:t>3</w:t>
            </w:r>
          </w:p>
        </w:tc>
        <w:tc>
          <w:tcPr>
            <w:tcW w:w="0" w:type="auto"/>
          </w:tcPr>
          <w:p w14:paraId="286279B7" w14:textId="77777777" w:rsidR="002F5B1D" w:rsidRDefault="002F5B1D">
            <w:pPr>
              <w:pStyle w:val="TableText"/>
              <w:jc w:val="center"/>
            </w:pPr>
            <w:r w:rsidRPr="006B7A2F">
              <w:rPr>
                <w:bCs w:val="0"/>
              </w:rPr>
              <w:t>redacted</w:t>
            </w:r>
            <w:r w:rsidRPr="006B7A2F">
              <w:rPr>
                <w:bCs w:val="0"/>
                <w:vertAlign w:val="superscript"/>
              </w:rPr>
              <w:t>3</w:t>
            </w:r>
          </w:p>
        </w:tc>
      </w:tr>
      <w:tr w:rsidR="002F5B1D" w14:paraId="6C9A14EF" w14:textId="77777777" w:rsidTr="002F5B1D">
        <w:tc>
          <w:tcPr>
            <w:tcW w:w="0" w:type="auto"/>
          </w:tcPr>
          <w:p w14:paraId="1D49C993" w14:textId="77777777" w:rsidR="002F5B1D" w:rsidRPr="002C633F" w:rsidRDefault="002F5B1D">
            <w:pPr>
              <w:pStyle w:val="TableText"/>
            </w:pPr>
            <w:r w:rsidRPr="002C633F">
              <w:t>Cost to MBS</w:t>
            </w:r>
            <w:r>
              <w:t xml:space="preserve"> for testing </w:t>
            </w:r>
            <w:r w:rsidRPr="00D45E68">
              <w:rPr>
                <w:b/>
              </w:rPr>
              <w:t>$</w:t>
            </w:r>
            <w:r>
              <w:t xml:space="preserve"> (assuming 80% benefit)</w:t>
            </w:r>
          </w:p>
        </w:tc>
        <w:tc>
          <w:tcPr>
            <w:tcW w:w="0" w:type="auto"/>
          </w:tcPr>
          <w:p w14:paraId="32C6CF9D" w14:textId="77777777" w:rsidR="002F5B1D" w:rsidRDefault="002F5B1D">
            <w:pPr>
              <w:pStyle w:val="TableText"/>
              <w:jc w:val="center"/>
            </w:pPr>
            <w:r w:rsidRPr="006B7A2F">
              <w:rPr>
                <w:bCs w:val="0"/>
              </w:rPr>
              <w:t>redacted</w:t>
            </w:r>
            <w:r w:rsidRPr="006B7A2F">
              <w:rPr>
                <w:bCs w:val="0"/>
                <w:vertAlign w:val="superscript"/>
              </w:rPr>
              <w:t>3</w:t>
            </w:r>
          </w:p>
        </w:tc>
        <w:tc>
          <w:tcPr>
            <w:tcW w:w="0" w:type="auto"/>
          </w:tcPr>
          <w:p w14:paraId="10179141" w14:textId="77777777" w:rsidR="002F5B1D" w:rsidRDefault="002F5B1D">
            <w:pPr>
              <w:pStyle w:val="TableText"/>
              <w:jc w:val="center"/>
            </w:pPr>
            <w:r w:rsidRPr="006B7A2F">
              <w:rPr>
                <w:bCs w:val="0"/>
              </w:rPr>
              <w:t>redacted</w:t>
            </w:r>
            <w:r w:rsidRPr="006B7A2F">
              <w:rPr>
                <w:bCs w:val="0"/>
                <w:vertAlign w:val="superscript"/>
              </w:rPr>
              <w:t>3</w:t>
            </w:r>
          </w:p>
        </w:tc>
        <w:tc>
          <w:tcPr>
            <w:tcW w:w="0" w:type="auto"/>
          </w:tcPr>
          <w:p w14:paraId="732C2E92" w14:textId="77777777" w:rsidR="002F5B1D" w:rsidRDefault="002F5B1D">
            <w:pPr>
              <w:pStyle w:val="TableText"/>
              <w:jc w:val="center"/>
            </w:pPr>
            <w:r w:rsidRPr="006B7A2F">
              <w:rPr>
                <w:bCs w:val="0"/>
              </w:rPr>
              <w:t>redacted</w:t>
            </w:r>
            <w:r w:rsidRPr="006B7A2F">
              <w:rPr>
                <w:bCs w:val="0"/>
                <w:vertAlign w:val="superscript"/>
              </w:rPr>
              <w:t>3</w:t>
            </w:r>
          </w:p>
        </w:tc>
        <w:tc>
          <w:tcPr>
            <w:tcW w:w="0" w:type="auto"/>
          </w:tcPr>
          <w:p w14:paraId="01038D94" w14:textId="77777777" w:rsidR="002F5B1D" w:rsidRDefault="002F5B1D">
            <w:pPr>
              <w:pStyle w:val="TableText"/>
              <w:jc w:val="center"/>
            </w:pPr>
            <w:r w:rsidRPr="006B7A2F">
              <w:rPr>
                <w:bCs w:val="0"/>
              </w:rPr>
              <w:t>redacted</w:t>
            </w:r>
            <w:r w:rsidRPr="006B7A2F">
              <w:rPr>
                <w:bCs w:val="0"/>
                <w:vertAlign w:val="superscript"/>
              </w:rPr>
              <w:t>3</w:t>
            </w:r>
          </w:p>
        </w:tc>
        <w:tc>
          <w:tcPr>
            <w:tcW w:w="0" w:type="auto"/>
          </w:tcPr>
          <w:p w14:paraId="005B2808" w14:textId="77777777" w:rsidR="002F5B1D" w:rsidRDefault="002F5B1D">
            <w:pPr>
              <w:pStyle w:val="TableText"/>
              <w:jc w:val="center"/>
            </w:pPr>
            <w:r w:rsidRPr="006B7A2F">
              <w:rPr>
                <w:bCs w:val="0"/>
              </w:rPr>
              <w:t>redacted</w:t>
            </w:r>
            <w:r w:rsidRPr="006B7A2F">
              <w:rPr>
                <w:bCs w:val="0"/>
                <w:vertAlign w:val="superscript"/>
              </w:rPr>
              <w:t>3</w:t>
            </w:r>
          </w:p>
        </w:tc>
        <w:tc>
          <w:tcPr>
            <w:tcW w:w="0" w:type="auto"/>
          </w:tcPr>
          <w:p w14:paraId="441B7667" w14:textId="77777777" w:rsidR="002F5B1D" w:rsidRDefault="002F5B1D">
            <w:pPr>
              <w:pStyle w:val="TableText"/>
              <w:jc w:val="center"/>
            </w:pPr>
            <w:r w:rsidRPr="006B7A2F">
              <w:rPr>
                <w:bCs w:val="0"/>
              </w:rPr>
              <w:t>redacted</w:t>
            </w:r>
            <w:r w:rsidRPr="006B7A2F">
              <w:rPr>
                <w:bCs w:val="0"/>
                <w:vertAlign w:val="superscript"/>
              </w:rPr>
              <w:t>3</w:t>
            </w:r>
          </w:p>
        </w:tc>
      </w:tr>
      <w:tr w:rsidR="002F5B1D" w14:paraId="63263A76" w14:textId="77777777" w:rsidTr="002F5B1D">
        <w:tc>
          <w:tcPr>
            <w:tcW w:w="0" w:type="auto"/>
          </w:tcPr>
          <w:p w14:paraId="6E21FC26" w14:textId="77777777" w:rsidR="002F5B1D" w:rsidRPr="006B7201" w:rsidRDefault="002F5B1D">
            <w:pPr>
              <w:pStyle w:val="TableText"/>
              <w:rPr>
                <w:i/>
                <w:iCs/>
              </w:rPr>
            </w:pPr>
            <w:r w:rsidRPr="006B7201">
              <w:rPr>
                <w:i/>
                <w:iCs/>
              </w:rPr>
              <w:t xml:space="preserve">Cost to MBS for testing </w:t>
            </w:r>
            <w:r w:rsidRPr="006B7A2F">
              <w:rPr>
                <w:b/>
                <w:i/>
                <w:iCs/>
              </w:rPr>
              <w:t>$</w:t>
            </w:r>
            <w:r w:rsidRPr="006B7201">
              <w:rPr>
                <w:i/>
                <w:iCs/>
              </w:rPr>
              <w:t xml:space="preserve"> (assuming 8</w:t>
            </w:r>
            <w:r>
              <w:rPr>
                <w:i/>
                <w:iCs/>
              </w:rPr>
              <w:t>5</w:t>
            </w:r>
            <w:r w:rsidRPr="006B7201">
              <w:rPr>
                <w:i/>
                <w:iCs/>
              </w:rPr>
              <w:t>% benefit</w:t>
            </w:r>
            <w:r>
              <w:rPr>
                <w:i/>
                <w:iCs/>
              </w:rPr>
              <w:t xml:space="preserve"> </w:t>
            </w:r>
            <w:r w:rsidRPr="004A5550">
              <w:rPr>
                <w:i/>
                <w:iCs/>
              </w:rPr>
              <w:t>fee of $</w:t>
            </w:r>
            <w:r>
              <w:rPr>
                <w:i/>
                <w:iCs/>
              </w:rPr>
              <w:t>289</w:t>
            </w:r>
            <w:r w:rsidRPr="006B7201">
              <w:rPr>
                <w:i/>
                <w:iCs/>
              </w:rPr>
              <w:t>)</w:t>
            </w:r>
          </w:p>
        </w:tc>
        <w:tc>
          <w:tcPr>
            <w:tcW w:w="0" w:type="auto"/>
          </w:tcPr>
          <w:p w14:paraId="28D32A3A" w14:textId="77777777" w:rsidR="002F5B1D" w:rsidRPr="003E2E32" w:rsidRDefault="002F5B1D">
            <w:pPr>
              <w:pStyle w:val="TableText"/>
              <w:jc w:val="center"/>
              <w:rPr>
                <w:bCs w:val="0"/>
                <w:i/>
                <w:iCs/>
              </w:rPr>
            </w:pPr>
            <w:r w:rsidRPr="00F4158A">
              <w:rPr>
                <w:i/>
                <w:iCs/>
                <w:color w:val="000000"/>
              </w:rPr>
              <w:t>redacted</w:t>
            </w:r>
            <w:r w:rsidRPr="00F4158A">
              <w:rPr>
                <w:i/>
                <w:iCs/>
                <w:color w:val="000000"/>
                <w:vertAlign w:val="superscript"/>
              </w:rPr>
              <w:t>3</w:t>
            </w:r>
          </w:p>
        </w:tc>
        <w:tc>
          <w:tcPr>
            <w:tcW w:w="0" w:type="auto"/>
          </w:tcPr>
          <w:p w14:paraId="4807C69D" w14:textId="77777777" w:rsidR="002F5B1D" w:rsidRPr="003E2E32" w:rsidRDefault="002F5B1D">
            <w:pPr>
              <w:pStyle w:val="TableText"/>
              <w:jc w:val="center"/>
              <w:rPr>
                <w:bCs w:val="0"/>
                <w:i/>
                <w:iCs/>
              </w:rPr>
            </w:pPr>
            <w:r w:rsidRPr="00F4158A">
              <w:rPr>
                <w:i/>
                <w:iCs/>
                <w:color w:val="000000"/>
              </w:rPr>
              <w:t>redacted</w:t>
            </w:r>
            <w:r w:rsidRPr="00F4158A">
              <w:rPr>
                <w:i/>
                <w:iCs/>
                <w:color w:val="000000"/>
                <w:vertAlign w:val="superscript"/>
              </w:rPr>
              <w:t>3</w:t>
            </w:r>
          </w:p>
        </w:tc>
        <w:tc>
          <w:tcPr>
            <w:tcW w:w="0" w:type="auto"/>
          </w:tcPr>
          <w:p w14:paraId="6D5B632D" w14:textId="77777777" w:rsidR="002F5B1D" w:rsidRPr="003E2E32" w:rsidRDefault="002F5B1D">
            <w:pPr>
              <w:pStyle w:val="TableText"/>
              <w:jc w:val="center"/>
              <w:rPr>
                <w:bCs w:val="0"/>
                <w:i/>
                <w:iCs/>
              </w:rPr>
            </w:pPr>
            <w:r w:rsidRPr="00F4158A">
              <w:rPr>
                <w:i/>
                <w:iCs/>
                <w:color w:val="000000"/>
              </w:rPr>
              <w:t>redacted</w:t>
            </w:r>
            <w:r w:rsidRPr="00F4158A">
              <w:rPr>
                <w:i/>
                <w:iCs/>
                <w:color w:val="000000"/>
                <w:vertAlign w:val="superscript"/>
              </w:rPr>
              <w:t>3</w:t>
            </w:r>
          </w:p>
        </w:tc>
        <w:tc>
          <w:tcPr>
            <w:tcW w:w="0" w:type="auto"/>
          </w:tcPr>
          <w:p w14:paraId="65F8B5FF" w14:textId="77777777" w:rsidR="002F5B1D" w:rsidRPr="003E2E32" w:rsidRDefault="002F5B1D">
            <w:pPr>
              <w:pStyle w:val="TableText"/>
              <w:jc w:val="center"/>
              <w:rPr>
                <w:bCs w:val="0"/>
                <w:i/>
                <w:iCs/>
              </w:rPr>
            </w:pPr>
            <w:r w:rsidRPr="00F4158A">
              <w:rPr>
                <w:i/>
                <w:iCs/>
                <w:color w:val="000000"/>
              </w:rPr>
              <w:t>redacted</w:t>
            </w:r>
            <w:r w:rsidRPr="00F4158A">
              <w:rPr>
                <w:i/>
                <w:iCs/>
                <w:color w:val="000000"/>
                <w:vertAlign w:val="superscript"/>
              </w:rPr>
              <w:t>3</w:t>
            </w:r>
          </w:p>
        </w:tc>
        <w:tc>
          <w:tcPr>
            <w:tcW w:w="0" w:type="auto"/>
          </w:tcPr>
          <w:p w14:paraId="116AF332" w14:textId="77777777" w:rsidR="002F5B1D" w:rsidRPr="003E2E32" w:rsidRDefault="002F5B1D">
            <w:pPr>
              <w:pStyle w:val="TableText"/>
              <w:jc w:val="center"/>
              <w:rPr>
                <w:bCs w:val="0"/>
                <w:i/>
                <w:iCs/>
              </w:rPr>
            </w:pPr>
            <w:r w:rsidRPr="00F4158A">
              <w:rPr>
                <w:i/>
                <w:iCs/>
                <w:color w:val="000000"/>
              </w:rPr>
              <w:t>redacted</w:t>
            </w:r>
            <w:r w:rsidRPr="00F4158A">
              <w:rPr>
                <w:i/>
                <w:iCs/>
                <w:color w:val="000000"/>
                <w:vertAlign w:val="superscript"/>
              </w:rPr>
              <w:t>3</w:t>
            </w:r>
          </w:p>
        </w:tc>
        <w:tc>
          <w:tcPr>
            <w:tcW w:w="0" w:type="auto"/>
          </w:tcPr>
          <w:p w14:paraId="4F008CCB" w14:textId="77777777" w:rsidR="002F5B1D" w:rsidRPr="003E2E32" w:rsidRDefault="002F5B1D">
            <w:pPr>
              <w:pStyle w:val="TableText"/>
              <w:jc w:val="center"/>
              <w:rPr>
                <w:bCs w:val="0"/>
                <w:i/>
                <w:iCs/>
              </w:rPr>
            </w:pPr>
            <w:r w:rsidRPr="00F4158A">
              <w:rPr>
                <w:i/>
                <w:iCs/>
                <w:color w:val="000000"/>
              </w:rPr>
              <w:t>redacted</w:t>
            </w:r>
            <w:r w:rsidRPr="00F4158A">
              <w:rPr>
                <w:i/>
                <w:iCs/>
                <w:color w:val="000000"/>
                <w:vertAlign w:val="superscript"/>
              </w:rPr>
              <w:t>3</w:t>
            </w:r>
          </w:p>
        </w:tc>
      </w:tr>
      <w:tr w:rsidR="002F5B1D" w14:paraId="64FF5895" w14:textId="77777777" w:rsidTr="002F5B1D">
        <w:tc>
          <w:tcPr>
            <w:tcW w:w="0" w:type="auto"/>
          </w:tcPr>
          <w:p w14:paraId="4C9D9E3A" w14:textId="77777777" w:rsidR="002F5B1D" w:rsidRPr="002C633F" w:rsidRDefault="002F5B1D">
            <w:pPr>
              <w:pStyle w:val="TableText"/>
            </w:pPr>
            <w:r>
              <w:t xml:space="preserve">Cost to MBS for increased ECG monitoring </w:t>
            </w:r>
            <w:r w:rsidRPr="00D45E68">
              <w:rPr>
                <w:b/>
              </w:rPr>
              <w:t>$</w:t>
            </w:r>
            <w:r>
              <w:t xml:space="preserve"> (assuming 80% benefit)</w:t>
            </w:r>
          </w:p>
        </w:tc>
        <w:tc>
          <w:tcPr>
            <w:tcW w:w="0" w:type="auto"/>
          </w:tcPr>
          <w:p w14:paraId="55CBFD59" w14:textId="77777777" w:rsidR="002F5B1D" w:rsidRPr="00CC464F" w:rsidRDefault="002F5B1D">
            <w:pPr>
              <w:pStyle w:val="TableText"/>
              <w:jc w:val="center"/>
            </w:pPr>
            <w:r w:rsidRPr="006B7A2F">
              <w:rPr>
                <w:color w:val="000000"/>
              </w:rPr>
              <w:t>redacted</w:t>
            </w:r>
            <w:r w:rsidRPr="006B7A2F">
              <w:rPr>
                <w:color w:val="000000"/>
                <w:vertAlign w:val="superscript"/>
              </w:rPr>
              <w:t>3</w:t>
            </w:r>
          </w:p>
        </w:tc>
        <w:tc>
          <w:tcPr>
            <w:tcW w:w="0" w:type="auto"/>
          </w:tcPr>
          <w:p w14:paraId="0DC316DA" w14:textId="77777777" w:rsidR="002F5B1D" w:rsidRPr="00CC464F" w:rsidRDefault="002F5B1D">
            <w:pPr>
              <w:pStyle w:val="TableText"/>
              <w:jc w:val="center"/>
            </w:pPr>
            <w:r w:rsidRPr="00975974">
              <w:rPr>
                <w:color w:val="000000"/>
              </w:rPr>
              <w:t>redacted</w:t>
            </w:r>
            <w:r w:rsidRPr="00975974">
              <w:rPr>
                <w:color w:val="000000"/>
                <w:vertAlign w:val="superscript"/>
              </w:rPr>
              <w:t>3</w:t>
            </w:r>
          </w:p>
        </w:tc>
        <w:tc>
          <w:tcPr>
            <w:tcW w:w="0" w:type="auto"/>
          </w:tcPr>
          <w:p w14:paraId="105062AB" w14:textId="77777777" w:rsidR="002F5B1D" w:rsidRPr="00CC464F" w:rsidRDefault="002F5B1D">
            <w:pPr>
              <w:pStyle w:val="TableText"/>
              <w:jc w:val="center"/>
            </w:pPr>
            <w:r w:rsidRPr="00975974">
              <w:rPr>
                <w:color w:val="000000"/>
              </w:rPr>
              <w:t>redacted</w:t>
            </w:r>
            <w:r w:rsidRPr="00975974">
              <w:rPr>
                <w:color w:val="000000"/>
                <w:vertAlign w:val="superscript"/>
              </w:rPr>
              <w:t>3</w:t>
            </w:r>
          </w:p>
        </w:tc>
        <w:tc>
          <w:tcPr>
            <w:tcW w:w="0" w:type="auto"/>
          </w:tcPr>
          <w:p w14:paraId="76E5F9CF" w14:textId="77777777" w:rsidR="002F5B1D" w:rsidRPr="00CC464F" w:rsidRDefault="002F5B1D">
            <w:pPr>
              <w:pStyle w:val="TableText"/>
              <w:jc w:val="center"/>
            </w:pPr>
            <w:r w:rsidRPr="00975974">
              <w:rPr>
                <w:color w:val="000000"/>
              </w:rPr>
              <w:t>redacted</w:t>
            </w:r>
            <w:r w:rsidRPr="00975974">
              <w:rPr>
                <w:color w:val="000000"/>
                <w:vertAlign w:val="superscript"/>
              </w:rPr>
              <w:t>3</w:t>
            </w:r>
          </w:p>
        </w:tc>
        <w:tc>
          <w:tcPr>
            <w:tcW w:w="0" w:type="auto"/>
          </w:tcPr>
          <w:p w14:paraId="6FAD632C" w14:textId="77777777" w:rsidR="002F5B1D" w:rsidRPr="00CC464F" w:rsidRDefault="002F5B1D">
            <w:pPr>
              <w:pStyle w:val="TableText"/>
              <w:jc w:val="center"/>
            </w:pPr>
            <w:r w:rsidRPr="00975974">
              <w:rPr>
                <w:color w:val="000000"/>
              </w:rPr>
              <w:t>redacted</w:t>
            </w:r>
            <w:r w:rsidRPr="00975974">
              <w:rPr>
                <w:color w:val="000000"/>
                <w:vertAlign w:val="superscript"/>
              </w:rPr>
              <w:t>3</w:t>
            </w:r>
          </w:p>
        </w:tc>
        <w:tc>
          <w:tcPr>
            <w:tcW w:w="0" w:type="auto"/>
          </w:tcPr>
          <w:p w14:paraId="69C27B41" w14:textId="77777777" w:rsidR="002F5B1D" w:rsidRPr="00CC464F" w:rsidRDefault="002F5B1D">
            <w:pPr>
              <w:pStyle w:val="TableText"/>
              <w:jc w:val="center"/>
            </w:pPr>
            <w:r w:rsidRPr="00975974">
              <w:rPr>
                <w:color w:val="000000"/>
              </w:rPr>
              <w:t>redacted</w:t>
            </w:r>
            <w:r w:rsidRPr="00975974">
              <w:rPr>
                <w:color w:val="000000"/>
                <w:vertAlign w:val="superscript"/>
              </w:rPr>
              <w:t>3</w:t>
            </w:r>
          </w:p>
        </w:tc>
      </w:tr>
      <w:tr w:rsidR="002F5B1D" w14:paraId="682D2E73" w14:textId="77777777" w:rsidTr="002F5B1D">
        <w:tc>
          <w:tcPr>
            <w:tcW w:w="0" w:type="auto"/>
          </w:tcPr>
          <w:p w14:paraId="32F64284" w14:textId="77777777" w:rsidR="002F5B1D" w:rsidRDefault="002F5B1D">
            <w:pPr>
              <w:pStyle w:val="TableText"/>
            </w:pPr>
            <w:r w:rsidRPr="00DA41E8">
              <w:rPr>
                <w:i/>
                <w:iCs/>
              </w:rPr>
              <w:t xml:space="preserve">Cost to MBS for increased ECG monitoring </w:t>
            </w:r>
            <w:r w:rsidRPr="006B7A2F">
              <w:rPr>
                <w:b/>
                <w:i/>
                <w:iCs/>
              </w:rPr>
              <w:t>$</w:t>
            </w:r>
            <w:r w:rsidRPr="00DA41E8">
              <w:rPr>
                <w:i/>
                <w:iCs/>
              </w:rPr>
              <w:t xml:space="preserve"> (85% </w:t>
            </w:r>
            <w:r>
              <w:rPr>
                <w:i/>
                <w:iCs/>
              </w:rPr>
              <w:t xml:space="preserve">benefit </w:t>
            </w:r>
            <w:r w:rsidRPr="00DA41E8">
              <w:rPr>
                <w:i/>
                <w:iCs/>
              </w:rPr>
              <w:t>fee of $30.30</w:t>
            </w:r>
            <w:r>
              <w:rPr>
                <w:i/>
                <w:iCs/>
              </w:rPr>
              <w:t xml:space="preserve"> for item 11704</w:t>
            </w:r>
            <w:r w:rsidRPr="00DA41E8">
              <w:rPr>
                <w:i/>
                <w:iCs/>
              </w:rPr>
              <w:t>)</w:t>
            </w:r>
          </w:p>
        </w:tc>
        <w:tc>
          <w:tcPr>
            <w:tcW w:w="0" w:type="auto"/>
          </w:tcPr>
          <w:p w14:paraId="2C629B7E" w14:textId="77777777" w:rsidR="002F5B1D" w:rsidRPr="0075082F" w:rsidRDefault="002F5B1D">
            <w:pPr>
              <w:pStyle w:val="TableText"/>
              <w:jc w:val="center"/>
              <w:rPr>
                <w:i/>
              </w:rPr>
            </w:pPr>
            <w:r w:rsidRPr="00F4158A">
              <w:rPr>
                <w:i/>
                <w:iCs/>
                <w:color w:val="000000"/>
              </w:rPr>
              <w:t>redacted</w:t>
            </w:r>
            <w:r w:rsidRPr="00F4158A">
              <w:rPr>
                <w:i/>
                <w:iCs/>
                <w:color w:val="000000"/>
                <w:vertAlign w:val="superscript"/>
              </w:rPr>
              <w:t>3</w:t>
            </w:r>
          </w:p>
        </w:tc>
        <w:tc>
          <w:tcPr>
            <w:tcW w:w="0" w:type="auto"/>
          </w:tcPr>
          <w:p w14:paraId="5DF40CEF" w14:textId="77777777" w:rsidR="002F5B1D" w:rsidRPr="0075082F" w:rsidRDefault="002F5B1D">
            <w:pPr>
              <w:pStyle w:val="TableText"/>
              <w:jc w:val="center"/>
              <w:rPr>
                <w:i/>
              </w:rPr>
            </w:pPr>
            <w:r w:rsidRPr="00F4158A">
              <w:rPr>
                <w:i/>
                <w:iCs/>
                <w:color w:val="000000"/>
              </w:rPr>
              <w:t>redacted</w:t>
            </w:r>
            <w:r w:rsidRPr="00F4158A">
              <w:rPr>
                <w:i/>
                <w:iCs/>
                <w:color w:val="000000"/>
                <w:vertAlign w:val="superscript"/>
              </w:rPr>
              <w:t>3</w:t>
            </w:r>
          </w:p>
        </w:tc>
        <w:tc>
          <w:tcPr>
            <w:tcW w:w="0" w:type="auto"/>
          </w:tcPr>
          <w:p w14:paraId="76A116B2" w14:textId="77777777" w:rsidR="002F5B1D" w:rsidRPr="0075082F" w:rsidRDefault="002F5B1D">
            <w:pPr>
              <w:pStyle w:val="TableText"/>
              <w:jc w:val="center"/>
              <w:rPr>
                <w:i/>
              </w:rPr>
            </w:pPr>
            <w:r w:rsidRPr="00F4158A">
              <w:rPr>
                <w:i/>
                <w:iCs/>
                <w:color w:val="000000"/>
              </w:rPr>
              <w:t>redacted</w:t>
            </w:r>
            <w:r w:rsidRPr="00F4158A">
              <w:rPr>
                <w:i/>
                <w:iCs/>
                <w:color w:val="000000"/>
                <w:vertAlign w:val="superscript"/>
              </w:rPr>
              <w:t>3</w:t>
            </w:r>
          </w:p>
        </w:tc>
        <w:tc>
          <w:tcPr>
            <w:tcW w:w="0" w:type="auto"/>
          </w:tcPr>
          <w:p w14:paraId="1CF09DC2" w14:textId="77777777" w:rsidR="002F5B1D" w:rsidRPr="0075082F" w:rsidRDefault="002F5B1D">
            <w:pPr>
              <w:pStyle w:val="TableText"/>
              <w:jc w:val="center"/>
              <w:rPr>
                <w:i/>
              </w:rPr>
            </w:pPr>
            <w:r w:rsidRPr="00F4158A">
              <w:rPr>
                <w:i/>
                <w:iCs/>
                <w:color w:val="000000"/>
              </w:rPr>
              <w:t>redacted</w:t>
            </w:r>
            <w:r w:rsidRPr="00F4158A">
              <w:rPr>
                <w:i/>
                <w:iCs/>
                <w:color w:val="000000"/>
                <w:vertAlign w:val="superscript"/>
              </w:rPr>
              <w:t>3</w:t>
            </w:r>
          </w:p>
        </w:tc>
        <w:tc>
          <w:tcPr>
            <w:tcW w:w="0" w:type="auto"/>
          </w:tcPr>
          <w:p w14:paraId="55E0CEF4" w14:textId="77777777" w:rsidR="002F5B1D" w:rsidRPr="0075082F" w:rsidRDefault="002F5B1D">
            <w:pPr>
              <w:pStyle w:val="TableText"/>
              <w:jc w:val="center"/>
              <w:rPr>
                <w:i/>
              </w:rPr>
            </w:pPr>
            <w:r w:rsidRPr="00F4158A">
              <w:rPr>
                <w:i/>
                <w:iCs/>
                <w:color w:val="000000"/>
              </w:rPr>
              <w:t>redacted</w:t>
            </w:r>
            <w:r w:rsidRPr="00F4158A">
              <w:rPr>
                <w:i/>
                <w:iCs/>
                <w:color w:val="000000"/>
                <w:vertAlign w:val="superscript"/>
              </w:rPr>
              <w:t>3</w:t>
            </w:r>
          </w:p>
        </w:tc>
        <w:tc>
          <w:tcPr>
            <w:tcW w:w="0" w:type="auto"/>
          </w:tcPr>
          <w:p w14:paraId="2C703850" w14:textId="77777777" w:rsidR="002F5B1D" w:rsidRPr="0075082F" w:rsidRDefault="002F5B1D">
            <w:pPr>
              <w:pStyle w:val="TableText"/>
              <w:jc w:val="center"/>
              <w:rPr>
                <w:i/>
              </w:rPr>
            </w:pPr>
            <w:r w:rsidRPr="00F4158A">
              <w:rPr>
                <w:i/>
                <w:iCs/>
                <w:color w:val="000000"/>
              </w:rPr>
              <w:t>redacted</w:t>
            </w:r>
            <w:r w:rsidRPr="00F4158A">
              <w:rPr>
                <w:i/>
                <w:iCs/>
                <w:color w:val="000000"/>
                <w:vertAlign w:val="superscript"/>
              </w:rPr>
              <w:t>3</w:t>
            </w:r>
          </w:p>
        </w:tc>
      </w:tr>
      <w:tr w:rsidR="002F5B1D" w14:paraId="4729C8EA" w14:textId="77777777" w:rsidTr="002F5B1D">
        <w:tc>
          <w:tcPr>
            <w:tcW w:w="0" w:type="auto"/>
          </w:tcPr>
          <w:p w14:paraId="285BE65E" w14:textId="77777777" w:rsidR="002F5B1D" w:rsidRPr="002B181C" w:rsidRDefault="002F5B1D">
            <w:pPr>
              <w:pStyle w:val="TableText"/>
            </w:pPr>
            <w:r w:rsidRPr="002B181C">
              <w:t>Net cost to MBS</w:t>
            </w:r>
            <w:r>
              <w:t xml:space="preserve"> </w:t>
            </w:r>
            <w:r w:rsidRPr="00D45E68">
              <w:rPr>
                <w:b/>
              </w:rPr>
              <w:t>$</w:t>
            </w:r>
            <w:r w:rsidRPr="002B181C">
              <w:t xml:space="preserve"> (assuming 80% benefit)</w:t>
            </w:r>
          </w:p>
        </w:tc>
        <w:tc>
          <w:tcPr>
            <w:tcW w:w="0" w:type="auto"/>
          </w:tcPr>
          <w:p w14:paraId="68A16FE6" w14:textId="77777777" w:rsidR="002F5B1D" w:rsidRPr="00F4158A" w:rsidRDefault="002F5B1D">
            <w:pPr>
              <w:pStyle w:val="TableText"/>
              <w:jc w:val="center"/>
            </w:pPr>
            <w:r w:rsidRPr="006B7A2F">
              <w:rPr>
                <w:color w:val="000000"/>
              </w:rPr>
              <w:t>redacted</w:t>
            </w:r>
            <w:r w:rsidRPr="006B7A2F">
              <w:rPr>
                <w:color w:val="000000"/>
                <w:vertAlign w:val="superscript"/>
              </w:rPr>
              <w:t>3</w:t>
            </w:r>
          </w:p>
        </w:tc>
        <w:tc>
          <w:tcPr>
            <w:tcW w:w="0" w:type="auto"/>
          </w:tcPr>
          <w:p w14:paraId="144EBCE6" w14:textId="77777777" w:rsidR="002F5B1D" w:rsidRPr="00F4158A" w:rsidRDefault="002F5B1D">
            <w:pPr>
              <w:pStyle w:val="TableText"/>
              <w:jc w:val="center"/>
            </w:pPr>
            <w:r w:rsidRPr="006B7A2F">
              <w:rPr>
                <w:color w:val="000000"/>
              </w:rPr>
              <w:t>redacted</w:t>
            </w:r>
            <w:r w:rsidRPr="006B7A2F">
              <w:rPr>
                <w:color w:val="000000"/>
                <w:vertAlign w:val="superscript"/>
              </w:rPr>
              <w:t>3</w:t>
            </w:r>
          </w:p>
        </w:tc>
        <w:tc>
          <w:tcPr>
            <w:tcW w:w="0" w:type="auto"/>
          </w:tcPr>
          <w:p w14:paraId="2BB17E13" w14:textId="77777777" w:rsidR="002F5B1D" w:rsidRPr="00F4158A" w:rsidRDefault="002F5B1D">
            <w:pPr>
              <w:pStyle w:val="TableText"/>
              <w:jc w:val="center"/>
            </w:pPr>
            <w:r w:rsidRPr="006B7A2F">
              <w:rPr>
                <w:color w:val="000000"/>
              </w:rPr>
              <w:t>redacted</w:t>
            </w:r>
            <w:r w:rsidRPr="006B7A2F">
              <w:rPr>
                <w:color w:val="000000"/>
                <w:vertAlign w:val="superscript"/>
              </w:rPr>
              <w:t>3</w:t>
            </w:r>
          </w:p>
        </w:tc>
        <w:tc>
          <w:tcPr>
            <w:tcW w:w="0" w:type="auto"/>
          </w:tcPr>
          <w:p w14:paraId="533E736C" w14:textId="77777777" w:rsidR="002F5B1D" w:rsidRPr="00F4158A" w:rsidRDefault="002F5B1D">
            <w:pPr>
              <w:pStyle w:val="TableText"/>
              <w:jc w:val="center"/>
            </w:pPr>
            <w:r w:rsidRPr="006B7A2F">
              <w:rPr>
                <w:color w:val="000000"/>
              </w:rPr>
              <w:t>redacted</w:t>
            </w:r>
            <w:r w:rsidRPr="006B7A2F">
              <w:rPr>
                <w:color w:val="000000"/>
                <w:vertAlign w:val="superscript"/>
              </w:rPr>
              <w:t>3</w:t>
            </w:r>
          </w:p>
        </w:tc>
        <w:tc>
          <w:tcPr>
            <w:tcW w:w="0" w:type="auto"/>
          </w:tcPr>
          <w:p w14:paraId="1DDECBE1" w14:textId="77777777" w:rsidR="002F5B1D" w:rsidRPr="00F4158A" w:rsidRDefault="002F5B1D">
            <w:pPr>
              <w:pStyle w:val="TableText"/>
              <w:jc w:val="center"/>
            </w:pPr>
            <w:r w:rsidRPr="006B7A2F">
              <w:rPr>
                <w:color w:val="000000"/>
              </w:rPr>
              <w:t>redacted</w:t>
            </w:r>
            <w:r w:rsidRPr="006B7A2F">
              <w:rPr>
                <w:color w:val="000000"/>
                <w:vertAlign w:val="superscript"/>
              </w:rPr>
              <w:t>3</w:t>
            </w:r>
          </w:p>
        </w:tc>
        <w:tc>
          <w:tcPr>
            <w:tcW w:w="0" w:type="auto"/>
          </w:tcPr>
          <w:p w14:paraId="074041D2" w14:textId="77777777" w:rsidR="002F5B1D" w:rsidRPr="00F4158A" w:rsidRDefault="002F5B1D">
            <w:pPr>
              <w:pStyle w:val="TableText"/>
              <w:jc w:val="center"/>
            </w:pPr>
            <w:r w:rsidRPr="006B7A2F">
              <w:rPr>
                <w:color w:val="000000"/>
              </w:rPr>
              <w:t>redacted</w:t>
            </w:r>
            <w:r w:rsidRPr="006B7A2F">
              <w:rPr>
                <w:color w:val="000000"/>
                <w:vertAlign w:val="superscript"/>
              </w:rPr>
              <w:t>3</w:t>
            </w:r>
          </w:p>
        </w:tc>
      </w:tr>
      <w:tr w:rsidR="002F5B1D" w14:paraId="2995334A" w14:textId="77777777" w:rsidTr="002F5B1D">
        <w:tc>
          <w:tcPr>
            <w:tcW w:w="0" w:type="auto"/>
          </w:tcPr>
          <w:p w14:paraId="290D989E" w14:textId="77777777" w:rsidR="002F5B1D" w:rsidRPr="00B75404" w:rsidRDefault="002F5B1D">
            <w:pPr>
              <w:pStyle w:val="TableText"/>
              <w:rPr>
                <w:i/>
                <w:iCs/>
              </w:rPr>
            </w:pPr>
            <w:r w:rsidRPr="003E2E32">
              <w:rPr>
                <w:i/>
                <w:iCs/>
              </w:rPr>
              <w:t>Net cost to MBS</w:t>
            </w:r>
            <w:r>
              <w:rPr>
                <w:i/>
                <w:iCs/>
              </w:rPr>
              <w:t xml:space="preserve"> </w:t>
            </w:r>
            <w:r w:rsidRPr="006B7A2F">
              <w:rPr>
                <w:b/>
                <w:i/>
                <w:iCs/>
              </w:rPr>
              <w:t>$</w:t>
            </w:r>
            <w:r w:rsidRPr="003E2E32">
              <w:rPr>
                <w:i/>
                <w:iCs/>
              </w:rPr>
              <w:t xml:space="preserve"> (assuming 85% benefit)</w:t>
            </w:r>
          </w:p>
        </w:tc>
        <w:tc>
          <w:tcPr>
            <w:tcW w:w="0" w:type="auto"/>
          </w:tcPr>
          <w:p w14:paraId="09A4B68D" w14:textId="77777777" w:rsidR="002F5B1D" w:rsidRPr="00595079" w:rsidRDefault="002F5B1D">
            <w:pPr>
              <w:pStyle w:val="TableText"/>
              <w:jc w:val="center"/>
              <w:rPr>
                <w:i/>
                <w:iCs/>
              </w:rPr>
            </w:pPr>
            <w:r w:rsidRPr="00F4158A">
              <w:rPr>
                <w:i/>
                <w:iCs/>
                <w:color w:val="000000"/>
              </w:rPr>
              <w:t>redacted</w:t>
            </w:r>
            <w:r w:rsidRPr="00F4158A">
              <w:rPr>
                <w:i/>
                <w:iCs/>
                <w:color w:val="000000"/>
                <w:vertAlign w:val="superscript"/>
              </w:rPr>
              <w:t>3</w:t>
            </w:r>
          </w:p>
        </w:tc>
        <w:tc>
          <w:tcPr>
            <w:tcW w:w="0" w:type="auto"/>
          </w:tcPr>
          <w:p w14:paraId="0EFBE7D6" w14:textId="77777777" w:rsidR="002F5B1D" w:rsidRPr="00595079" w:rsidRDefault="002F5B1D">
            <w:pPr>
              <w:pStyle w:val="TableText"/>
              <w:jc w:val="center"/>
              <w:rPr>
                <w:i/>
                <w:iCs/>
              </w:rPr>
            </w:pPr>
            <w:r w:rsidRPr="00F4158A">
              <w:rPr>
                <w:i/>
                <w:iCs/>
                <w:color w:val="000000"/>
              </w:rPr>
              <w:t>redacted</w:t>
            </w:r>
            <w:r w:rsidRPr="00F4158A">
              <w:rPr>
                <w:i/>
                <w:iCs/>
                <w:color w:val="000000"/>
                <w:vertAlign w:val="superscript"/>
              </w:rPr>
              <w:t>3</w:t>
            </w:r>
          </w:p>
        </w:tc>
        <w:tc>
          <w:tcPr>
            <w:tcW w:w="0" w:type="auto"/>
          </w:tcPr>
          <w:p w14:paraId="70F9C173" w14:textId="77777777" w:rsidR="002F5B1D" w:rsidRPr="00595079" w:rsidRDefault="002F5B1D">
            <w:pPr>
              <w:pStyle w:val="TableText"/>
              <w:jc w:val="center"/>
              <w:rPr>
                <w:i/>
                <w:iCs/>
              </w:rPr>
            </w:pPr>
            <w:r w:rsidRPr="00F26A69">
              <w:rPr>
                <w:i/>
                <w:iCs/>
                <w:color w:val="000000"/>
              </w:rPr>
              <w:t>redacted</w:t>
            </w:r>
            <w:r w:rsidRPr="00F26A69">
              <w:rPr>
                <w:i/>
                <w:iCs/>
                <w:color w:val="000000"/>
                <w:vertAlign w:val="superscript"/>
              </w:rPr>
              <w:t>3</w:t>
            </w:r>
          </w:p>
        </w:tc>
        <w:tc>
          <w:tcPr>
            <w:tcW w:w="0" w:type="auto"/>
          </w:tcPr>
          <w:p w14:paraId="387F4845" w14:textId="77777777" w:rsidR="002F5B1D" w:rsidRPr="00595079" w:rsidRDefault="002F5B1D">
            <w:pPr>
              <w:pStyle w:val="TableText"/>
              <w:jc w:val="center"/>
              <w:rPr>
                <w:i/>
                <w:iCs/>
              </w:rPr>
            </w:pPr>
            <w:r w:rsidRPr="00F26A69">
              <w:rPr>
                <w:i/>
                <w:iCs/>
                <w:color w:val="000000"/>
              </w:rPr>
              <w:t>redacted</w:t>
            </w:r>
            <w:r w:rsidRPr="00F26A69">
              <w:rPr>
                <w:i/>
                <w:iCs/>
                <w:color w:val="000000"/>
                <w:vertAlign w:val="superscript"/>
              </w:rPr>
              <w:t>3</w:t>
            </w:r>
          </w:p>
        </w:tc>
        <w:tc>
          <w:tcPr>
            <w:tcW w:w="0" w:type="auto"/>
          </w:tcPr>
          <w:p w14:paraId="060463B3" w14:textId="77777777" w:rsidR="002F5B1D" w:rsidRPr="00595079" w:rsidRDefault="002F5B1D">
            <w:pPr>
              <w:pStyle w:val="TableText"/>
              <w:jc w:val="center"/>
              <w:rPr>
                <w:i/>
                <w:iCs/>
              </w:rPr>
            </w:pPr>
            <w:r w:rsidRPr="00F26A69">
              <w:rPr>
                <w:i/>
                <w:iCs/>
                <w:color w:val="000000"/>
              </w:rPr>
              <w:t>redacted</w:t>
            </w:r>
            <w:r w:rsidRPr="00F26A69">
              <w:rPr>
                <w:i/>
                <w:iCs/>
                <w:color w:val="000000"/>
                <w:vertAlign w:val="superscript"/>
              </w:rPr>
              <w:t>3</w:t>
            </w:r>
          </w:p>
        </w:tc>
        <w:tc>
          <w:tcPr>
            <w:tcW w:w="0" w:type="auto"/>
          </w:tcPr>
          <w:p w14:paraId="71717B54" w14:textId="77777777" w:rsidR="002F5B1D" w:rsidRPr="00595079" w:rsidRDefault="002F5B1D">
            <w:pPr>
              <w:pStyle w:val="TableText"/>
              <w:jc w:val="center"/>
              <w:rPr>
                <w:i/>
                <w:iCs/>
              </w:rPr>
            </w:pPr>
            <w:r w:rsidRPr="00F26A69">
              <w:rPr>
                <w:i/>
                <w:iCs/>
                <w:color w:val="000000"/>
              </w:rPr>
              <w:t>redacted</w:t>
            </w:r>
            <w:r w:rsidRPr="00F26A69">
              <w:rPr>
                <w:i/>
                <w:iCs/>
                <w:color w:val="000000"/>
                <w:vertAlign w:val="superscript"/>
              </w:rPr>
              <w:t>3</w:t>
            </w:r>
          </w:p>
        </w:tc>
      </w:tr>
      <w:tr w:rsidR="002F5B1D" w:rsidDel="008147AE" w14:paraId="6E81B7CC" w14:textId="77777777" w:rsidTr="002F5B1D">
        <w:tc>
          <w:tcPr>
            <w:tcW w:w="0" w:type="auto"/>
          </w:tcPr>
          <w:p w14:paraId="5BDD5567" w14:textId="77777777" w:rsidR="002F5B1D" w:rsidRPr="002C633F" w:rsidDel="008147AE" w:rsidRDefault="002F5B1D">
            <w:pPr>
              <w:pStyle w:val="TableText"/>
            </w:pPr>
            <w:r w:rsidRPr="00067D63">
              <w:rPr>
                <w:b/>
                <w:bCs w:val="0"/>
              </w:rPr>
              <w:t>Net cost to heath budget (PBS/RPBS/MBS</w:t>
            </w:r>
            <w:r>
              <w:t xml:space="preserve">) </w:t>
            </w:r>
            <w:r w:rsidRPr="00D45E68">
              <w:rPr>
                <w:b/>
              </w:rPr>
              <w:t>$</w:t>
            </w:r>
          </w:p>
        </w:tc>
        <w:tc>
          <w:tcPr>
            <w:tcW w:w="0" w:type="auto"/>
          </w:tcPr>
          <w:p w14:paraId="5522411C" w14:textId="77777777" w:rsidR="002F5B1D" w:rsidRPr="006B7A2F" w:rsidDel="008147AE" w:rsidRDefault="002F5B1D">
            <w:pPr>
              <w:pStyle w:val="TableText"/>
              <w:jc w:val="center"/>
              <w:rPr>
                <w:b/>
                <w:bCs w:val="0"/>
              </w:rPr>
            </w:pPr>
            <w:r w:rsidRPr="006B7A2F">
              <w:rPr>
                <w:b/>
                <w:bCs w:val="0"/>
                <w:color w:val="000000"/>
              </w:rPr>
              <w:t>redacted</w:t>
            </w:r>
            <w:r w:rsidRPr="006B7A2F">
              <w:rPr>
                <w:b/>
                <w:bCs w:val="0"/>
                <w:color w:val="000000"/>
                <w:vertAlign w:val="superscript"/>
              </w:rPr>
              <w:t>3</w:t>
            </w:r>
          </w:p>
        </w:tc>
        <w:tc>
          <w:tcPr>
            <w:tcW w:w="0" w:type="auto"/>
          </w:tcPr>
          <w:p w14:paraId="1E28B035" w14:textId="77777777" w:rsidR="002F5B1D" w:rsidRPr="006B7A2F" w:rsidDel="008147AE" w:rsidRDefault="002F5B1D">
            <w:pPr>
              <w:pStyle w:val="TableText"/>
              <w:jc w:val="center"/>
              <w:rPr>
                <w:b/>
                <w:bCs w:val="0"/>
              </w:rPr>
            </w:pPr>
            <w:r w:rsidRPr="006B7A2F">
              <w:rPr>
                <w:b/>
                <w:bCs w:val="0"/>
                <w:color w:val="000000"/>
              </w:rPr>
              <w:t>redacted</w:t>
            </w:r>
            <w:r w:rsidRPr="006B7A2F">
              <w:rPr>
                <w:b/>
                <w:bCs w:val="0"/>
                <w:color w:val="000000"/>
                <w:vertAlign w:val="superscript"/>
              </w:rPr>
              <w:t>3</w:t>
            </w:r>
          </w:p>
        </w:tc>
        <w:tc>
          <w:tcPr>
            <w:tcW w:w="0" w:type="auto"/>
          </w:tcPr>
          <w:p w14:paraId="19FC9D59" w14:textId="77777777" w:rsidR="002F5B1D" w:rsidRPr="006B7A2F" w:rsidDel="008147AE" w:rsidRDefault="002F5B1D">
            <w:pPr>
              <w:pStyle w:val="TableText"/>
              <w:jc w:val="center"/>
              <w:rPr>
                <w:b/>
                <w:bCs w:val="0"/>
              </w:rPr>
            </w:pPr>
            <w:r w:rsidRPr="006B7A2F">
              <w:rPr>
                <w:b/>
                <w:bCs w:val="0"/>
                <w:color w:val="000000"/>
              </w:rPr>
              <w:t>redacted</w:t>
            </w:r>
            <w:r w:rsidRPr="006B7A2F">
              <w:rPr>
                <w:b/>
                <w:bCs w:val="0"/>
                <w:color w:val="000000"/>
                <w:vertAlign w:val="superscript"/>
              </w:rPr>
              <w:t>3</w:t>
            </w:r>
          </w:p>
        </w:tc>
        <w:tc>
          <w:tcPr>
            <w:tcW w:w="0" w:type="auto"/>
          </w:tcPr>
          <w:p w14:paraId="0B2D2CBD" w14:textId="77777777" w:rsidR="002F5B1D" w:rsidRPr="006B7A2F" w:rsidDel="008147AE" w:rsidRDefault="002F5B1D">
            <w:pPr>
              <w:pStyle w:val="TableText"/>
              <w:jc w:val="center"/>
              <w:rPr>
                <w:b/>
                <w:bCs w:val="0"/>
              </w:rPr>
            </w:pPr>
            <w:r w:rsidRPr="006B7A2F">
              <w:rPr>
                <w:b/>
                <w:bCs w:val="0"/>
                <w:color w:val="000000"/>
              </w:rPr>
              <w:t>redacted</w:t>
            </w:r>
            <w:r w:rsidRPr="006B7A2F">
              <w:rPr>
                <w:b/>
                <w:bCs w:val="0"/>
                <w:color w:val="000000"/>
                <w:vertAlign w:val="superscript"/>
              </w:rPr>
              <w:t>3</w:t>
            </w:r>
          </w:p>
        </w:tc>
        <w:tc>
          <w:tcPr>
            <w:tcW w:w="0" w:type="auto"/>
          </w:tcPr>
          <w:p w14:paraId="5F19F41F" w14:textId="77777777" w:rsidR="002F5B1D" w:rsidRPr="006B7A2F" w:rsidDel="008147AE" w:rsidRDefault="002F5B1D">
            <w:pPr>
              <w:pStyle w:val="TableText"/>
              <w:jc w:val="center"/>
              <w:rPr>
                <w:b/>
                <w:bCs w:val="0"/>
              </w:rPr>
            </w:pPr>
            <w:r w:rsidRPr="006B7A2F">
              <w:rPr>
                <w:b/>
                <w:bCs w:val="0"/>
                <w:color w:val="000000"/>
              </w:rPr>
              <w:t>redacted</w:t>
            </w:r>
            <w:r w:rsidRPr="006B7A2F">
              <w:rPr>
                <w:b/>
                <w:bCs w:val="0"/>
                <w:color w:val="000000"/>
                <w:vertAlign w:val="superscript"/>
              </w:rPr>
              <w:t>3</w:t>
            </w:r>
          </w:p>
        </w:tc>
        <w:tc>
          <w:tcPr>
            <w:tcW w:w="0" w:type="auto"/>
          </w:tcPr>
          <w:p w14:paraId="01B74293" w14:textId="77777777" w:rsidR="002F5B1D" w:rsidRPr="006B7A2F" w:rsidDel="008147AE" w:rsidRDefault="002F5B1D">
            <w:pPr>
              <w:pStyle w:val="TableText"/>
              <w:jc w:val="center"/>
              <w:rPr>
                <w:b/>
                <w:bCs w:val="0"/>
              </w:rPr>
            </w:pPr>
            <w:r w:rsidRPr="006B7A2F">
              <w:rPr>
                <w:b/>
                <w:bCs w:val="0"/>
                <w:color w:val="000000"/>
              </w:rPr>
              <w:t>redacted</w:t>
            </w:r>
            <w:r w:rsidRPr="006B7A2F">
              <w:rPr>
                <w:b/>
                <w:bCs w:val="0"/>
                <w:color w:val="000000"/>
                <w:vertAlign w:val="superscript"/>
              </w:rPr>
              <w:t>3</w:t>
            </w:r>
          </w:p>
        </w:tc>
      </w:tr>
      <w:tr w:rsidR="002F5B1D" w:rsidDel="008147AE" w14:paraId="045A364C" w14:textId="77777777" w:rsidTr="002F5B1D">
        <w:tc>
          <w:tcPr>
            <w:tcW w:w="0" w:type="auto"/>
          </w:tcPr>
          <w:p w14:paraId="0175085F" w14:textId="77777777" w:rsidR="002F5B1D" w:rsidRPr="005058A9" w:rsidRDefault="002F5B1D">
            <w:pPr>
              <w:pStyle w:val="TableText"/>
              <w:rPr>
                <w:i/>
                <w:iCs/>
              </w:rPr>
            </w:pPr>
            <w:r w:rsidRPr="005058A9">
              <w:rPr>
                <w:i/>
                <w:iCs/>
              </w:rPr>
              <w:t>Net cost to heath budget</w:t>
            </w:r>
            <w:r>
              <w:rPr>
                <w:i/>
                <w:iCs/>
              </w:rPr>
              <w:t xml:space="preserve"> </w:t>
            </w:r>
            <w:r w:rsidRPr="006B7A2F">
              <w:rPr>
                <w:b/>
                <w:i/>
                <w:iCs/>
              </w:rPr>
              <w:t>$</w:t>
            </w:r>
            <w:r w:rsidRPr="005058A9">
              <w:rPr>
                <w:i/>
                <w:iCs/>
              </w:rPr>
              <w:t xml:space="preserve"> (PBS/RPBS/MBS adjusted for 85% benefit)</w:t>
            </w:r>
          </w:p>
        </w:tc>
        <w:tc>
          <w:tcPr>
            <w:tcW w:w="0" w:type="auto"/>
          </w:tcPr>
          <w:p w14:paraId="01CEE747" w14:textId="77777777" w:rsidR="002F5B1D" w:rsidRPr="005058A9" w:rsidRDefault="002F5B1D">
            <w:pPr>
              <w:pStyle w:val="TableText"/>
              <w:jc w:val="center"/>
              <w:rPr>
                <w:szCs w:val="20"/>
              </w:rPr>
            </w:pPr>
            <w:r w:rsidRPr="00C854BE">
              <w:rPr>
                <w:i/>
                <w:iCs/>
                <w:color w:val="000000"/>
              </w:rPr>
              <w:t>redacted</w:t>
            </w:r>
            <w:r w:rsidRPr="00C854BE">
              <w:rPr>
                <w:i/>
                <w:iCs/>
                <w:color w:val="000000"/>
                <w:vertAlign w:val="superscript"/>
              </w:rPr>
              <w:t>3</w:t>
            </w:r>
          </w:p>
        </w:tc>
        <w:tc>
          <w:tcPr>
            <w:tcW w:w="0" w:type="auto"/>
          </w:tcPr>
          <w:p w14:paraId="798B3C33" w14:textId="77777777" w:rsidR="002F5B1D" w:rsidRPr="005058A9" w:rsidRDefault="002F5B1D">
            <w:pPr>
              <w:pStyle w:val="TableText"/>
              <w:jc w:val="center"/>
              <w:rPr>
                <w:szCs w:val="20"/>
              </w:rPr>
            </w:pPr>
            <w:r w:rsidRPr="00C854BE">
              <w:rPr>
                <w:i/>
                <w:iCs/>
                <w:color w:val="000000"/>
              </w:rPr>
              <w:t>redacted</w:t>
            </w:r>
            <w:r w:rsidRPr="00C854BE">
              <w:rPr>
                <w:i/>
                <w:iCs/>
                <w:color w:val="000000"/>
                <w:vertAlign w:val="superscript"/>
              </w:rPr>
              <w:t>3</w:t>
            </w:r>
          </w:p>
        </w:tc>
        <w:tc>
          <w:tcPr>
            <w:tcW w:w="0" w:type="auto"/>
          </w:tcPr>
          <w:p w14:paraId="6D9158B6" w14:textId="77777777" w:rsidR="002F5B1D" w:rsidRPr="005058A9" w:rsidRDefault="002F5B1D">
            <w:pPr>
              <w:pStyle w:val="TableText"/>
              <w:jc w:val="center"/>
              <w:rPr>
                <w:szCs w:val="20"/>
              </w:rPr>
            </w:pPr>
            <w:r w:rsidRPr="00C854BE">
              <w:rPr>
                <w:i/>
                <w:iCs/>
                <w:color w:val="000000"/>
              </w:rPr>
              <w:t>redacted</w:t>
            </w:r>
            <w:r w:rsidRPr="00C854BE">
              <w:rPr>
                <w:i/>
                <w:iCs/>
                <w:color w:val="000000"/>
                <w:vertAlign w:val="superscript"/>
              </w:rPr>
              <w:t>3</w:t>
            </w:r>
          </w:p>
        </w:tc>
        <w:tc>
          <w:tcPr>
            <w:tcW w:w="0" w:type="auto"/>
          </w:tcPr>
          <w:p w14:paraId="7C052A16" w14:textId="77777777" w:rsidR="002F5B1D" w:rsidRPr="005058A9" w:rsidRDefault="002F5B1D">
            <w:pPr>
              <w:pStyle w:val="TableText"/>
              <w:jc w:val="center"/>
              <w:rPr>
                <w:szCs w:val="20"/>
              </w:rPr>
            </w:pPr>
            <w:r w:rsidRPr="00C854BE">
              <w:rPr>
                <w:i/>
                <w:iCs/>
                <w:color w:val="000000"/>
              </w:rPr>
              <w:t>redacted</w:t>
            </w:r>
            <w:r w:rsidRPr="00C854BE">
              <w:rPr>
                <w:i/>
                <w:iCs/>
                <w:color w:val="000000"/>
                <w:vertAlign w:val="superscript"/>
              </w:rPr>
              <w:t>3</w:t>
            </w:r>
          </w:p>
        </w:tc>
        <w:tc>
          <w:tcPr>
            <w:tcW w:w="0" w:type="auto"/>
          </w:tcPr>
          <w:p w14:paraId="6D2C8474" w14:textId="77777777" w:rsidR="002F5B1D" w:rsidRPr="005058A9" w:rsidRDefault="002F5B1D">
            <w:pPr>
              <w:pStyle w:val="TableText"/>
              <w:jc w:val="center"/>
              <w:rPr>
                <w:szCs w:val="20"/>
              </w:rPr>
            </w:pPr>
            <w:r w:rsidRPr="00C854BE">
              <w:rPr>
                <w:i/>
                <w:iCs/>
                <w:color w:val="000000"/>
              </w:rPr>
              <w:t>redacted</w:t>
            </w:r>
            <w:r w:rsidRPr="00C854BE">
              <w:rPr>
                <w:i/>
                <w:iCs/>
                <w:color w:val="000000"/>
                <w:vertAlign w:val="superscript"/>
              </w:rPr>
              <w:t>3</w:t>
            </w:r>
          </w:p>
        </w:tc>
        <w:tc>
          <w:tcPr>
            <w:tcW w:w="0" w:type="auto"/>
          </w:tcPr>
          <w:p w14:paraId="5FE236B9" w14:textId="77777777" w:rsidR="002F5B1D" w:rsidRPr="005058A9" w:rsidRDefault="002F5B1D">
            <w:pPr>
              <w:pStyle w:val="TableText"/>
              <w:jc w:val="center"/>
              <w:rPr>
                <w:szCs w:val="20"/>
              </w:rPr>
            </w:pPr>
            <w:r w:rsidRPr="00C854BE">
              <w:rPr>
                <w:i/>
                <w:iCs/>
                <w:color w:val="000000"/>
              </w:rPr>
              <w:t>redacted</w:t>
            </w:r>
            <w:r w:rsidRPr="00C854BE">
              <w:rPr>
                <w:i/>
                <w:iCs/>
                <w:color w:val="000000"/>
                <w:vertAlign w:val="superscript"/>
              </w:rPr>
              <w:t>3</w:t>
            </w:r>
          </w:p>
        </w:tc>
      </w:tr>
      <w:tr w:rsidR="002F5B1D" w:rsidDel="008147AE" w14:paraId="520FDFA4" w14:textId="77777777" w:rsidTr="002F5B1D">
        <w:trPr>
          <w:gridAfter w:val="6"/>
        </w:trPr>
        <w:tc>
          <w:tcPr>
            <w:tcW w:w="0" w:type="auto"/>
          </w:tcPr>
          <w:p w14:paraId="13E1A1FB" w14:textId="77777777" w:rsidR="002F5B1D" w:rsidRPr="002C633F" w:rsidDel="008147AE" w:rsidRDefault="002F5B1D">
            <w:pPr>
              <w:pStyle w:val="In-tableHeading"/>
            </w:pPr>
            <w:r w:rsidRPr="002C633F">
              <w:t xml:space="preserve">Previous submission </w:t>
            </w:r>
            <w:r>
              <w:t>(August 2024)</w:t>
            </w:r>
          </w:p>
        </w:tc>
      </w:tr>
      <w:tr w:rsidR="002F5B1D" w14:paraId="2D5A3A45" w14:textId="77777777" w:rsidTr="002F5B1D">
        <w:tc>
          <w:tcPr>
            <w:tcW w:w="0" w:type="auto"/>
          </w:tcPr>
          <w:p w14:paraId="46037F07" w14:textId="77777777" w:rsidR="002F5B1D" w:rsidRDefault="002F5B1D">
            <w:pPr>
              <w:pStyle w:val="TableText"/>
            </w:pPr>
            <w:r w:rsidRPr="00A07C4C">
              <w:t xml:space="preserve">Number of patients </w:t>
            </w:r>
            <w:r>
              <w:t>tested</w:t>
            </w:r>
          </w:p>
        </w:tc>
        <w:tc>
          <w:tcPr>
            <w:tcW w:w="0" w:type="auto"/>
          </w:tcPr>
          <w:p w14:paraId="0F2D1154" w14:textId="77777777" w:rsidR="002F5B1D" w:rsidRDefault="002F5B1D">
            <w:pPr>
              <w:pStyle w:val="TableText"/>
              <w:jc w:val="center"/>
            </w:pPr>
            <w:r w:rsidRPr="00683FB8">
              <w:t>redacted</w:t>
            </w:r>
            <w:r w:rsidRPr="00683FB8">
              <w:rPr>
                <w:vertAlign w:val="superscript"/>
              </w:rPr>
              <w:t>2</w:t>
            </w:r>
          </w:p>
        </w:tc>
        <w:tc>
          <w:tcPr>
            <w:tcW w:w="0" w:type="auto"/>
          </w:tcPr>
          <w:p w14:paraId="4EFE7890" w14:textId="77777777" w:rsidR="002F5B1D" w:rsidRDefault="002F5B1D">
            <w:pPr>
              <w:pStyle w:val="TableText"/>
              <w:jc w:val="center"/>
            </w:pPr>
            <w:r w:rsidRPr="00683FB8">
              <w:t>redacted</w:t>
            </w:r>
            <w:r w:rsidRPr="00683FB8">
              <w:rPr>
                <w:vertAlign w:val="superscript"/>
              </w:rPr>
              <w:t>2</w:t>
            </w:r>
          </w:p>
        </w:tc>
        <w:tc>
          <w:tcPr>
            <w:tcW w:w="0" w:type="auto"/>
          </w:tcPr>
          <w:p w14:paraId="13641D3C" w14:textId="77777777" w:rsidR="002F5B1D" w:rsidRDefault="002F5B1D">
            <w:pPr>
              <w:pStyle w:val="TableText"/>
              <w:jc w:val="center"/>
            </w:pPr>
            <w:r w:rsidRPr="00683FB8">
              <w:t>redacted</w:t>
            </w:r>
            <w:r w:rsidRPr="00683FB8">
              <w:rPr>
                <w:vertAlign w:val="superscript"/>
              </w:rPr>
              <w:t>2</w:t>
            </w:r>
          </w:p>
        </w:tc>
        <w:tc>
          <w:tcPr>
            <w:tcW w:w="0" w:type="auto"/>
          </w:tcPr>
          <w:p w14:paraId="02C23003" w14:textId="77777777" w:rsidR="002F5B1D" w:rsidRDefault="002F5B1D">
            <w:pPr>
              <w:pStyle w:val="TableText"/>
              <w:jc w:val="center"/>
            </w:pPr>
            <w:r w:rsidRPr="00683FB8">
              <w:t>redacted</w:t>
            </w:r>
            <w:r w:rsidRPr="00683FB8">
              <w:rPr>
                <w:vertAlign w:val="superscript"/>
              </w:rPr>
              <w:t>2</w:t>
            </w:r>
          </w:p>
        </w:tc>
        <w:tc>
          <w:tcPr>
            <w:tcW w:w="0" w:type="auto"/>
          </w:tcPr>
          <w:p w14:paraId="6EB892D1" w14:textId="77777777" w:rsidR="002F5B1D" w:rsidRDefault="002F5B1D">
            <w:pPr>
              <w:pStyle w:val="TableText"/>
              <w:jc w:val="center"/>
            </w:pPr>
            <w:r w:rsidRPr="00683FB8">
              <w:t>redacted</w:t>
            </w:r>
            <w:r w:rsidRPr="00683FB8">
              <w:rPr>
                <w:vertAlign w:val="superscript"/>
              </w:rPr>
              <w:t>2</w:t>
            </w:r>
          </w:p>
        </w:tc>
        <w:tc>
          <w:tcPr>
            <w:tcW w:w="0" w:type="auto"/>
          </w:tcPr>
          <w:p w14:paraId="39E550D1" w14:textId="77777777" w:rsidR="002F5B1D" w:rsidRDefault="002F5B1D">
            <w:pPr>
              <w:pStyle w:val="TableText"/>
              <w:jc w:val="center"/>
            </w:pPr>
            <w:r w:rsidRPr="00683FB8">
              <w:t>redacted</w:t>
            </w:r>
            <w:r w:rsidRPr="00683FB8">
              <w:rPr>
                <w:vertAlign w:val="superscript"/>
              </w:rPr>
              <w:t>2</w:t>
            </w:r>
          </w:p>
        </w:tc>
      </w:tr>
      <w:tr w:rsidR="002F5B1D" w14:paraId="7A8009A3" w14:textId="77777777" w:rsidTr="002F5B1D">
        <w:tc>
          <w:tcPr>
            <w:tcW w:w="0" w:type="auto"/>
          </w:tcPr>
          <w:p w14:paraId="797A2275" w14:textId="77777777" w:rsidR="002F5B1D" w:rsidRPr="00A07C4C" w:rsidRDefault="002F5B1D">
            <w:pPr>
              <w:pStyle w:val="TableText"/>
            </w:pPr>
            <w:r>
              <w:t>Patients treated</w:t>
            </w:r>
          </w:p>
        </w:tc>
        <w:tc>
          <w:tcPr>
            <w:tcW w:w="0" w:type="auto"/>
          </w:tcPr>
          <w:p w14:paraId="5D88E7F3" w14:textId="77777777" w:rsidR="002F5B1D" w:rsidRDefault="002F5B1D">
            <w:pPr>
              <w:pStyle w:val="TableText"/>
              <w:jc w:val="center"/>
            </w:pPr>
            <w:r w:rsidRPr="00C57AF5">
              <w:t>redacted</w:t>
            </w:r>
            <w:r w:rsidRPr="00C57AF5">
              <w:rPr>
                <w:vertAlign w:val="superscript"/>
              </w:rPr>
              <w:t>1</w:t>
            </w:r>
          </w:p>
        </w:tc>
        <w:tc>
          <w:tcPr>
            <w:tcW w:w="0" w:type="auto"/>
          </w:tcPr>
          <w:p w14:paraId="68374272" w14:textId="77777777" w:rsidR="002F5B1D" w:rsidRDefault="002F5B1D">
            <w:pPr>
              <w:pStyle w:val="TableText"/>
              <w:jc w:val="center"/>
            </w:pPr>
            <w:r w:rsidRPr="00C57AF5">
              <w:t>redacted</w:t>
            </w:r>
            <w:r w:rsidRPr="00C57AF5">
              <w:rPr>
                <w:vertAlign w:val="superscript"/>
              </w:rPr>
              <w:t>1</w:t>
            </w:r>
          </w:p>
        </w:tc>
        <w:tc>
          <w:tcPr>
            <w:tcW w:w="0" w:type="auto"/>
          </w:tcPr>
          <w:p w14:paraId="2AFD0235" w14:textId="77777777" w:rsidR="002F5B1D" w:rsidRDefault="002F5B1D">
            <w:pPr>
              <w:pStyle w:val="TableText"/>
              <w:jc w:val="center"/>
            </w:pPr>
            <w:r w:rsidRPr="00C57AF5">
              <w:t>redacted</w:t>
            </w:r>
            <w:r w:rsidRPr="00C57AF5">
              <w:rPr>
                <w:vertAlign w:val="superscript"/>
              </w:rPr>
              <w:t>1</w:t>
            </w:r>
          </w:p>
        </w:tc>
        <w:tc>
          <w:tcPr>
            <w:tcW w:w="0" w:type="auto"/>
          </w:tcPr>
          <w:p w14:paraId="474A6938" w14:textId="77777777" w:rsidR="002F5B1D" w:rsidRDefault="002F5B1D">
            <w:pPr>
              <w:pStyle w:val="TableText"/>
              <w:jc w:val="center"/>
            </w:pPr>
            <w:r w:rsidRPr="00C57AF5">
              <w:t>redacted</w:t>
            </w:r>
            <w:r w:rsidRPr="00C57AF5">
              <w:rPr>
                <w:vertAlign w:val="superscript"/>
              </w:rPr>
              <w:t>1</w:t>
            </w:r>
          </w:p>
        </w:tc>
        <w:tc>
          <w:tcPr>
            <w:tcW w:w="0" w:type="auto"/>
          </w:tcPr>
          <w:p w14:paraId="0CB36B81" w14:textId="77777777" w:rsidR="002F5B1D" w:rsidRDefault="002F5B1D">
            <w:pPr>
              <w:pStyle w:val="TableText"/>
              <w:jc w:val="center"/>
            </w:pPr>
            <w:r w:rsidRPr="00C57AF5">
              <w:t>redacted</w:t>
            </w:r>
            <w:r w:rsidRPr="00C57AF5">
              <w:rPr>
                <w:vertAlign w:val="superscript"/>
              </w:rPr>
              <w:t>1</w:t>
            </w:r>
          </w:p>
        </w:tc>
        <w:tc>
          <w:tcPr>
            <w:tcW w:w="0" w:type="auto"/>
          </w:tcPr>
          <w:p w14:paraId="5A2FE564" w14:textId="77777777" w:rsidR="002F5B1D" w:rsidRDefault="002F5B1D">
            <w:pPr>
              <w:pStyle w:val="TableText"/>
              <w:jc w:val="center"/>
            </w:pPr>
            <w:r w:rsidRPr="00C57AF5">
              <w:t>redacted</w:t>
            </w:r>
            <w:r w:rsidRPr="00C57AF5">
              <w:rPr>
                <w:vertAlign w:val="superscript"/>
              </w:rPr>
              <w:t>1</w:t>
            </w:r>
          </w:p>
        </w:tc>
      </w:tr>
      <w:tr w:rsidR="002F5B1D" w14:paraId="3A6E5057" w14:textId="77777777" w:rsidTr="002F5B1D">
        <w:tc>
          <w:tcPr>
            <w:tcW w:w="0" w:type="auto"/>
          </w:tcPr>
          <w:p w14:paraId="1CFEAA07" w14:textId="77777777" w:rsidR="002F5B1D" w:rsidRDefault="002F5B1D">
            <w:pPr>
              <w:pStyle w:val="TableText"/>
            </w:pPr>
            <w:r w:rsidRPr="00A07C4C">
              <w:t xml:space="preserve">Number of scripts </w:t>
            </w:r>
            <w:proofErr w:type="spellStart"/>
            <w:r w:rsidRPr="00A07C4C">
              <w:t>dispensed</w:t>
            </w:r>
            <w:r w:rsidRPr="00FC44A0">
              <w:rPr>
                <w:vertAlign w:val="superscript"/>
              </w:rPr>
              <w:t>b</w:t>
            </w:r>
            <w:proofErr w:type="spellEnd"/>
          </w:p>
        </w:tc>
        <w:tc>
          <w:tcPr>
            <w:tcW w:w="0" w:type="auto"/>
          </w:tcPr>
          <w:p w14:paraId="70CD931A" w14:textId="77777777" w:rsidR="002F5B1D" w:rsidRDefault="002F5B1D">
            <w:pPr>
              <w:pStyle w:val="TableText"/>
              <w:jc w:val="center"/>
            </w:pPr>
            <w:r>
              <w:t>redacted</w:t>
            </w:r>
            <w:r w:rsidRPr="006B7A2F">
              <w:rPr>
                <w:vertAlign w:val="superscript"/>
              </w:rPr>
              <w:t>1</w:t>
            </w:r>
          </w:p>
        </w:tc>
        <w:tc>
          <w:tcPr>
            <w:tcW w:w="0" w:type="auto"/>
          </w:tcPr>
          <w:p w14:paraId="19912E01" w14:textId="77777777" w:rsidR="002F5B1D" w:rsidRDefault="002F5B1D">
            <w:pPr>
              <w:pStyle w:val="TableText"/>
              <w:jc w:val="center"/>
            </w:pPr>
            <w:r>
              <w:t>redacted</w:t>
            </w:r>
            <w:r>
              <w:rPr>
                <w:vertAlign w:val="superscript"/>
              </w:rPr>
              <w:t>2</w:t>
            </w:r>
          </w:p>
        </w:tc>
        <w:tc>
          <w:tcPr>
            <w:tcW w:w="0" w:type="auto"/>
          </w:tcPr>
          <w:p w14:paraId="719EA305" w14:textId="77777777" w:rsidR="002F5B1D" w:rsidRDefault="002F5B1D">
            <w:pPr>
              <w:pStyle w:val="TableText"/>
              <w:jc w:val="center"/>
            </w:pPr>
            <w:r w:rsidRPr="00C32136">
              <w:t>redacted</w:t>
            </w:r>
            <w:r w:rsidRPr="00C32136">
              <w:rPr>
                <w:vertAlign w:val="superscript"/>
              </w:rPr>
              <w:t>2</w:t>
            </w:r>
          </w:p>
        </w:tc>
        <w:tc>
          <w:tcPr>
            <w:tcW w:w="0" w:type="auto"/>
          </w:tcPr>
          <w:p w14:paraId="6DE0DBAB" w14:textId="77777777" w:rsidR="002F5B1D" w:rsidRDefault="002F5B1D">
            <w:pPr>
              <w:pStyle w:val="TableText"/>
              <w:jc w:val="center"/>
            </w:pPr>
            <w:r w:rsidRPr="00C32136">
              <w:t>redacted</w:t>
            </w:r>
            <w:r w:rsidRPr="00C32136">
              <w:rPr>
                <w:vertAlign w:val="superscript"/>
              </w:rPr>
              <w:t>2</w:t>
            </w:r>
          </w:p>
        </w:tc>
        <w:tc>
          <w:tcPr>
            <w:tcW w:w="0" w:type="auto"/>
          </w:tcPr>
          <w:p w14:paraId="66581BD7" w14:textId="77777777" w:rsidR="002F5B1D" w:rsidRDefault="002F5B1D">
            <w:pPr>
              <w:pStyle w:val="TableText"/>
              <w:jc w:val="center"/>
            </w:pPr>
            <w:r w:rsidRPr="00C32136">
              <w:t>redacted</w:t>
            </w:r>
            <w:r w:rsidRPr="00C32136">
              <w:rPr>
                <w:vertAlign w:val="superscript"/>
              </w:rPr>
              <w:t>2</w:t>
            </w:r>
          </w:p>
        </w:tc>
        <w:tc>
          <w:tcPr>
            <w:tcW w:w="0" w:type="auto"/>
          </w:tcPr>
          <w:p w14:paraId="5D30F686" w14:textId="77777777" w:rsidR="002F5B1D" w:rsidRDefault="002F5B1D">
            <w:pPr>
              <w:pStyle w:val="TableText"/>
              <w:jc w:val="center"/>
            </w:pPr>
            <w:r w:rsidRPr="00C32136">
              <w:t>redacted</w:t>
            </w:r>
            <w:r w:rsidRPr="00C32136">
              <w:rPr>
                <w:vertAlign w:val="superscript"/>
              </w:rPr>
              <w:t>2</w:t>
            </w:r>
          </w:p>
        </w:tc>
      </w:tr>
      <w:tr w:rsidR="002F5B1D" w14:paraId="4DB7E3C2" w14:textId="77777777" w:rsidTr="002F5B1D">
        <w:tc>
          <w:tcPr>
            <w:tcW w:w="0" w:type="auto"/>
          </w:tcPr>
          <w:p w14:paraId="350CF565" w14:textId="77777777" w:rsidR="002F5B1D" w:rsidRPr="002C633F" w:rsidRDefault="002F5B1D">
            <w:pPr>
              <w:pStyle w:val="TableText"/>
            </w:pPr>
            <w:r w:rsidRPr="002C633F">
              <w:t>Cost to PBS/RPBS</w:t>
            </w:r>
            <w:r>
              <w:t xml:space="preserve"> </w:t>
            </w:r>
            <w:r w:rsidRPr="00D45E68">
              <w:rPr>
                <w:b/>
              </w:rPr>
              <w:t>$</w:t>
            </w:r>
          </w:p>
        </w:tc>
        <w:tc>
          <w:tcPr>
            <w:tcW w:w="0" w:type="auto"/>
          </w:tcPr>
          <w:p w14:paraId="4D2EEAB9" w14:textId="77777777" w:rsidR="002F5B1D" w:rsidRPr="00FC44A0" w:rsidRDefault="002F5B1D">
            <w:pPr>
              <w:pStyle w:val="TableText"/>
              <w:jc w:val="right"/>
              <w:rPr>
                <w:b/>
                <w:bCs w:val="0"/>
              </w:rPr>
            </w:pPr>
            <w:r w:rsidRPr="0089745B">
              <w:rPr>
                <w:b/>
                <w:bCs w:val="0"/>
                <w:color w:val="000000"/>
              </w:rPr>
              <w:t>redacted</w:t>
            </w:r>
            <w:r w:rsidRPr="0089745B">
              <w:rPr>
                <w:b/>
                <w:bCs w:val="0"/>
                <w:color w:val="000000"/>
                <w:vertAlign w:val="superscript"/>
              </w:rPr>
              <w:t>3</w:t>
            </w:r>
          </w:p>
        </w:tc>
        <w:tc>
          <w:tcPr>
            <w:tcW w:w="0" w:type="auto"/>
          </w:tcPr>
          <w:p w14:paraId="1BEF9C8B" w14:textId="77777777" w:rsidR="002F5B1D" w:rsidRPr="00FC44A0" w:rsidRDefault="002F5B1D">
            <w:pPr>
              <w:pStyle w:val="TableText"/>
              <w:jc w:val="right"/>
              <w:rPr>
                <w:b/>
                <w:bCs w:val="0"/>
              </w:rPr>
            </w:pPr>
            <w:r w:rsidRPr="0089745B">
              <w:rPr>
                <w:b/>
                <w:bCs w:val="0"/>
                <w:color w:val="000000"/>
              </w:rPr>
              <w:t>redacted</w:t>
            </w:r>
            <w:r w:rsidRPr="0089745B">
              <w:rPr>
                <w:b/>
                <w:bCs w:val="0"/>
                <w:color w:val="000000"/>
                <w:vertAlign w:val="superscript"/>
              </w:rPr>
              <w:t>3</w:t>
            </w:r>
          </w:p>
        </w:tc>
        <w:tc>
          <w:tcPr>
            <w:tcW w:w="0" w:type="auto"/>
          </w:tcPr>
          <w:p w14:paraId="52553219" w14:textId="77777777" w:rsidR="002F5B1D" w:rsidRPr="00FC44A0" w:rsidRDefault="002F5B1D">
            <w:pPr>
              <w:pStyle w:val="TableText"/>
              <w:jc w:val="right"/>
              <w:rPr>
                <w:b/>
                <w:bCs w:val="0"/>
              </w:rPr>
            </w:pPr>
            <w:r w:rsidRPr="0089745B">
              <w:rPr>
                <w:b/>
                <w:bCs w:val="0"/>
                <w:color w:val="000000"/>
              </w:rPr>
              <w:t>redacted</w:t>
            </w:r>
            <w:r w:rsidRPr="0089745B">
              <w:rPr>
                <w:b/>
                <w:bCs w:val="0"/>
                <w:color w:val="000000"/>
                <w:vertAlign w:val="superscript"/>
              </w:rPr>
              <w:t>3</w:t>
            </w:r>
          </w:p>
        </w:tc>
        <w:tc>
          <w:tcPr>
            <w:tcW w:w="0" w:type="auto"/>
          </w:tcPr>
          <w:p w14:paraId="296FCC5D" w14:textId="77777777" w:rsidR="002F5B1D" w:rsidRPr="00FC44A0" w:rsidRDefault="002F5B1D">
            <w:pPr>
              <w:pStyle w:val="TableText"/>
              <w:jc w:val="right"/>
              <w:rPr>
                <w:b/>
                <w:bCs w:val="0"/>
              </w:rPr>
            </w:pPr>
            <w:r w:rsidRPr="0089745B">
              <w:rPr>
                <w:b/>
                <w:bCs w:val="0"/>
                <w:color w:val="000000"/>
              </w:rPr>
              <w:t>redacted</w:t>
            </w:r>
            <w:r w:rsidRPr="0089745B">
              <w:rPr>
                <w:b/>
                <w:bCs w:val="0"/>
                <w:color w:val="000000"/>
                <w:vertAlign w:val="superscript"/>
              </w:rPr>
              <w:t>3</w:t>
            </w:r>
          </w:p>
        </w:tc>
        <w:tc>
          <w:tcPr>
            <w:tcW w:w="0" w:type="auto"/>
          </w:tcPr>
          <w:p w14:paraId="40FFD91D" w14:textId="77777777" w:rsidR="002F5B1D" w:rsidRPr="00FC44A0" w:rsidRDefault="002F5B1D">
            <w:pPr>
              <w:pStyle w:val="TableText"/>
              <w:jc w:val="right"/>
              <w:rPr>
                <w:b/>
                <w:bCs w:val="0"/>
              </w:rPr>
            </w:pPr>
            <w:r w:rsidRPr="0089745B">
              <w:rPr>
                <w:b/>
                <w:bCs w:val="0"/>
                <w:color w:val="000000"/>
              </w:rPr>
              <w:t>redacted</w:t>
            </w:r>
            <w:r w:rsidRPr="0089745B">
              <w:rPr>
                <w:b/>
                <w:bCs w:val="0"/>
                <w:color w:val="000000"/>
                <w:vertAlign w:val="superscript"/>
              </w:rPr>
              <w:t>3</w:t>
            </w:r>
          </w:p>
        </w:tc>
        <w:tc>
          <w:tcPr>
            <w:tcW w:w="0" w:type="auto"/>
          </w:tcPr>
          <w:p w14:paraId="3238F265" w14:textId="77777777" w:rsidR="002F5B1D" w:rsidRPr="00FC44A0" w:rsidRDefault="002F5B1D">
            <w:pPr>
              <w:pStyle w:val="TableText"/>
              <w:jc w:val="right"/>
              <w:rPr>
                <w:b/>
                <w:bCs w:val="0"/>
              </w:rPr>
            </w:pPr>
            <w:r w:rsidRPr="0089745B">
              <w:rPr>
                <w:b/>
                <w:bCs w:val="0"/>
                <w:color w:val="000000"/>
              </w:rPr>
              <w:t>redacted</w:t>
            </w:r>
            <w:r w:rsidRPr="0089745B">
              <w:rPr>
                <w:b/>
                <w:bCs w:val="0"/>
                <w:color w:val="000000"/>
                <w:vertAlign w:val="superscript"/>
              </w:rPr>
              <w:t>3</w:t>
            </w:r>
          </w:p>
        </w:tc>
      </w:tr>
      <w:tr w:rsidR="002F5B1D" w14:paraId="05EF53BC" w14:textId="77777777" w:rsidTr="002F5B1D">
        <w:tc>
          <w:tcPr>
            <w:tcW w:w="0" w:type="auto"/>
          </w:tcPr>
          <w:p w14:paraId="22A965DE" w14:textId="77777777" w:rsidR="002F5B1D" w:rsidRPr="002C633F" w:rsidRDefault="002F5B1D">
            <w:pPr>
              <w:pStyle w:val="TableText"/>
            </w:pPr>
            <w:r>
              <w:t>Net c</w:t>
            </w:r>
            <w:r w:rsidRPr="002C633F">
              <w:t>ost to MBS</w:t>
            </w:r>
            <w:r>
              <w:t xml:space="preserve"> </w:t>
            </w:r>
            <w:r w:rsidRPr="00D45E68">
              <w:rPr>
                <w:b/>
              </w:rPr>
              <w:t>$</w:t>
            </w:r>
            <w:r>
              <w:t xml:space="preserve"> (assuming 85% benefit)</w:t>
            </w:r>
          </w:p>
        </w:tc>
        <w:tc>
          <w:tcPr>
            <w:tcW w:w="0" w:type="auto"/>
          </w:tcPr>
          <w:p w14:paraId="57B5A7B3" w14:textId="77777777" w:rsidR="002F5B1D" w:rsidRPr="00ED4163" w:rsidRDefault="002F5B1D">
            <w:pPr>
              <w:pStyle w:val="TableText"/>
              <w:jc w:val="right"/>
            </w:pPr>
            <w:r w:rsidRPr="006B7A2F">
              <w:rPr>
                <w:color w:val="000000"/>
              </w:rPr>
              <w:t>redacted</w:t>
            </w:r>
            <w:r w:rsidRPr="006B7A2F">
              <w:rPr>
                <w:color w:val="000000"/>
                <w:vertAlign w:val="superscript"/>
              </w:rPr>
              <w:t>3</w:t>
            </w:r>
          </w:p>
        </w:tc>
        <w:tc>
          <w:tcPr>
            <w:tcW w:w="0" w:type="auto"/>
          </w:tcPr>
          <w:p w14:paraId="6EEF64C0" w14:textId="77777777" w:rsidR="002F5B1D" w:rsidRPr="00ED4163" w:rsidRDefault="002F5B1D">
            <w:pPr>
              <w:pStyle w:val="TableText"/>
              <w:jc w:val="right"/>
            </w:pPr>
            <w:r w:rsidRPr="006B7A2F">
              <w:rPr>
                <w:color w:val="000000"/>
              </w:rPr>
              <w:t>redacted</w:t>
            </w:r>
            <w:r w:rsidRPr="006B7A2F">
              <w:rPr>
                <w:color w:val="000000"/>
                <w:vertAlign w:val="superscript"/>
              </w:rPr>
              <w:t>3</w:t>
            </w:r>
          </w:p>
        </w:tc>
        <w:tc>
          <w:tcPr>
            <w:tcW w:w="0" w:type="auto"/>
          </w:tcPr>
          <w:p w14:paraId="70F91B13" w14:textId="77777777" w:rsidR="002F5B1D" w:rsidRPr="00ED4163" w:rsidRDefault="002F5B1D">
            <w:pPr>
              <w:pStyle w:val="TableText"/>
              <w:jc w:val="right"/>
            </w:pPr>
            <w:r w:rsidRPr="006B7A2F">
              <w:rPr>
                <w:color w:val="000000"/>
              </w:rPr>
              <w:t>redacted</w:t>
            </w:r>
            <w:r w:rsidRPr="006B7A2F">
              <w:rPr>
                <w:color w:val="000000"/>
                <w:vertAlign w:val="superscript"/>
              </w:rPr>
              <w:t>3</w:t>
            </w:r>
          </w:p>
        </w:tc>
        <w:tc>
          <w:tcPr>
            <w:tcW w:w="0" w:type="auto"/>
          </w:tcPr>
          <w:p w14:paraId="1F909586" w14:textId="77777777" w:rsidR="002F5B1D" w:rsidRPr="00ED4163" w:rsidRDefault="002F5B1D">
            <w:pPr>
              <w:pStyle w:val="TableText"/>
              <w:jc w:val="right"/>
            </w:pPr>
            <w:r w:rsidRPr="006B7A2F">
              <w:rPr>
                <w:color w:val="000000"/>
              </w:rPr>
              <w:t>redacted</w:t>
            </w:r>
            <w:r w:rsidRPr="006B7A2F">
              <w:rPr>
                <w:color w:val="000000"/>
                <w:vertAlign w:val="superscript"/>
              </w:rPr>
              <w:t>3</w:t>
            </w:r>
          </w:p>
        </w:tc>
        <w:tc>
          <w:tcPr>
            <w:tcW w:w="0" w:type="auto"/>
          </w:tcPr>
          <w:p w14:paraId="08C505A2" w14:textId="77777777" w:rsidR="002F5B1D" w:rsidRPr="00ED4163" w:rsidRDefault="002F5B1D">
            <w:pPr>
              <w:pStyle w:val="TableText"/>
              <w:jc w:val="right"/>
            </w:pPr>
            <w:r w:rsidRPr="006B7A2F">
              <w:rPr>
                <w:color w:val="000000"/>
              </w:rPr>
              <w:t>redacted</w:t>
            </w:r>
            <w:r w:rsidRPr="006B7A2F">
              <w:rPr>
                <w:color w:val="000000"/>
                <w:vertAlign w:val="superscript"/>
              </w:rPr>
              <w:t>3</w:t>
            </w:r>
          </w:p>
        </w:tc>
        <w:tc>
          <w:tcPr>
            <w:tcW w:w="0" w:type="auto"/>
          </w:tcPr>
          <w:p w14:paraId="0975C410" w14:textId="77777777" w:rsidR="002F5B1D" w:rsidRPr="00ED4163" w:rsidRDefault="002F5B1D">
            <w:pPr>
              <w:pStyle w:val="TableText"/>
              <w:jc w:val="right"/>
            </w:pPr>
            <w:r w:rsidRPr="006B7A2F">
              <w:rPr>
                <w:color w:val="000000"/>
              </w:rPr>
              <w:t>redacted</w:t>
            </w:r>
            <w:r w:rsidRPr="006B7A2F">
              <w:rPr>
                <w:color w:val="000000"/>
                <w:vertAlign w:val="superscript"/>
              </w:rPr>
              <w:t>3</w:t>
            </w:r>
          </w:p>
        </w:tc>
      </w:tr>
      <w:tr w:rsidR="002F5B1D" w:rsidDel="008147AE" w14:paraId="16B00294" w14:textId="77777777" w:rsidTr="002F5B1D">
        <w:tc>
          <w:tcPr>
            <w:tcW w:w="0" w:type="auto"/>
          </w:tcPr>
          <w:p w14:paraId="496C166F" w14:textId="77777777" w:rsidR="002F5B1D" w:rsidRPr="002C633F" w:rsidDel="008147AE" w:rsidRDefault="002F5B1D">
            <w:pPr>
              <w:pStyle w:val="TableText"/>
            </w:pPr>
            <w:r w:rsidRPr="00067D63">
              <w:rPr>
                <w:b/>
                <w:bCs w:val="0"/>
              </w:rPr>
              <w:t>Net cost to health budget (PBS/RPBS/MBS</w:t>
            </w:r>
            <w:r>
              <w:t>)</w:t>
            </w:r>
          </w:p>
        </w:tc>
        <w:tc>
          <w:tcPr>
            <w:tcW w:w="0" w:type="auto"/>
          </w:tcPr>
          <w:p w14:paraId="52A57092" w14:textId="77777777" w:rsidR="002F5B1D" w:rsidRPr="00FC44A0" w:rsidDel="008147AE" w:rsidRDefault="002F5B1D">
            <w:pPr>
              <w:pStyle w:val="TableText"/>
              <w:jc w:val="right"/>
              <w:rPr>
                <w:b/>
                <w:bCs w:val="0"/>
              </w:rPr>
            </w:pPr>
            <w:r w:rsidRPr="00AF4BE9">
              <w:rPr>
                <w:b/>
                <w:bCs w:val="0"/>
                <w:color w:val="000000"/>
              </w:rPr>
              <w:t>redacted</w:t>
            </w:r>
            <w:r w:rsidRPr="00AF4BE9">
              <w:rPr>
                <w:b/>
                <w:bCs w:val="0"/>
                <w:color w:val="000000"/>
                <w:vertAlign w:val="superscript"/>
              </w:rPr>
              <w:t>3</w:t>
            </w:r>
          </w:p>
        </w:tc>
        <w:tc>
          <w:tcPr>
            <w:tcW w:w="0" w:type="auto"/>
          </w:tcPr>
          <w:p w14:paraId="2FDC7F7C" w14:textId="77777777" w:rsidR="002F5B1D" w:rsidRPr="00FC44A0" w:rsidDel="008147AE" w:rsidRDefault="002F5B1D">
            <w:pPr>
              <w:pStyle w:val="TableText"/>
              <w:jc w:val="right"/>
              <w:rPr>
                <w:b/>
                <w:bCs w:val="0"/>
              </w:rPr>
            </w:pPr>
            <w:r w:rsidRPr="00AF4BE9">
              <w:rPr>
                <w:b/>
                <w:bCs w:val="0"/>
                <w:color w:val="000000"/>
              </w:rPr>
              <w:t>redacted</w:t>
            </w:r>
            <w:r w:rsidRPr="00AF4BE9">
              <w:rPr>
                <w:b/>
                <w:bCs w:val="0"/>
                <w:color w:val="000000"/>
                <w:vertAlign w:val="superscript"/>
              </w:rPr>
              <w:t>3</w:t>
            </w:r>
          </w:p>
        </w:tc>
        <w:tc>
          <w:tcPr>
            <w:tcW w:w="0" w:type="auto"/>
          </w:tcPr>
          <w:p w14:paraId="391387D9" w14:textId="77777777" w:rsidR="002F5B1D" w:rsidRPr="00FC44A0" w:rsidDel="008147AE" w:rsidRDefault="002F5B1D">
            <w:pPr>
              <w:pStyle w:val="TableText"/>
              <w:jc w:val="right"/>
              <w:rPr>
                <w:b/>
                <w:bCs w:val="0"/>
              </w:rPr>
            </w:pPr>
            <w:r w:rsidRPr="00AF4BE9">
              <w:rPr>
                <w:b/>
                <w:bCs w:val="0"/>
                <w:color w:val="000000"/>
              </w:rPr>
              <w:t>redacted</w:t>
            </w:r>
            <w:r w:rsidRPr="00AF4BE9">
              <w:rPr>
                <w:b/>
                <w:bCs w:val="0"/>
                <w:color w:val="000000"/>
                <w:vertAlign w:val="superscript"/>
              </w:rPr>
              <w:t>3</w:t>
            </w:r>
          </w:p>
        </w:tc>
        <w:tc>
          <w:tcPr>
            <w:tcW w:w="0" w:type="auto"/>
          </w:tcPr>
          <w:p w14:paraId="3D4F5478" w14:textId="77777777" w:rsidR="002F5B1D" w:rsidRPr="00FC44A0" w:rsidDel="008147AE" w:rsidRDefault="002F5B1D">
            <w:pPr>
              <w:pStyle w:val="TableText"/>
              <w:jc w:val="right"/>
              <w:rPr>
                <w:b/>
                <w:bCs w:val="0"/>
              </w:rPr>
            </w:pPr>
            <w:r w:rsidRPr="00AF4BE9">
              <w:rPr>
                <w:b/>
                <w:bCs w:val="0"/>
                <w:color w:val="000000"/>
              </w:rPr>
              <w:t>redacted</w:t>
            </w:r>
            <w:r w:rsidRPr="00AF4BE9">
              <w:rPr>
                <w:b/>
                <w:bCs w:val="0"/>
                <w:color w:val="000000"/>
                <w:vertAlign w:val="superscript"/>
              </w:rPr>
              <w:t>3</w:t>
            </w:r>
          </w:p>
        </w:tc>
        <w:tc>
          <w:tcPr>
            <w:tcW w:w="0" w:type="auto"/>
          </w:tcPr>
          <w:p w14:paraId="276841C2" w14:textId="77777777" w:rsidR="002F5B1D" w:rsidRPr="00FC44A0" w:rsidDel="008147AE" w:rsidRDefault="002F5B1D">
            <w:pPr>
              <w:pStyle w:val="TableText"/>
              <w:jc w:val="right"/>
              <w:rPr>
                <w:b/>
                <w:bCs w:val="0"/>
              </w:rPr>
            </w:pPr>
            <w:r w:rsidRPr="00AF4BE9">
              <w:rPr>
                <w:b/>
                <w:bCs w:val="0"/>
                <w:color w:val="000000"/>
              </w:rPr>
              <w:t>redacted</w:t>
            </w:r>
            <w:r w:rsidRPr="00AF4BE9">
              <w:rPr>
                <w:b/>
                <w:bCs w:val="0"/>
                <w:color w:val="000000"/>
                <w:vertAlign w:val="superscript"/>
              </w:rPr>
              <w:t>3</w:t>
            </w:r>
          </w:p>
        </w:tc>
        <w:tc>
          <w:tcPr>
            <w:tcW w:w="0" w:type="auto"/>
          </w:tcPr>
          <w:p w14:paraId="65AF71DC" w14:textId="77777777" w:rsidR="002F5B1D" w:rsidRPr="00FC44A0" w:rsidDel="008147AE" w:rsidRDefault="002F5B1D">
            <w:pPr>
              <w:pStyle w:val="TableText"/>
              <w:jc w:val="right"/>
              <w:rPr>
                <w:b/>
                <w:bCs w:val="0"/>
              </w:rPr>
            </w:pPr>
            <w:r w:rsidRPr="00AF4BE9">
              <w:rPr>
                <w:b/>
                <w:bCs w:val="0"/>
                <w:color w:val="000000"/>
              </w:rPr>
              <w:t>redacted</w:t>
            </w:r>
            <w:r w:rsidRPr="00AF4BE9">
              <w:rPr>
                <w:b/>
                <w:bCs w:val="0"/>
                <w:color w:val="000000"/>
                <w:vertAlign w:val="superscript"/>
              </w:rPr>
              <w:t>3</w:t>
            </w:r>
          </w:p>
        </w:tc>
      </w:tr>
    </w:tbl>
    <w:p w14:paraId="4EEA44D5" w14:textId="77777777" w:rsidR="005B0AAD" w:rsidRDefault="005B0AAD" w:rsidP="005B0AAD">
      <w:pPr>
        <w:pStyle w:val="TableFigureFooter"/>
      </w:pPr>
      <w:r w:rsidRPr="00A07C4C">
        <w:rPr>
          <w:vertAlign w:val="superscript"/>
        </w:rPr>
        <w:t>a</w:t>
      </w:r>
      <w:r w:rsidRPr="00A07C4C">
        <w:t xml:space="preserve"> </w:t>
      </w:r>
      <w:r>
        <w:t xml:space="preserve">Assumes 9.15% prevalence of </w:t>
      </w:r>
      <w:r w:rsidRPr="00F205B8">
        <w:rPr>
          <w:i/>
          <w:iCs/>
        </w:rPr>
        <w:t>IDH1</w:t>
      </w:r>
      <w:r>
        <w:t>m, 80% with advanced/metastatic disease and 70% progressing to second line treatment.</w:t>
      </w:r>
    </w:p>
    <w:p w14:paraId="0C5F80A4" w14:textId="77777777" w:rsidR="005B0AAD" w:rsidRDefault="005B0AAD" w:rsidP="005B0AAD">
      <w:pPr>
        <w:pStyle w:val="TableFigureFooter"/>
        <w:rPr>
          <w:color w:val="0D0D0D" w:themeColor="text1" w:themeTint="F2"/>
        </w:rPr>
      </w:pPr>
      <w:r w:rsidRPr="006C5E9C">
        <w:rPr>
          <w:vertAlign w:val="superscript"/>
        </w:rPr>
        <w:t>b</w:t>
      </w:r>
      <w:r>
        <w:t xml:space="preserve"> Includes 14 scripts for 5 grandfathered patients in year 1. </w:t>
      </w:r>
      <w:r w:rsidRPr="003E7195">
        <w:rPr>
          <w:color w:val="0D0D0D" w:themeColor="text1" w:themeTint="F2"/>
        </w:rPr>
        <w:t xml:space="preserve">Assuming 5.62 scripts per incident patients treated with </w:t>
      </w:r>
      <w:proofErr w:type="spellStart"/>
      <w:r w:rsidRPr="003E7195">
        <w:rPr>
          <w:color w:val="0D0D0D" w:themeColor="text1" w:themeTint="F2"/>
        </w:rPr>
        <w:t>ivosidenib</w:t>
      </w:r>
      <w:proofErr w:type="spellEnd"/>
      <w:r w:rsidRPr="003E7195">
        <w:rPr>
          <w:color w:val="0D0D0D" w:themeColor="text1" w:themeTint="F2"/>
        </w:rPr>
        <w:t xml:space="preserve">. The number of scripts was estimated based on a treatment duration of 25.11 weeks and a compliance rate of 95.9%. The number of scripts per grandfathered patients was estimated to be 2.81 (=5.62/2). </w:t>
      </w:r>
    </w:p>
    <w:p w14:paraId="61AAC2D3" w14:textId="6FB2442A" w:rsidR="00245436" w:rsidRDefault="00245436" w:rsidP="005B0AAD">
      <w:pPr>
        <w:pStyle w:val="TableFigureFooter"/>
        <w:rPr>
          <w:color w:val="0D0D0D" w:themeColor="text1" w:themeTint="F2"/>
        </w:rPr>
      </w:pPr>
      <w:r>
        <w:rPr>
          <w:color w:val="0D0D0D" w:themeColor="text1" w:themeTint="F2"/>
        </w:rPr>
        <w:t xml:space="preserve">Abbreviations: </w:t>
      </w:r>
      <w:r w:rsidR="00173E17">
        <w:rPr>
          <w:color w:val="0D0D0D" w:themeColor="text1" w:themeTint="F2"/>
        </w:rPr>
        <w:t xml:space="preserve">ECG = </w:t>
      </w:r>
      <w:r w:rsidR="00A16DE7" w:rsidRPr="00431CF2">
        <w:rPr>
          <w:color w:val="0D0D0D"/>
        </w:rPr>
        <w:t>electrocardiogram</w:t>
      </w:r>
      <w:r w:rsidR="00A16DE7">
        <w:rPr>
          <w:color w:val="0D0D0D"/>
        </w:rPr>
        <w:t xml:space="preserve">; </w:t>
      </w:r>
      <w:r w:rsidR="003E1EF9">
        <w:rPr>
          <w:color w:val="0D0D0D" w:themeColor="text1" w:themeTint="F2"/>
        </w:rPr>
        <w:t xml:space="preserve">MBS= </w:t>
      </w:r>
      <w:r w:rsidR="003154FD">
        <w:rPr>
          <w:color w:val="0D0D0D" w:themeColor="text1" w:themeTint="F2"/>
        </w:rPr>
        <w:t>Medicare</w:t>
      </w:r>
      <w:r w:rsidR="003E1EF9">
        <w:rPr>
          <w:color w:val="0D0D0D" w:themeColor="text1" w:themeTint="F2"/>
        </w:rPr>
        <w:t xml:space="preserve"> </w:t>
      </w:r>
      <w:r w:rsidR="003E19C5">
        <w:rPr>
          <w:color w:val="0D0D0D" w:themeColor="text1" w:themeTint="F2"/>
        </w:rPr>
        <w:t>B</w:t>
      </w:r>
      <w:r w:rsidR="003E1EF9">
        <w:rPr>
          <w:color w:val="0D0D0D" w:themeColor="text1" w:themeTint="F2"/>
        </w:rPr>
        <w:t>enefit</w:t>
      </w:r>
      <w:r w:rsidR="003154FD">
        <w:rPr>
          <w:color w:val="0D0D0D" w:themeColor="text1" w:themeTint="F2"/>
        </w:rPr>
        <w:t>s</w:t>
      </w:r>
      <w:r w:rsidR="003E1EF9">
        <w:rPr>
          <w:color w:val="0D0D0D" w:themeColor="text1" w:themeTint="F2"/>
        </w:rPr>
        <w:t xml:space="preserve"> </w:t>
      </w:r>
      <w:r w:rsidR="003E19C5">
        <w:rPr>
          <w:color w:val="0D0D0D" w:themeColor="text1" w:themeTint="F2"/>
        </w:rPr>
        <w:t>S</w:t>
      </w:r>
      <w:r w:rsidR="003154FD">
        <w:rPr>
          <w:color w:val="0D0D0D" w:themeColor="text1" w:themeTint="F2"/>
        </w:rPr>
        <w:t xml:space="preserve">chedule; PBS </w:t>
      </w:r>
      <w:r w:rsidR="00C01583">
        <w:rPr>
          <w:color w:val="0D0D0D" w:themeColor="text1" w:themeTint="F2"/>
        </w:rPr>
        <w:t xml:space="preserve">= </w:t>
      </w:r>
      <w:r w:rsidR="003E19C5" w:rsidRPr="003E19C5">
        <w:rPr>
          <w:color w:val="0D0D0D" w:themeColor="text1" w:themeTint="F2"/>
        </w:rPr>
        <w:t>Pharmaceutical Benefits Scheme</w:t>
      </w:r>
      <w:r w:rsidR="003E19C5">
        <w:rPr>
          <w:color w:val="0D0D0D" w:themeColor="text1" w:themeTint="F2"/>
        </w:rPr>
        <w:t xml:space="preserve">; RPBS= </w:t>
      </w:r>
      <w:r w:rsidR="0084369E" w:rsidRPr="0084369E">
        <w:rPr>
          <w:color w:val="0D0D0D" w:themeColor="text1" w:themeTint="F2"/>
        </w:rPr>
        <w:t>Repatriation</w:t>
      </w:r>
      <w:r w:rsidR="0084369E">
        <w:rPr>
          <w:color w:val="0D0D0D" w:themeColor="text1" w:themeTint="F2"/>
        </w:rPr>
        <w:t xml:space="preserve"> </w:t>
      </w:r>
      <w:r w:rsidR="0084369E" w:rsidRPr="003E19C5">
        <w:rPr>
          <w:color w:val="0D0D0D" w:themeColor="text1" w:themeTint="F2"/>
        </w:rPr>
        <w:t>Pharmaceutical Benefits Scheme</w:t>
      </w:r>
    </w:p>
    <w:p w14:paraId="46D6BE36" w14:textId="71F973B1" w:rsidR="005B0AAD" w:rsidRDefault="005B0AAD" w:rsidP="005B0AAD">
      <w:pPr>
        <w:pStyle w:val="TableFigureFooter"/>
      </w:pPr>
      <w:bookmarkStart w:id="10" w:name="_Hlk80288964"/>
      <w:r w:rsidRPr="002C633F">
        <w:t xml:space="preserve">Source: </w:t>
      </w:r>
      <w:bookmarkEnd w:id="10"/>
      <w:r w:rsidR="00D4255F">
        <w:t xml:space="preserve">Table </w:t>
      </w:r>
      <w:r w:rsidR="00D4255F">
        <w:fldChar w:fldCharType="begin"/>
      </w:r>
      <w:r w:rsidR="00D4255F">
        <w:instrText xml:space="preserve"> SEQ Table \* ARABIC </w:instrText>
      </w:r>
      <w:r w:rsidR="00D4255F">
        <w:fldChar w:fldCharType="separate"/>
      </w:r>
      <w:r w:rsidR="002927EC">
        <w:rPr>
          <w:noProof/>
        </w:rPr>
        <w:t>6</w:t>
      </w:r>
      <w:r w:rsidR="00D4255F">
        <w:fldChar w:fldCharType="end"/>
      </w:r>
      <w:r w:rsidR="0055331A">
        <w:t xml:space="preserve"> Commentary Executive Summary</w:t>
      </w:r>
      <w:r>
        <w:t xml:space="preserve">, Table </w:t>
      </w:r>
      <w:r w:rsidR="00C96AF5">
        <w:t xml:space="preserve">MSAC 9 </w:t>
      </w:r>
      <w:r w:rsidR="00724BAC">
        <w:t xml:space="preserve">1750 </w:t>
      </w:r>
      <w:r w:rsidR="00F205B8">
        <w:t>August</w:t>
      </w:r>
      <w:r>
        <w:t xml:space="preserve"> 2024 </w:t>
      </w:r>
      <w:r w:rsidR="00724BAC">
        <w:t xml:space="preserve">MSAC </w:t>
      </w:r>
      <w:r w:rsidR="00F205B8">
        <w:t>PSD</w:t>
      </w:r>
      <w:r w:rsidR="00B7442F">
        <w:t>,</w:t>
      </w:r>
      <w:r w:rsidR="00724BAC">
        <w:t xml:space="preserve"> </w:t>
      </w:r>
      <w:r w:rsidR="00120AF1">
        <w:t>Financial excel spreadsheet “</w:t>
      </w:r>
      <w:r w:rsidR="00120AF1" w:rsidRPr="00120AF1">
        <w:t>4.1_Budget impact model_Aug2024_FINAL</w:t>
      </w:r>
      <w:r w:rsidR="00120AF1">
        <w:t>”</w:t>
      </w:r>
    </w:p>
    <w:p w14:paraId="1D368453" w14:textId="3FFF5561" w:rsidR="00806D7A" w:rsidRDefault="007E0F61" w:rsidP="006617E0">
      <w:pPr>
        <w:pStyle w:val="TableFigureFooter"/>
      </w:pPr>
      <w:r>
        <w:t>Texts in italics calculated by</w:t>
      </w:r>
      <w:r w:rsidR="00C906BC">
        <w:t xml:space="preserve"> the</w:t>
      </w:r>
      <w:r>
        <w:t xml:space="preserve"> department</w:t>
      </w:r>
    </w:p>
    <w:p w14:paraId="18563906" w14:textId="77777777" w:rsidR="006F5193" w:rsidRDefault="006F5193" w:rsidP="006617E0">
      <w:pPr>
        <w:pStyle w:val="TableFigureFooter"/>
      </w:pPr>
      <w:r w:rsidRPr="006F5193">
        <w:t xml:space="preserve">The redacted values correspond to the following ranges: </w:t>
      </w:r>
    </w:p>
    <w:p w14:paraId="57A999DB" w14:textId="77777777" w:rsidR="006F5193" w:rsidRDefault="006F5193" w:rsidP="006617E0">
      <w:pPr>
        <w:pStyle w:val="TableFigureFooter"/>
      </w:pPr>
      <w:r w:rsidRPr="008D5C07">
        <w:rPr>
          <w:vertAlign w:val="superscript"/>
        </w:rPr>
        <w:t>1</w:t>
      </w:r>
      <w:r w:rsidRPr="006F5193">
        <w:t xml:space="preserve">&lt; 500 </w:t>
      </w:r>
    </w:p>
    <w:p w14:paraId="7C69957B" w14:textId="77777777" w:rsidR="006F5193" w:rsidRDefault="006F5193" w:rsidP="006617E0">
      <w:pPr>
        <w:pStyle w:val="TableFigureFooter"/>
      </w:pPr>
      <w:r w:rsidRPr="008D5C07">
        <w:rPr>
          <w:vertAlign w:val="superscript"/>
        </w:rPr>
        <w:t>2</w:t>
      </w:r>
      <w:r w:rsidRPr="006F5193">
        <w:t xml:space="preserve">500 to &lt; 5,000 </w:t>
      </w:r>
    </w:p>
    <w:p w14:paraId="26248A54" w14:textId="45C39CF7" w:rsidR="006F5193" w:rsidRPr="006617E0" w:rsidRDefault="006F5193" w:rsidP="006617E0">
      <w:pPr>
        <w:pStyle w:val="TableFigureFooter"/>
      </w:pPr>
      <w:r w:rsidRPr="008D5C07">
        <w:rPr>
          <w:vertAlign w:val="superscript"/>
        </w:rPr>
        <w:t>3</w:t>
      </w:r>
      <w:r w:rsidRPr="006F5193">
        <w:t>$0 to &lt; $10 million</w:t>
      </w:r>
    </w:p>
    <w:p w14:paraId="1C4088DE"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6B3CAD1E" w14:textId="58CEDD65" w:rsidR="00BC0E23" w:rsidRPr="008D5C07" w:rsidRDefault="00992701" w:rsidP="0A35126B">
      <w:pPr>
        <w:spacing w:after="240"/>
      </w:pPr>
      <w:r w:rsidRPr="008D5C07">
        <w:t>Servier welcomes th</w:t>
      </w:r>
      <w:r w:rsidR="00B10C22" w:rsidRPr="008D5C07">
        <w:t xml:space="preserve">e positive </w:t>
      </w:r>
      <w:r w:rsidRPr="008D5C07">
        <w:t>recommendation</w:t>
      </w:r>
      <w:r w:rsidR="00B10C22" w:rsidRPr="008D5C07">
        <w:t xml:space="preserve"> made by MSAC and </w:t>
      </w:r>
      <w:r w:rsidR="0000016D" w:rsidRPr="008D5C07">
        <w:t>looks forward</w:t>
      </w:r>
      <w:r w:rsidR="00CE0939" w:rsidRPr="008D5C07">
        <w:t xml:space="preserve"> to working</w:t>
      </w:r>
      <w:r w:rsidR="00B10C22" w:rsidRPr="008D5C07">
        <w:t xml:space="preserve"> with the Department of Health and Aged Care to </w:t>
      </w:r>
      <w:r w:rsidR="00B11F8A" w:rsidRPr="008D5C07">
        <w:t xml:space="preserve">help facilitate access to </w:t>
      </w:r>
      <w:r w:rsidR="00CA4AB9" w:rsidRPr="008D5C07">
        <w:t xml:space="preserve">IDH1 </w:t>
      </w:r>
      <w:r w:rsidR="00B11F8A" w:rsidRPr="008D5C07">
        <w:t>testing</w:t>
      </w:r>
      <w:r w:rsidR="009A3D3B" w:rsidRPr="008D5C07">
        <w:t xml:space="preserve"> on the MBS</w:t>
      </w:r>
      <w:r w:rsidR="00B11F8A" w:rsidRPr="008D5C07">
        <w:t xml:space="preserve"> </w:t>
      </w:r>
      <w:r w:rsidR="00C70BDF" w:rsidRPr="008D5C07">
        <w:t>for</w:t>
      </w:r>
      <w:r w:rsidR="00B11F8A" w:rsidRPr="008D5C07">
        <w:t xml:space="preserve"> </w:t>
      </w:r>
      <w:r w:rsidR="00C70BDF" w:rsidRPr="008D5C07">
        <w:t>patients with</w:t>
      </w:r>
      <w:r w:rsidR="00B11F8A" w:rsidRPr="008D5C07">
        <w:t xml:space="preserve"> cholangiocarcinoma </w:t>
      </w:r>
      <w:r w:rsidR="008939D5" w:rsidRPr="008D5C07">
        <w:t>a</w:t>
      </w:r>
      <w:r w:rsidR="00CE0939" w:rsidRPr="008D5C07">
        <w:t>t the earliest opportunity</w:t>
      </w:r>
      <w:r w:rsidR="008939D5" w:rsidRPr="008D5C07">
        <w:t>.</w:t>
      </w:r>
      <w:r w:rsidRPr="008D5C07">
        <w:t xml:space="preserve"> </w:t>
      </w:r>
      <w:r w:rsidR="007C5EA4" w:rsidRPr="008D5C07">
        <w:t>Servier wishes to thank the Committe</w:t>
      </w:r>
      <w:r w:rsidR="006E5688" w:rsidRPr="008D5C07">
        <w:t>e</w:t>
      </w:r>
      <w:r w:rsidR="0006796A" w:rsidRPr="008D5C07">
        <w:t>s</w:t>
      </w:r>
      <w:r w:rsidR="006E5688" w:rsidRPr="008D5C07">
        <w:t xml:space="preserve"> for working </w:t>
      </w:r>
      <w:r w:rsidR="00C70BDF" w:rsidRPr="008D5C07">
        <w:t xml:space="preserve">constructively throughout the </w:t>
      </w:r>
      <w:r w:rsidR="0006796A" w:rsidRPr="008D5C07">
        <w:t>process</w:t>
      </w:r>
      <w:r w:rsidR="009D4090" w:rsidRPr="008D5C07">
        <w:t>,</w:t>
      </w:r>
      <w:r w:rsidR="0006796A" w:rsidRPr="008D5C07">
        <w:t xml:space="preserve"> </w:t>
      </w:r>
      <w:r w:rsidR="00F2698C" w:rsidRPr="008D5C07">
        <w:t>and</w:t>
      </w:r>
      <w:r w:rsidR="009D4090" w:rsidRPr="008D5C07">
        <w:t xml:space="preserve"> the</w:t>
      </w:r>
      <w:r w:rsidR="00C70BDF" w:rsidRPr="008D5C07">
        <w:t xml:space="preserve"> </w:t>
      </w:r>
      <w:r w:rsidR="00AB3E7B" w:rsidRPr="008D5C07">
        <w:t xml:space="preserve">cholangiocarcinoma </w:t>
      </w:r>
      <w:r w:rsidR="00C70BDF" w:rsidRPr="008D5C07">
        <w:t xml:space="preserve">clinical and patient community for providing valuable input </w:t>
      </w:r>
      <w:r w:rsidR="004C703B" w:rsidRPr="008D5C07">
        <w:t xml:space="preserve">to inform </w:t>
      </w:r>
      <w:r w:rsidR="00466EE7" w:rsidRPr="008D5C07">
        <w:t xml:space="preserve">the Committees’ deliberations. </w:t>
      </w:r>
    </w:p>
    <w:p w14:paraId="1ACC8499" w14:textId="77777777" w:rsidR="00BC1364" w:rsidRPr="00F715D1" w:rsidRDefault="00271F18" w:rsidP="00F715D1">
      <w:pPr>
        <w:pStyle w:val="Heading1"/>
      </w:pPr>
      <w:r w:rsidRPr="00F715D1">
        <w:t>Further information on MSAC</w:t>
      </w:r>
    </w:p>
    <w:p w14:paraId="3307A731"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3"/>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9F358" w14:textId="77777777" w:rsidR="00444256" w:rsidRDefault="00444256" w:rsidP="00065623">
      <w:r>
        <w:separator/>
      </w:r>
    </w:p>
  </w:endnote>
  <w:endnote w:type="continuationSeparator" w:id="0">
    <w:p w14:paraId="4A10F240" w14:textId="77777777" w:rsidR="00444256" w:rsidRDefault="00444256" w:rsidP="00065623">
      <w:r>
        <w:continuationSeparator/>
      </w:r>
    </w:p>
  </w:endnote>
  <w:endnote w:type="continuationNotice" w:id="1">
    <w:p w14:paraId="017EF5CE" w14:textId="77777777" w:rsidR="00444256" w:rsidRDefault="00444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Calibr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roman"/>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507969"/>
      <w:docPartObj>
        <w:docPartGallery w:val="Page Numbers (Bottom of Page)"/>
        <w:docPartUnique/>
      </w:docPartObj>
    </w:sdtPr>
    <w:sdtEndPr>
      <w:rPr>
        <w:noProof/>
      </w:rPr>
    </w:sdtEndPr>
    <w:sdtContent>
      <w:p w14:paraId="53BFF36A" w14:textId="28B11939" w:rsidR="00BC1364" w:rsidRDefault="00352224" w:rsidP="009B32A0">
        <w:pPr>
          <w:pStyle w:val="Footer"/>
          <w:jc w:val="right"/>
        </w:pPr>
        <w:r>
          <w:fldChar w:fldCharType="begin"/>
        </w:r>
        <w:r>
          <w:instrText xml:space="preserve"> PAGE   \* MERGEFORMAT </w:instrText>
        </w:r>
        <w:r>
          <w:fldChar w:fldCharType="separate"/>
        </w:r>
        <w:r w:rsidR="004967B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67C5A" w14:textId="77777777" w:rsidR="00444256" w:rsidRDefault="00444256" w:rsidP="00065623">
      <w:r>
        <w:separator/>
      </w:r>
    </w:p>
  </w:footnote>
  <w:footnote w:type="continuationSeparator" w:id="0">
    <w:p w14:paraId="4A5CD976" w14:textId="77777777" w:rsidR="00444256" w:rsidRDefault="00444256" w:rsidP="00065623">
      <w:r>
        <w:continuationSeparator/>
      </w:r>
    </w:p>
  </w:footnote>
  <w:footnote w:type="continuationNotice" w:id="1">
    <w:p w14:paraId="56D214A9" w14:textId="77777777" w:rsidR="00444256" w:rsidRDefault="00444256"/>
  </w:footnote>
  <w:footnote w:id="2">
    <w:p w14:paraId="6E830195" w14:textId="77777777" w:rsidR="00C06F6E" w:rsidRPr="00AA7F1D" w:rsidRDefault="00C06F6E" w:rsidP="00C06F6E">
      <w:pPr>
        <w:pStyle w:val="FootnoteText"/>
        <w:rPr>
          <w:rFonts w:cstheme="minorHAnsi"/>
          <w:sz w:val="16"/>
          <w:szCs w:val="16"/>
        </w:rPr>
      </w:pPr>
      <w:r w:rsidRPr="00AA7F1D">
        <w:rPr>
          <w:rStyle w:val="FootnoteReference"/>
          <w:rFonts w:cstheme="minorHAnsi"/>
          <w:sz w:val="16"/>
          <w:szCs w:val="16"/>
        </w:rPr>
        <w:footnoteRef/>
      </w:r>
      <w:r w:rsidRPr="00AA7F1D">
        <w:rPr>
          <w:rFonts w:cstheme="minorHAnsi"/>
          <w:sz w:val="16"/>
          <w:szCs w:val="16"/>
        </w:rPr>
        <w:t xml:space="preserve"> MSAC Application 1527, available at: </w:t>
      </w:r>
      <w:hyperlink r:id="rId1" w:history="1">
        <w:r w:rsidRPr="00AA7F1D">
          <w:rPr>
            <w:rStyle w:val="Hyperlink"/>
            <w:rFonts w:cstheme="minorHAnsi"/>
            <w:sz w:val="16"/>
            <w:szCs w:val="16"/>
          </w:rPr>
          <w:t>http://www.msac.gov.au/internet/msac/publishing.nsf/Content/1527-public</w:t>
        </w:r>
      </w:hyperlink>
      <w:r w:rsidRPr="00AA7F1D">
        <w:rPr>
          <w:rFonts w:cstheme="minorHAnsi"/>
          <w:sz w:val="16"/>
          <w:szCs w:val="16"/>
        </w:rPr>
        <w:t xml:space="preserve"> </w:t>
      </w:r>
    </w:p>
  </w:footnote>
  <w:footnote w:id="3">
    <w:p w14:paraId="32E0AB0A" w14:textId="77777777" w:rsidR="00C06F6E" w:rsidRPr="00AA7F1D" w:rsidRDefault="00C06F6E" w:rsidP="00C06F6E">
      <w:pPr>
        <w:pStyle w:val="FootnoteText"/>
        <w:rPr>
          <w:rFonts w:cstheme="minorHAnsi"/>
          <w:sz w:val="16"/>
          <w:szCs w:val="16"/>
        </w:rPr>
      </w:pPr>
      <w:r w:rsidRPr="00AA7F1D">
        <w:rPr>
          <w:rStyle w:val="FootnoteReference"/>
          <w:rFonts w:cstheme="minorHAnsi"/>
          <w:sz w:val="16"/>
          <w:szCs w:val="16"/>
        </w:rPr>
        <w:footnoteRef/>
      </w:r>
      <w:r w:rsidRPr="00AA7F1D">
        <w:rPr>
          <w:rFonts w:cstheme="minorHAnsi"/>
          <w:sz w:val="16"/>
          <w:szCs w:val="16"/>
        </w:rPr>
        <w:t xml:space="preserve"> </w:t>
      </w:r>
      <w:r w:rsidRPr="00AA7F1D">
        <w:rPr>
          <w:rFonts w:cstheme="minorHAnsi"/>
          <w:sz w:val="16"/>
          <w:szCs w:val="18"/>
        </w:rPr>
        <w:t xml:space="preserve">MSAC Application 1709, available at: </w:t>
      </w:r>
      <w:hyperlink r:id="rId2" w:history="1">
        <w:r w:rsidRPr="00AA7F1D">
          <w:rPr>
            <w:rStyle w:val="Hyperlink"/>
            <w:rFonts w:cstheme="minorHAnsi"/>
            <w:sz w:val="16"/>
            <w:szCs w:val="16"/>
          </w:rPr>
          <w:t>http://www.msac.gov.au/internet/msac/publishing.nsf/Content/1709-public</w:t>
        </w:r>
      </w:hyperlink>
      <w:r w:rsidRPr="00AA7F1D">
        <w:rPr>
          <w:rFonts w:cstheme="minorHAnsi"/>
          <w:sz w:val="16"/>
          <w:szCs w:val="16"/>
        </w:rPr>
        <w:t xml:space="preserve"> </w:t>
      </w:r>
    </w:p>
  </w:footnote>
  <w:footnote w:id="4">
    <w:p w14:paraId="10AAC2E1" w14:textId="7307E8FA" w:rsidR="40C37E82" w:rsidRPr="0031367C" w:rsidRDefault="005F6341" w:rsidP="40C37E82">
      <w:pPr>
        <w:pStyle w:val="FootnoteText"/>
      </w:pPr>
      <w:r w:rsidRPr="0086107F">
        <w:rPr>
          <w:rStyle w:val="FootnoteReference"/>
          <w:rFonts w:cstheme="minorBidi"/>
          <w:sz w:val="16"/>
          <w:szCs w:val="16"/>
        </w:rPr>
        <w:footnoteRef/>
      </w:r>
      <w:r w:rsidR="40C37E82" w:rsidRPr="0086107F">
        <w:rPr>
          <w:rFonts w:cstheme="minorBidi"/>
          <w:sz w:val="16"/>
          <w:szCs w:val="16"/>
        </w:rPr>
        <w:t xml:space="preserve"> </w:t>
      </w:r>
      <w:r w:rsidR="40C37E82" w:rsidRPr="00115626">
        <w:rPr>
          <w:sz w:val="16"/>
          <w:szCs w:val="16"/>
        </w:rPr>
        <w:t xml:space="preserve"> </w:t>
      </w:r>
      <w:hyperlink r:id="rId3" w:history="1">
        <w:r w:rsidR="40C37E82" w:rsidRPr="00115626">
          <w:rPr>
            <w:rStyle w:val="Hyperlink"/>
            <w:sz w:val="16"/>
            <w:szCs w:val="16"/>
          </w:rPr>
          <w:t>Manufacturing or supplying in-house in-vitro diagnostic medical devices (IVDs) | Therapeutic Goods Administration (TGA)</w:t>
        </w:r>
      </w:hyperlink>
      <w:r w:rsidR="40C37E82" w:rsidRPr="0086107F">
        <w:rPr>
          <w:rFonts w:eastAsia="Franklin Gothic Book" w:cs="Franklin Gothic Book"/>
          <w:sz w:val="16"/>
          <w:szCs w:val="16"/>
        </w:rPr>
        <w:t xml:space="preserve"> Australian Department of Health, accessed 13 December 2024.</w:t>
      </w:r>
    </w:p>
  </w:footnote>
  <w:footnote w:id="5">
    <w:p w14:paraId="76C83840" w14:textId="419093B7" w:rsidR="00BC1FC3" w:rsidRDefault="00BC1FC3">
      <w:pPr>
        <w:pStyle w:val="FootnoteText"/>
      </w:pPr>
      <w:r w:rsidRPr="004F358C">
        <w:rPr>
          <w:rStyle w:val="FootnoteReference"/>
          <w:sz w:val="16"/>
          <w:szCs w:val="16"/>
        </w:rPr>
        <w:footnoteRef/>
      </w:r>
      <w:r w:rsidRPr="004F358C">
        <w:rPr>
          <w:sz w:val="16"/>
          <w:szCs w:val="16"/>
        </w:rPr>
        <w:t xml:space="preserve"> </w:t>
      </w:r>
      <w:hyperlink r:id="rId4" w:history="1">
        <w:r w:rsidRPr="004F358C">
          <w:rPr>
            <w:rStyle w:val="Hyperlink"/>
            <w:sz w:val="16"/>
            <w:szCs w:val="16"/>
          </w:rPr>
          <w:t>http://www.msac.gov.au/internet/msac/publishing.nsf/Content/1750-public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B4C"/>
    <w:multiLevelType w:val="multilevel"/>
    <w:tmpl w:val="64F8FE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4164EBB"/>
    <w:multiLevelType w:val="multilevel"/>
    <w:tmpl w:val="569C13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967C7D"/>
    <w:multiLevelType w:val="hybridMultilevel"/>
    <w:tmpl w:val="1C7C4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870616"/>
    <w:multiLevelType w:val="multilevel"/>
    <w:tmpl w:val="548E56E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0E6F52"/>
    <w:multiLevelType w:val="hybridMultilevel"/>
    <w:tmpl w:val="EF16B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4C300C"/>
    <w:multiLevelType w:val="multilevel"/>
    <w:tmpl w:val="D0A02CD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5B7E3D2E"/>
    <w:multiLevelType w:val="multilevel"/>
    <w:tmpl w:val="AF5289F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FB45896"/>
    <w:multiLevelType w:val="multilevel"/>
    <w:tmpl w:val="8E4C83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9042472">
    <w:abstractNumId w:val="8"/>
  </w:num>
  <w:num w:numId="2" w16cid:durableId="1177186281">
    <w:abstractNumId w:val="18"/>
  </w:num>
  <w:num w:numId="3" w16cid:durableId="1874268307">
    <w:abstractNumId w:val="2"/>
  </w:num>
  <w:num w:numId="4" w16cid:durableId="1585921431">
    <w:abstractNumId w:val="20"/>
  </w:num>
  <w:num w:numId="5" w16cid:durableId="2105882055">
    <w:abstractNumId w:val="12"/>
  </w:num>
  <w:num w:numId="6" w16cid:durableId="1152480197">
    <w:abstractNumId w:val="19"/>
  </w:num>
  <w:num w:numId="7" w16cid:durableId="1844926761">
    <w:abstractNumId w:val="26"/>
  </w:num>
  <w:num w:numId="8" w16cid:durableId="1786804363">
    <w:abstractNumId w:val="14"/>
  </w:num>
  <w:num w:numId="9" w16cid:durableId="2058431889">
    <w:abstractNumId w:val="32"/>
  </w:num>
  <w:num w:numId="10" w16cid:durableId="2063558568">
    <w:abstractNumId w:val="1"/>
  </w:num>
  <w:num w:numId="11" w16cid:durableId="479347841">
    <w:abstractNumId w:val="24"/>
  </w:num>
  <w:num w:numId="12" w16cid:durableId="1352730582">
    <w:abstractNumId w:val="27"/>
  </w:num>
  <w:num w:numId="13" w16cid:durableId="1671329902">
    <w:abstractNumId w:val="6"/>
  </w:num>
  <w:num w:numId="14" w16cid:durableId="275986674">
    <w:abstractNumId w:val="31"/>
  </w:num>
  <w:num w:numId="15" w16cid:durableId="653028377">
    <w:abstractNumId w:val="23"/>
  </w:num>
  <w:num w:numId="16" w16cid:durableId="523249771">
    <w:abstractNumId w:val="28"/>
  </w:num>
  <w:num w:numId="17" w16cid:durableId="1583100943">
    <w:abstractNumId w:val="15"/>
  </w:num>
  <w:num w:numId="18" w16cid:durableId="1208033537">
    <w:abstractNumId w:val="16"/>
  </w:num>
  <w:num w:numId="19" w16cid:durableId="590427495">
    <w:abstractNumId w:val="30"/>
  </w:num>
  <w:num w:numId="20" w16cid:durableId="651057155">
    <w:abstractNumId w:val="29"/>
  </w:num>
  <w:num w:numId="21" w16cid:durableId="792283716">
    <w:abstractNumId w:val="4"/>
  </w:num>
  <w:num w:numId="22" w16cid:durableId="1169370264">
    <w:abstractNumId w:val="10"/>
  </w:num>
  <w:num w:numId="23" w16cid:durableId="2000423292">
    <w:abstractNumId w:val="3"/>
  </w:num>
  <w:num w:numId="24" w16cid:durableId="349331569">
    <w:abstractNumId w:val="9"/>
  </w:num>
  <w:num w:numId="25" w16cid:durableId="60451623">
    <w:abstractNumId w:val="7"/>
  </w:num>
  <w:num w:numId="26" w16cid:durableId="73860473">
    <w:abstractNumId w:val="11"/>
  </w:num>
  <w:num w:numId="27" w16cid:durableId="1717773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0516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7341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362386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1457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306467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13658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016D"/>
    <w:rsid w:val="000030AD"/>
    <w:rsid w:val="00003475"/>
    <w:rsid w:val="000047BF"/>
    <w:rsid w:val="00007312"/>
    <w:rsid w:val="00011A36"/>
    <w:rsid w:val="0001311B"/>
    <w:rsid w:val="00017B7B"/>
    <w:rsid w:val="0002071D"/>
    <w:rsid w:val="00021AC1"/>
    <w:rsid w:val="00022FBC"/>
    <w:rsid w:val="000260E8"/>
    <w:rsid w:val="000317F2"/>
    <w:rsid w:val="00031CE2"/>
    <w:rsid w:val="000424EE"/>
    <w:rsid w:val="000441A6"/>
    <w:rsid w:val="00047606"/>
    <w:rsid w:val="00052F30"/>
    <w:rsid w:val="00057750"/>
    <w:rsid w:val="000626A4"/>
    <w:rsid w:val="00063642"/>
    <w:rsid w:val="00064453"/>
    <w:rsid w:val="00065623"/>
    <w:rsid w:val="00066197"/>
    <w:rsid w:val="000663AA"/>
    <w:rsid w:val="00067235"/>
    <w:rsid w:val="0006796A"/>
    <w:rsid w:val="00067D63"/>
    <w:rsid w:val="000756B9"/>
    <w:rsid w:val="00077004"/>
    <w:rsid w:val="00077C56"/>
    <w:rsid w:val="0008190D"/>
    <w:rsid w:val="00082F04"/>
    <w:rsid w:val="000867F7"/>
    <w:rsid w:val="000878CC"/>
    <w:rsid w:val="00087C66"/>
    <w:rsid w:val="00096B67"/>
    <w:rsid w:val="00096DAF"/>
    <w:rsid w:val="000A3CEB"/>
    <w:rsid w:val="000A450E"/>
    <w:rsid w:val="000A4C94"/>
    <w:rsid w:val="000A5FAF"/>
    <w:rsid w:val="000B1AAF"/>
    <w:rsid w:val="000B4FDA"/>
    <w:rsid w:val="000C13EF"/>
    <w:rsid w:val="000C2F47"/>
    <w:rsid w:val="000C4CBF"/>
    <w:rsid w:val="000C53B4"/>
    <w:rsid w:val="000D2B9A"/>
    <w:rsid w:val="000D6C00"/>
    <w:rsid w:val="000E0C70"/>
    <w:rsid w:val="000E34E3"/>
    <w:rsid w:val="000E3E3D"/>
    <w:rsid w:val="000E4E04"/>
    <w:rsid w:val="000F14B4"/>
    <w:rsid w:val="000F75DF"/>
    <w:rsid w:val="00101257"/>
    <w:rsid w:val="001023DC"/>
    <w:rsid w:val="00105FA3"/>
    <w:rsid w:val="0010701C"/>
    <w:rsid w:val="0011088C"/>
    <w:rsid w:val="00111160"/>
    <w:rsid w:val="00113E1A"/>
    <w:rsid w:val="00115626"/>
    <w:rsid w:val="00117541"/>
    <w:rsid w:val="00120AF1"/>
    <w:rsid w:val="00120E5E"/>
    <w:rsid w:val="0012577B"/>
    <w:rsid w:val="0013275C"/>
    <w:rsid w:val="001328FA"/>
    <w:rsid w:val="00141981"/>
    <w:rsid w:val="00147AAF"/>
    <w:rsid w:val="0015184B"/>
    <w:rsid w:val="00152505"/>
    <w:rsid w:val="001552C0"/>
    <w:rsid w:val="0015637E"/>
    <w:rsid w:val="00157051"/>
    <w:rsid w:val="00157A2B"/>
    <w:rsid w:val="001615BE"/>
    <w:rsid w:val="001640B1"/>
    <w:rsid w:val="001646F9"/>
    <w:rsid w:val="00171F18"/>
    <w:rsid w:val="0017211C"/>
    <w:rsid w:val="0017299E"/>
    <w:rsid w:val="00173E17"/>
    <w:rsid w:val="001759A7"/>
    <w:rsid w:val="001768C5"/>
    <w:rsid w:val="0018435E"/>
    <w:rsid w:val="00191036"/>
    <w:rsid w:val="001919AC"/>
    <w:rsid w:val="00191E37"/>
    <w:rsid w:val="00194E55"/>
    <w:rsid w:val="00197A5B"/>
    <w:rsid w:val="001A02AA"/>
    <w:rsid w:val="001A27A6"/>
    <w:rsid w:val="001A489A"/>
    <w:rsid w:val="001A50D2"/>
    <w:rsid w:val="001B156F"/>
    <w:rsid w:val="001B1716"/>
    <w:rsid w:val="001B181A"/>
    <w:rsid w:val="001C12E0"/>
    <w:rsid w:val="001C356C"/>
    <w:rsid w:val="001C414D"/>
    <w:rsid w:val="001C44EF"/>
    <w:rsid w:val="001C5171"/>
    <w:rsid w:val="001C7BA4"/>
    <w:rsid w:val="001D023F"/>
    <w:rsid w:val="001D0CA0"/>
    <w:rsid w:val="001D1D3C"/>
    <w:rsid w:val="001D606C"/>
    <w:rsid w:val="001D7587"/>
    <w:rsid w:val="001D75EC"/>
    <w:rsid w:val="001E13A5"/>
    <w:rsid w:val="001E1766"/>
    <w:rsid w:val="001E615F"/>
    <w:rsid w:val="001F37E8"/>
    <w:rsid w:val="001F464B"/>
    <w:rsid w:val="001F66ED"/>
    <w:rsid w:val="001F6938"/>
    <w:rsid w:val="0020211F"/>
    <w:rsid w:val="002041A1"/>
    <w:rsid w:val="00204492"/>
    <w:rsid w:val="002054F0"/>
    <w:rsid w:val="00207CF7"/>
    <w:rsid w:val="00210C96"/>
    <w:rsid w:val="00211AC7"/>
    <w:rsid w:val="00211AE5"/>
    <w:rsid w:val="00216D2F"/>
    <w:rsid w:val="00216D40"/>
    <w:rsid w:val="00226A7F"/>
    <w:rsid w:val="002271B8"/>
    <w:rsid w:val="00230D6B"/>
    <w:rsid w:val="0023172A"/>
    <w:rsid w:val="00232068"/>
    <w:rsid w:val="002329C4"/>
    <w:rsid w:val="002330F2"/>
    <w:rsid w:val="00243D9E"/>
    <w:rsid w:val="00245436"/>
    <w:rsid w:val="0024681F"/>
    <w:rsid w:val="002504C4"/>
    <w:rsid w:val="00250BFC"/>
    <w:rsid w:val="00252C8F"/>
    <w:rsid w:val="00253B66"/>
    <w:rsid w:val="00253D5C"/>
    <w:rsid w:val="00255236"/>
    <w:rsid w:val="0025717A"/>
    <w:rsid w:val="00261DF1"/>
    <w:rsid w:val="00270DC1"/>
    <w:rsid w:val="00271010"/>
    <w:rsid w:val="00271F18"/>
    <w:rsid w:val="00276436"/>
    <w:rsid w:val="00282779"/>
    <w:rsid w:val="0028334D"/>
    <w:rsid w:val="00283817"/>
    <w:rsid w:val="00286812"/>
    <w:rsid w:val="00287994"/>
    <w:rsid w:val="002927EC"/>
    <w:rsid w:val="00293A07"/>
    <w:rsid w:val="002953F0"/>
    <w:rsid w:val="002A1B5D"/>
    <w:rsid w:val="002A23E8"/>
    <w:rsid w:val="002A28E9"/>
    <w:rsid w:val="002A6CF5"/>
    <w:rsid w:val="002B181C"/>
    <w:rsid w:val="002B1D17"/>
    <w:rsid w:val="002B2355"/>
    <w:rsid w:val="002B2B6E"/>
    <w:rsid w:val="002B46AE"/>
    <w:rsid w:val="002B70FF"/>
    <w:rsid w:val="002B7FFA"/>
    <w:rsid w:val="002C2BCF"/>
    <w:rsid w:val="002C334C"/>
    <w:rsid w:val="002C4FEF"/>
    <w:rsid w:val="002C5D86"/>
    <w:rsid w:val="002D14E6"/>
    <w:rsid w:val="002D7426"/>
    <w:rsid w:val="002D7936"/>
    <w:rsid w:val="002D7ABE"/>
    <w:rsid w:val="002E0AD7"/>
    <w:rsid w:val="002E254B"/>
    <w:rsid w:val="002E3291"/>
    <w:rsid w:val="002E3FBA"/>
    <w:rsid w:val="002E5CE2"/>
    <w:rsid w:val="002F279D"/>
    <w:rsid w:val="002F2A61"/>
    <w:rsid w:val="002F3004"/>
    <w:rsid w:val="002F356C"/>
    <w:rsid w:val="002F43B8"/>
    <w:rsid w:val="002F4ED1"/>
    <w:rsid w:val="002F58F2"/>
    <w:rsid w:val="002F5B1D"/>
    <w:rsid w:val="002F679E"/>
    <w:rsid w:val="003054BF"/>
    <w:rsid w:val="00306DB3"/>
    <w:rsid w:val="0031183A"/>
    <w:rsid w:val="0031367C"/>
    <w:rsid w:val="003154FD"/>
    <w:rsid w:val="00316D6C"/>
    <w:rsid w:val="00322414"/>
    <w:rsid w:val="00323A3C"/>
    <w:rsid w:val="00324CB8"/>
    <w:rsid w:val="003306D4"/>
    <w:rsid w:val="0033294E"/>
    <w:rsid w:val="00334527"/>
    <w:rsid w:val="003356C4"/>
    <w:rsid w:val="00335DBF"/>
    <w:rsid w:val="00336856"/>
    <w:rsid w:val="00336C43"/>
    <w:rsid w:val="00343A29"/>
    <w:rsid w:val="0034554D"/>
    <w:rsid w:val="00345B9C"/>
    <w:rsid w:val="0034775D"/>
    <w:rsid w:val="00352224"/>
    <w:rsid w:val="0036025C"/>
    <w:rsid w:val="00362384"/>
    <w:rsid w:val="00364737"/>
    <w:rsid w:val="00364A36"/>
    <w:rsid w:val="0036524D"/>
    <w:rsid w:val="003671E6"/>
    <w:rsid w:val="0037064F"/>
    <w:rsid w:val="0037292C"/>
    <w:rsid w:val="003756E4"/>
    <w:rsid w:val="00375F6E"/>
    <w:rsid w:val="00377817"/>
    <w:rsid w:val="0038135D"/>
    <w:rsid w:val="00384272"/>
    <w:rsid w:val="0038552A"/>
    <w:rsid w:val="00386D67"/>
    <w:rsid w:val="00387078"/>
    <w:rsid w:val="00391E17"/>
    <w:rsid w:val="00393B5F"/>
    <w:rsid w:val="003945B8"/>
    <w:rsid w:val="00394AAA"/>
    <w:rsid w:val="003A39D4"/>
    <w:rsid w:val="003B281A"/>
    <w:rsid w:val="003B309A"/>
    <w:rsid w:val="003B407A"/>
    <w:rsid w:val="003B538F"/>
    <w:rsid w:val="003B5EFF"/>
    <w:rsid w:val="003C1180"/>
    <w:rsid w:val="003C1439"/>
    <w:rsid w:val="003C19D6"/>
    <w:rsid w:val="003C4A9F"/>
    <w:rsid w:val="003C5D17"/>
    <w:rsid w:val="003C6009"/>
    <w:rsid w:val="003D166A"/>
    <w:rsid w:val="003D2719"/>
    <w:rsid w:val="003D2C8D"/>
    <w:rsid w:val="003D6B02"/>
    <w:rsid w:val="003D7F29"/>
    <w:rsid w:val="003E19C5"/>
    <w:rsid w:val="003E1EF9"/>
    <w:rsid w:val="003E2E32"/>
    <w:rsid w:val="003E5151"/>
    <w:rsid w:val="003F0F1B"/>
    <w:rsid w:val="003F140F"/>
    <w:rsid w:val="003F1BDA"/>
    <w:rsid w:val="004009BF"/>
    <w:rsid w:val="004017E7"/>
    <w:rsid w:val="0040362A"/>
    <w:rsid w:val="00405A6B"/>
    <w:rsid w:val="004063F1"/>
    <w:rsid w:val="00407077"/>
    <w:rsid w:val="00407B1F"/>
    <w:rsid w:val="0041184F"/>
    <w:rsid w:val="004123BC"/>
    <w:rsid w:val="00413607"/>
    <w:rsid w:val="00414C57"/>
    <w:rsid w:val="0041758C"/>
    <w:rsid w:val="00420670"/>
    <w:rsid w:val="00422275"/>
    <w:rsid w:val="004246F6"/>
    <w:rsid w:val="004266AA"/>
    <w:rsid w:val="00426E3A"/>
    <w:rsid w:val="00427594"/>
    <w:rsid w:val="00431E78"/>
    <w:rsid w:val="00435EB2"/>
    <w:rsid w:val="0043756E"/>
    <w:rsid w:val="00444256"/>
    <w:rsid w:val="00450546"/>
    <w:rsid w:val="00451D17"/>
    <w:rsid w:val="00451F41"/>
    <w:rsid w:val="0045232A"/>
    <w:rsid w:val="00452A7D"/>
    <w:rsid w:val="00452AFB"/>
    <w:rsid w:val="004538FA"/>
    <w:rsid w:val="004539DE"/>
    <w:rsid w:val="00456690"/>
    <w:rsid w:val="00457728"/>
    <w:rsid w:val="00466936"/>
    <w:rsid w:val="00466EE7"/>
    <w:rsid w:val="004734C9"/>
    <w:rsid w:val="00477215"/>
    <w:rsid w:val="00482625"/>
    <w:rsid w:val="00491C79"/>
    <w:rsid w:val="00495137"/>
    <w:rsid w:val="0049639E"/>
    <w:rsid w:val="004967B0"/>
    <w:rsid w:val="004A2CF1"/>
    <w:rsid w:val="004A4037"/>
    <w:rsid w:val="004A5550"/>
    <w:rsid w:val="004A5831"/>
    <w:rsid w:val="004B0BB2"/>
    <w:rsid w:val="004B299F"/>
    <w:rsid w:val="004B606B"/>
    <w:rsid w:val="004C2791"/>
    <w:rsid w:val="004C3035"/>
    <w:rsid w:val="004C307F"/>
    <w:rsid w:val="004C309B"/>
    <w:rsid w:val="004C51F1"/>
    <w:rsid w:val="004C6A27"/>
    <w:rsid w:val="004C703B"/>
    <w:rsid w:val="004C7937"/>
    <w:rsid w:val="004D3537"/>
    <w:rsid w:val="004D561C"/>
    <w:rsid w:val="004D5EE9"/>
    <w:rsid w:val="004D6D59"/>
    <w:rsid w:val="004E1AC7"/>
    <w:rsid w:val="004E4968"/>
    <w:rsid w:val="004E4BA8"/>
    <w:rsid w:val="004E7E02"/>
    <w:rsid w:val="004F090C"/>
    <w:rsid w:val="004F0C5F"/>
    <w:rsid w:val="004F2DF2"/>
    <w:rsid w:val="004F340F"/>
    <w:rsid w:val="004F358C"/>
    <w:rsid w:val="004F7B7C"/>
    <w:rsid w:val="005041DB"/>
    <w:rsid w:val="00504795"/>
    <w:rsid w:val="005057DC"/>
    <w:rsid w:val="005058A9"/>
    <w:rsid w:val="00510571"/>
    <w:rsid w:val="005125E3"/>
    <w:rsid w:val="0051376A"/>
    <w:rsid w:val="00514636"/>
    <w:rsid w:val="00515D3D"/>
    <w:rsid w:val="00521297"/>
    <w:rsid w:val="0052243D"/>
    <w:rsid w:val="00531B83"/>
    <w:rsid w:val="00532435"/>
    <w:rsid w:val="005357EF"/>
    <w:rsid w:val="005377F7"/>
    <w:rsid w:val="00542E6D"/>
    <w:rsid w:val="00544A87"/>
    <w:rsid w:val="00546761"/>
    <w:rsid w:val="00550164"/>
    <w:rsid w:val="00550354"/>
    <w:rsid w:val="00552C1E"/>
    <w:rsid w:val="0055331A"/>
    <w:rsid w:val="005555BE"/>
    <w:rsid w:val="00561AD2"/>
    <w:rsid w:val="00561CC6"/>
    <w:rsid w:val="005631B4"/>
    <w:rsid w:val="00564390"/>
    <w:rsid w:val="00570EF7"/>
    <w:rsid w:val="00571236"/>
    <w:rsid w:val="00571DEE"/>
    <w:rsid w:val="00572F94"/>
    <w:rsid w:val="00575AA3"/>
    <w:rsid w:val="00584E6F"/>
    <w:rsid w:val="0059031C"/>
    <w:rsid w:val="00595079"/>
    <w:rsid w:val="005953A1"/>
    <w:rsid w:val="005A22E2"/>
    <w:rsid w:val="005A4362"/>
    <w:rsid w:val="005A6523"/>
    <w:rsid w:val="005A79C7"/>
    <w:rsid w:val="005B05FD"/>
    <w:rsid w:val="005B0AAD"/>
    <w:rsid w:val="005B1ABC"/>
    <w:rsid w:val="005B30EE"/>
    <w:rsid w:val="005B5434"/>
    <w:rsid w:val="005B6800"/>
    <w:rsid w:val="005B74F1"/>
    <w:rsid w:val="005C003E"/>
    <w:rsid w:val="005C208B"/>
    <w:rsid w:val="005C2542"/>
    <w:rsid w:val="005C529A"/>
    <w:rsid w:val="005D0332"/>
    <w:rsid w:val="005D0D8C"/>
    <w:rsid w:val="005D37A1"/>
    <w:rsid w:val="005D6303"/>
    <w:rsid w:val="005E1897"/>
    <w:rsid w:val="005E6DD9"/>
    <w:rsid w:val="005F0B6D"/>
    <w:rsid w:val="005F2204"/>
    <w:rsid w:val="005F2AFD"/>
    <w:rsid w:val="005F6341"/>
    <w:rsid w:val="005F7154"/>
    <w:rsid w:val="005F772C"/>
    <w:rsid w:val="0060062D"/>
    <w:rsid w:val="00603441"/>
    <w:rsid w:val="00603B3D"/>
    <w:rsid w:val="00604882"/>
    <w:rsid w:val="00607C8C"/>
    <w:rsid w:val="0061323A"/>
    <w:rsid w:val="00615F51"/>
    <w:rsid w:val="00616365"/>
    <w:rsid w:val="00620AE5"/>
    <w:rsid w:val="00622802"/>
    <w:rsid w:val="0062312A"/>
    <w:rsid w:val="006246F9"/>
    <w:rsid w:val="00630473"/>
    <w:rsid w:val="00633514"/>
    <w:rsid w:val="00634375"/>
    <w:rsid w:val="00634F31"/>
    <w:rsid w:val="00635D0C"/>
    <w:rsid w:val="006370ED"/>
    <w:rsid w:val="00637146"/>
    <w:rsid w:val="00642014"/>
    <w:rsid w:val="006427C4"/>
    <w:rsid w:val="006441EA"/>
    <w:rsid w:val="00644DAE"/>
    <w:rsid w:val="006467DF"/>
    <w:rsid w:val="006617E0"/>
    <w:rsid w:val="00663926"/>
    <w:rsid w:val="00665CC0"/>
    <w:rsid w:val="00673739"/>
    <w:rsid w:val="00673D62"/>
    <w:rsid w:val="00675B4C"/>
    <w:rsid w:val="006776AE"/>
    <w:rsid w:val="00691215"/>
    <w:rsid w:val="00693BE3"/>
    <w:rsid w:val="006A0D97"/>
    <w:rsid w:val="006A7AE9"/>
    <w:rsid w:val="006A7B0D"/>
    <w:rsid w:val="006B1634"/>
    <w:rsid w:val="006B1F86"/>
    <w:rsid w:val="006B5228"/>
    <w:rsid w:val="006B7201"/>
    <w:rsid w:val="006B7EFB"/>
    <w:rsid w:val="006C0A91"/>
    <w:rsid w:val="006C1F5B"/>
    <w:rsid w:val="006C319E"/>
    <w:rsid w:val="006C57FC"/>
    <w:rsid w:val="006C63EA"/>
    <w:rsid w:val="006C7616"/>
    <w:rsid w:val="006D524F"/>
    <w:rsid w:val="006E06BA"/>
    <w:rsid w:val="006E564B"/>
    <w:rsid w:val="006E5688"/>
    <w:rsid w:val="006F4F98"/>
    <w:rsid w:val="006F5193"/>
    <w:rsid w:val="006F77D0"/>
    <w:rsid w:val="0070258F"/>
    <w:rsid w:val="00704406"/>
    <w:rsid w:val="00704828"/>
    <w:rsid w:val="007054BB"/>
    <w:rsid w:val="00707064"/>
    <w:rsid w:val="00710A1A"/>
    <w:rsid w:val="007119DE"/>
    <w:rsid w:val="00712123"/>
    <w:rsid w:val="00714931"/>
    <w:rsid w:val="00715414"/>
    <w:rsid w:val="00716856"/>
    <w:rsid w:val="007173BA"/>
    <w:rsid w:val="00724BAC"/>
    <w:rsid w:val="00726F44"/>
    <w:rsid w:val="00730683"/>
    <w:rsid w:val="00732AC2"/>
    <w:rsid w:val="00733B05"/>
    <w:rsid w:val="0073460F"/>
    <w:rsid w:val="00734BC6"/>
    <w:rsid w:val="0073536F"/>
    <w:rsid w:val="00735D5A"/>
    <w:rsid w:val="00737247"/>
    <w:rsid w:val="00741298"/>
    <w:rsid w:val="00742A16"/>
    <w:rsid w:val="007432CF"/>
    <w:rsid w:val="007436BA"/>
    <w:rsid w:val="007442BD"/>
    <w:rsid w:val="00747198"/>
    <w:rsid w:val="0074762A"/>
    <w:rsid w:val="0075082F"/>
    <w:rsid w:val="007523EC"/>
    <w:rsid w:val="0075261F"/>
    <w:rsid w:val="0075468E"/>
    <w:rsid w:val="0075543C"/>
    <w:rsid w:val="0075597E"/>
    <w:rsid w:val="00757D87"/>
    <w:rsid w:val="00761E7D"/>
    <w:rsid w:val="0076365E"/>
    <w:rsid w:val="007665D8"/>
    <w:rsid w:val="00766D35"/>
    <w:rsid w:val="00766E36"/>
    <w:rsid w:val="00767815"/>
    <w:rsid w:val="00770E37"/>
    <w:rsid w:val="00771C10"/>
    <w:rsid w:val="007765F4"/>
    <w:rsid w:val="00776633"/>
    <w:rsid w:val="00783CD0"/>
    <w:rsid w:val="00784D53"/>
    <w:rsid w:val="00790219"/>
    <w:rsid w:val="00790B03"/>
    <w:rsid w:val="00793D2C"/>
    <w:rsid w:val="0079411E"/>
    <w:rsid w:val="00797797"/>
    <w:rsid w:val="007A1EDF"/>
    <w:rsid w:val="007A254A"/>
    <w:rsid w:val="007A4D97"/>
    <w:rsid w:val="007A5814"/>
    <w:rsid w:val="007A63C9"/>
    <w:rsid w:val="007A64E7"/>
    <w:rsid w:val="007B301D"/>
    <w:rsid w:val="007B32D1"/>
    <w:rsid w:val="007B7095"/>
    <w:rsid w:val="007B70FC"/>
    <w:rsid w:val="007C3A1C"/>
    <w:rsid w:val="007C3D8A"/>
    <w:rsid w:val="007C4967"/>
    <w:rsid w:val="007C5EA4"/>
    <w:rsid w:val="007C7224"/>
    <w:rsid w:val="007C734E"/>
    <w:rsid w:val="007D24E1"/>
    <w:rsid w:val="007D6013"/>
    <w:rsid w:val="007D6288"/>
    <w:rsid w:val="007D63F2"/>
    <w:rsid w:val="007D675C"/>
    <w:rsid w:val="007D6774"/>
    <w:rsid w:val="007E0F61"/>
    <w:rsid w:val="007E4919"/>
    <w:rsid w:val="007E6683"/>
    <w:rsid w:val="007F24D3"/>
    <w:rsid w:val="007F3699"/>
    <w:rsid w:val="007F3C89"/>
    <w:rsid w:val="007F457C"/>
    <w:rsid w:val="007F4CE9"/>
    <w:rsid w:val="007F4E20"/>
    <w:rsid w:val="007F700A"/>
    <w:rsid w:val="00803C51"/>
    <w:rsid w:val="00804919"/>
    <w:rsid w:val="008061CC"/>
    <w:rsid w:val="00806A24"/>
    <w:rsid w:val="00806D7A"/>
    <w:rsid w:val="008120DB"/>
    <w:rsid w:val="00814243"/>
    <w:rsid w:val="00821C31"/>
    <w:rsid w:val="0082293D"/>
    <w:rsid w:val="00822C7E"/>
    <w:rsid w:val="00823D18"/>
    <w:rsid w:val="0084369E"/>
    <w:rsid w:val="008455B0"/>
    <w:rsid w:val="00847060"/>
    <w:rsid w:val="00847A36"/>
    <w:rsid w:val="00850376"/>
    <w:rsid w:val="0085179C"/>
    <w:rsid w:val="00854496"/>
    <w:rsid w:val="00856A33"/>
    <w:rsid w:val="00856EC8"/>
    <w:rsid w:val="0086107F"/>
    <w:rsid w:val="00861B2C"/>
    <w:rsid w:val="00861E91"/>
    <w:rsid w:val="00861F33"/>
    <w:rsid w:val="00862960"/>
    <w:rsid w:val="008675E7"/>
    <w:rsid w:val="0087387C"/>
    <w:rsid w:val="00873A1B"/>
    <w:rsid w:val="008743CF"/>
    <w:rsid w:val="00883C38"/>
    <w:rsid w:val="008856F0"/>
    <w:rsid w:val="00887C37"/>
    <w:rsid w:val="0089066E"/>
    <w:rsid w:val="00892620"/>
    <w:rsid w:val="008939D5"/>
    <w:rsid w:val="00896A33"/>
    <w:rsid w:val="00897071"/>
    <w:rsid w:val="008A16D6"/>
    <w:rsid w:val="008A5A10"/>
    <w:rsid w:val="008A5CB3"/>
    <w:rsid w:val="008A7A84"/>
    <w:rsid w:val="008A7C64"/>
    <w:rsid w:val="008B49F1"/>
    <w:rsid w:val="008B4F02"/>
    <w:rsid w:val="008C02F4"/>
    <w:rsid w:val="008C0483"/>
    <w:rsid w:val="008C0794"/>
    <w:rsid w:val="008C0EAA"/>
    <w:rsid w:val="008C13EB"/>
    <w:rsid w:val="008C24C5"/>
    <w:rsid w:val="008C778E"/>
    <w:rsid w:val="008C7A12"/>
    <w:rsid w:val="008C7D37"/>
    <w:rsid w:val="008D1F05"/>
    <w:rsid w:val="008D1FEE"/>
    <w:rsid w:val="008D21E9"/>
    <w:rsid w:val="008D2D11"/>
    <w:rsid w:val="008D5885"/>
    <w:rsid w:val="008D5C07"/>
    <w:rsid w:val="008E01E2"/>
    <w:rsid w:val="008E291D"/>
    <w:rsid w:val="008E3CAB"/>
    <w:rsid w:val="008E43DC"/>
    <w:rsid w:val="008E6334"/>
    <w:rsid w:val="008E6655"/>
    <w:rsid w:val="008E6F35"/>
    <w:rsid w:val="008F0217"/>
    <w:rsid w:val="008F1D18"/>
    <w:rsid w:val="008F2D95"/>
    <w:rsid w:val="008F375D"/>
    <w:rsid w:val="00900530"/>
    <w:rsid w:val="0090696B"/>
    <w:rsid w:val="00911441"/>
    <w:rsid w:val="00920ED2"/>
    <w:rsid w:val="00923FA2"/>
    <w:rsid w:val="00926918"/>
    <w:rsid w:val="00926F4B"/>
    <w:rsid w:val="0093451F"/>
    <w:rsid w:val="009465DB"/>
    <w:rsid w:val="00950F26"/>
    <w:rsid w:val="009543A6"/>
    <w:rsid w:val="0095502A"/>
    <w:rsid w:val="00955A89"/>
    <w:rsid w:val="00956959"/>
    <w:rsid w:val="0096060D"/>
    <w:rsid w:val="009749F7"/>
    <w:rsid w:val="00974A50"/>
    <w:rsid w:val="0097585A"/>
    <w:rsid w:val="00981DE4"/>
    <w:rsid w:val="00987628"/>
    <w:rsid w:val="0099066D"/>
    <w:rsid w:val="0099132D"/>
    <w:rsid w:val="009924B0"/>
    <w:rsid w:val="00992701"/>
    <w:rsid w:val="009942C9"/>
    <w:rsid w:val="009958AE"/>
    <w:rsid w:val="009959BF"/>
    <w:rsid w:val="009A0964"/>
    <w:rsid w:val="009A1387"/>
    <w:rsid w:val="009A3D3B"/>
    <w:rsid w:val="009B32A0"/>
    <w:rsid w:val="009B35C4"/>
    <w:rsid w:val="009C2CE1"/>
    <w:rsid w:val="009C2FDF"/>
    <w:rsid w:val="009C630A"/>
    <w:rsid w:val="009D23BC"/>
    <w:rsid w:val="009D4090"/>
    <w:rsid w:val="009D7E13"/>
    <w:rsid w:val="009E0D98"/>
    <w:rsid w:val="009E1E86"/>
    <w:rsid w:val="009E5203"/>
    <w:rsid w:val="009E58A8"/>
    <w:rsid w:val="009E61A4"/>
    <w:rsid w:val="009E7180"/>
    <w:rsid w:val="009E755C"/>
    <w:rsid w:val="009F22A6"/>
    <w:rsid w:val="009F294F"/>
    <w:rsid w:val="009F6928"/>
    <w:rsid w:val="00A034D1"/>
    <w:rsid w:val="00A04DB0"/>
    <w:rsid w:val="00A068A1"/>
    <w:rsid w:val="00A1207D"/>
    <w:rsid w:val="00A12FD8"/>
    <w:rsid w:val="00A16C03"/>
    <w:rsid w:val="00A16DE7"/>
    <w:rsid w:val="00A24C8F"/>
    <w:rsid w:val="00A24F2F"/>
    <w:rsid w:val="00A26B29"/>
    <w:rsid w:val="00A335E8"/>
    <w:rsid w:val="00A3409C"/>
    <w:rsid w:val="00A346FC"/>
    <w:rsid w:val="00A351A2"/>
    <w:rsid w:val="00A351B7"/>
    <w:rsid w:val="00A37A29"/>
    <w:rsid w:val="00A42E2C"/>
    <w:rsid w:val="00A44973"/>
    <w:rsid w:val="00A46D77"/>
    <w:rsid w:val="00A5162F"/>
    <w:rsid w:val="00A522E3"/>
    <w:rsid w:val="00A52E94"/>
    <w:rsid w:val="00A54197"/>
    <w:rsid w:val="00A54B03"/>
    <w:rsid w:val="00A5611E"/>
    <w:rsid w:val="00A6077F"/>
    <w:rsid w:val="00A6203A"/>
    <w:rsid w:val="00A62EAE"/>
    <w:rsid w:val="00A6376C"/>
    <w:rsid w:val="00A675FE"/>
    <w:rsid w:val="00A72309"/>
    <w:rsid w:val="00A76899"/>
    <w:rsid w:val="00A81C44"/>
    <w:rsid w:val="00A82EC4"/>
    <w:rsid w:val="00A830AE"/>
    <w:rsid w:val="00A843FF"/>
    <w:rsid w:val="00A846F2"/>
    <w:rsid w:val="00A84F93"/>
    <w:rsid w:val="00A8504E"/>
    <w:rsid w:val="00A8593F"/>
    <w:rsid w:val="00A85ED7"/>
    <w:rsid w:val="00A9555E"/>
    <w:rsid w:val="00A95C29"/>
    <w:rsid w:val="00A96727"/>
    <w:rsid w:val="00AA18A9"/>
    <w:rsid w:val="00AA4DC0"/>
    <w:rsid w:val="00AA770D"/>
    <w:rsid w:val="00AA7C13"/>
    <w:rsid w:val="00AB0874"/>
    <w:rsid w:val="00AB1AC5"/>
    <w:rsid w:val="00AB3BFC"/>
    <w:rsid w:val="00AB3E7B"/>
    <w:rsid w:val="00AC4309"/>
    <w:rsid w:val="00AC4F2E"/>
    <w:rsid w:val="00AD0C37"/>
    <w:rsid w:val="00AD385F"/>
    <w:rsid w:val="00AD7126"/>
    <w:rsid w:val="00AE6E2A"/>
    <w:rsid w:val="00AE76D4"/>
    <w:rsid w:val="00AE7D39"/>
    <w:rsid w:val="00AF03D0"/>
    <w:rsid w:val="00AF0A59"/>
    <w:rsid w:val="00AF209D"/>
    <w:rsid w:val="00AF4070"/>
    <w:rsid w:val="00AF489B"/>
    <w:rsid w:val="00B00785"/>
    <w:rsid w:val="00B03EAB"/>
    <w:rsid w:val="00B0401D"/>
    <w:rsid w:val="00B049FE"/>
    <w:rsid w:val="00B0610D"/>
    <w:rsid w:val="00B06BCD"/>
    <w:rsid w:val="00B10C22"/>
    <w:rsid w:val="00B11F8A"/>
    <w:rsid w:val="00B13008"/>
    <w:rsid w:val="00B13349"/>
    <w:rsid w:val="00B1538A"/>
    <w:rsid w:val="00B15F4D"/>
    <w:rsid w:val="00B16C9E"/>
    <w:rsid w:val="00B21D21"/>
    <w:rsid w:val="00B227AE"/>
    <w:rsid w:val="00B261CD"/>
    <w:rsid w:val="00B31E9C"/>
    <w:rsid w:val="00B32703"/>
    <w:rsid w:val="00B35595"/>
    <w:rsid w:val="00B359A6"/>
    <w:rsid w:val="00B366C5"/>
    <w:rsid w:val="00B36743"/>
    <w:rsid w:val="00B40461"/>
    <w:rsid w:val="00B424A7"/>
    <w:rsid w:val="00B43740"/>
    <w:rsid w:val="00B51C6D"/>
    <w:rsid w:val="00B6148E"/>
    <w:rsid w:val="00B61997"/>
    <w:rsid w:val="00B61D8D"/>
    <w:rsid w:val="00B66AD9"/>
    <w:rsid w:val="00B70A6F"/>
    <w:rsid w:val="00B71893"/>
    <w:rsid w:val="00B71B6C"/>
    <w:rsid w:val="00B7442F"/>
    <w:rsid w:val="00B75404"/>
    <w:rsid w:val="00B771A7"/>
    <w:rsid w:val="00B77B26"/>
    <w:rsid w:val="00B83DD2"/>
    <w:rsid w:val="00B8588F"/>
    <w:rsid w:val="00B86C93"/>
    <w:rsid w:val="00B86D64"/>
    <w:rsid w:val="00B875D2"/>
    <w:rsid w:val="00B9125F"/>
    <w:rsid w:val="00B95A44"/>
    <w:rsid w:val="00B96AA5"/>
    <w:rsid w:val="00B970F0"/>
    <w:rsid w:val="00BA0CE5"/>
    <w:rsid w:val="00BA269A"/>
    <w:rsid w:val="00BA4877"/>
    <w:rsid w:val="00BA4AC5"/>
    <w:rsid w:val="00BA52AC"/>
    <w:rsid w:val="00BA610E"/>
    <w:rsid w:val="00BB0702"/>
    <w:rsid w:val="00BB242E"/>
    <w:rsid w:val="00BB2A77"/>
    <w:rsid w:val="00BB3118"/>
    <w:rsid w:val="00BB37DC"/>
    <w:rsid w:val="00BB5163"/>
    <w:rsid w:val="00BB52FE"/>
    <w:rsid w:val="00BB545D"/>
    <w:rsid w:val="00BC0E23"/>
    <w:rsid w:val="00BC1364"/>
    <w:rsid w:val="00BC1FC3"/>
    <w:rsid w:val="00BC2667"/>
    <w:rsid w:val="00BC3D80"/>
    <w:rsid w:val="00BC6728"/>
    <w:rsid w:val="00BC7DE9"/>
    <w:rsid w:val="00BD310B"/>
    <w:rsid w:val="00BD3F32"/>
    <w:rsid w:val="00BD5BCE"/>
    <w:rsid w:val="00BD7F3E"/>
    <w:rsid w:val="00BE6B07"/>
    <w:rsid w:val="00BE6FDC"/>
    <w:rsid w:val="00BE7DBB"/>
    <w:rsid w:val="00BE7FF0"/>
    <w:rsid w:val="00BF2159"/>
    <w:rsid w:val="00BF22A2"/>
    <w:rsid w:val="00BF479B"/>
    <w:rsid w:val="00C01583"/>
    <w:rsid w:val="00C02577"/>
    <w:rsid w:val="00C042B8"/>
    <w:rsid w:val="00C06989"/>
    <w:rsid w:val="00C06B0B"/>
    <w:rsid w:val="00C06F6E"/>
    <w:rsid w:val="00C10224"/>
    <w:rsid w:val="00C128C4"/>
    <w:rsid w:val="00C15C7B"/>
    <w:rsid w:val="00C204FB"/>
    <w:rsid w:val="00C20BEE"/>
    <w:rsid w:val="00C2158D"/>
    <w:rsid w:val="00C21A6C"/>
    <w:rsid w:val="00C21C37"/>
    <w:rsid w:val="00C223F1"/>
    <w:rsid w:val="00C24F0D"/>
    <w:rsid w:val="00C3049D"/>
    <w:rsid w:val="00C311AF"/>
    <w:rsid w:val="00C3130A"/>
    <w:rsid w:val="00C34259"/>
    <w:rsid w:val="00C35797"/>
    <w:rsid w:val="00C35E59"/>
    <w:rsid w:val="00C361B7"/>
    <w:rsid w:val="00C36FA6"/>
    <w:rsid w:val="00C408D6"/>
    <w:rsid w:val="00C43507"/>
    <w:rsid w:val="00C43DD4"/>
    <w:rsid w:val="00C45CD1"/>
    <w:rsid w:val="00C4690B"/>
    <w:rsid w:val="00C51180"/>
    <w:rsid w:val="00C549EC"/>
    <w:rsid w:val="00C617FE"/>
    <w:rsid w:val="00C63555"/>
    <w:rsid w:val="00C6535D"/>
    <w:rsid w:val="00C65F65"/>
    <w:rsid w:val="00C667F9"/>
    <w:rsid w:val="00C67975"/>
    <w:rsid w:val="00C67DD2"/>
    <w:rsid w:val="00C70BDF"/>
    <w:rsid w:val="00C725CB"/>
    <w:rsid w:val="00C73145"/>
    <w:rsid w:val="00C76F5C"/>
    <w:rsid w:val="00C84D7E"/>
    <w:rsid w:val="00C84FEB"/>
    <w:rsid w:val="00C8556B"/>
    <w:rsid w:val="00C876A0"/>
    <w:rsid w:val="00C90434"/>
    <w:rsid w:val="00C906BC"/>
    <w:rsid w:val="00C92352"/>
    <w:rsid w:val="00C94B96"/>
    <w:rsid w:val="00C95931"/>
    <w:rsid w:val="00C96AF5"/>
    <w:rsid w:val="00C96BAD"/>
    <w:rsid w:val="00CA198B"/>
    <w:rsid w:val="00CA297C"/>
    <w:rsid w:val="00CA4AB9"/>
    <w:rsid w:val="00CA4B08"/>
    <w:rsid w:val="00CA6944"/>
    <w:rsid w:val="00CB0F8E"/>
    <w:rsid w:val="00CB1FEB"/>
    <w:rsid w:val="00CB4760"/>
    <w:rsid w:val="00CB68EB"/>
    <w:rsid w:val="00CB7E7D"/>
    <w:rsid w:val="00CC0D05"/>
    <w:rsid w:val="00CC2911"/>
    <w:rsid w:val="00CC2998"/>
    <w:rsid w:val="00CC5765"/>
    <w:rsid w:val="00CD269F"/>
    <w:rsid w:val="00CD3543"/>
    <w:rsid w:val="00CD3FA7"/>
    <w:rsid w:val="00CD4E5F"/>
    <w:rsid w:val="00CD65A2"/>
    <w:rsid w:val="00CD7BC7"/>
    <w:rsid w:val="00CE0939"/>
    <w:rsid w:val="00CE461F"/>
    <w:rsid w:val="00CE6B6D"/>
    <w:rsid w:val="00CE7B1E"/>
    <w:rsid w:val="00CF0C6D"/>
    <w:rsid w:val="00CF2F4B"/>
    <w:rsid w:val="00CF4D34"/>
    <w:rsid w:val="00CF4E81"/>
    <w:rsid w:val="00CF7307"/>
    <w:rsid w:val="00CF7C68"/>
    <w:rsid w:val="00D028B1"/>
    <w:rsid w:val="00D05026"/>
    <w:rsid w:val="00D1124A"/>
    <w:rsid w:val="00D123B9"/>
    <w:rsid w:val="00D124FA"/>
    <w:rsid w:val="00D1610A"/>
    <w:rsid w:val="00D23D95"/>
    <w:rsid w:val="00D24952"/>
    <w:rsid w:val="00D27C9C"/>
    <w:rsid w:val="00D30558"/>
    <w:rsid w:val="00D340DE"/>
    <w:rsid w:val="00D405CF"/>
    <w:rsid w:val="00D4255F"/>
    <w:rsid w:val="00D45210"/>
    <w:rsid w:val="00D461E4"/>
    <w:rsid w:val="00D518C9"/>
    <w:rsid w:val="00D55723"/>
    <w:rsid w:val="00D557E9"/>
    <w:rsid w:val="00D60239"/>
    <w:rsid w:val="00D6147E"/>
    <w:rsid w:val="00D62FAD"/>
    <w:rsid w:val="00D63B6A"/>
    <w:rsid w:val="00D63E7C"/>
    <w:rsid w:val="00D64173"/>
    <w:rsid w:val="00D64355"/>
    <w:rsid w:val="00D64B3F"/>
    <w:rsid w:val="00D66EC7"/>
    <w:rsid w:val="00D6757A"/>
    <w:rsid w:val="00D70450"/>
    <w:rsid w:val="00D716F5"/>
    <w:rsid w:val="00D77FE9"/>
    <w:rsid w:val="00D80E46"/>
    <w:rsid w:val="00D81330"/>
    <w:rsid w:val="00D83BFD"/>
    <w:rsid w:val="00D867A0"/>
    <w:rsid w:val="00D90A38"/>
    <w:rsid w:val="00D91E4D"/>
    <w:rsid w:val="00D9416D"/>
    <w:rsid w:val="00D95739"/>
    <w:rsid w:val="00D97BC5"/>
    <w:rsid w:val="00D97DD3"/>
    <w:rsid w:val="00DA0515"/>
    <w:rsid w:val="00DA171E"/>
    <w:rsid w:val="00DA3869"/>
    <w:rsid w:val="00DA41E8"/>
    <w:rsid w:val="00DA56AA"/>
    <w:rsid w:val="00DA6D49"/>
    <w:rsid w:val="00DA7E58"/>
    <w:rsid w:val="00DB014D"/>
    <w:rsid w:val="00DB5833"/>
    <w:rsid w:val="00DC0E88"/>
    <w:rsid w:val="00DC1B8F"/>
    <w:rsid w:val="00DC1E4F"/>
    <w:rsid w:val="00DD136F"/>
    <w:rsid w:val="00DD2858"/>
    <w:rsid w:val="00DD28F8"/>
    <w:rsid w:val="00DD2ED9"/>
    <w:rsid w:val="00DD3DE6"/>
    <w:rsid w:val="00DD41C9"/>
    <w:rsid w:val="00DD4695"/>
    <w:rsid w:val="00DD54C7"/>
    <w:rsid w:val="00DD5A7E"/>
    <w:rsid w:val="00DE3BAE"/>
    <w:rsid w:val="00DE4BDD"/>
    <w:rsid w:val="00DE56BE"/>
    <w:rsid w:val="00DE5D8C"/>
    <w:rsid w:val="00DF39C5"/>
    <w:rsid w:val="00DF449C"/>
    <w:rsid w:val="00DF489D"/>
    <w:rsid w:val="00DF6A8F"/>
    <w:rsid w:val="00E03E33"/>
    <w:rsid w:val="00E03F2E"/>
    <w:rsid w:val="00E059E0"/>
    <w:rsid w:val="00E06CA3"/>
    <w:rsid w:val="00E12D67"/>
    <w:rsid w:val="00E13237"/>
    <w:rsid w:val="00E15FBC"/>
    <w:rsid w:val="00E16A1A"/>
    <w:rsid w:val="00E16F77"/>
    <w:rsid w:val="00E215B0"/>
    <w:rsid w:val="00E22199"/>
    <w:rsid w:val="00E22785"/>
    <w:rsid w:val="00E23CC2"/>
    <w:rsid w:val="00E2513E"/>
    <w:rsid w:val="00E32566"/>
    <w:rsid w:val="00E3566E"/>
    <w:rsid w:val="00E3642A"/>
    <w:rsid w:val="00E415C4"/>
    <w:rsid w:val="00E50016"/>
    <w:rsid w:val="00E50EAA"/>
    <w:rsid w:val="00E530C2"/>
    <w:rsid w:val="00E602E2"/>
    <w:rsid w:val="00E61ED5"/>
    <w:rsid w:val="00E63251"/>
    <w:rsid w:val="00E6359E"/>
    <w:rsid w:val="00E656D6"/>
    <w:rsid w:val="00E71608"/>
    <w:rsid w:val="00E71C30"/>
    <w:rsid w:val="00E71D34"/>
    <w:rsid w:val="00E82556"/>
    <w:rsid w:val="00E84184"/>
    <w:rsid w:val="00E85991"/>
    <w:rsid w:val="00E86E94"/>
    <w:rsid w:val="00E876F8"/>
    <w:rsid w:val="00E87C40"/>
    <w:rsid w:val="00E9371E"/>
    <w:rsid w:val="00E977EE"/>
    <w:rsid w:val="00EA1291"/>
    <w:rsid w:val="00EA2F24"/>
    <w:rsid w:val="00EA5C0E"/>
    <w:rsid w:val="00EA67A2"/>
    <w:rsid w:val="00EB08C7"/>
    <w:rsid w:val="00EB5520"/>
    <w:rsid w:val="00EB630F"/>
    <w:rsid w:val="00EB6B6F"/>
    <w:rsid w:val="00EC0F27"/>
    <w:rsid w:val="00EC1FA0"/>
    <w:rsid w:val="00EC4F98"/>
    <w:rsid w:val="00EC52A2"/>
    <w:rsid w:val="00EC6D4B"/>
    <w:rsid w:val="00ED056C"/>
    <w:rsid w:val="00ED4163"/>
    <w:rsid w:val="00ED42D6"/>
    <w:rsid w:val="00ED71C2"/>
    <w:rsid w:val="00EE223A"/>
    <w:rsid w:val="00EE294E"/>
    <w:rsid w:val="00EE3B3E"/>
    <w:rsid w:val="00EE3DDE"/>
    <w:rsid w:val="00EE4D6D"/>
    <w:rsid w:val="00EF15E2"/>
    <w:rsid w:val="00EF2C87"/>
    <w:rsid w:val="00EF4B57"/>
    <w:rsid w:val="00EF5926"/>
    <w:rsid w:val="00EF68A3"/>
    <w:rsid w:val="00F02151"/>
    <w:rsid w:val="00F04DF1"/>
    <w:rsid w:val="00F05520"/>
    <w:rsid w:val="00F056E5"/>
    <w:rsid w:val="00F05D00"/>
    <w:rsid w:val="00F07DFD"/>
    <w:rsid w:val="00F12F02"/>
    <w:rsid w:val="00F13992"/>
    <w:rsid w:val="00F15280"/>
    <w:rsid w:val="00F15306"/>
    <w:rsid w:val="00F1698D"/>
    <w:rsid w:val="00F205B8"/>
    <w:rsid w:val="00F20EBE"/>
    <w:rsid w:val="00F214C3"/>
    <w:rsid w:val="00F25647"/>
    <w:rsid w:val="00F2698C"/>
    <w:rsid w:val="00F31545"/>
    <w:rsid w:val="00F326E7"/>
    <w:rsid w:val="00F32E0D"/>
    <w:rsid w:val="00F35134"/>
    <w:rsid w:val="00F35882"/>
    <w:rsid w:val="00F37B9C"/>
    <w:rsid w:val="00F40731"/>
    <w:rsid w:val="00F4083B"/>
    <w:rsid w:val="00F4157D"/>
    <w:rsid w:val="00F4158A"/>
    <w:rsid w:val="00F41812"/>
    <w:rsid w:val="00F43AA5"/>
    <w:rsid w:val="00F44704"/>
    <w:rsid w:val="00F45052"/>
    <w:rsid w:val="00F561A1"/>
    <w:rsid w:val="00F56D7F"/>
    <w:rsid w:val="00F622E0"/>
    <w:rsid w:val="00F65A34"/>
    <w:rsid w:val="00F715D1"/>
    <w:rsid w:val="00F720E9"/>
    <w:rsid w:val="00F72715"/>
    <w:rsid w:val="00F73312"/>
    <w:rsid w:val="00F73333"/>
    <w:rsid w:val="00F736D7"/>
    <w:rsid w:val="00F75CA1"/>
    <w:rsid w:val="00F77508"/>
    <w:rsid w:val="00F817D5"/>
    <w:rsid w:val="00F9196F"/>
    <w:rsid w:val="00F91BF0"/>
    <w:rsid w:val="00F95D8F"/>
    <w:rsid w:val="00F961B7"/>
    <w:rsid w:val="00FA56A2"/>
    <w:rsid w:val="00FA5951"/>
    <w:rsid w:val="00FB350A"/>
    <w:rsid w:val="00FB4C5D"/>
    <w:rsid w:val="00FB699C"/>
    <w:rsid w:val="00FB7670"/>
    <w:rsid w:val="00FC1AF3"/>
    <w:rsid w:val="00FC3322"/>
    <w:rsid w:val="00FC526A"/>
    <w:rsid w:val="00FD04CA"/>
    <w:rsid w:val="00FD3C21"/>
    <w:rsid w:val="00FD424B"/>
    <w:rsid w:val="00FD5431"/>
    <w:rsid w:val="00FD68E8"/>
    <w:rsid w:val="00FD6EEC"/>
    <w:rsid w:val="00FE1C3F"/>
    <w:rsid w:val="00FE607C"/>
    <w:rsid w:val="00FE731D"/>
    <w:rsid w:val="00FF2D2E"/>
    <w:rsid w:val="06286B0D"/>
    <w:rsid w:val="069BF272"/>
    <w:rsid w:val="0836EAE1"/>
    <w:rsid w:val="0A35126B"/>
    <w:rsid w:val="0B21BFD6"/>
    <w:rsid w:val="10CB4B08"/>
    <w:rsid w:val="130CB766"/>
    <w:rsid w:val="162AB2A7"/>
    <w:rsid w:val="18716A0E"/>
    <w:rsid w:val="25553D09"/>
    <w:rsid w:val="2A3F032B"/>
    <w:rsid w:val="2A9D5D41"/>
    <w:rsid w:val="2B22BD2C"/>
    <w:rsid w:val="2C9B8014"/>
    <w:rsid w:val="309D5A41"/>
    <w:rsid w:val="363E6B39"/>
    <w:rsid w:val="408686F8"/>
    <w:rsid w:val="40C37E82"/>
    <w:rsid w:val="40F2030A"/>
    <w:rsid w:val="4CFBEE30"/>
    <w:rsid w:val="4E23CA35"/>
    <w:rsid w:val="4ECB1B0B"/>
    <w:rsid w:val="588191E5"/>
    <w:rsid w:val="59913274"/>
    <w:rsid w:val="5C3D50E1"/>
    <w:rsid w:val="671EEC74"/>
    <w:rsid w:val="68479FA1"/>
    <w:rsid w:val="6851F0DF"/>
    <w:rsid w:val="696CB2EA"/>
    <w:rsid w:val="69A3DE20"/>
    <w:rsid w:val="6FE83F4E"/>
    <w:rsid w:val="7237E260"/>
    <w:rsid w:val="77D40E4A"/>
    <w:rsid w:val="7B269DC1"/>
    <w:rsid w:val="7DED13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8C06A9"/>
  <w15:docId w15:val="{A6FC6069-DC02-42F8-BE89-0D3D0EF8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FBA"/>
    <w:rPr>
      <w:rFonts w:ascii="Franklin Gothic Book" w:eastAsia="Times New Roman" w:hAnsi="Franklin Gothic Book"/>
      <w:szCs w:val="20"/>
    </w:rPr>
  </w:style>
  <w:style w:type="paragraph" w:styleId="Heading1">
    <w:name w:val="heading 1"/>
    <w:basedOn w:val="Normal"/>
    <w:next w:val="Normal"/>
    <w:link w:val="Heading1Char"/>
    <w:uiPriority w:val="99"/>
    <w:qFormat/>
    <w:rsid w:val="00A5611E"/>
    <w:pPr>
      <w:keepNext/>
      <w:keepLines/>
      <w:numPr>
        <w:numId w:val="23"/>
      </w:numPr>
      <w:spacing w:before="240" w:after="240"/>
      <w:ind w:hanging="720"/>
      <w:outlineLvl w:val="0"/>
    </w:pPr>
    <w:rPr>
      <w:rFonts w:ascii="Franklin Gothic Medium" w:hAnsi="Franklin Gothic Medium"/>
      <w:bCs/>
      <w:sz w:val="32"/>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611E"/>
    <w:rPr>
      <w:rFonts w:ascii="Franklin Gothic Medium" w:eastAsia="Times New Roman" w:hAnsi="Franklin Gothic Medium"/>
      <w:bCs/>
      <w:sz w:val="32"/>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qFormat/>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MSD Table Grid,Summary box,Table Gridbeth,ASD Table,CMA Table Template,new style,PBAC table,RTI AMCP Table,Legemiddelverket 3,HTAtableplain,Table Grid nm,Dossier table,Summary Table,HealthConsult,Conclusion box,PHE Table Grid,Lash Style Table"/>
    <w:basedOn w:val="TableNormal"/>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and Figure Name,Caption Char2 Char,Caption Char Char Char2,Caption Char1 Char Char Char1,Caption Char2 Char Char Char1 Char1,Caption Char Char1 Char Char Char1 Char1,Caption Char1 Char Char Char Char Char Char,Caption Char Char1,- H1"/>
    <w:basedOn w:val="Normal"/>
    <w:next w:val="Normal"/>
    <w:link w:val="CaptionChar"/>
    <w:uiPriority w:val="35"/>
    <w:unhideWhenUsed/>
    <w:qFormat/>
    <w:locked/>
    <w:rsid w:val="007A4D97"/>
    <w:pPr>
      <w:spacing w:after="200"/>
    </w:pPr>
    <w:rPr>
      <w:i/>
      <w:iCs/>
      <w:color w:val="1F497D" w:themeColor="text2"/>
      <w:sz w:val="18"/>
      <w:szCs w:val="18"/>
    </w:rPr>
  </w:style>
  <w:style w:type="paragraph" w:customStyle="1" w:styleId="TableFooter">
    <w:name w:val="Table Footer"/>
    <w:basedOn w:val="Normal"/>
    <w:link w:val="TableFooterChar"/>
    <w:uiPriority w:val="1"/>
    <w:qFormat/>
    <w:rsid w:val="00477215"/>
    <w:pPr>
      <w:widowControl w:val="0"/>
      <w:spacing w:after="240"/>
      <w:contextualSpacing/>
      <w:jc w:val="both"/>
    </w:pPr>
    <w:rPr>
      <w:rFonts w:ascii="Arial Narrow" w:hAnsi="Arial Narrow" w:cs="Arial"/>
      <w:snapToGrid w:val="0"/>
      <w:sz w:val="18"/>
      <w:lang w:eastAsia="en-GB"/>
    </w:rPr>
  </w:style>
  <w:style w:type="character" w:customStyle="1" w:styleId="TableFooterChar">
    <w:name w:val="Table Footer Char"/>
    <w:link w:val="TableFooter"/>
    <w:uiPriority w:val="1"/>
    <w:rsid w:val="00477215"/>
    <w:rPr>
      <w:rFonts w:ascii="Arial Narrow" w:eastAsia="Times New Roman" w:hAnsi="Arial Narrow" w:cs="Arial"/>
      <w:snapToGrid w:val="0"/>
      <w:sz w:val="18"/>
      <w:szCs w:val="20"/>
      <w:lang w:eastAsia="en-GB"/>
    </w:rPr>
  </w:style>
  <w:style w:type="paragraph" w:customStyle="1" w:styleId="BoxText">
    <w:name w:val="BoxText"/>
    <w:basedOn w:val="Normal"/>
    <w:qFormat/>
    <w:rsid w:val="00B366C5"/>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B366C5"/>
    <w:pPr>
      <w:keepNext/>
      <w:spacing w:before="180"/>
      <w:ind w:left="1080" w:hanging="1080"/>
    </w:pPr>
    <w:rPr>
      <w:b/>
      <w:bCs/>
    </w:rPr>
  </w:style>
  <w:style w:type="paragraph" w:customStyle="1" w:styleId="BoxHeading">
    <w:name w:val="BoxHeading"/>
    <w:basedOn w:val="BoxText"/>
    <w:rsid w:val="00B366C5"/>
    <w:pPr>
      <w:keepNext/>
      <w:spacing w:before="120" w:after="60"/>
    </w:pPr>
    <w:rPr>
      <w:b/>
      <w:bCs/>
    </w:rPr>
  </w:style>
  <w:style w:type="paragraph" w:styleId="Revision">
    <w:name w:val="Revision"/>
    <w:hidden/>
    <w:uiPriority w:val="99"/>
    <w:semiHidden/>
    <w:rsid w:val="00334527"/>
    <w:rPr>
      <w:rFonts w:eastAsia="Times New Roman"/>
      <w:sz w:val="24"/>
      <w:szCs w:val="20"/>
    </w:rPr>
  </w:style>
  <w:style w:type="paragraph" w:styleId="BodyText">
    <w:name w:val="Body Text"/>
    <w:basedOn w:val="Normal"/>
    <w:link w:val="BodyTextChar"/>
    <w:unhideWhenUsed/>
    <w:qFormat/>
    <w:rsid w:val="00861B2C"/>
    <w:pPr>
      <w:spacing w:after="120" w:line="276" w:lineRule="auto"/>
    </w:pPr>
    <w:rPr>
      <w:rFonts w:ascii="Montserrat" w:eastAsia="Calibri" w:hAnsi="Montserrat" w:cs="Calibri"/>
      <w:sz w:val="18"/>
      <w:lang w:eastAsia="en-US"/>
    </w:rPr>
  </w:style>
  <w:style w:type="character" w:customStyle="1" w:styleId="BodyTextChar">
    <w:name w:val="Body Text Char"/>
    <w:basedOn w:val="DefaultParagraphFont"/>
    <w:link w:val="BodyText"/>
    <w:rsid w:val="00861B2C"/>
    <w:rPr>
      <w:rFonts w:ascii="Montserrat" w:hAnsi="Montserrat" w:cs="Calibri"/>
      <w:sz w:val="18"/>
      <w:szCs w:val="20"/>
      <w:lang w:eastAsia="en-US"/>
    </w:rPr>
  </w:style>
  <w:style w:type="character" w:customStyle="1" w:styleId="CaptionChar">
    <w:name w:val="Caption Char"/>
    <w:aliases w:val="Table and Figure Name Char,Caption Char2 Char Char,Caption Char Char Char2 Char,Caption Char1 Char Char Char1 Char,Caption Char2 Char Char Char1 Char1 Char,Caption Char Char1 Char Char Char1 Char1 Char,Caption Char Char1 Char,- H1 Char"/>
    <w:basedOn w:val="DefaultParagraphFont"/>
    <w:link w:val="Caption"/>
    <w:uiPriority w:val="35"/>
    <w:locked/>
    <w:rsid w:val="00861B2C"/>
    <w:rPr>
      <w:rFonts w:ascii="Franklin Gothic Book" w:eastAsia="Times New Roman" w:hAnsi="Franklin Gothic Book"/>
      <w:i/>
      <w:iCs/>
      <w:color w:val="1F497D" w:themeColor="text2"/>
      <w:sz w:val="18"/>
      <w:szCs w:val="18"/>
    </w:rPr>
  </w:style>
  <w:style w:type="paragraph" w:customStyle="1" w:styleId="Tabletext8ptCentered">
    <w:name w:val="Table text 8pt + Centered"/>
    <w:basedOn w:val="Normal"/>
    <w:qFormat/>
    <w:rsid w:val="00861B2C"/>
    <w:pPr>
      <w:keepNext/>
      <w:keepLines/>
      <w:spacing w:before="20" w:after="20"/>
      <w:jc w:val="center"/>
    </w:pPr>
    <w:rPr>
      <w:rFonts w:ascii="Montserrat" w:eastAsia="Calibri" w:hAnsi="Montserrat" w:cs="Calibri"/>
      <w:sz w:val="16"/>
      <w:szCs w:val="16"/>
      <w:lang w:eastAsia="en-US"/>
    </w:rPr>
  </w:style>
  <w:style w:type="paragraph" w:customStyle="1" w:styleId="TableH28ptCentered">
    <w:name w:val="Table H2 8pt + Centered"/>
    <w:basedOn w:val="Normal"/>
    <w:qFormat/>
    <w:rsid w:val="00DE56BE"/>
    <w:pPr>
      <w:keepNext/>
      <w:keepLines/>
      <w:spacing w:before="20" w:after="20"/>
      <w:contextualSpacing/>
      <w:jc w:val="center"/>
    </w:pPr>
    <w:rPr>
      <w:rFonts w:ascii="Montserrat" w:eastAsia="Calibri" w:hAnsi="Montserrat" w:cs="Calibri"/>
      <w:b/>
      <w:sz w:val="16"/>
      <w:lang w:eastAsia="en-US"/>
    </w:rPr>
  </w:style>
  <w:style w:type="paragraph" w:customStyle="1" w:styleId="TableH28pt">
    <w:name w:val="Table H2 8pt"/>
    <w:basedOn w:val="TableH28ptCentered"/>
    <w:qFormat/>
    <w:rsid w:val="00DE56BE"/>
    <w:pPr>
      <w:jc w:val="left"/>
    </w:pPr>
  </w:style>
  <w:style w:type="paragraph" w:customStyle="1" w:styleId="Tabletext8pt">
    <w:name w:val="Table text 8pt"/>
    <w:basedOn w:val="Normal"/>
    <w:qFormat/>
    <w:rsid w:val="00DE56BE"/>
    <w:pPr>
      <w:keepNext/>
      <w:keepLines/>
      <w:spacing w:before="20" w:after="20"/>
    </w:pPr>
    <w:rPr>
      <w:rFonts w:ascii="Montserrat" w:eastAsia="Calibri" w:hAnsi="Montserrat" w:cs="Calibri"/>
      <w:sz w:val="16"/>
      <w:szCs w:val="16"/>
      <w:lang w:eastAsia="en-US"/>
    </w:rPr>
  </w:style>
  <w:style w:type="table" w:styleId="TableGridLight">
    <w:name w:val="Grid Table Light"/>
    <w:basedOn w:val="TableNormal"/>
    <w:uiPriority w:val="40"/>
    <w:rsid w:val="00DE56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1">
    <w:name w:val="Table H1"/>
    <w:basedOn w:val="BodyText"/>
    <w:uiPriority w:val="4"/>
    <w:qFormat/>
    <w:rsid w:val="004246F6"/>
    <w:pPr>
      <w:keepNext/>
      <w:keepLines/>
      <w:spacing w:before="20" w:after="20" w:line="240" w:lineRule="auto"/>
    </w:pPr>
    <w:rPr>
      <w:b/>
      <w:szCs w:val="16"/>
      <w:lang w:val="en-US"/>
    </w:rPr>
  </w:style>
  <w:style w:type="table" w:styleId="TableSimple1">
    <w:name w:val="Table Simple 1"/>
    <w:basedOn w:val="TableNormal"/>
    <w:rsid w:val="004246F6"/>
    <w:rPr>
      <w:rFonts w:ascii="Arial Narrow" w:eastAsia="MS Mincho" w:hAnsi="Arial Narrow"/>
      <w:sz w:val="18"/>
      <w:szCs w:val="20"/>
    </w:rPr>
    <w:tblPr>
      <w:tblBorders>
        <w:top w:val="single" w:sz="4" w:space="0" w:color="auto"/>
        <w:bottom w:val="single" w:sz="4" w:space="0" w:color="auto"/>
        <w:insideH w:val="single" w:sz="4" w:space="0" w:color="auto"/>
      </w:tblBorders>
    </w:tblPr>
    <w:tcPr>
      <w:shd w:val="clear" w:color="auto" w:fill="auto"/>
    </w:tcPr>
    <w:tblStylePr w:type="firstRow">
      <w:tblPr/>
      <w:tcPr>
        <w:tcBorders>
          <w:bottom w:val="nil"/>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styleId="NormalWeb">
    <w:name w:val="Normal (Web)"/>
    <w:basedOn w:val="Normal"/>
    <w:uiPriority w:val="99"/>
    <w:semiHidden/>
    <w:unhideWhenUsed/>
    <w:rsid w:val="001B156F"/>
    <w:rPr>
      <w:rFonts w:ascii="Times New Roman" w:hAnsi="Times New Roman"/>
      <w:sz w:val="24"/>
      <w:szCs w:val="24"/>
    </w:rPr>
  </w:style>
  <w:style w:type="paragraph" w:customStyle="1" w:styleId="TableText">
    <w:name w:val="Table Text"/>
    <w:link w:val="TableTextChar"/>
    <w:qFormat/>
    <w:rsid w:val="005B0AAD"/>
    <w:pPr>
      <w:keepNext/>
    </w:pPr>
    <w:rPr>
      <w:rFonts w:ascii="Arial Narrow" w:eastAsiaTheme="majorEastAsia" w:hAnsi="Arial Narrow" w:cstheme="majorBidi"/>
      <w:bCs/>
      <w:sz w:val="20"/>
      <w:szCs w:val="24"/>
    </w:rPr>
  </w:style>
  <w:style w:type="character" w:customStyle="1" w:styleId="TableTextChar">
    <w:name w:val="Table Text Char"/>
    <w:basedOn w:val="DefaultParagraphFont"/>
    <w:link w:val="TableText"/>
    <w:rsid w:val="005B0AAD"/>
    <w:rPr>
      <w:rFonts w:ascii="Arial Narrow" w:eastAsiaTheme="majorEastAsia" w:hAnsi="Arial Narrow" w:cstheme="majorBidi"/>
      <w:bCs/>
      <w:sz w:val="20"/>
      <w:szCs w:val="24"/>
    </w:rPr>
  </w:style>
  <w:style w:type="paragraph" w:customStyle="1" w:styleId="In-tableHeading">
    <w:name w:val="In-table Heading"/>
    <w:qFormat/>
    <w:rsid w:val="005B0AAD"/>
    <w:pPr>
      <w:keepNext/>
    </w:pPr>
    <w:rPr>
      <w:rFonts w:ascii="Arial Narrow" w:eastAsiaTheme="majorEastAsia" w:hAnsi="Arial Narrow"/>
      <w:b/>
      <w:sz w:val="20"/>
      <w:szCs w:val="24"/>
      <w:lang w:val="en-US"/>
    </w:rPr>
  </w:style>
  <w:style w:type="paragraph" w:customStyle="1" w:styleId="TableFigureHeading">
    <w:name w:val="Table/Figure Heading"/>
    <w:link w:val="TableFigureHeadingChar"/>
    <w:qFormat/>
    <w:rsid w:val="005B0AAD"/>
    <w:pPr>
      <w:keepNext/>
    </w:pPr>
    <w:rPr>
      <w:rFonts w:ascii="Arial Narrow" w:eastAsiaTheme="majorEastAsia" w:hAnsi="Arial Narrow" w:cstheme="majorBidi"/>
      <w:b/>
      <w:bCs/>
      <w:sz w:val="20"/>
      <w:szCs w:val="24"/>
    </w:rPr>
  </w:style>
  <w:style w:type="character" w:customStyle="1" w:styleId="TableFigureHeadingChar">
    <w:name w:val="Table/Figure Heading Char"/>
    <w:basedOn w:val="DefaultParagraphFont"/>
    <w:link w:val="TableFigureHeading"/>
    <w:rsid w:val="005B0AAD"/>
    <w:rPr>
      <w:rFonts w:ascii="Arial Narrow" w:eastAsiaTheme="majorEastAsia" w:hAnsi="Arial Narrow" w:cstheme="majorBidi"/>
      <w:b/>
      <w:bCs/>
      <w:sz w:val="20"/>
      <w:szCs w:val="24"/>
    </w:rPr>
  </w:style>
  <w:style w:type="paragraph" w:customStyle="1" w:styleId="TableFigureFooter">
    <w:name w:val="Table/Figure Footer"/>
    <w:basedOn w:val="Normal"/>
    <w:link w:val="TableFigureFooterChar"/>
    <w:qFormat/>
    <w:rsid w:val="005B0AAD"/>
    <w:pPr>
      <w:spacing w:after="120"/>
      <w:contextualSpacing/>
      <w:jc w:val="both"/>
    </w:pPr>
    <w:rPr>
      <w:rFonts w:ascii="Arial Narrow" w:hAnsi="Arial Narrow" w:cs="Arial"/>
      <w:snapToGrid w:val="0"/>
      <w:sz w:val="18"/>
      <w:szCs w:val="22"/>
    </w:rPr>
  </w:style>
  <w:style w:type="character" w:customStyle="1" w:styleId="TableFigureFooterChar">
    <w:name w:val="Table/Figure Footer Char"/>
    <w:link w:val="TableFigureFooter"/>
    <w:rsid w:val="005B0AAD"/>
    <w:rPr>
      <w:rFonts w:ascii="Arial Narrow" w:eastAsia="Times New Roman" w:hAnsi="Arial Narrow" w:cs="Arial"/>
      <w:snapToGrid w:val="0"/>
      <w:sz w:val="18"/>
    </w:rPr>
  </w:style>
  <w:style w:type="paragraph" w:customStyle="1" w:styleId="TableTextCA">
    <w:name w:val="Table Text CA"/>
    <w:basedOn w:val="Normal"/>
    <w:qFormat/>
    <w:rsid w:val="00FD6EEC"/>
    <w:pPr>
      <w:jc w:val="center"/>
    </w:pPr>
    <w:rPr>
      <w:rFonts w:ascii="Arial Narrow" w:eastAsia="Aptos" w:hAnsi="Arial Narrow"/>
      <w:sz w:val="20"/>
      <w:szCs w:val="24"/>
      <w:lang w:eastAsia="en-GB"/>
    </w:rPr>
  </w:style>
  <w:style w:type="character" w:styleId="Mention">
    <w:name w:val="Mention"/>
    <w:basedOn w:val="DefaultParagraphFont"/>
    <w:uiPriority w:val="99"/>
    <w:unhideWhenUsed/>
    <w:rsid w:val="00E86E94"/>
    <w:rPr>
      <w:color w:val="2B579A"/>
      <w:shd w:val="clear" w:color="auto" w:fill="E1DFDD"/>
    </w:rPr>
  </w:style>
  <w:style w:type="character" w:styleId="UnresolvedMention">
    <w:name w:val="Unresolved Mention"/>
    <w:basedOn w:val="DefaultParagraphFont"/>
    <w:uiPriority w:val="99"/>
    <w:semiHidden/>
    <w:unhideWhenUsed/>
    <w:rsid w:val="00A24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65436">
      <w:bodyDiv w:val="1"/>
      <w:marLeft w:val="0"/>
      <w:marRight w:val="0"/>
      <w:marTop w:val="0"/>
      <w:marBottom w:val="0"/>
      <w:divBdr>
        <w:top w:val="none" w:sz="0" w:space="0" w:color="auto"/>
        <w:left w:val="none" w:sz="0" w:space="0" w:color="auto"/>
        <w:bottom w:val="none" w:sz="0" w:space="0" w:color="auto"/>
        <w:right w:val="none" w:sz="0" w:space="0" w:color="auto"/>
      </w:divBdr>
    </w:div>
    <w:div w:id="105926800">
      <w:bodyDiv w:val="1"/>
      <w:marLeft w:val="0"/>
      <w:marRight w:val="0"/>
      <w:marTop w:val="0"/>
      <w:marBottom w:val="0"/>
      <w:divBdr>
        <w:top w:val="none" w:sz="0" w:space="0" w:color="auto"/>
        <w:left w:val="none" w:sz="0" w:space="0" w:color="auto"/>
        <w:bottom w:val="none" w:sz="0" w:space="0" w:color="auto"/>
        <w:right w:val="none" w:sz="0" w:space="0" w:color="auto"/>
      </w:divBdr>
    </w:div>
    <w:div w:id="201410005">
      <w:bodyDiv w:val="1"/>
      <w:marLeft w:val="0"/>
      <w:marRight w:val="0"/>
      <w:marTop w:val="0"/>
      <w:marBottom w:val="0"/>
      <w:divBdr>
        <w:top w:val="none" w:sz="0" w:space="0" w:color="auto"/>
        <w:left w:val="none" w:sz="0" w:space="0" w:color="auto"/>
        <w:bottom w:val="none" w:sz="0" w:space="0" w:color="auto"/>
        <w:right w:val="none" w:sz="0" w:space="0" w:color="auto"/>
      </w:divBdr>
    </w:div>
    <w:div w:id="215705572">
      <w:bodyDiv w:val="1"/>
      <w:marLeft w:val="0"/>
      <w:marRight w:val="0"/>
      <w:marTop w:val="0"/>
      <w:marBottom w:val="0"/>
      <w:divBdr>
        <w:top w:val="none" w:sz="0" w:space="0" w:color="auto"/>
        <w:left w:val="none" w:sz="0" w:space="0" w:color="auto"/>
        <w:bottom w:val="none" w:sz="0" w:space="0" w:color="auto"/>
        <w:right w:val="none" w:sz="0" w:space="0" w:color="auto"/>
      </w:divBdr>
    </w:div>
    <w:div w:id="380515779">
      <w:bodyDiv w:val="1"/>
      <w:marLeft w:val="0"/>
      <w:marRight w:val="0"/>
      <w:marTop w:val="0"/>
      <w:marBottom w:val="0"/>
      <w:divBdr>
        <w:top w:val="none" w:sz="0" w:space="0" w:color="auto"/>
        <w:left w:val="none" w:sz="0" w:space="0" w:color="auto"/>
        <w:bottom w:val="none" w:sz="0" w:space="0" w:color="auto"/>
        <w:right w:val="none" w:sz="0" w:space="0" w:color="auto"/>
      </w:divBdr>
    </w:div>
    <w:div w:id="498273623">
      <w:bodyDiv w:val="1"/>
      <w:marLeft w:val="0"/>
      <w:marRight w:val="0"/>
      <w:marTop w:val="0"/>
      <w:marBottom w:val="0"/>
      <w:divBdr>
        <w:top w:val="none" w:sz="0" w:space="0" w:color="auto"/>
        <w:left w:val="none" w:sz="0" w:space="0" w:color="auto"/>
        <w:bottom w:val="none" w:sz="0" w:space="0" w:color="auto"/>
        <w:right w:val="none" w:sz="0" w:space="0" w:color="auto"/>
      </w:divBdr>
    </w:div>
    <w:div w:id="516893823">
      <w:bodyDiv w:val="1"/>
      <w:marLeft w:val="0"/>
      <w:marRight w:val="0"/>
      <w:marTop w:val="0"/>
      <w:marBottom w:val="0"/>
      <w:divBdr>
        <w:top w:val="none" w:sz="0" w:space="0" w:color="auto"/>
        <w:left w:val="none" w:sz="0" w:space="0" w:color="auto"/>
        <w:bottom w:val="none" w:sz="0" w:space="0" w:color="auto"/>
        <w:right w:val="none" w:sz="0" w:space="0" w:color="auto"/>
      </w:divBdr>
    </w:div>
    <w:div w:id="604659441">
      <w:bodyDiv w:val="1"/>
      <w:marLeft w:val="0"/>
      <w:marRight w:val="0"/>
      <w:marTop w:val="0"/>
      <w:marBottom w:val="0"/>
      <w:divBdr>
        <w:top w:val="none" w:sz="0" w:space="0" w:color="auto"/>
        <w:left w:val="none" w:sz="0" w:space="0" w:color="auto"/>
        <w:bottom w:val="none" w:sz="0" w:space="0" w:color="auto"/>
        <w:right w:val="none" w:sz="0" w:space="0" w:color="auto"/>
      </w:divBdr>
    </w:div>
    <w:div w:id="669915167">
      <w:bodyDiv w:val="1"/>
      <w:marLeft w:val="0"/>
      <w:marRight w:val="0"/>
      <w:marTop w:val="0"/>
      <w:marBottom w:val="0"/>
      <w:divBdr>
        <w:top w:val="none" w:sz="0" w:space="0" w:color="auto"/>
        <w:left w:val="none" w:sz="0" w:space="0" w:color="auto"/>
        <w:bottom w:val="none" w:sz="0" w:space="0" w:color="auto"/>
        <w:right w:val="none" w:sz="0" w:space="0" w:color="auto"/>
      </w:divBdr>
      <w:divsChild>
        <w:div w:id="390739536">
          <w:marLeft w:val="0"/>
          <w:marRight w:val="0"/>
          <w:marTop w:val="0"/>
          <w:marBottom w:val="0"/>
          <w:divBdr>
            <w:top w:val="none" w:sz="0" w:space="0" w:color="auto"/>
            <w:left w:val="none" w:sz="0" w:space="0" w:color="auto"/>
            <w:bottom w:val="none" w:sz="0" w:space="0" w:color="auto"/>
            <w:right w:val="none" w:sz="0" w:space="0" w:color="auto"/>
          </w:divBdr>
          <w:divsChild>
            <w:div w:id="1348557384">
              <w:marLeft w:val="0"/>
              <w:marRight w:val="0"/>
              <w:marTop w:val="30"/>
              <w:marBottom w:val="30"/>
              <w:divBdr>
                <w:top w:val="none" w:sz="0" w:space="0" w:color="auto"/>
                <w:left w:val="none" w:sz="0" w:space="0" w:color="auto"/>
                <w:bottom w:val="none" w:sz="0" w:space="0" w:color="auto"/>
                <w:right w:val="none" w:sz="0" w:space="0" w:color="auto"/>
              </w:divBdr>
              <w:divsChild>
                <w:div w:id="563417692">
                  <w:marLeft w:val="0"/>
                  <w:marRight w:val="0"/>
                  <w:marTop w:val="0"/>
                  <w:marBottom w:val="0"/>
                  <w:divBdr>
                    <w:top w:val="none" w:sz="0" w:space="0" w:color="auto"/>
                    <w:left w:val="none" w:sz="0" w:space="0" w:color="auto"/>
                    <w:bottom w:val="none" w:sz="0" w:space="0" w:color="auto"/>
                    <w:right w:val="none" w:sz="0" w:space="0" w:color="auto"/>
                  </w:divBdr>
                  <w:divsChild>
                    <w:div w:id="773984345">
                      <w:marLeft w:val="0"/>
                      <w:marRight w:val="0"/>
                      <w:marTop w:val="0"/>
                      <w:marBottom w:val="0"/>
                      <w:divBdr>
                        <w:top w:val="none" w:sz="0" w:space="0" w:color="auto"/>
                        <w:left w:val="none" w:sz="0" w:space="0" w:color="auto"/>
                        <w:bottom w:val="none" w:sz="0" w:space="0" w:color="auto"/>
                        <w:right w:val="none" w:sz="0" w:space="0" w:color="auto"/>
                      </w:divBdr>
                    </w:div>
                  </w:divsChild>
                </w:div>
                <w:div w:id="1043796117">
                  <w:marLeft w:val="0"/>
                  <w:marRight w:val="0"/>
                  <w:marTop w:val="0"/>
                  <w:marBottom w:val="0"/>
                  <w:divBdr>
                    <w:top w:val="none" w:sz="0" w:space="0" w:color="auto"/>
                    <w:left w:val="none" w:sz="0" w:space="0" w:color="auto"/>
                    <w:bottom w:val="none" w:sz="0" w:space="0" w:color="auto"/>
                    <w:right w:val="none" w:sz="0" w:space="0" w:color="auto"/>
                  </w:divBdr>
                  <w:divsChild>
                    <w:div w:id="875892239">
                      <w:marLeft w:val="0"/>
                      <w:marRight w:val="0"/>
                      <w:marTop w:val="0"/>
                      <w:marBottom w:val="0"/>
                      <w:divBdr>
                        <w:top w:val="none" w:sz="0" w:space="0" w:color="auto"/>
                        <w:left w:val="none" w:sz="0" w:space="0" w:color="auto"/>
                        <w:bottom w:val="none" w:sz="0" w:space="0" w:color="auto"/>
                        <w:right w:val="none" w:sz="0" w:space="0" w:color="auto"/>
                      </w:divBdr>
                    </w:div>
                    <w:div w:id="1860965939">
                      <w:marLeft w:val="0"/>
                      <w:marRight w:val="0"/>
                      <w:marTop w:val="0"/>
                      <w:marBottom w:val="0"/>
                      <w:divBdr>
                        <w:top w:val="none" w:sz="0" w:space="0" w:color="auto"/>
                        <w:left w:val="none" w:sz="0" w:space="0" w:color="auto"/>
                        <w:bottom w:val="none" w:sz="0" w:space="0" w:color="auto"/>
                        <w:right w:val="none" w:sz="0" w:space="0" w:color="auto"/>
                      </w:divBdr>
                    </w:div>
                  </w:divsChild>
                </w:div>
                <w:div w:id="1904565342">
                  <w:marLeft w:val="0"/>
                  <w:marRight w:val="0"/>
                  <w:marTop w:val="0"/>
                  <w:marBottom w:val="0"/>
                  <w:divBdr>
                    <w:top w:val="none" w:sz="0" w:space="0" w:color="auto"/>
                    <w:left w:val="none" w:sz="0" w:space="0" w:color="auto"/>
                    <w:bottom w:val="none" w:sz="0" w:space="0" w:color="auto"/>
                    <w:right w:val="none" w:sz="0" w:space="0" w:color="auto"/>
                  </w:divBdr>
                  <w:divsChild>
                    <w:div w:id="17977302">
                      <w:marLeft w:val="0"/>
                      <w:marRight w:val="0"/>
                      <w:marTop w:val="0"/>
                      <w:marBottom w:val="0"/>
                      <w:divBdr>
                        <w:top w:val="none" w:sz="0" w:space="0" w:color="auto"/>
                        <w:left w:val="none" w:sz="0" w:space="0" w:color="auto"/>
                        <w:bottom w:val="none" w:sz="0" w:space="0" w:color="auto"/>
                        <w:right w:val="none" w:sz="0" w:space="0" w:color="auto"/>
                      </w:divBdr>
                    </w:div>
                    <w:div w:id="767971510">
                      <w:marLeft w:val="0"/>
                      <w:marRight w:val="0"/>
                      <w:marTop w:val="0"/>
                      <w:marBottom w:val="0"/>
                      <w:divBdr>
                        <w:top w:val="none" w:sz="0" w:space="0" w:color="auto"/>
                        <w:left w:val="none" w:sz="0" w:space="0" w:color="auto"/>
                        <w:bottom w:val="none" w:sz="0" w:space="0" w:color="auto"/>
                        <w:right w:val="none" w:sz="0" w:space="0" w:color="auto"/>
                      </w:divBdr>
                    </w:div>
                    <w:div w:id="17091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20423">
          <w:marLeft w:val="0"/>
          <w:marRight w:val="0"/>
          <w:marTop w:val="0"/>
          <w:marBottom w:val="0"/>
          <w:divBdr>
            <w:top w:val="none" w:sz="0" w:space="0" w:color="auto"/>
            <w:left w:val="none" w:sz="0" w:space="0" w:color="auto"/>
            <w:bottom w:val="none" w:sz="0" w:space="0" w:color="auto"/>
            <w:right w:val="none" w:sz="0" w:space="0" w:color="auto"/>
          </w:divBdr>
        </w:div>
      </w:divsChild>
    </w:div>
    <w:div w:id="673802775">
      <w:bodyDiv w:val="1"/>
      <w:marLeft w:val="0"/>
      <w:marRight w:val="0"/>
      <w:marTop w:val="0"/>
      <w:marBottom w:val="0"/>
      <w:divBdr>
        <w:top w:val="none" w:sz="0" w:space="0" w:color="auto"/>
        <w:left w:val="none" w:sz="0" w:space="0" w:color="auto"/>
        <w:bottom w:val="none" w:sz="0" w:space="0" w:color="auto"/>
        <w:right w:val="none" w:sz="0" w:space="0" w:color="auto"/>
      </w:divBdr>
    </w:div>
    <w:div w:id="688261378">
      <w:bodyDiv w:val="1"/>
      <w:marLeft w:val="0"/>
      <w:marRight w:val="0"/>
      <w:marTop w:val="0"/>
      <w:marBottom w:val="0"/>
      <w:divBdr>
        <w:top w:val="none" w:sz="0" w:space="0" w:color="auto"/>
        <w:left w:val="none" w:sz="0" w:space="0" w:color="auto"/>
        <w:bottom w:val="none" w:sz="0" w:space="0" w:color="auto"/>
        <w:right w:val="none" w:sz="0" w:space="0" w:color="auto"/>
      </w:divBdr>
    </w:div>
    <w:div w:id="689187984">
      <w:bodyDiv w:val="1"/>
      <w:marLeft w:val="0"/>
      <w:marRight w:val="0"/>
      <w:marTop w:val="0"/>
      <w:marBottom w:val="0"/>
      <w:divBdr>
        <w:top w:val="none" w:sz="0" w:space="0" w:color="auto"/>
        <w:left w:val="none" w:sz="0" w:space="0" w:color="auto"/>
        <w:bottom w:val="none" w:sz="0" w:space="0" w:color="auto"/>
        <w:right w:val="none" w:sz="0" w:space="0" w:color="auto"/>
      </w:divBdr>
    </w:div>
    <w:div w:id="731972044">
      <w:bodyDiv w:val="1"/>
      <w:marLeft w:val="0"/>
      <w:marRight w:val="0"/>
      <w:marTop w:val="0"/>
      <w:marBottom w:val="0"/>
      <w:divBdr>
        <w:top w:val="none" w:sz="0" w:space="0" w:color="auto"/>
        <w:left w:val="none" w:sz="0" w:space="0" w:color="auto"/>
        <w:bottom w:val="none" w:sz="0" w:space="0" w:color="auto"/>
        <w:right w:val="none" w:sz="0" w:space="0" w:color="auto"/>
      </w:divBdr>
    </w:div>
    <w:div w:id="786313900">
      <w:bodyDiv w:val="1"/>
      <w:marLeft w:val="0"/>
      <w:marRight w:val="0"/>
      <w:marTop w:val="0"/>
      <w:marBottom w:val="0"/>
      <w:divBdr>
        <w:top w:val="none" w:sz="0" w:space="0" w:color="auto"/>
        <w:left w:val="none" w:sz="0" w:space="0" w:color="auto"/>
        <w:bottom w:val="none" w:sz="0" w:space="0" w:color="auto"/>
        <w:right w:val="none" w:sz="0" w:space="0" w:color="auto"/>
      </w:divBdr>
      <w:divsChild>
        <w:div w:id="839929392">
          <w:marLeft w:val="0"/>
          <w:marRight w:val="0"/>
          <w:marTop w:val="0"/>
          <w:marBottom w:val="0"/>
          <w:divBdr>
            <w:top w:val="none" w:sz="0" w:space="0" w:color="auto"/>
            <w:left w:val="none" w:sz="0" w:space="0" w:color="auto"/>
            <w:bottom w:val="none" w:sz="0" w:space="0" w:color="auto"/>
            <w:right w:val="none" w:sz="0" w:space="0" w:color="auto"/>
          </w:divBdr>
          <w:divsChild>
            <w:div w:id="2137067265">
              <w:marLeft w:val="0"/>
              <w:marRight w:val="0"/>
              <w:marTop w:val="30"/>
              <w:marBottom w:val="30"/>
              <w:divBdr>
                <w:top w:val="none" w:sz="0" w:space="0" w:color="auto"/>
                <w:left w:val="none" w:sz="0" w:space="0" w:color="auto"/>
                <w:bottom w:val="none" w:sz="0" w:space="0" w:color="auto"/>
                <w:right w:val="none" w:sz="0" w:space="0" w:color="auto"/>
              </w:divBdr>
              <w:divsChild>
                <w:div w:id="384374601">
                  <w:marLeft w:val="0"/>
                  <w:marRight w:val="0"/>
                  <w:marTop w:val="0"/>
                  <w:marBottom w:val="0"/>
                  <w:divBdr>
                    <w:top w:val="none" w:sz="0" w:space="0" w:color="auto"/>
                    <w:left w:val="none" w:sz="0" w:space="0" w:color="auto"/>
                    <w:bottom w:val="none" w:sz="0" w:space="0" w:color="auto"/>
                    <w:right w:val="none" w:sz="0" w:space="0" w:color="auto"/>
                  </w:divBdr>
                  <w:divsChild>
                    <w:div w:id="1601333081">
                      <w:marLeft w:val="0"/>
                      <w:marRight w:val="0"/>
                      <w:marTop w:val="0"/>
                      <w:marBottom w:val="0"/>
                      <w:divBdr>
                        <w:top w:val="none" w:sz="0" w:space="0" w:color="auto"/>
                        <w:left w:val="none" w:sz="0" w:space="0" w:color="auto"/>
                        <w:bottom w:val="none" w:sz="0" w:space="0" w:color="auto"/>
                        <w:right w:val="none" w:sz="0" w:space="0" w:color="auto"/>
                      </w:divBdr>
                    </w:div>
                    <w:div w:id="1686786061">
                      <w:marLeft w:val="0"/>
                      <w:marRight w:val="0"/>
                      <w:marTop w:val="0"/>
                      <w:marBottom w:val="0"/>
                      <w:divBdr>
                        <w:top w:val="none" w:sz="0" w:space="0" w:color="auto"/>
                        <w:left w:val="none" w:sz="0" w:space="0" w:color="auto"/>
                        <w:bottom w:val="none" w:sz="0" w:space="0" w:color="auto"/>
                        <w:right w:val="none" w:sz="0" w:space="0" w:color="auto"/>
                      </w:divBdr>
                    </w:div>
                  </w:divsChild>
                </w:div>
                <w:div w:id="1408379601">
                  <w:marLeft w:val="0"/>
                  <w:marRight w:val="0"/>
                  <w:marTop w:val="0"/>
                  <w:marBottom w:val="0"/>
                  <w:divBdr>
                    <w:top w:val="none" w:sz="0" w:space="0" w:color="auto"/>
                    <w:left w:val="none" w:sz="0" w:space="0" w:color="auto"/>
                    <w:bottom w:val="none" w:sz="0" w:space="0" w:color="auto"/>
                    <w:right w:val="none" w:sz="0" w:space="0" w:color="auto"/>
                  </w:divBdr>
                  <w:divsChild>
                    <w:div w:id="1071730125">
                      <w:marLeft w:val="0"/>
                      <w:marRight w:val="0"/>
                      <w:marTop w:val="0"/>
                      <w:marBottom w:val="0"/>
                      <w:divBdr>
                        <w:top w:val="none" w:sz="0" w:space="0" w:color="auto"/>
                        <w:left w:val="none" w:sz="0" w:space="0" w:color="auto"/>
                        <w:bottom w:val="none" w:sz="0" w:space="0" w:color="auto"/>
                        <w:right w:val="none" w:sz="0" w:space="0" w:color="auto"/>
                      </w:divBdr>
                    </w:div>
                  </w:divsChild>
                </w:div>
                <w:div w:id="1727214380">
                  <w:marLeft w:val="0"/>
                  <w:marRight w:val="0"/>
                  <w:marTop w:val="0"/>
                  <w:marBottom w:val="0"/>
                  <w:divBdr>
                    <w:top w:val="none" w:sz="0" w:space="0" w:color="auto"/>
                    <w:left w:val="none" w:sz="0" w:space="0" w:color="auto"/>
                    <w:bottom w:val="none" w:sz="0" w:space="0" w:color="auto"/>
                    <w:right w:val="none" w:sz="0" w:space="0" w:color="auto"/>
                  </w:divBdr>
                  <w:divsChild>
                    <w:div w:id="1120338730">
                      <w:marLeft w:val="0"/>
                      <w:marRight w:val="0"/>
                      <w:marTop w:val="0"/>
                      <w:marBottom w:val="0"/>
                      <w:divBdr>
                        <w:top w:val="none" w:sz="0" w:space="0" w:color="auto"/>
                        <w:left w:val="none" w:sz="0" w:space="0" w:color="auto"/>
                        <w:bottom w:val="none" w:sz="0" w:space="0" w:color="auto"/>
                        <w:right w:val="none" w:sz="0" w:space="0" w:color="auto"/>
                      </w:divBdr>
                    </w:div>
                    <w:div w:id="1354186012">
                      <w:marLeft w:val="0"/>
                      <w:marRight w:val="0"/>
                      <w:marTop w:val="0"/>
                      <w:marBottom w:val="0"/>
                      <w:divBdr>
                        <w:top w:val="none" w:sz="0" w:space="0" w:color="auto"/>
                        <w:left w:val="none" w:sz="0" w:space="0" w:color="auto"/>
                        <w:bottom w:val="none" w:sz="0" w:space="0" w:color="auto"/>
                        <w:right w:val="none" w:sz="0" w:space="0" w:color="auto"/>
                      </w:divBdr>
                    </w:div>
                    <w:div w:id="18167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2454">
          <w:marLeft w:val="0"/>
          <w:marRight w:val="0"/>
          <w:marTop w:val="0"/>
          <w:marBottom w:val="0"/>
          <w:divBdr>
            <w:top w:val="none" w:sz="0" w:space="0" w:color="auto"/>
            <w:left w:val="none" w:sz="0" w:space="0" w:color="auto"/>
            <w:bottom w:val="none" w:sz="0" w:space="0" w:color="auto"/>
            <w:right w:val="none" w:sz="0" w:space="0" w:color="auto"/>
          </w:divBdr>
        </w:div>
      </w:divsChild>
    </w:div>
    <w:div w:id="794493541">
      <w:bodyDiv w:val="1"/>
      <w:marLeft w:val="0"/>
      <w:marRight w:val="0"/>
      <w:marTop w:val="0"/>
      <w:marBottom w:val="0"/>
      <w:divBdr>
        <w:top w:val="none" w:sz="0" w:space="0" w:color="auto"/>
        <w:left w:val="none" w:sz="0" w:space="0" w:color="auto"/>
        <w:bottom w:val="none" w:sz="0" w:space="0" w:color="auto"/>
        <w:right w:val="none" w:sz="0" w:space="0" w:color="auto"/>
      </w:divBdr>
    </w:div>
    <w:div w:id="1155947401">
      <w:bodyDiv w:val="1"/>
      <w:marLeft w:val="0"/>
      <w:marRight w:val="0"/>
      <w:marTop w:val="0"/>
      <w:marBottom w:val="0"/>
      <w:divBdr>
        <w:top w:val="none" w:sz="0" w:space="0" w:color="auto"/>
        <w:left w:val="none" w:sz="0" w:space="0" w:color="auto"/>
        <w:bottom w:val="none" w:sz="0" w:space="0" w:color="auto"/>
        <w:right w:val="none" w:sz="0" w:space="0" w:color="auto"/>
      </w:divBdr>
    </w:div>
    <w:div w:id="1197039232">
      <w:bodyDiv w:val="1"/>
      <w:marLeft w:val="0"/>
      <w:marRight w:val="0"/>
      <w:marTop w:val="0"/>
      <w:marBottom w:val="0"/>
      <w:divBdr>
        <w:top w:val="none" w:sz="0" w:space="0" w:color="auto"/>
        <w:left w:val="none" w:sz="0" w:space="0" w:color="auto"/>
        <w:bottom w:val="none" w:sz="0" w:space="0" w:color="auto"/>
        <w:right w:val="none" w:sz="0" w:space="0" w:color="auto"/>
      </w:divBdr>
    </w:div>
    <w:div w:id="1272470115">
      <w:bodyDiv w:val="1"/>
      <w:marLeft w:val="0"/>
      <w:marRight w:val="0"/>
      <w:marTop w:val="0"/>
      <w:marBottom w:val="0"/>
      <w:divBdr>
        <w:top w:val="none" w:sz="0" w:space="0" w:color="auto"/>
        <w:left w:val="none" w:sz="0" w:space="0" w:color="auto"/>
        <w:bottom w:val="none" w:sz="0" w:space="0" w:color="auto"/>
        <w:right w:val="none" w:sz="0" w:space="0" w:color="auto"/>
      </w:divBdr>
    </w:div>
    <w:div w:id="1289776250">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380010222">
      <w:bodyDiv w:val="1"/>
      <w:marLeft w:val="0"/>
      <w:marRight w:val="0"/>
      <w:marTop w:val="0"/>
      <w:marBottom w:val="0"/>
      <w:divBdr>
        <w:top w:val="none" w:sz="0" w:space="0" w:color="auto"/>
        <w:left w:val="none" w:sz="0" w:space="0" w:color="auto"/>
        <w:bottom w:val="none" w:sz="0" w:space="0" w:color="auto"/>
        <w:right w:val="none" w:sz="0" w:space="0" w:color="auto"/>
      </w:divBdr>
    </w:div>
    <w:div w:id="1395355875">
      <w:bodyDiv w:val="1"/>
      <w:marLeft w:val="0"/>
      <w:marRight w:val="0"/>
      <w:marTop w:val="0"/>
      <w:marBottom w:val="0"/>
      <w:divBdr>
        <w:top w:val="none" w:sz="0" w:space="0" w:color="auto"/>
        <w:left w:val="none" w:sz="0" w:space="0" w:color="auto"/>
        <w:bottom w:val="none" w:sz="0" w:space="0" w:color="auto"/>
        <w:right w:val="none" w:sz="0" w:space="0" w:color="auto"/>
      </w:divBdr>
    </w:div>
    <w:div w:id="1426993813">
      <w:bodyDiv w:val="1"/>
      <w:marLeft w:val="0"/>
      <w:marRight w:val="0"/>
      <w:marTop w:val="0"/>
      <w:marBottom w:val="0"/>
      <w:divBdr>
        <w:top w:val="none" w:sz="0" w:space="0" w:color="auto"/>
        <w:left w:val="none" w:sz="0" w:space="0" w:color="auto"/>
        <w:bottom w:val="none" w:sz="0" w:space="0" w:color="auto"/>
        <w:right w:val="none" w:sz="0" w:space="0" w:color="auto"/>
      </w:divBdr>
    </w:div>
    <w:div w:id="1508011938">
      <w:bodyDiv w:val="1"/>
      <w:marLeft w:val="0"/>
      <w:marRight w:val="0"/>
      <w:marTop w:val="0"/>
      <w:marBottom w:val="0"/>
      <w:divBdr>
        <w:top w:val="none" w:sz="0" w:space="0" w:color="auto"/>
        <w:left w:val="none" w:sz="0" w:space="0" w:color="auto"/>
        <w:bottom w:val="none" w:sz="0" w:space="0" w:color="auto"/>
        <w:right w:val="none" w:sz="0" w:space="0" w:color="auto"/>
      </w:divBdr>
    </w:div>
    <w:div w:id="1604916537">
      <w:bodyDiv w:val="1"/>
      <w:marLeft w:val="0"/>
      <w:marRight w:val="0"/>
      <w:marTop w:val="0"/>
      <w:marBottom w:val="0"/>
      <w:divBdr>
        <w:top w:val="none" w:sz="0" w:space="0" w:color="auto"/>
        <w:left w:val="none" w:sz="0" w:space="0" w:color="auto"/>
        <w:bottom w:val="none" w:sz="0" w:space="0" w:color="auto"/>
        <w:right w:val="none" w:sz="0" w:space="0" w:color="auto"/>
      </w:divBdr>
    </w:div>
    <w:div w:id="1655254820">
      <w:bodyDiv w:val="1"/>
      <w:marLeft w:val="0"/>
      <w:marRight w:val="0"/>
      <w:marTop w:val="0"/>
      <w:marBottom w:val="0"/>
      <w:divBdr>
        <w:top w:val="none" w:sz="0" w:space="0" w:color="auto"/>
        <w:left w:val="none" w:sz="0" w:space="0" w:color="auto"/>
        <w:bottom w:val="none" w:sz="0" w:space="0" w:color="auto"/>
        <w:right w:val="none" w:sz="0" w:space="0" w:color="auto"/>
      </w:divBdr>
    </w:div>
    <w:div w:id="1944722376">
      <w:bodyDiv w:val="1"/>
      <w:marLeft w:val="0"/>
      <w:marRight w:val="0"/>
      <w:marTop w:val="0"/>
      <w:marBottom w:val="0"/>
      <w:divBdr>
        <w:top w:val="none" w:sz="0" w:space="0" w:color="auto"/>
        <w:left w:val="none" w:sz="0" w:space="0" w:color="auto"/>
        <w:bottom w:val="none" w:sz="0" w:space="0" w:color="auto"/>
        <w:right w:val="none" w:sz="0" w:space="0" w:color="auto"/>
      </w:divBdr>
    </w:div>
    <w:div w:id="2015186672">
      <w:bodyDiv w:val="1"/>
      <w:marLeft w:val="0"/>
      <w:marRight w:val="0"/>
      <w:marTop w:val="0"/>
      <w:marBottom w:val="0"/>
      <w:divBdr>
        <w:top w:val="none" w:sz="0" w:space="0" w:color="auto"/>
        <w:left w:val="none" w:sz="0" w:space="0" w:color="auto"/>
        <w:bottom w:val="none" w:sz="0" w:space="0" w:color="auto"/>
        <w:right w:val="none" w:sz="0" w:space="0" w:color="auto"/>
      </w:divBdr>
    </w:div>
    <w:div w:id="20499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a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resources/guidance/manufacturing-or-supplying-house-vitro-diagnostic-medical-devices-ivds" TargetMode="External"/><Relationship Id="rId2" Type="http://schemas.openxmlformats.org/officeDocument/2006/relationships/hyperlink" Target="http://www.msac.gov.au/internet/msac/publishing.nsf/Content/1709-public" TargetMode="External"/><Relationship Id="rId1" Type="http://schemas.openxmlformats.org/officeDocument/2006/relationships/hyperlink" Target="http://www.msac.gov.au/internet/msac/publishing.nsf/Content/1527-public" TargetMode="External"/><Relationship Id="rId4" Type="http://schemas.openxmlformats.org/officeDocument/2006/relationships/hyperlink" Target="http://www.msac.gov.au/internet/msac/publishing.nsf/Content/1750-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3fe6a9a36f47368fc1700838102d75b8">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1e7cf07b4405444414bd2c3ff46db4be"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BCA2D-5AF3-46B3-B4EB-B7B225E4AF37}">
  <ds:schemaRefs>
    <ds:schemaRef ds:uri="http://schemas.microsoft.com/sharepoint/v3/contenttype/forms"/>
  </ds:schemaRefs>
</ds:datastoreItem>
</file>

<file path=customXml/itemProps2.xml><?xml version="1.0" encoding="utf-8"?>
<ds:datastoreItem xmlns:ds="http://schemas.openxmlformats.org/officeDocument/2006/customXml" ds:itemID="{C9395461-929D-4119-9640-99D35ED23B04}">
  <ds:schemaRefs>
    <ds:schemaRef ds:uri="http://schemas.microsoft.com/office/2006/metadata/properties"/>
    <ds:schemaRef ds:uri="http://schemas.microsoft.com/office/infopath/2007/PartnerControls"/>
    <ds:schemaRef ds:uri="7513b557-581c-46d3-8cc7-77c65017dc6f"/>
    <ds:schemaRef ds:uri="e7d54a9e-4aca-451b-99db-b94fe438e987"/>
  </ds:schemaRefs>
</ds:datastoreItem>
</file>

<file path=customXml/itemProps3.xml><?xml version="1.0" encoding="utf-8"?>
<ds:datastoreItem xmlns:ds="http://schemas.openxmlformats.org/officeDocument/2006/customXml" ds:itemID="{10119C67-87F8-45DB-858E-4D65344DA4AE}">
  <ds:schemaRefs>
    <ds:schemaRef ds:uri="http://schemas.openxmlformats.org/officeDocument/2006/bibliography"/>
  </ds:schemaRefs>
</ds:datastoreItem>
</file>

<file path=customXml/itemProps4.xml><?xml version="1.0" encoding="utf-8"?>
<ds:datastoreItem xmlns:ds="http://schemas.openxmlformats.org/officeDocument/2006/customXml" ds:itemID="{085797E0-509E-47B4-96D3-5831C7B43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3850</Words>
  <Characters>21950</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Links>
    <vt:vector size="36" baseType="variant">
      <vt:variant>
        <vt:i4>3997744</vt:i4>
      </vt:variant>
      <vt:variant>
        <vt:i4>39</vt:i4>
      </vt:variant>
      <vt:variant>
        <vt:i4>0</vt:i4>
      </vt:variant>
      <vt:variant>
        <vt:i4>5</vt:i4>
      </vt:variant>
      <vt:variant>
        <vt:lpwstr>http://www.msac.gov.au/</vt:lpwstr>
      </vt:variant>
      <vt:variant>
        <vt:lpwstr/>
      </vt:variant>
      <vt:variant>
        <vt:i4>3997744</vt:i4>
      </vt:variant>
      <vt:variant>
        <vt:i4>0</vt:i4>
      </vt:variant>
      <vt:variant>
        <vt:i4>0</vt:i4>
      </vt:variant>
      <vt:variant>
        <vt:i4>5</vt:i4>
      </vt:variant>
      <vt:variant>
        <vt:lpwstr>http://www.msac.gov.au/</vt:lpwstr>
      </vt:variant>
      <vt:variant>
        <vt:lpwstr/>
      </vt:variant>
      <vt:variant>
        <vt:i4>2162797</vt:i4>
      </vt:variant>
      <vt:variant>
        <vt:i4>9</vt:i4>
      </vt:variant>
      <vt:variant>
        <vt:i4>0</vt:i4>
      </vt:variant>
      <vt:variant>
        <vt:i4>5</vt:i4>
      </vt:variant>
      <vt:variant>
        <vt:lpwstr>http://www.msac.gov.au/internet/msac/publishing.nsf/Content/1750-public</vt:lpwstr>
      </vt:variant>
      <vt:variant>
        <vt:lpwstr/>
      </vt:variant>
      <vt:variant>
        <vt:i4>1638490</vt:i4>
      </vt:variant>
      <vt:variant>
        <vt:i4>6</vt:i4>
      </vt:variant>
      <vt:variant>
        <vt:i4>0</vt:i4>
      </vt:variant>
      <vt:variant>
        <vt:i4>5</vt:i4>
      </vt:variant>
      <vt:variant>
        <vt:lpwstr>https://www.tga.gov.au/resources/guidance/manufacturing-or-supplying-house-vitro-diagnostic-medical-devices-ivds</vt:lpwstr>
      </vt:variant>
      <vt:variant>
        <vt:lpwstr/>
      </vt:variant>
      <vt:variant>
        <vt:i4>2621544</vt:i4>
      </vt:variant>
      <vt:variant>
        <vt:i4>3</vt:i4>
      </vt:variant>
      <vt:variant>
        <vt:i4>0</vt:i4>
      </vt:variant>
      <vt:variant>
        <vt:i4>5</vt:i4>
      </vt:variant>
      <vt:variant>
        <vt:lpwstr>http://www.msac.gov.au/internet/msac/publishing.nsf/Content/1709-public</vt:lpwstr>
      </vt:variant>
      <vt:variant>
        <vt:lpwstr/>
      </vt:variant>
      <vt:variant>
        <vt:i4>2359402</vt:i4>
      </vt:variant>
      <vt:variant>
        <vt:i4>0</vt:i4>
      </vt:variant>
      <vt:variant>
        <vt:i4>0</vt:i4>
      </vt:variant>
      <vt:variant>
        <vt:i4>5</vt:i4>
      </vt:variant>
      <vt:variant>
        <vt:lpwstr>http://www.msac.gov.au/internet/msac/publishing.nsf/Content/1527-public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2025-03-03T20:12:00Z</dcterms:created>
  <dcterms:modified xsi:type="dcterms:W3CDTF">2025-03-03T01:31:00Z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y fmtid="{D5CDD505-2E9C-101B-9397-08002B2CF9AE}" pid="4" name="WPLUSDataBaseName">
    <vt:lpwstr/>
  </property>
  <property fmtid="{D5CDD505-2E9C-101B-9397-08002B2CF9AE}" pid="5" name="DraftType">
    <vt:lpwstr/>
  </property>
  <property fmtid="{D5CDD505-2E9C-101B-9397-08002B2CF9AE}" pid="6" name="NeverSavedToNT">
    <vt:lpwstr/>
  </property>
  <property fmtid="{D5CDD505-2E9C-101B-9397-08002B2CF9AE}" pid="7" name="WPLUSServerName">
    <vt:lpwstr/>
  </property>
  <property fmtid="{D5CDD505-2E9C-101B-9397-08002B2CF9AE}" pid="8" name="WPLUSDocumentUNID">
    <vt:lpwstr/>
  </property>
  <property fmtid="{D5CDD505-2E9C-101B-9397-08002B2CF9AE}" pid="9" name="DMSDOCTYPE">
    <vt:lpwstr/>
  </property>
</Properties>
</file>