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A684" w14:textId="77777777" w:rsidR="00201854" w:rsidRPr="00247126" w:rsidRDefault="00201854" w:rsidP="00201854">
      <w:pPr>
        <w:pStyle w:val="Heading1"/>
        <w:numPr>
          <w:ilvl w:val="0"/>
          <w:numId w:val="0"/>
        </w:numPr>
        <w:spacing w:before="0" w:after="360"/>
        <w:ind w:left="788"/>
        <w:jc w:val="center"/>
        <w:rPr>
          <w:rFonts w:ascii="Arial" w:hAnsi="Arial" w:cs="Arial"/>
          <w:b w:val="0"/>
          <w:bCs/>
          <w:color w:val="000080"/>
          <w:sz w:val="36"/>
          <w:szCs w:val="36"/>
        </w:rPr>
      </w:pPr>
      <w:bookmarkStart w:id="0" w:name="_Toc177560705"/>
      <w:r w:rsidRPr="00247126">
        <w:rPr>
          <w:rFonts w:ascii="Arial" w:hAnsi="Arial" w:cs="Arial"/>
          <w:bCs/>
          <w:color w:val="000080"/>
          <w:sz w:val="36"/>
          <w:szCs w:val="36"/>
        </w:rPr>
        <w:t>Medical Services Advisory Committee (MSAC)</w:t>
      </w:r>
      <w:r>
        <w:br/>
      </w:r>
      <w:r w:rsidRPr="00247126">
        <w:rPr>
          <w:rFonts w:ascii="Arial" w:hAnsi="Arial" w:cs="Arial"/>
          <w:bCs/>
          <w:color w:val="000080"/>
          <w:sz w:val="36"/>
          <w:szCs w:val="36"/>
        </w:rPr>
        <w:t>Public Summary Document</w:t>
      </w:r>
    </w:p>
    <w:p w14:paraId="01DE62EA" w14:textId="2532A981" w:rsidR="0020548D" w:rsidRDefault="0020548D" w:rsidP="00201854">
      <w:pPr>
        <w:spacing w:after="240"/>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 xml:space="preserve">Application No. </w:t>
      </w:r>
      <w:r>
        <w:rPr>
          <w:rFonts w:ascii="Arial" w:eastAsia="Times New Roman" w:hAnsi="Arial" w:cs="Arial"/>
          <w:b/>
          <w:bCs/>
          <w:i/>
          <w:color w:val="000080"/>
          <w:sz w:val="28"/>
          <w:szCs w:val="28"/>
          <w:lang w:eastAsia="en-AU"/>
        </w:rPr>
        <w:t>1766</w:t>
      </w:r>
      <w:r w:rsidRPr="005B7371">
        <w:rPr>
          <w:rFonts w:ascii="Arial" w:eastAsia="Times New Roman" w:hAnsi="Arial" w:cs="Arial"/>
          <w:b/>
          <w:bCs/>
          <w:i/>
          <w:color w:val="000080"/>
          <w:sz w:val="28"/>
          <w:szCs w:val="28"/>
          <w:lang w:eastAsia="en-AU"/>
        </w:rPr>
        <w:t xml:space="preserve"> – </w:t>
      </w:r>
      <w:r w:rsidRPr="0020548D">
        <w:rPr>
          <w:rFonts w:ascii="Arial" w:eastAsia="Times New Roman" w:hAnsi="Arial" w:cs="Arial"/>
          <w:b/>
          <w:bCs/>
          <w:i/>
          <w:color w:val="000080"/>
          <w:sz w:val="28"/>
          <w:szCs w:val="28"/>
          <w:lang w:eastAsia="en-AU"/>
        </w:rPr>
        <w:t>Genetic testing to detect AKT-pathway alterations in patients with hormone receptor-positive, HER</w:t>
      </w:r>
      <w:r w:rsidR="009B66C8">
        <w:rPr>
          <w:rFonts w:ascii="Arial" w:eastAsia="Times New Roman" w:hAnsi="Arial" w:cs="Arial"/>
          <w:b/>
          <w:bCs/>
          <w:i/>
          <w:color w:val="000080"/>
          <w:sz w:val="28"/>
          <w:szCs w:val="28"/>
          <w:lang w:eastAsia="en-AU"/>
        </w:rPr>
        <w:t>2</w:t>
      </w:r>
      <w:r w:rsidRPr="0020548D">
        <w:rPr>
          <w:rFonts w:ascii="Arial" w:eastAsia="Times New Roman" w:hAnsi="Arial" w:cs="Arial"/>
          <w:b/>
          <w:bCs/>
          <w:i/>
          <w:color w:val="000080"/>
          <w:sz w:val="28"/>
          <w:szCs w:val="28"/>
          <w:lang w:eastAsia="en-AU"/>
        </w:rPr>
        <w:t>-negative advanced breast cancer, to determine eligibility for PBS subsidised capivasertib</w:t>
      </w:r>
    </w:p>
    <w:p w14:paraId="4B8569A6" w14:textId="1A1927B8" w:rsidR="0020548D" w:rsidRPr="00201854" w:rsidRDefault="0020548D" w:rsidP="00201854">
      <w:pPr>
        <w:tabs>
          <w:tab w:val="left" w:pos="3544"/>
        </w:tabs>
        <w:spacing w:after="240"/>
        <w:rPr>
          <w:rFonts w:ascii="Arial" w:hAnsi="Arial" w:cs="Arial"/>
          <w:b/>
          <w:sz w:val="22"/>
        </w:rPr>
      </w:pPr>
      <w:r w:rsidRPr="00201854">
        <w:rPr>
          <w:rFonts w:ascii="Arial" w:hAnsi="Arial" w:cs="Arial"/>
          <w:b/>
          <w:sz w:val="22"/>
        </w:rPr>
        <w:t>Applicant:</w:t>
      </w:r>
      <w:r w:rsidR="00201854">
        <w:tab/>
      </w:r>
      <w:r w:rsidRPr="00201854">
        <w:rPr>
          <w:rFonts w:ascii="Arial" w:hAnsi="Arial" w:cs="Arial"/>
          <w:b/>
          <w:sz w:val="22"/>
        </w:rPr>
        <w:t>AstraZeneca Pty Ltd.</w:t>
      </w:r>
    </w:p>
    <w:p w14:paraId="5832D973" w14:textId="20F82524" w:rsidR="0020548D" w:rsidRPr="00201854" w:rsidRDefault="0020548D" w:rsidP="00201854">
      <w:pPr>
        <w:tabs>
          <w:tab w:val="left" w:pos="3544"/>
        </w:tabs>
        <w:spacing w:after="240"/>
        <w:rPr>
          <w:rFonts w:ascii="Arial" w:hAnsi="Arial" w:cs="Arial"/>
          <w:b/>
          <w:sz w:val="22"/>
        </w:rPr>
      </w:pPr>
      <w:r w:rsidRPr="00201854">
        <w:rPr>
          <w:rFonts w:ascii="Arial" w:hAnsi="Arial" w:cs="Arial"/>
          <w:b/>
          <w:sz w:val="22"/>
        </w:rPr>
        <w:t xml:space="preserve">Date of </w:t>
      </w:r>
      <w:r w:rsidR="00201854" w:rsidRPr="00201854">
        <w:rPr>
          <w:rFonts w:ascii="Arial" w:hAnsi="Arial" w:cs="Arial"/>
          <w:b/>
          <w:sz w:val="22"/>
        </w:rPr>
        <w:t>MSAC</w:t>
      </w:r>
      <w:r w:rsidRPr="00201854">
        <w:rPr>
          <w:rFonts w:ascii="Arial" w:hAnsi="Arial" w:cs="Arial"/>
          <w:b/>
          <w:sz w:val="22"/>
        </w:rPr>
        <w:t xml:space="preserve"> consideration:</w:t>
      </w:r>
      <w:r w:rsidR="00201854">
        <w:tab/>
      </w:r>
      <w:r w:rsidR="00201854" w:rsidRPr="00201854">
        <w:rPr>
          <w:rFonts w:ascii="Arial" w:hAnsi="Arial" w:cs="Arial"/>
          <w:b/>
          <w:sz w:val="22"/>
        </w:rPr>
        <w:t>29 November</w:t>
      </w:r>
      <w:r w:rsidRPr="00201854">
        <w:rPr>
          <w:rFonts w:ascii="Arial" w:hAnsi="Arial" w:cs="Arial"/>
          <w:b/>
          <w:sz w:val="22"/>
        </w:rPr>
        <w:t xml:space="preserve"> 2024</w:t>
      </w:r>
    </w:p>
    <w:p w14:paraId="31CD00F2" w14:textId="7B944299" w:rsidR="0020548D" w:rsidRPr="00201854" w:rsidRDefault="00201854" w:rsidP="00201854">
      <w:pPr>
        <w:spacing w:after="360"/>
        <w:rPr>
          <w:rFonts w:ascii="Franklin Gothic Book" w:hAnsi="Franklin Gothic Book"/>
          <w:color w:val="0000FF"/>
          <w:sz w:val="22"/>
          <w:u w:val="single"/>
        </w:rPr>
      </w:pPr>
      <w:r w:rsidRPr="00201854">
        <w:rPr>
          <w:rFonts w:ascii="Franklin Gothic Book" w:hAnsi="Franklin Gothic Book"/>
          <w:sz w:val="22"/>
        </w:rPr>
        <w:t xml:space="preserve">Context for decision: MSAC makes its advice in accordance with its Terms of Reference, </w:t>
      </w:r>
      <w:hyperlink r:id="rId8">
        <w:r w:rsidR="58961A74" w:rsidRPr="00F078B7">
          <w:rPr>
            <w:rStyle w:val="Hyperlink"/>
            <w:rFonts w:ascii="Franklin Gothic Book" w:hAnsi="Franklin Gothic Book"/>
            <w:color w:val="007BB8"/>
            <w:sz w:val="22"/>
          </w:rPr>
          <w:t>visit the MSAC website</w:t>
        </w:r>
      </w:hyperlink>
    </w:p>
    <w:p w14:paraId="1B16496E" w14:textId="570780AA" w:rsidR="005D6D39" w:rsidRPr="00201854" w:rsidRDefault="005D6D39"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r w:rsidRPr="00201854">
        <w:rPr>
          <w:rFonts w:ascii="Franklin Gothic Medium" w:hAnsi="Franklin Gothic Medium"/>
          <w:b w:val="0"/>
          <w:i w:val="0"/>
          <w:snapToGrid/>
          <w:color w:val="000000" w:themeColor="text1"/>
          <w:sz w:val="32"/>
          <w:szCs w:val="26"/>
        </w:rPr>
        <w:t>Purpose of the application</w:t>
      </w:r>
      <w:bookmarkEnd w:id="0"/>
      <w:r w:rsidRPr="00201854">
        <w:rPr>
          <w:rFonts w:ascii="Franklin Gothic Medium" w:hAnsi="Franklin Gothic Medium"/>
          <w:b w:val="0"/>
          <w:i w:val="0"/>
          <w:snapToGrid/>
          <w:color w:val="000000" w:themeColor="text1"/>
          <w:sz w:val="32"/>
          <w:szCs w:val="26"/>
        </w:rPr>
        <w:t xml:space="preserve"> </w:t>
      </w:r>
    </w:p>
    <w:p w14:paraId="410BC2E6" w14:textId="4F569FA2" w:rsidR="005D6D39" w:rsidRPr="00201854" w:rsidRDefault="005D6D39" w:rsidP="006344A6">
      <w:pPr>
        <w:spacing w:before="0" w:after="120"/>
        <w:rPr>
          <w:rFonts w:ascii="Franklin Gothic Book" w:hAnsi="Franklin Gothic Book"/>
          <w:color w:val="000000" w:themeColor="text1"/>
          <w:sz w:val="22"/>
        </w:rPr>
      </w:pPr>
      <w:r w:rsidRPr="00201854">
        <w:rPr>
          <w:rFonts w:ascii="Franklin Gothic Book" w:hAnsi="Franklin Gothic Book"/>
          <w:color w:val="000000" w:themeColor="text1"/>
          <w:sz w:val="22"/>
        </w:rPr>
        <w:t xml:space="preserve">The integrated codependent application </w:t>
      </w:r>
      <w:r w:rsidR="00470385" w:rsidRPr="00201854">
        <w:rPr>
          <w:rFonts w:ascii="Franklin Gothic Book" w:hAnsi="Franklin Gothic Book"/>
          <w:color w:val="000000" w:themeColor="text1"/>
          <w:sz w:val="22"/>
        </w:rPr>
        <w:t xml:space="preserve">was received from </w:t>
      </w:r>
      <w:r w:rsidR="75474D73" w:rsidRPr="00201854">
        <w:rPr>
          <w:rFonts w:ascii="Franklin Gothic Book" w:hAnsi="Franklin Gothic Book"/>
          <w:sz w:val="22"/>
        </w:rPr>
        <w:t>AstraZeneca Pty Ltd</w:t>
      </w:r>
      <w:r w:rsidR="00470385" w:rsidRPr="00201854">
        <w:rPr>
          <w:rFonts w:ascii="Franklin Gothic Book" w:hAnsi="Franklin Gothic Book"/>
          <w:color w:val="000000" w:themeColor="text1"/>
          <w:sz w:val="22"/>
        </w:rPr>
        <w:t xml:space="preserve"> by the Department of Health and Aged Care in </w:t>
      </w:r>
      <w:r w:rsidR="0B8CFA19" w:rsidRPr="00201854">
        <w:rPr>
          <w:rFonts w:ascii="Franklin Gothic Book" w:hAnsi="Franklin Gothic Book"/>
          <w:color w:val="000000" w:themeColor="text1"/>
          <w:sz w:val="22"/>
        </w:rPr>
        <w:t>June 2024</w:t>
      </w:r>
      <w:r w:rsidR="00470385" w:rsidRPr="00201854">
        <w:rPr>
          <w:rFonts w:ascii="Franklin Gothic Book" w:hAnsi="Franklin Gothic Book"/>
          <w:color w:val="000000" w:themeColor="text1"/>
          <w:sz w:val="22"/>
        </w:rPr>
        <w:t xml:space="preserve">, which </w:t>
      </w:r>
      <w:r w:rsidRPr="00201854">
        <w:rPr>
          <w:rFonts w:ascii="Franklin Gothic Book" w:hAnsi="Franklin Gothic Book"/>
          <w:color w:val="000000" w:themeColor="text1"/>
          <w:sz w:val="22"/>
        </w:rPr>
        <w:t xml:space="preserve">requested: </w:t>
      </w:r>
    </w:p>
    <w:p w14:paraId="7B40C565" w14:textId="108A78EB" w:rsidR="005D6D39" w:rsidRPr="00201854" w:rsidRDefault="005D6D39" w:rsidP="006344A6">
      <w:pPr>
        <w:pStyle w:val="MSACESParagraph"/>
        <w:numPr>
          <w:ilvl w:val="0"/>
          <w:numId w:val="13"/>
        </w:numPr>
        <w:spacing w:after="120"/>
        <w:ind w:left="714" w:hanging="357"/>
        <w:jc w:val="both"/>
        <w:rPr>
          <w:rFonts w:ascii="Franklin Gothic Book" w:hAnsi="Franklin Gothic Book"/>
          <w:color w:val="000000" w:themeColor="text1"/>
          <w:sz w:val="22"/>
        </w:rPr>
      </w:pPr>
      <w:r w:rsidRPr="00201854">
        <w:rPr>
          <w:rFonts w:ascii="Franklin Gothic Book" w:hAnsi="Franklin Gothic Book"/>
          <w:color w:val="000000" w:themeColor="text1"/>
          <w:sz w:val="22"/>
        </w:rPr>
        <w:t xml:space="preserve">Medicare Benefits Schedule (MBS) listing of </w:t>
      </w:r>
      <w:r w:rsidR="00941819" w:rsidRPr="00201854">
        <w:rPr>
          <w:rFonts w:ascii="Franklin Gothic Book" w:hAnsi="Franklin Gothic Book"/>
          <w:color w:val="000000" w:themeColor="text1"/>
          <w:sz w:val="22"/>
        </w:rPr>
        <w:t>Next Generation Sequencing (NGS)</w:t>
      </w:r>
      <w:r w:rsidRPr="00201854">
        <w:rPr>
          <w:rFonts w:ascii="Franklin Gothic Book" w:hAnsi="Franklin Gothic Book"/>
          <w:color w:val="000000" w:themeColor="text1"/>
          <w:sz w:val="22"/>
        </w:rPr>
        <w:t xml:space="preserve"> testing of tumour tissue for the evaluation of </w:t>
      </w:r>
      <w:r w:rsidR="00543437" w:rsidRPr="00201854">
        <w:rPr>
          <w:rFonts w:ascii="Franklin Gothic Book" w:hAnsi="Franklin Gothic Book"/>
          <w:color w:val="000000" w:themeColor="text1"/>
          <w:sz w:val="22"/>
        </w:rPr>
        <w:t>AKT pathway alterations (</w:t>
      </w:r>
      <w:r w:rsidRPr="00201854">
        <w:rPr>
          <w:rFonts w:ascii="Franklin Gothic Book" w:hAnsi="Franklin Gothic Book"/>
          <w:i/>
          <w:color w:val="000000" w:themeColor="text1"/>
          <w:sz w:val="22"/>
        </w:rPr>
        <w:t>PIK3CA/AKT1/PTEN</w:t>
      </w:r>
      <w:r w:rsidRPr="00201854">
        <w:rPr>
          <w:rStyle w:val="FootnoteReference"/>
          <w:rFonts w:ascii="Franklin Gothic Book" w:hAnsi="Franklin Gothic Book"/>
          <w:sz w:val="22"/>
        </w:rPr>
        <w:footnoteReference w:id="2"/>
      </w:r>
      <w:r w:rsidR="00543437" w:rsidRPr="00201854">
        <w:rPr>
          <w:rFonts w:ascii="Franklin Gothic Book" w:hAnsi="Franklin Gothic Book"/>
          <w:iCs/>
          <w:color w:val="000000" w:themeColor="text1"/>
          <w:sz w:val="22"/>
        </w:rPr>
        <w:t>)</w:t>
      </w:r>
      <w:r w:rsidRPr="00201854">
        <w:rPr>
          <w:rFonts w:ascii="Franklin Gothic Book" w:hAnsi="Franklin Gothic Book"/>
          <w:color w:val="000000" w:themeColor="text1"/>
          <w:sz w:val="22"/>
        </w:rPr>
        <w:t xml:space="preserve"> </w:t>
      </w:r>
      <w:r w:rsidR="00543437" w:rsidRPr="00201854">
        <w:rPr>
          <w:rFonts w:ascii="Franklin Gothic Book" w:hAnsi="Franklin Gothic Book"/>
          <w:color w:val="000000" w:themeColor="text1"/>
          <w:sz w:val="22"/>
        </w:rPr>
        <w:t xml:space="preserve">to </w:t>
      </w:r>
      <w:r w:rsidRPr="00201854">
        <w:rPr>
          <w:rFonts w:ascii="Franklin Gothic Book" w:hAnsi="Franklin Gothic Book"/>
          <w:color w:val="000000" w:themeColor="text1"/>
          <w:sz w:val="22"/>
        </w:rPr>
        <w:t>determin</w:t>
      </w:r>
      <w:r w:rsidR="00543437" w:rsidRPr="00201854">
        <w:rPr>
          <w:rFonts w:ascii="Franklin Gothic Book" w:hAnsi="Franklin Gothic Book"/>
          <w:color w:val="000000" w:themeColor="text1"/>
          <w:sz w:val="22"/>
        </w:rPr>
        <w:t>e</w:t>
      </w:r>
      <w:r w:rsidRPr="00201854">
        <w:rPr>
          <w:rFonts w:ascii="Franklin Gothic Book" w:hAnsi="Franklin Gothic Book"/>
          <w:color w:val="000000" w:themeColor="text1"/>
          <w:sz w:val="22"/>
        </w:rPr>
        <w:t xml:space="preserve"> eligibility for treatment with capivasertib in combination with </w:t>
      </w:r>
      <w:proofErr w:type="spellStart"/>
      <w:r w:rsidRPr="00201854">
        <w:rPr>
          <w:rFonts w:ascii="Franklin Gothic Book" w:hAnsi="Franklin Gothic Book"/>
          <w:color w:val="000000" w:themeColor="text1"/>
          <w:sz w:val="22"/>
        </w:rPr>
        <w:t>fulvestrant</w:t>
      </w:r>
      <w:proofErr w:type="spellEnd"/>
      <w:r w:rsidRPr="00201854">
        <w:rPr>
          <w:rFonts w:ascii="Franklin Gothic Book" w:hAnsi="Franklin Gothic Book"/>
          <w:color w:val="000000" w:themeColor="text1"/>
          <w:sz w:val="22"/>
        </w:rPr>
        <w:t xml:space="preserve"> </w:t>
      </w:r>
      <w:r w:rsidRPr="00201854" w:rsidDel="00C506D6">
        <w:rPr>
          <w:rFonts w:ascii="Franklin Gothic Book" w:hAnsi="Franklin Gothic Book"/>
          <w:color w:val="000000" w:themeColor="text1"/>
          <w:sz w:val="22"/>
        </w:rPr>
        <w:t xml:space="preserve">(CAPI+FULV) </w:t>
      </w:r>
      <w:r w:rsidRPr="00201854">
        <w:rPr>
          <w:rFonts w:ascii="Franklin Gothic Book" w:hAnsi="Franklin Gothic Book"/>
          <w:color w:val="000000" w:themeColor="text1"/>
          <w:sz w:val="22"/>
        </w:rPr>
        <w:t>in patients with hormone receptor-positive (HR+)</w:t>
      </w:r>
      <w:r w:rsidR="00BA2442" w:rsidRPr="00201854">
        <w:rPr>
          <w:rFonts w:ascii="Franklin Gothic Book" w:hAnsi="Franklin Gothic Book"/>
          <w:color w:val="000000" w:themeColor="text1"/>
          <w:sz w:val="22"/>
        </w:rPr>
        <w:t xml:space="preserve">, </w:t>
      </w:r>
      <w:r w:rsidRPr="00201854">
        <w:rPr>
          <w:rFonts w:ascii="Franklin Gothic Book" w:hAnsi="Franklin Gothic Book"/>
          <w:color w:val="000000" w:themeColor="text1"/>
          <w:sz w:val="22"/>
        </w:rPr>
        <w:t>human epidermal growth factor receptor 2-negative (HER2-) locally advanced (unresectable) or metastatic breast cancer following disease progression or recurrence on or after an endocrine-based regimen with or without a cyclin-dependent kinase 4 and 6 (CDK4/6) inhibitor</w:t>
      </w:r>
      <w:r w:rsidR="1A9CA4DD" w:rsidRPr="00201854">
        <w:rPr>
          <w:rFonts w:ascii="Franklin Gothic Book" w:hAnsi="Franklin Gothic Book"/>
          <w:color w:val="000000" w:themeColor="text1"/>
          <w:sz w:val="22"/>
        </w:rPr>
        <w:t>.</w:t>
      </w:r>
    </w:p>
    <w:p w14:paraId="7EE1BDB5" w14:textId="6D74C325" w:rsidR="005D6D39" w:rsidRPr="00201854" w:rsidRDefault="005D6D39" w:rsidP="006344A6">
      <w:pPr>
        <w:pStyle w:val="MSACESBulletPoint"/>
        <w:spacing w:after="240"/>
        <w:jc w:val="both"/>
        <w:rPr>
          <w:rFonts w:ascii="Franklin Gothic Book" w:hAnsi="Franklin Gothic Book"/>
          <w:sz w:val="22"/>
        </w:rPr>
      </w:pPr>
      <w:r w:rsidRPr="0D4D8802">
        <w:rPr>
          <w:rFonts w:ascii="Franklin Gothic Book" w:hAnsi="Franklin Gothic Book"/>
          <w:sz w:val="22"/>
        </w:rPr>
        <w:t xml:space="preserve">Pharmaceutical Benefits Scheme (PBS) General Schedule Authority Required (Telephone/Online) listing of </w:t>
      </w:r>
      <w:r w:rsidR="00F461C9" w:rsidRPr="00201854">
        <w:rPr>
          <w:rFonts w:ascii="Franklin Gothic Book" w:hAnsi="Franklin Gothic Book"/>
          <w:color w:val="000000" w:themeColor="text1"/>
          <w:sz w:val="22"/>
        </w:rPr>
        <w:t xml:space="preserve">capivasertib with </w:t>
      </w:r>
      <w:proofErr w:type="spellStart"/>
      <w:r w:rsidR="00F461C9" w:rsidRPr="00201854">
        <w:rPr>
          <w:rFonts w:ascii="Franklin Gothic Book" w:hAnsi="Franklin Gothic Book"/>
          <w:color w:val="000000" w:themeColor="text1"/>
          <w:sz w:val="22"/>
        </w:rPr>
        <w:t>fulvestrant</w:t>
      </w:r>
      <w:proofErr w:type="spellEnd"/>
      <w:r w:rsidR="00F461C9" w:rsidRPr="00201854">
        <w:rPr>
          <w:rFonts w:ascii="Franklin Gothic Book" w:hAnsi="Franklin Gothic Book"/>
          <w:color w:val="000000" w:themeColor="text1"/>
          <w:sz w:val="22"/>
        </w:rPr>
        <w:t xml:space="preserve"> </w:t>
      </w:r>
      <w:r w:rsidRPr="0D4D8802">
        <w:rPr>
          <w:rFonts w:ascii="Franklin Gothic Book" w:hAnsi="Franklin Gothic Book"/>
          <w:sz w:val="22"/>
        </w:rPr>
        <w:t xml:space="preserve">for the treatment of HR+/HER2- locally advanced (unresectable) or metastatic breast cancer following </w:t>
      </w:r>
      <w:r w:rsidRPr="0D4D8802">
        <w:rPr>
          <w:rFonts w:ascii="Franklin Gothic Book" w:hAnsi="Franklin Gothic Book"/>
          <w:color w:val="000000" w:themeColor="text1"/>
          <w:sz w:val="22"/>
        </w:rPr>
        <w:t>disease progression or recurrence on or after an endocrine-based regimen with or without a CDK4/6 inhibitor</w:t>
      </w:r>
      <w:r w:rsidRPr="0D4D8802">
        <w:rPr>
          <w:rFonts w:ascii="Franklin Gothic Book" w:hAnsi="Franklin Gothic Book"/>
          <w:sz w:val="22"/>
        </w:rPr>
        <w:t xml:space="preserve"> in patients who have evidence of an AKT pathway alteration (</w:t>
      </w:r>
      <w:r w:rsidRPr="0D4D8802">
        <w:rPr>
          <w:rFonts w:ascii="Franklin Gothic Book" w:hAnsi="Franklin Gothic Book"/>
          <w:i/>
          <w:sz w:val="22"/>
        </w:rPr>
        <w:t xml:space="preserve">PIK3CA, AKT1, </w:t>
      </w:r>
      <w:r w:rsidRPr="0D4D8802">
        <w:rPr>
          <w:rFonts w:ascii="Franklin Gothic Book" w:hAnsi="Franklin Gothic Book"/>
          <w:sz w:val="22"/>
        </w:rPr>
        <w:t>or</w:t>
      </w:r>
      <w:r w:rsidRPr="0D4D8802">
        <w:rPr>
          <w:rFonts w:ascii="Franklin Gothic Book" w:hAnsi="Franklin Gothic Book"/>
          <w:i/>
          <w:sz w:val="22"/>
        </w:rPr>
        <w:t xml:space="preserve"> PTEN</w:t>
      </w:r>
      <w:r w:rsidRPr="0D4D8802">
        <w:rPr>
          <w:rFonts w:ascii="Franklin Gothic Book" w:hAnsi="Franklin Gothic Book"/>
          <w:sz w:val="22"/>
        </w:rPr>
        <w:t>).</w:t>
      </w:r>
    </w:p>
    <w:p w14:paraId="3537B913" w14:textId="205FED0A" w:rsidR="005D6D39" w:rsidRPr="00201854" w:rsidRDefault="005D6D39" w:rsidP="008D59F2">
      <w:pPr>
        <w:rPr>
          <w:rFonts w:ascii="Franklin Gothic Book" w:hAnsi="Franklin Gothic Book"/>
          <w:sz w:val="22"/>
        </w:rPr>
      </w:pPr>
      <w:r w:rsidRPr="00201854">
        <w:rPr>
          <w:rFonts w:ascii="Franklin Gothic Book" w:hAnsi="Franklin Gothic Book"/>
          <w:sz w:val="22"/>
        </w:rPr>
        <w:t>The key PICO components presented in the submission are presented in</w:t>
      </w:r>
      <w:r w:rsidR="0016064D" w:rsidRPr="00201854">
        <w:rPr>
          <w:rFonts w:ascii="Franklin Gothic Book" w:hAnsi="Franklin Gothic Book"/>
          <w:sz w:val="22"/>
        </w:rPr>
        <w:t xml:space="preserve"> </w:t>
      </w:r>
      <w:r w:rsidR="0016064D" w:rsidRPr="00201854">
        <w:rPr>
          <w:rFonts w:ascii="Franklin Gothic Book" w:hAnsi="Franklin Gothic Book"/>
          <w:sz w:val="22"/>
        </w:rPr>
        <w:fldChar w:fldCharType="begin"/>
      </w:r>
      <w:r w:rsidR="0016064D" w:rsidRPr="00201854">
        <w:rPr>
          <w:rFonts w:ascii="Franklin Gothic Book" w:hAnsi="Franklin Gothic Book"/>
          <w:sz w:val="22"/>
        </w:rPr>
        <w:instrText xml:space="preserve"> REF _Ref180577662 \h </w:instrText>
      </w:r>
      <w:r w:rsidR="00201854" w:rsidRPr="00201854">
        <w:rPr>
          <w:rFonts w:ascii="Franklin Gothic Book" w:hAnsi="Franklin Gothic Book"/>
          <w:sz w:val="22"/>
        </w:rPr>
        <w:instrText xml:space="preserve"> \* MERGEFORMAT </w:instrText>
      </w:r>
      <w:r w:rsidR="0016064D" w:rsidRPr="00201854">
        <w:rPr>
          <w:rFonts w:ascii="Franklin Gothic Book" w:hAnsi="Franklin Gothic Book"/>
          <w:sz w:val="22"/>
        </w:rPr>
      </w:r>
      <w:r w:rsidR="0016064D" w:rsidRPr="00201854">
        <w:rPr>
          <w:rFonts w:ascii="Franklin Gothic Book" w:hAnsi="Franklin Gothic Book"/>
          <w:sz w:val="22"/>
        </w:rPr>
        <w:fldChar w:fldCharType="separate"/>
      </w:r>
      <w:r w:rsidR="0016064D" w:rsidRPr="00201854">
        <w:rPr>
          <w:rFonts w:ascii="Franklin Gothic Book" w:hAnsi="Franklin Gothic Book"/>
          <w:sz w:val="22"/>
        </w:rPr>
        <w:t xml:space="preserve">Table </w:t>
      </w:r>
      <w:r w:rsidR="0016064D" w:rsidRPr="00201854">
        <w:rPr>
          <w:rFonts w:ascii="Franklin Gothic Book" w:hAnsi="Franklin Gothic Book"/>
          <w:noProof/>
          <w:sz w:val="22"/>
        </w:rPr>
        <w:t>1</w:t>
      </w:r>
      <w:r w:rsidR="0016064D" w:rsidRPr="00201854">
        <w:rPr>
          <w:rFonts w:ascii="Franklin Gothic Book" w:hAnsi="Franklin Gothic Book"/>
          <w:sz w:val="22"/>
        </w:rPr>
        <w:fldChar w:fldCharType="end"/>
      </w:r>
      <w:r w:rsidRPr="00201854">
        <w:rPr>
          <w:rFonts w:ascii="Franklin Gothic Book" w:hAnsi="Franklin Gothic Book"/>
          <w:sz w:val="22"/>
        </w:rPr>
        <w:t xml:space="preserve">. </w:t>
      </w:r>
    </w:p>
    <w:p w14:paraId="35C3CC2B" w14:textId="10B00779" w:rsidR="005D6D39" w:rsidRPr="00102634" w:rsidRDefault="00A76519" w:rsidP="003F6F2A">
      <w:pPr>
        <w:pStyle w:val="Caption"/>
      </w:pPr>
      <w:bookmarkStart w:id="1" w:name="_Ref180577662"/>
      <w:bookmarkStart w:id="2" w:name="_Ref180577656"/>
      <w:r>
        <w:lastRenderedPageBreak/>
        <w:t xml:space="preserve">Table </w:t>
      </w:r>
      <w:r w:rsidR="0016064D">
        <w:fldChar w:fldCharType="begin"/>
      </w:r>
      <w:r w:rsidR="0016064D">
        <w:instrText xml:space="preserve"> SEQ Table_MSAC. \* ARABIC </w:instrText>
      </w:r>
      <w:r w:rsidR="0016064D">
        <w:fldChar w:fldCharType="separate"/>
      </w:r>
      <w:r w:rsidR="0016064D">
        <w:rPr>
          <w:noProof/>
        </w:rPr>
        <w:t>1</w:t>
      </w:r>
      <w:r w:rsidR="0016064D">
        <w:rPr>
          <w:noProof/>
        </w:rPr>
        <w:fldChar w:fldCharType="end"/>
      </w:r>
      <w:bookmarkEnd w:id="1"/>
      <w:r w:rsidR="005D6D39" w:rsidRPr="00102634">
        <w:t>: Key components of the clinical issue addressed by the submission</w:t>
      </w:r>
      <w:bookmarkEnd w:id="2"/>
    </w:p>
    <w:tbl>
      <w:tblPr>
        <w:tblStyle w:val="PBACTableStyle"/>
        <w:tblW w:w="0" w:type="auto"/>
        <w:tblLook w:val="04A0" w:firstRow="1" w:lastRow="0" w:firstColumn="1" w:lastColumn="0" w:noHBand="0" w:noVBand="1"/>
      </w:tblPr>
      <w:tblGrid>
        <w:gridCol w:w="1271"/>
        <w:gridCol w:w="7745"/>
      </w:tblGrid>
      <w:tr w:rsidR="005D6D39" w:rsidRPr="00102634" w14:paraId="1BF3E7B2" w14:textId="77777777" w:rsidTr="00A67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7C654A" w14:textId="77777777" w:rsidR="005D6D39" w:rsidRPr="00102634" w:rsidRDefault="005D6D39">
            <w:pPr>
              <w:pStyle w:val="TableText"/>
              <w:keepNext/>
            </w:pPr>
            <w:r w:rsidRPr="2C973C4D">
              <w:rPr>
                <w:lang w:val="en-AU"/>
              </w:rPr>
              <w:t>Component</w:t>
            </w:r>
          </w:p>
        </w:tc>
        <w:tc>
          <w:tcPr>
            <w:tcW w:w="7745" w:type="dxa"/>
          </w:tcPr>
          <w:p w14:paraId="46468F4A" w14:textId="77777777" w:rsidR="005D6D39" w:rsidRPr="00102634" w:rsidRDefault="005D6D39">
            <w:pPr>
              <w:pStyle w:val="TableText"/>
              <w:keepNext/>
              <w:cnfStyle w:val="100000000000" w:firstRow="1" w:lastRow="0" w:firstColumn="0" w:lastColumn="0" w:oddVBand="0" w:evenVBand="0" w:oddHBand="0" w:evenHBand="0" w:firstRowFirstColumn="0" w:firstRowLastColumn="0" w:lastRowFirstColumn="0" w:lastRowLastColumn="0"/>
            </w:pPr>
            <w:r w:rsidRPr="00102634">
              <w:t>Description</w:t>
            </w:r>
          </w:p>
        </w:tc>
      </w:tr>
      <w:tr w:rsidR="005D6D39" w:rsidRPr="00102634" w14:paraId="1E02FE09" w14:textId="77777777" w:rsidTr="00A67B82">
        <w:tc>
          <w:tcPr>
            <w:cnfStyle w:val="001000000000" w:firstRow="0" w:lastRow="0" w:firstColumn="1" w:lastColumn="0" w:oddVBand="0" w:evenVBand="0" w:oddHBand="0" w:evenHBand="0" w:firstRowFirstColumn="0" w:firstRowLastColumn="0" w:lastRowFirstColumn="0" w:lastRowLastColumn="0"/>
            <w:tcW w:w="1271" w:type="dxa"/>
          </w:tcPr>
          <w:p w14:paraId="770C5B06" w14:textId="77777777" w:rsidR="005D6D39" w:rsidRPr="00102634" w:rsidRDefault="005D6D39">
            <w:pPr>
              <w:pStyle w:val="TableText"/>
              <w:keepNext/>
            </w:pPr>
            <w:r w:rsidRPr="00102634">
              <w:t>Population</w:t>
            </w:r>
          </w:p>
        </w:tc>
        <w:tc>
          <w:tcPr>
            <w:tcW w:w="7745" w:type="dxa"/>
          </w:tcPr>
          <w:p w14:paraId="300CDA56" w14:textId="77777777"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Test: Patient with newly diagnosed locally advanced or progression to metastatic HR+ /HER2- breast cancer</w:t>
            </w:r>
          </w:p>
          <w:p w14:paraId="7820D11B" w14:textId="0ED58C10"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Drug: Patients with </w:t>
            </w:r>
            <w:r w:rsidR="006F41D3">
              <w:t>AKT pathway</w:t>
            </w:r>
            <w:r w:rsidRPr="00102634">
              <w:t xml:space="preserve"> altered (</w:t>
            </w:r>
            <w:r w:rsidRPr="00102634">
              <w:rPr>
                <w:i/>
                <w:iCs/>
              </w:rPr>
              <w:t>PIK3CA</w:t>
            </w:r>
            <w:r w:rsidRPr="00102634">
              <w:t>,</w:t>
            </w:r>
            <w:r w:rsidRPr="00102634">
              <w:rPr>
                <w:i/>
                <w:iCs/>
              </w:rPr>
              <w:t xml:space="preserve"> AKT1 </w:t>
            </w:r>
            <w:r w:rsidRPr="00102634">
              <w:t xml:space="preserve">or </w:t>
            </w:r>
            <w:r w:rsidRPr="00102634">
              <w:rPr>
                <w:i/>
                <w:iCs/>
              </w:rPr>
              <w:t>PTEN</w:t>
            </w:r>
            <w:r w:rsidRPr="00102634">
              <w:t xml:space="preserve">) </w:t>
            </w:r>
            <w:proofErr w:type="spellStart"/>
            <w:r w:rsidRPr="00102634">
              <w:t>tumours</w:t>
            </w:r>
            <w:proofErr w:type="spellEnd"/>
            <w:r w:rsidRPr="00102634">
              <w:t xml:space="preserve"> will be eligible for CAPI+FULV treatment in 1L or 2L metastatic setting.</w:t>
            </w:r>
          </w:p>
        </w:tc>
      </w:tr>
      <w:tr w:rsidR="005D6D39" w:rsidRPr="00102634" w14:paraId="7F888D03" w14:textId="77777777" w:rsidTr="00A67B82">
        <w:tc>
          <w:tcPr>
            <w:cnfStyle w:val="001000000000" w:firstRow="0" w:lastRow="0" w:firstColumn="1" w:lastColumn="0" w:oddVBand="0" w:evenVBand="0" w:oddHBand="0" w:evenHBand="0" w:firstRowFirstColumn="0" w:firstRowLastColumn="0" w:lastRowFirstColumn="0" w:lastRowLastColumn="0"/>
            <w:tcW w:w="1271" w:type="dxa"/>
          </w:tcPr>
          <w:p w14:paraId="73D8513E" w14:textId="77777777" w:rsidR="005D6D39" w:rsidRPr="00102634" w:rsidRDefault="005D6D39">
            <w:pPr>
              <w:pStyle w:val="TableText"/>
              <w:keepNext/>
            </w:pPr>
            <w:r w:rsidRPr="00102634">
              <w:t>Intervention</w:t>
            </w:r>
          </w:p>
        </w:tc>
        <w:tc>
          <w:tcPr>
            <w:tcW w:w="7745" w:type="dxa"/>
          </w:tcPr>
          <w:p w14:paraId="4CB1BDA5" w14:textId="631A7D9B"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Test: A test of </w:t>
            </w:r>
            <w:proofErr w:type="spellStart"/>
            <w:r w:rsidRPr="00102634">
              <w:t>tumour</w:t>
            </w:r>
            <w:proofErr w:type="spellEnd"/>
            <w:r w:rsidRPr="00102634">
              <w:t xml:space="preserve"> tissue for the detection of an </w:t>
            </w:r>
            <w:r w:rsidRPr="00102634" w:rsidDel="006F41D3">
              <w:t>AKT</w:t>
            </w:r>
            <w:r w:rsidR="006F41D3">
              <w:t xml:space="preserve"> pathway</w:t>
            </w:r>
            <w:r w:rsidRPr="00102634">
              <w:t xml:space="preserve"> altered (</w:t>
            </w:r>
            <w:r w:rsidRPr="00102634">
              <w:rPr>
                <w:i/>
              </w:rPr>
              <w:t>PIK3CA</w:t>
            </w:r>
            <w:r w:rsidRPr="00102634">
              <w:t xml:space="preserve">, </w:t>
            </w:r>
            <w:r w:rsidRPr="00102634">
              <w:rPr>
                <w:i/>
              </w:rPr>
              <w:t xml:space="preserve">AKT1 </w:t>
            </w:r>
            <w:r w:rsidRPr="00102634">
              <w:t xml:space="preserve">or </w:t>
            </w:r>
            <w:r w:rsidRPr="00102634">
              <w:rPr>
                <w:i/>
              </w:rPr>
              <w:t>PTEN</w:t>
            </w:r>
            <w:r w:rsidRPr="00102634">
              <w:t xml:space="preserve">) </w:t>
            </w:r>
            <w:proofErr w:type="spellStart"/>
            <w:r w:rsidRPr="00102634">
              <w:t>tumour</w:t>
            </w:r>
            <w:proofErr w:type="spellEnd"/>
            <w:r w:rsidRPr="00102634">
              <w:t>.</w:t>
            </w:r>
          </w:p>
          <w:p w14:paraId="59C5422D" w14:textId="5E2089E7"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2C973C4D">
              <w:rPr>
                <w:lang w:val="en-AU"/>
              </w:rPr>
              <w:t>Drug: CAPI 400 mg (two 200 mg tablets) administered orally twice daily, for 4 days on-treatment followed by 3 days off-treatment in combination with FULV 500 mg (2 x 250mg/5 ml) intramuscular injections at intervals of 1 month. An additional 500 mg dose is to be given 2 weeks after the initial dose</w:t>
            </w:r>
          </w:p>
        </w:tc>
      </w:tr>
      <w:tr w:rsidR="005D6D39" w:rsidRPr="00102634" w14:paraId="34915551" w14:textId="77777777" w:rsidTr="00A67B82">
        <w:tc>
          <w:tcPr>
            <w:cnfStyle w:val="001000000000" w:firstRow="0" w:lastRow="0" w:firstColumn="1" w:lastColumn="0" w:oddVBand="0" w:evenVBand="0" w:oddHBand="0" w:evenHBand="0" w:firstRowFirstColumn="0" w:firstRowLastColumn="0" w:lastRowFirstColumn="0" w:lastRowLastColumn="0"/>
            <w:tcW w:w="1271" w:type="dxa"/>
          </w:tcPr>
          <w:p w14:paraId="3496B609" w14:textId="77777777" w:rsidR="005D6D39" w:rsidRPr="00102634" w:rsidRDefault="005D6D39">
            <w:pPr>
              <w:pStyle w:val="TableText"/>
              <w:keepNext/>
            </w:pPr>
            <w:r w:rsidRPr="00102634">
              <w:t>Comparator</w:t>
            </w:r>
          </w:p>
        </w:tc>
        <w:tc>
          <w:tcPr>
            <w:tcW w:w="7745" w:type="dxa"/>
          </w:tcPr>
          <w:p w14:paraId="14D23A2F" w14:textId="77777777"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Test: No testing </w:t>
            </w:r>
          </w:p>
          <w:p w14:paraId="600ED86A" w14:textId="63B8740D"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Drug: FULV monotherapy </w:t>
            </w:r>
          </w:p>
        </w:tc>
      </w:tr>
      <w:tr w:rsidR="005D6D39" w:rsidRPr="00102634" w14:paraId="4A6DA28E" w14:textId="77777777" w:rsidTr="00A67B82">
        <w:tc>
          <w:tcPr>
            <w:cnfStyle w:val="001000000000" w:firstRow="0" w:lastRow="0" w:firstColumn="1" w:lastColumn="0" w:oddVBand="0" w:evenVBand="0" w:oddHBand="0" w:evenHBand="0" w:firstRowFirstColumn="0" w:firstRowLastColumn="0" w:lastRowFirstColumn="0" w:lastRowLastColumn="0"/>
            <w:tcW w:w="1271" w:type="dxa"/>
          </w:tcPr>
          <w:p w14:paraId="4682D31A" w14:textId="77777777" w:rsidR="005D6D39" w:rsidRPr="00102634" w:rsidRDefault="005D6D39">
            <w:pPr>
              <w:pStyle w:val="TableText"/>
              <w:keepNext/>
            </w:pPr>
            <w:r w:rsidRPr="00102634">
              <w:t>Outcomes</w:t>
            </w:r>
          </w:p>
        </w:tc>
        <w:tc>
          <w:tcPr>
            <w:tcW w:w="7745" w:type="dxa"/>
          </w:tcPr>
          <w:p w14:paraId="23E95BA6" w14:textId="3C05E1D8"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PFS, OS, PFS2, QoL, safety </w:t>
            </w:r>
            <w:r w:rsidR="001D2FD2">
              <w:t>and tolerability</w:t>
            </w:r>
          </w:p>
        </w:tc>
      </w:tr>
      <w:tr w:rsidR="005D6D39" w:rsidRPr="00102634" w14:paraId="7270B90C" w14:textId="77777777" w:rsidTr="00A67B82">
        <w:tc>
          <w:tcPr>
            <w:cnfStyle w:val="001000000000" w:firstRow="0" w:lastRow="0" w:firstColumn="1" w:lastColumn="0" w:oddVBand="0" w:evenVBand="0" w:oddHBand="0" w:evenHBand="0" w:firstRowFirstColumn="0" w:firstRowLastColumn="0" w:lastRowFirstColumn="0" w:lastRowLastColumn="0"/>
            <w:tcW w:w="1271" w:type="dxa"/>
          </w:tcPr>
          <w:p w14:paraId="6B0204B7" w14:textId="77777777" w:rsidR="005D6D39" w:rsidRPr="00102634" w:rsidRDefault="005D6D39">
            <w:pPr>
              <w:pStyle w:val="TableText"/>
              <w:keepNext/>
            </w:pPr>
            <w:r w:rsidRPr="00102634">
              <w:t>Clinical claim</w:t>
            </w:r>
          </w:p>
        </w:tc>
        <w:tc>
          <w:tcPr>
            <w:tcW w:w="7745" w:type="dxa"/>
          </w:tcPr>
          <w:p w14:paraId="477BC63C" w14:textId="2F6577A9" w:rsidR="005D6D39" w:rsidRPr="00102634" w:rsidRDefault="005D6D39">
            <w:pPr>
              <w:pStyle w:val="TableText"/>
              <w:keepNext/>
              <w:cnfStyle w:val="000000000000" w:firstRow="0" w:lastRow="0" w:firstColumn="0" w:lastColumn="0" w:oddVBand="0" w:evenVBand="0" w:oddHBand="0" w:evenHBand="0" w:firstRowFirstColumn="0" w:firstRowLastColumn="0" w:lastRowFirstColumn="0" w:lastRowLastColumn="0"/>
            </w:pPr>
            <w:r w:rsidRPr="00102634">
              <w:t xml:space="preserve">In </w:t>
            </w:r>
            <w:r w:rsidR="007D20C3">
              <w:t xml:space="preserve">patients with AI-resistant </w:t>
            </w:r>
            <w:r w:rsidRPr="00102634">
              <w:t xml:space="preserve">HR+/HER2- locally advanced or metastatic breast patients with </w:t>
            </w:r>
            <w:r w:rsidR="000B2C68">
              <w:t>confirmed</w:t>
            </w:r>
            <w:r w:rsidRPr="00102634">
              <w:t xml:space="preserve"> </w:t>
            </w:r>
            <w:r w:rsidRPr="00102634" w:rsidDel="006F41D3">
              <w:t>AKT</w:t>
            </w:r>
            <w:r w:rsidR="006F41D3">
              <w:t xml:space="preserve"> pathway</w:t>
            </w:r>
            <w:r w:rsidRPr="00102634">
              <w:t xml:space="preserve"> alter</w:t>
            </w:r>
            <w:r w:rsidR="000B2C68">
              <w:t>ed</w:t>
            </w:r>
            <w:r w:rsidRPr="00102634">
              <w:t xml:space="preserve"> (</w:t>
            </w:r>
            <w:r w:rsidRPr="00102634">
              <w:rPr>
                <w:i/>
                <w:iCs/>
              </w:rPr>
              <w:t>PIK3CA</w:t>
            </w:r>
            <w:r w:rsidRPr="00102634">
              <w:t xml:space="preserve">, </w:t>
            </w:r>
            <w:r w:rsidRPr="00102634">
              <w:rPr>
                <w:i/>
                <w:iCs/>
              </w:rPr>
              <w:t>AKT1</w:t>
            </w:r>
            <w:r w:rsidRPr="00102634">
              <w:t xml:space="preserve">, or </w:t>
            </w:r>
            <w:r w:rsidRPr="00102634">
              <w:rPr>
                <w:i/>
                <w:iCs/>
              </w:rPr>
              <w:t>PTEN</w:t>
            </w:r>
            <w:r w:rsidRPr="00102634">
              <w:t xml:space="preserve">) </w:t>
            </w:r>
            <w:proofErr w:type="spellStart"/>
            <w:r w:rsidR="00D0103D">
              <w:t>tumours</w:t>
            </w:r>
            <w:proofErr w:type="spellEnd"/>
            <w:r w:rsidR="00D0103D">
              <w:t xml:space="preserve">, </w:t>
            </w:r>
            <w:r w:rsidR="00904D37">
              <w:t>the addition of</w:t>
            </w:r>
            <w:r w:rsidRPr="00102634">
              <w:t xml:space="preserve"> CAPI+FULV </w:t>
            </w:r>
            <w:r w:rsidR="00D005D1">
              <w:t>vs. FULV monotherapy led to statistically significant</w:t>
            </w:r>
            <w:r w:rsidRPr="00102634">
              <w:t xml:space="preserve"> superior PFS </w:t>
            </w:r>
            <w:r w:rsidR="00531FA3">
              <w:t xml:space="preserve">outcome </w:t>
            </w:r>
            <w:r w:rsidRPr="00102634">
              <w:t xml:space="preserve">and inferior but manageable safety </w:t>
            </w:r>
            <w:r w:rsidR="00531FA3">
              <w:t>outcome</w:t>
            </w:r>
            <w:r w:rsidRPr="00102634">
              <w:t>.</w:t>
            </w:r>
          </w:p>
        </w:tc>
      </w:tr>
    </w:tbl>
    <w:p w14:paraId="6977E59C" w14:textId="186C6C0E" w:rsidR="005D6D39" w:rsidRPr="00102634" w:rsidRDefault="005D6D39" w:rsidP="005D6D39">
      <w:pPr>
        <w:pStyle w:val="TableFooter"/>
        <w:keepNext/>
      </w:pPr>
      <w:r w:rsidRPr="00102634">
        <w:t>Source: Table 1.1, p</w:t>
      </w:r>
      <w:r w:rsidR="005D75DE">
        <w:t>9</w:t>
      </w:r>
      <w:r w:rsidRPr="00102634">
        <w:t xml:space="preserve"> of the submission</w:t>
      </w:r>
    </w:p>
    <w:p w14:paraId="37B09360" w14:textId="0B9C0086" w:rsidR="005D6D39" w:rsidRPr="00102634" w:rsidRDefault="00A24BF7" w:rsidP="005D6D39">
      <w:pPr>
        <w:pStyle w:val="TableFooter"/>
        <w:keepNext/>
      </w:pPr>
      <w:r>
        <w:t>AI</w:t>
      </w:r>
      <w:r w:rsidR="008232D6">
        <w:t xml:space="preserve"> </w:t>
      </w:r>
      <w:r>
        <w:t xml:space="preserve">= aromatase inhibitor; </w:t>
      </w:r>
      <w:r w:rsidR="005D6D39" w:rsidRPr="00102634">
        <w:t xml:space="preserve">AKT = serine/threonine protein kinase; CAPI = capivasertib; FULV = </w:t>
      </w:r>
      <w:proofErr w:type="spellStart"/>
      <w:r w:rsidR="005D6D39" w:rsidRPr="00102634">
        <w:t>fulvestrant</w:t>
      </w:r>
      <w:proofErr w:type="spellEnd"/>
      <w:r w:rsidR="005D6D39" w:rsidRPr="00102634">
        <w:t xml:space="preserve">; HER2- = </w:t>
      </w:r>
      <w:r w:rsidR="005D6D39" w:rsidRPr="2C973C4D">
        <w:rPr>
          <w:color w:val="000000" w:themeColor="text1"/>
          <w:lang w:eastAsia="en-AU"/>
        </w:rPr>
        <w:t>human epidermal growth factor receptor 2 negative</w:t>
      </w:r>
      <w:r w:rsidR="005D6D39" w:rsidRPr="00102634">
        <w:t xml:space="preserve">; HR+ = hormone receptor positive; OS = overall survival; PFS = progression-free survival; PFS2 = </w:t>
      </w:r>
      <w:r w:rsidR="005D6D39" w:rsidRPr="2C973C4D">
        <w:rPr>
          <w:color w:val="000000" w:themeColor="text1"/>
          <w:lang w:eastAsia="en-AU"/>
        </w:rPr>
        <w:t>time from randomisation to second progression or death;</w:t>
      </w:r>
      <w:r w:rsidR="005D6D39" w:rsidRPr="00102634">
        <w:t xml:space="preserve"> PIK3CA = phosphatidylinositol-4,5-bisphosphate 3-kinase catalytic subunit alpha gene;</w:t>
      </w:r>
      <w:r w:rsidR="005D6D39" w:rsidRPr="2C973C4D">
        <w:rPr>
          <w:color w:val="000000" w:themeColor="text1"/>
          <w:lang w:eastAsia="en-AU"/>
        </w:rPr>
        <w:t xml:space="preserve"> </w:t>
      </w:r>
      <w:r w:rsidR="005D6D39" w:rsidRPr="00102634">
        <w:t xml:space="preserve">PTEN = phosphatase and </w:t>
      </w:r>
      <w:proofErr w:type="spellStart"/>
      <w:r w:rsidR="005D6D39" w:rsidRPr="00102634">
        <w:t>tensin</w:t>
      </w:r>
      <w:proofErr w:type="spellEnd"/>
      <w:r w:rsidR="005D6D39" w:rsidRPr="00102634">
        <w:t xml:space="preserve"> homolog; QoL = quality of life; 1L = first line setting; 2L = second line setting</w:t>
      </w:r>
      <w:r w:rsidR="008B5498">
        <w:t>.</w:t>
      </w:r>
    </w:p>
    <w:p w14:paraId="0E584AC2" w14:textId="77777777" w:rsidR="001974F1" w:rsidRPr="00201854" w:rsidRDefault="001974F1" w:rsidP="00AA5F6F">
      <w:pPr>
        <w:pStyle w:val="Heading3"/>
        <w:rPr>
          <w:rFonts w:ascii="Franklin Gothic Book" w:hAnsi="Franklin Gothic Book" w:cstheme="minorHAnsi"/>
          <w:b w:val="0"/>
          <w:snapToGrid w:val="0"/>
          <w:sz w:val="22"/>
        </w:rPr>
      </w:pPr>
      <w:r w:rsidRPr="00201854">
        <w:rPr>
          <w:snapToGrid w:val="0"/>
        </w:rPr>
        <w:t>Alignment with agreed PICO confirmation</w:t>
      </w:r>
    </w:p>
    <w:p w14:paraId="6937817C" w14:textId="5091BE52" w:rsidR="006E7041" w:rsidRPr="00201854" w:rsidRDefault="006E7041" w:rsidP="008D59F2">
      <w:pPr>
        <w:spacing w:before="0" w:after="240"/>
        <w:rPr>
          <w:rFonts w:ascii="Franklin Gothic Book" w:hAnsi="Franklin Gothic Book" w:cstheme="minorHAnsi"/>
          <w:sz w:val="22"/>
        </w:rPr>
      </w:pPr>
      <w:r w:rsidRPr="00201854">
        <w:rPr>
          <w:rFonts w:ascii="Franklin Gothic Book" w:hAnsi="Franklin Gothic Book" w:cstheme="minorHAnsi"/>
          <w:sz w:val="22"/>
        </w:rPr>
        <w:t xml:space="preserve">The </w:t>
      </w:r>
      <w:r w:rsidR="0085066D">
        <w:rPr>
          <w:rFonts w:ascii="Franklin Gothic Book" w:hAnsi="Franklin Gothic Book" w:cstheme="minorHAnsi"/>
          <w:sz w:val="22"/>
        </w:rPr>
        <w:t>submission</w:t>
      </w:r>
      <w:r w:rsidR="00846E4E">
        <w:rPr>
          <w:rFonts w:ascii="Franklin Gothic Book" w:hAnsi="Franklin Gothic Book" w:cstheme="minorHAnsi"/>
          <w:sz w:val="22"/>
        </w:rPr>
        <w:t xml:space="preserve"> did not align with the </w:t>
      </w:r>
      <w:r w:rsidR="00063FBD">
        <w:rPr>
          <w:rFonts w:ascii="Franklin Gothic Book" w:hAnsi="Franklin Gothic Book" w:cstheme="minorHAnsi"/>
          <w:sz w:val="22"/>
        </w:rPr>
        <w:t xml:space="preserve">PASC-ratified </w:t>
      </w:r>
      <w:r w:rsidR="00222664" w:rsidRPr="00201854">
        <w:rPr>
          <w:rFonts w:ascii="Franklin Gothic Book" w:hAnsi="Franklin Gothic Book" w:cstheme="minorHAnsi"/>
          <w:sz w:val="22"/>
        </w:rPr>
        <w:t xml:space="preserve">PICO Confirmation </w:t>
      </w:r>
      <w:r w:rsidR="001F23E8">
        <w:rPr>
          <w:rFonts w:ascii="Franklin Gothic Book" w:hAnsi="Franklin Gothic Book" w:cstheme="minorHAnsi"/>
          <w:sz w:val="22"/>
        </w:rPr>
        <w:t>(April 2024 PASC)</w:t>
      </w:r>
      <w:r w:rsidR="00063FBD">
        <w:rPr>
          <w:rFonts w:ascii="Franklin Gothic Book" w:hAnsi="Franklin Gothic Book" w:cstheme="minorHAnsi"/>
          <w:sz w:val="22"/>
        </w:rPr>
        <w:t xml:space="preserve"> </w:t>
      </w:r>
      <w:r w:rsidR="0085066D">
        <w:rPr>
          <w:rFonts w:ascii="Franklin Gothic Book" w:hAnsi="Franklin Gothic Book" w:cstheme="minorHAnsi"/>
          <w:sz w:val="22"/>
        </w:rPr>
        <w:t xml:space="preserve">as shown in </w:t>
      </w:r>
      <w:r w:rsidR="00AC15A7" w:rsidRPr="00201854">
        <w:rPr>
          <w:rFonts w:ascii="Franklin Gothic Book" w:hAnsi="Franklin Gothic Book" w:cstheme="minorHAnsi"/>
          <w:sz w:val="22"/>
        </w:rPr>
        <w:fldChar w:fldCharType="begin"/>
      </w:r>
      <w:r w:rsidR="00AC15A7" w:rsidRPr="00201854">
        <w:rPr>
          <w:rFonts w:ascii="Franklin Gothic Book" w:hAnsi="Franklin Gothic Book" w:cstheme="minorHAnsi"/>
          <w:sz w:val="22"/>
        </w:rPr>
        <w:instrText xml:space="preserve"> REF _Ref176769327 \h </w:instrText>
      </w:r>
      <w:r w:rsidR="00201854" w:rsidRPr="00201854">
        <w:rPr>
          <w:rFonts w:ascii="Franklin Gothic Book" w:hAnsi="Franklin Gothic Book" w:cstheme="minorHAnsi"/>
          <w:sz w:val="22"/>
        </w:rPr>
        <w:instrText xml:space="preserve"> \* MERGEFORMAT </w:instrText>
      </w:r>
      <w:r w:rsidR="00AC15A7" w:rsidRPr="00201854">
        <w:rPr>
          <w:rFonts w:ascii="Franklin Gothic Book" w:hAnsi="Franklin Gothic Book" w:cstheme="minorHAnsi"/>
          <w:sz w:val="22"/>
        </w:rPr>
      </w:r>
      <w:r w:rsidR="00AC15A7" w:rsidRPr="00201854">
        <w:rPr>
          <w:rFonts w:ascii="Franklin Gothic Book" w:hAnsi="Franklin Gothic Book" w:cstheme="minorHAnsi"/>
          <w:sz w:val="22"/>
        </w:rPr>
        <w:fldChar w:fldCharType="separate"/>
      </w:r>
      <w:r w:rsidR="0016064D" w:rsidRPr="00201854">
        <w:rPr>
          <w:rFonts w:ascii="Franklin Gothic Book" w:hAnsi="Franklin Gothic Book"/>
          <w:sz w:val="22"/>
        </w:rPr>
        <w:t xml:space="preserve">Table </w:t>
      </w:r>
      <w:r w:rsidR="0016064D" w:rsidRPr="00201854">
        <w:rPr>
          <w:rFonts w:ascii="Franklin Gothic Book" w:hAnsi="Franklin Gothic Book"/>
          <w:noProof/>
          <w:sz w:val="22"/>
        </w:rPr>
        <w:t>2</w:t>
      </w:r>
      <w:r w:rsidR="00AC15A7" w:rsidRPr="00201854">
        <w:rPr>
          <w:rFonts w:ascii="Franklin Gothic Book" w:hAnsi="Franklin Gothic Book" w:cstheme="minorHAnsi"/>
          <w:sz w:val="22"/>
        </w:rPr>
        <w:fldChar w:fldCharType="end"/>
      </w:r>
      <w:r w:rsidR="001152F5" w:rsidRPr="00201854">
        <w:rPr>
          <w:rFonts w:ascii="Franklin Gothic Book" w:hAnsi="Franklin Gothic Book" w:cstheme="minorHAnsi"/>
          <w:sz w:val="22"/>
        </w:rPr>
        <w:t>.</w:t>
      </w:r>
    </w:p>
    <w:p w14:paraId="5830838A" w14:textId="114D08CB" w:rsidR="001974F1" w:rsidRPr="001974F1" w:rsidRDefault="00AC15A7" w:rsidP="003F6F2A">
      <w:pPr>
        <w:pStyle w:val="Caption"/>
      </w:pPr>
      <w:bookmarkStart w:id="3" w:name="_Ref176769327"/>
      <w:r>
        <w:lastRenderedPageBreak/>
        <w:t xml:space="preserve">Table </w:t>
      </w:r>
      <w:r w:rsidR="0016064D">
        <w:fldChar w:fldCharType="begin"/>
      </w:r>
      <w:r w:rsidR="0016064D">
        <w:instrText xml:space="preserve"> SEQ Table_MSAC. \* ARABIC </w:instrText>
      </w:r>
      <w:r w:rsidR="0016064D">
        <w:fldChar w:fldCharType="separate"/>
      </w:r>
      <w:r w:rsidR="0016064D">
        <w:rPr>
          <w:noProof/>
        </w:rPr>
        <w:t>2</w:t>
      </w:r>
      <w:r w:rsidR="0016064D">
        <w:rPr>
          <w:noProof/>
        </w:rPr>
        <w:fldChar w:fldCharType="end"/>
      </w:r>
      <w:bookmarkEnd w:id="3"/>
      <w:r w:rsidRPr="00AC15A7">
        <w:t xml:space="preserve"> </w:t>
      </w:r>
      <w:r w:rsidRPr="001974F1">
        <w:t xml:space="preserve">Compliance with </w:t>
      </w:r>
      <w:r w:rsidR="00D37142">
        <w:t xml:space="preserve">the Ratified </w:t>
      </w:r>
      <w:r w:rsidRPr="001974F1">
        <w:t>PICO Confirmation</w:t>
      </w:r>
      <w:r w:rsidR="00D37142">
        <w:t xml:space="preserve"> (</w:t>
      </w:r>
      <w:r w:rsidR="00F6449C">
        <w:t>April 2024 PASC meeting)</w:t>
      </w:r>
    </w:p>
    <w:tbl>
      <w:tblPr>
        <w:tblStyle w:val="PBACTableStyle1"/>
        <w:tblW w:w="0" w:type="auto"/>
        <w:tblLook w:val="04A0" w:firstRow="1" w:lastRow="0" w:firstColumn="1" w:lastColumn="0" w:noHBand="0" w:noVBand="1"/>
        <w:tblCaption w:val="Table ES1 DAP checkbox"/>
        <w:tblDescription w:val="A summary of whether the assessment report has followed the DAP"/>
      </w:tblPr>
      <w:tblGrid>
        <w:gridCol w:w="2096"/>
        <w:gridCol w:w="1267"/>
        <w:gridCol w:w="5653"/>
      </w:tblGrid>
      <w:tr w:rsidR="00A342DF" w:rsidRPr="0011454E" w14:paraId="5855B417" w14:textId="77777777" w:rsidTr="00CA4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19C370BD" w14:textId="1DCAD75D" w:rsidR="00CA4CFC" w:rsidRPr="0011454E" w:rsidRDefault="00585861" w:rsidP="008D59F2">
            <w:pPr>
              <w:keepNext/>
              <w:spacing w:before="40" w:after="40" w:line="256" w:lineRule="auto"/>
              <w:jc w:val="left"/>
              <w:rPr>
                <w:sz w:val="20"/>
              </w:rPr>
            </w:pPr>
            <w:r w:rsidRPr="0011454E">
              <w:rPr>
                <w:sz w:val="20"/>
              </w:rPr>
              <w:t xml:space="preserve">PICO </w:t>
            </w:r>
            <w:r w:rsidR="00F6449C" w:rsidRPr="0011454E">
              <w:rPr>
                <w:sz w:val="20"/>
              </w:rPr>
              <w:t>Component</w:t>
            </w:r>
          </w:p>
        </w:tc>
        <w:tc>
          <w:tcPr>
            <w:tcW w:w="1203" w:type="dxa"/>
          </w:tcPr>
          <w:p w14:paraId="79C8C139" w14:textId="1CE4650C" w:rsidR="00CA4CFC" w:rsidRPr="0011454E" w:rsidRDefault="00CA4CFC" w:rsidP="008D59F2">
            <w:pPr>
              <w:keepNext/>
              <w:spacing w:before="40" w:after="40" w:line="256" w:lineRule="auto"/>
              <w:jc w:val="left"/>
              <w:cnfStyle w:val="100000000000" w:firstRow="1" w:lastRow="0" w:firstColumn="0" w:lastColumn="0" w:oddVBand="0" w:evenVBand="0" w:oddHBand="0" w:evenHBand="0" w:firstRowFirstColumn="0" w:firstRowLastColumn="0" w:lastRowFirstColumn="0" w:lastRowLastColumn="0"/>
              <w:rPr>
                <w:sz w:val="20"/>
              </w:rPr>
            </w:pPr>
            <w:r w:rsidRPr="0011454E">
              <w:rPr>
                <w:sz w:val="20"/>
              </w:rPr>
              <w:t>Compliance</w:t>
            </w:r>
          </w:p>
        </w:tc>
        <w:tc>
          <w:tcPr>
            <w:tcW w:w="5751" w:type="dxa"/>
          </w:tcPr>
          <w:p w14:paraId="25A99B40" w14:textId="6B20B25C" w:rsidR="00CA4CFC" w:rsidRPr="0011454E" w:rsidRDefault="00CA4CFC" w:rsidP="008D59F2">
            <w:pPr>
              <w:keepNext/>
              <w:spacing w:before="40" w:after="40" w:line="256" w:lineRule="auto"/>
              <w:jc w:val="left"/>
              <w:cnfStyle w:val="100000000000" w:firstRow="1" w:lastRow="0" w:firstColumn="0" w:lastColumn="0" w:oddVBand="0" w:evenVBand="0" w:oddHBand="0" w:evenHBand="0" w:firstRowFirstColumn="0" w:firstRowLastColumn="0" w:lastRowFirstColumn="0" w:lastRowLastColumn="0"/>
              <w:rPr>
                <w:sz w:val="20"/>
              </w:rPr>
            </w:pPr>
            <w:r w:rsidRPr="0011454E">
              <w:rPr>
                <w:sz w:val="20"/>
              </w:rPr>
              <w:t>Change and justification provided in submission</w:t>
            </w:r>
          </w:p>
        </w:tc>
      </w:tr>
      <w:tr w:rsidR="00A342DF" w:rsidRPr="0011454E" w14:paraId="408C6B07"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30614009" w14:textId="77777777" w:rsidR="00CA4CFC" w:rsidRPr="0011454E" w:rsidRDefault="00CA4CFC" w:rsidP="008D59F2">
            <w:pPr>
              <w:keepNext/>
              <w:spacing w:before="40" w:after="40" w:line="256" w:lineRule="auto"/>
              <w:jc w:val="left"/>
              <w:rPr>
                <w:sz w:val="20"/>
              </w:rPr>
            </w:pPr>
            <w:r w:rsidRPr="0011454E">
              <w:rPr>
                <w:sz w:val="20"/>
              </w:rPr>
              <w:t>Proposed MBS listing</w:t>
            </w:r>
          </w:p>
        </w:tc>
        <w:tc>
          <w:tcPr>
            <w:tcW w:w="1203" w:type="dxa"/>
          </w:tcPr>
          <w:p w14:paraId="1DE26CD1" w14:textId="7DE1036B" w:rsidR="00CA4CFC" w:rsidRPr="0011454E" w:rsidRDefault="00B06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N</w:t>
            </w:r>
            <w:r w:rsidR="00E7199D" w:rsidRPr="0011454E">
              <w:rPr>
                <w:sz w:val="20"/>
              </w:rPr>
              <w:t>o</w:t>
            </w:r>
          </w:p>
        </w:tc>
        <w:tc>
          <w:tcPr>
            <w:tcW w:w="5751" w:type="dxa"/>
          </w:tcPr>
          <w:p w14:paraId="127555B6" w14:textId="255E911C"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 xml:space="preserve">The submission’s MBS item descriptor was broader than the PICO confirmation and is discussed in detail in Section </w:t>
            </w:r>
            <w:r w:rsidR="009E7154" w:rsidRPr="0011454E">
              <w:rPr>
                <w:sz w:val="20"/>
              </w:rPr>
              <w:t>6</w:t>
            </w:r>
            <w:r w:rsidR="004854E0" w:rsidRPr="0011454E">
              <w:rPr>
                <w:sz w:val="20"/>
              </w:rPr>
              <w:t>.</w:t>
            </w:r>
            <w:r w:rsidRPr="0011454E">
              <w:rPr>
                <w:sz w:val="20"/>
              </w:rPr>
              <w:t xml:space="preserve"> The submission did not justify this change. </w:t>
            </w:r>
          </w:p>
        </w:tc>
      </w:tr>
      <w:tr w:rsidR="00A342DF" w:rsidRPr="0011454E" w14:paraId="6821385B"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70910A1D" w14:textId="77777777" w:rsidR="00CA4CFC" w:rsidRPr="0011454E" w:rsidRDefault="00CA4CFC" w:rsidP="008D59F2">
            <w:pPr>
              <w:keepNext/>
              <w:spacing w:before="40" w:after="40" w:line="256" w:lineRule="auto"/>
              <w:jc w:val="left"/>
              <w:rPr>
                <w:sz w:val="20"/>
              </w:rPr>
            </w:pPr>
            <w:r w:rsidRPr="0011454E">
              <w:rPr>
                <w:sz w:val="20"/>
              </w:rPr>
              <w:t>Population / clinical indication (test population)</w:t>
            </w:r>
          </w:p>
        </w:tc>
        <w:tc>
          <w:tcPr>
            <w:tcW w:w="1203" w:type="dxa"/>
          </w:tcPr>
          <w:p w14:paraId="073DE191" w14:textId="6B4ED961" w:rsidR="00CA4CFC" w:rsidRPr="0011454E" w:rsidRDefault="00B06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N</w:t>
            </w:r>
            <w:r w:rsidR="00E7199D" w:rsidRPr="0011454E">
              <w:rPr>
                <w:sz w:val="20"/>
              </w:rPr>
              <w:t>o</w:t>
            </w:r>
          </w:p>
        </w:tc>
        <w:tc>
          <w:tcPr>
            <w:tcW w:w="5751" w:type="dxa"/>
          </w:tcPr>
          <w:p w14:paraId="6C0321DC" w14:textId="77777777"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 xml:space="preserve">The submission’s PICO test population were “patients with newly diagnosed locally advanced or progression to metastatic HR+/HER2- breast cancer” and was broader than the PICO confirmation which included “patients with locally advanced (inoperable) or metastatic HR+/HER2– or HER2-low breast cancer following recurrence or progression on or after AI therapy, with or without a CDK4/6 inhibitor”. The submission did not justify this change. </w:t>
            </w:r>
          </w:p>
        </w:tc>
      </w:tr>
      <w:tr w:rsidR="00A342DF" w:rsidRPr="0011454E" w14:paraId="52270DC1"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062AEF35" w14:textId="77777777" w:rsidR="00CA4CFC" w:rsidRPr="0011454E" w:rsidRDefault="00CA4CFC" w:rsidP="008D59F2">
            <w:pPr>
              <w:keepNext/>
              <w:spacing w:before="40" w:after="40" w:line="256" w:lineRule="auto"/>
              <w:jc w:val="left"/>
              <w:rPr>
                <w:sz w:val="20"/>
              </w:rPr>
            </w:pPr>
            <w:r w:rsidRPr="0011454E">
              <w:rPr>
                <w:sz w:val="20"/>
              </w:rPr>
              <w:t>Population / clinical indication (treatment population)</w:t>
            </w:r>
          </w:p>
        </w:tc>
        <w:tc>
          <w:tcPr>
            <w:tcW w:w="1203" w:type="dxa"/>
          </w:tcPr>
          <w:p w14:paraId="382771F6" w14:textId="44A69410" w:rsidR="00CA4CFC" w:rsidRPr="0011454E" w:rsidRDefault="00B06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N</w:t>
            </w:r>
            <w:r w:rsidR="00E7199D" w:rsidRPr="0011454E">
              <w:rPr>
                <w:sz w:val="20"/>
              </w:rPr>
              <w:t>o</w:t>
            </w:r>
          </w:p>
        </w:tc>
        <w:tc>
          <w:tcPr>
            <w:tcW w:w="5751" w:type="dxa"/>
          </w:tcPr>
          <w:p w14:paraId="5C4BBC90" w14:textId="77777777"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The submission’s PICO treatment population stated, “patients with AKT pathway altered (</w:t>
            </w:r>
            <w:r w:rsidRPr="0011454E">
              <w:rPr>
                <w:i/>
                <w:iCs/>
                <w:sz w:val="20"/>
              </w:rPr>
              <w:t>PIK3CA, AKT1 or PTEN</w:t>
            </w:r>
            <w:r w:rsidRPr="0011454E">
              <w:rPr>
                <w:sz w:val="20"/>
              </w:rPr>
              <w:t xml:space="preserve">) tumours will be eligible for capivasertib + </w:t>
            </w:r>
            <w:proofErr w:type="spellStart"/>
            <w:r w:rsidRPr="0011454E">
              <w:rPr>
                <w:sz w:val="20"/>
              </w:rPr>
              <w:t>fulvestrant</w:t>
            </w:r>
            <w:proofErr w:type="spellEnd"/>
            <w:r w:rsidRPr="0011454E">
              <w:rPr>
                <w:sz w:val="20"/>
              </w:rPr>
              <w:t xml:space="preserve"> treatment in 1L or 2L metastatic setting” and was broader than the PICO confirmation which included “patients in the test population with a tier 1 genetic variant in the AKT pathway, for second line treatment”. The submission did not justify this change.</w:t>
            </w:r>
          </w:p>
        </w:tc>
      </w:tr>
      <w:tr w:rsidR="00A342DF" w:rsidRPr="0011454E" w14:paraId="50D04BCD"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39A98AA4" w14:textId="77777777" w:rsidR="00CA4CFC" w:rsidRPr="0011454E" w:rsidRDefault="00CA4CFC" w:rsidP="008D59F2">
            <w:pPr>
              <w:keepNext/>
              <w:spacing w:before="40" w:after="40" w:line="256" w:lineRule="auto"/>
              <w:jc w:val="left"/>
              <w:rPr>
                <w:sz w:val="20"/>
              </w:rPr>
            </w:pPr>
            <w:r w:rsidRPr="0011454E">
              <w:rPr>
                <w:sz w:val="20"/>
              </w:rPr>
              <w:t>Intervention (test)</w:t>
            </w:r>
          </w:p>
        </w:tc>
        <w:tc>
          <w:tcPr>
            <w:tcW w:w="1203" w:type="dxa"/>
          </w:tcPr>
          <w:p w14:paraId="383883F4" w14:textId="2731B637" w:rsidR="00CA4CFC" w:rsidRPr="0011454E" w:rsidRDefault="00E71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No</w:t>
            </w:r>
          </w:p>
        </w:tc>
        <w:tc>
          <w:tcPr>
            <w:tcW w:w="5751" w:type="dxa"/>
          </w:tcPr>
          <w:p w14:paraId="6B2B0154" w14:textId="50F13419"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The submission’s PICO test was “a test of tumour tissue for the detection of an AKT pathway altered (</w:t>
            </w:r>
            <w:r w:rsidRPr="0011454E">
              <w:rPr>
                <w:i/>
                <w:iCs/>
                <w:sz w:val="20"/>
              </w:rPr>
              <w:t>PIK3CA, AKT1 or PTEN</w:t>
            </w:r>
            <w:r w:rsidRPr="0011454E">
              <w:rPr>
                <w:sz w:val="20"/>
              </w:rPr>
              <w:t xml:space="preserve">) tumour” and this definition was less granular than the PICO confirmation which </w:t>
            </w:r>
            <w:proofErr w:type="gramStart"/>
            <w:r w:rsidRPr="0011454E">
              <w:rPr>
                <w:sz w:val="20"/>
              </w:rPr>
              <w:t>stated</w:t>
            </w:r>
            <w:proofErr w:type="gramEnd"/>
            <w:r w:rsidRPr="0011454E">
              <w:rPr>
                <w:sz w:val="20"/>
              </w:rPr>
              <w:t xml:space="preserve"> “tumour tissue testing using NGS to characterise tier 1 genetic variants in all three genes (</w:t>
            </w:r>
            <w:r w:rsidRPr="0011454E">
              <w:rPr>
                <w:i/>
                <w:iCs/>
                <w:sz w:val="20"/>
              </w:rPr>
              <w:t xml:space="preserve">PIK3CA, AKT1 and PTEN </w:t>
            </w:r>
            <w:r w:rsidRPr="0011454E">
              <w:rPr>
                <w:sz w:val="20"/>
              </w:rPr>
              <w:t>genes) associated with abrogation of the AKT pathway</w:t>
            </w:r>
            <w:r w:rsidR="00057E5A" w:rsidRPr="0011454E">
              <w:rPr>
                <w:sz w:val="20"/>
              </w:rPr>
              <w:t>”</w:t>
            </w:r>
            <w:r w:rsidRPr="0011454E">
              <w:rPr>
                <w:sz w:val="20"/>
              </w:rPr>
              <w:t>. The submission did not justify this change.</w:t>
            </w:r>
          </w:p>
        </w:tc>
      </w:tr>
      <w:tr w:rsidR="00A342DF" w:rsidRPr="0011454E" w14:paraId="3FF5667F"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5FE8B1AA" w14:textId="77777777" w:rsidR="00CA4CFC" w:rsidRPr="0011454E" w:rsidRDefault="00CA4CFC" w:rsidP="008D59F2">
            <w:pPr>
              <w:keepNext/>
              <w:spacing w:before="40" w:after="40" w:line="256" w:lineRule="auto"/>
              <w:jc w:val="left"/>
              <w:rPr>
                <w:sz w:val="20"/>
              </w:rPr>
            </w:pPr>
            <w:r w:rsidRPr="0011454E">
              <w:rPr>
                <w:sz w:val="20"/>
              </w:rPr>
              <w:t>Comparator</w:t>
            </w:r>
          </w:p>
        </w:tc>
        <w:tc>
          <w:tcPr>
            <w:tcW w:w="1203" w:type="dxa"/>
          </w:tcPr>
          <w:p w14:paraId="7CF4BAAB" w14:textId="1FC5DAC0" w:rsidR="00CA4CFC" w:rsidRPr="0011454E" w:rsidRDefault="00E71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No</w:t>
            </w:r>
          </w:p>
        </w:tc>
        <w:tc>
          <w:tcPr>
            <w:tcW w:w="5751" w:type="dxa"/>
          </w:tcPr>
          <w:p w14:paraId="53AA323F" w14:textId="5DB2CB43"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The submission nominated FULV monotherapy as the main comparator. The PASC stated the comparator to be “SOC which included a range of different treatment options and no clear standard of care for second line treatment (alternative ET + CDK4/6 inhibitor, EVE+EXE/FULV/tamoxifen, chemotherapy)”. See Section</w:t>
            </w:r>
            <w:r w:rsidR="00016290" w:rsidRPr="0011454E">
              <w:rPr>
                <w:sz w:val="20"/>
              </w:rPr>
              <w:t xml:space="preserve"> </w:t>
            </w:r>
            <w:r w:rsidR="002D1E60" w:rsidRPr="0011454E">
              <w:rPr>
                <w:sz w:val="20"/>
              </w:rPr>
              <w:t>8</w:t>
            </w:r>
            <w:r w:rsidRPr="0011454E">
              <w:rPr>
                <w:sz w:val="20"/>
              </w:rPr>
              <w:t xml:space="preserve">. </w:t>
            </w:r>
          </w:p>
        </w:tc>
      </w:tr>
      <w:tr w:rsidR="00A342DF" w:rsidRPr="0011454E" w14:paraId="7393AC0D"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6A49ACE4" w14:textId="77777777" w:rsidR="00CA4CFC" w:rsidRPr="0011454E" w:rsidRDefault="00CA4CFC" w:rsidP="008D59F2">
            <w:pPr>
              <w:keepNext/>
              <w:spacing w:before="40" w:after="40" w:line="256" w:lineRule="auto"/>
              <w:jc w:val="left"/>
              <w:rPr>
                <w:sz w:val="20"/>
              </w:rPr>
            </w:pPr>
            <w:r w:rsidRPr="0011454E">
              <w:rPr>
                <w:sz w:val="20"/>
              </w:rPr>
              <w:t xml:space="preserve">Reference/evidentiary standard </w:t>
            </w:r>
          </w:p>
        </w:tc>
        <w:tc>
          <w:tcPr>
            <w:tcW w:w="1203" w:type="dxa"/>
          </w:tcPr>
          <w:p w14:paraId="277A92CD" w14:textId="008397DA" w:rsidR="00CA4CFC" w:rsidRPr="0011454E" w:rsidRDefault="00E71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Yes</w:t>
            </w:r>
          </w:p>
        </w:tc>
        <w:tc>
          <w:tcPr>
            <w:tcW w:w="5751" w:type="dxa"/>
          </w:tcPr>
          <w:p w14:paraId="245E9280" w14:textId="77777777"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Consistent with the PICO confirmation.</w:t>
            </w:r>
          </w:p>
        </w:tc>
      </w:tr>
      <w:tr w:rsidR="00A342DF" w:rsidRPr="0011454E" w14:paraId="2DC420EE"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7F2C2802" w14:textId="77777777" w:rsidR="00CA4CFC" w:rsidRPr="0011454E" w:rsidRDefault="00CA4CFC" w:rsidP="008D59F2">
            <w:pPr>
              <w:keepNext/>
              <w:spacing w:before="40" w:after="40" w:line="256" w:lineRule="auto"/>
              <w:jc w:val="left"/>
              <w:rPr>
                <w:sz w:val="20"/>
              </w:rPr>
            </w:pPr>
            <w:r w:rsidRPr="0011454E">
              <w:rPr>
                <w:sz w:val="20"/>
              </w:rPr>
              <w:t>Clinical management algorithm</w:t>
            </w:r>
          </w:p>
        </w:tc>
        <w:tc>
          <w:tcPr>
            <w:tcW w:w="1203" w:type="dxa"/>
          </w:tcPr>
          <w:p w14:paraId="5C07BE99" w14:textId="5C95CBCF" w:rsidR="00CA4CFC" w:rsidRPr="0011454E" w:rsidRDefault="00E71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Yes</w:t>
            </w:r>
          </w:p>
        </w:tc>
        <w:tc>
          <w:tcPr>
            <w:tcW w:w="5751" w:type="dxa"/>
          </w:tcPr>
          <w:p w14:paraId="3027E6C0" w14:textId="77777777"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The submission’s clinical algorithm was mostly consistent with the PICO confirmation, except the PICO confirmation also considered treatments after the 2L setting and the submission did not. The submission did not justify this change.</w:t>
            </w:r>
          </w:p>
        </w:tc>
      </w:tr>
      <w:tr w:rsidR="00A342DF" w:rsidRPr="0011454E" w14:paraId="174E27AB" w14:textId="77777777" w:rsidTr="00CA4CFC">
        <w:tc>
          <w:tcPr>
            <w:cnfStyle w:val="001000000000" w:firstRow="0" w:lastRow="0" w:firstColumn="1" w:lastColumn="0" w:oddVBand="0" w:evenVBand="0" w:oddHBand="0" w:evenHBand="0" w:firstRowFirstColumn="0" w:firstRowLastColumn="0" w:lastRowFirstColumn="0" w:lastRowLastColumn="0"/>
            <w:tcW w:w="2062" w:type="dxa"/>
          </w:tcPr>
          <w:p w14:paraId="004961B8" w14:textId="77777777" w:rsidR="00CA4CFC" w:rsidRPr="0011454E" w:rsidRDefault="00CA4CFC" w:rsidP="008D59F2">
            <w:pPr>
              <w:keepNext/>
              <w:spacing w:before="40" w:after="40" w:line="256" w:lineRule="auto"/>
              <w:jc w:val="left"/>
              <w:rPr>
                <w:sz w:val="20"/>
              </w:rPr>
            </w:pPr>
            <w:r w:rsidRPr="0011454E">
              <w:rPr>
                <w:sz w:val="20"/>
              </w:rPr>
              <w:t>Clinical outcomes assessed</w:t>
            </w:r>
          </w:p>
        </w:tc>
        <w:tc>
          <w:tcPr>
            <w:tcW w:w="1203" w:type="dxa"/>
          </w:tcPr>
          <w:p w14:paraId="1A36833F" w14:textId="479C112D" w:rsidR="00CA4CFC" w:rsidRPr="0011454E" w:rsidRDefault="00E7199D" w:rsidP="008D59F2">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sz w:val="20"/>
              </w:rPr>
            </w:pPr>
            <w:r w:rsidRPr="0011454E">
              <w:rPr>
                <w:sz w:val="20"/>
              </w:rPr>
              <w:t>Yes</w:t>
            </w:r>
          </w:p>
        </w:tc>
        <w:tc>
          <w:tcPr>
            <w:tcW w:w="5751" w:type="dxa"/>
          </w:tcPr>
          <w:p w14:paraId="3855D298" w14:textId="77777777" w:rsidR="00CA4CFC" w:rsidRPr="0011454E" w:rsidRDefault="00CA4CFC" w:rsidP="008D59F2">
            <w:pPr>
              <w:keepNext/>
              <w:spacing w:before="40" w:after="40" w:line="256" w:lineRule="auto"/>
              <w:jc w:val="left"/>
              <w:cnfStyle w:val="000000000000" w:firstRow="0" w:lastRow="0" w:firstColumn="0" w:lastColumn="0" w:oddVBand="0" w:evenVBand="0" w:oddHBand="0" w:evenHBand="0" w:firstRowFirstColumn="0" w:firstRowLastColumn="0" w:lastRowFirstColumn="0" w:lastRowLastColumn="0"/>
              <w:rPr>
                <w:sz w:val="20"/>
              </w:rPr>
            </w:pPr>
            <w:r w:rsidRPr="0011454E">
              <w:rPr>
                <w:sz w:val="20"/>
              </w:rPr>
              <w:t>Consistent with the PICO confirmation.</w:t>
            </w:r>
          </w:p>
        </w:tc>
      </w:tr>
    </w:tbl>
    <w:p w14:paraId="704297AF" w14:textId="77777777" w:rsidR="00E57D9B" w:rsidRDefault="00E57D9B" w:rsidP="008D59F2">
      <w:pPr>
        <w:keepNext/>
        <w:widowControl w:val="0"/>
        <w:spacing w:before="0" w:after="240"/>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Source: Table 1.1, p9;</w:t>
      </w:r>
      <w:r w:rsidRPr="00D819A1">
        <w:t xml:space="preserve"> </w:t>
      </w:r>
      <w:r w:rsidRPr="00D819A1">
        <w:rPr>
          <w:rFonts w:ascii="Arial Narrow" w:eastAsia="Times New Roman" w:hAnsi="Arial Narrow" w:cs="Arial"/>
          <w:snapToGrid w:val="0"/>
          <w:sz w:val="18"/>
          <w:szCs w:val="20"/>
        </w:rPr>
        <w:t>Table 1.5, p21</w:t>
      </w:r>
      <w:r>
        <w:rPr>
          <w:rFonts w:ascii="Arial Narrow" w:eastAsia="Times New Roman" w:hAnsi="Arial Narrow" w:cs="Arial"/>
          <w:snapToGrid w:val="0"/>
          <w:sz w:val="18"/>
          <w:szCs w:val="20"/>
        </w:rPr>
        <w:t>; and Figure 1.4, p17</w:t>
      </w:r>
      <w:r w:rsidRPr="00D819A1">
        <w:rPr>
          <w:rFonts w:ascii="Arial Narrow" w:eastAsia="Times New Roman" w:hAnsi="Arial Narrow" w:cs="Arial"/>
          <w:snapToGrid w:val="0"/>
          <w:sz w:val="18"/>
          <w:szCs w:val="20"/>
        </w:rPr>
        <w:t xml:space="preserve"> of the submission</w:t>
      </w:r>
      <w:r>
        <w:rPr>
          <w:rFonts w:ascii="Arial Narrow" w:eastAsia="Times New Roman" w:hAnsi="Arial Narrow" w:cs="Arial"/>
          <w:snapToGrid w:val="0"/>
          <w:sz w:val="18"/>
          <w:szCs w:val="20"/>
        </w:rPr>
        <w:t xml:space="preserve">; </w:t>
      </w:r>
      <w:r w:rsidRPr="00D819A1">
        <w:rPr>
          <w:rFonts w:ascii="Arial Narrow" w:eastAsia="Times New Roman" w:hAnsi="Arial Narrow" w:cs="Arial"/>
          <w:snapToGrid w:val="0"/>
          <w:sz w:val="18"/>
          <w:szCs w:val="20"/>
        </w:rPr>
        <w:t>Table 1, pp2-4</w:t>
      </w:r>
      <w:r>
        <w:rPr>
          <w:rFonts w:ascii="Arial Narrow" w:eastAsia="Times New Roman" w:hAnsi="Arial Narrow" w:cs="Arial"/>
          <w:snapToGrid w:val="0"/>
          <w:sz w:val="18"/>
          <w:szCs w:val="20"/>
        </w:rPr>
        <w:t>;</w:t>
      </w:r>
      <w:r w:rsidRPr="00D819A1">
        <w:rPr>
          <w:rFonts w:ascii="Arial Narrow" w:eastAsia="Times New Roman" w:hAnsi="Arial Narrow" w:cs="Arial"/>
          <w:snapToGrid w:val="0"/>
          <w:sz w:val="18"/>
          <w:szCs w:val="20"/>
        </w:rPr>
        <w:t xml:space="preserve"> </w:t>
      </w:r>
      <w:r>
        <w:rPr>
          <w:rFonts w:ascii="Arial Narrow" w:eastAsia="Times New Roman" w:hAnsi="Arial Narrow" w:cs="Arial"/>
          <w:snapToGrid w:val="0"/>
          <w:sz w:val="18"/>
          <w:szCs w:val="20"/>
        </w:rPr>
        <w:t xml:space="preserve">p26; and Figure 5, p22 of the </w:t>
      </w:r>
      <w:r w:rsidRPr="00D819A1">
        <w:rPr>
          <w:rFonts w:ascii="Arial Narrow" w:eastAsia="Times New Roman" w:hAnsi="Arial Narrow" w:cs="Arial"/>
          <w:snapToGrid w:val="0"/>
          <w:sz w:val="18"/>
          <w:szCs w:val="20"/>
        </w:rPr>
        <w:t>1766 Ratified PICO Confirmation, April 2024 PASC Meeting</w:t>
      </w:r>
      <w:r w:rsidRPr="00D819A1" w:rsidDel="00D819A1">
        <w:rPr>
          <w:rFonts w:ascii="Arial Narrow" w:eastAsia="Times New Roman" w:hAnsi="Arial Narrow" w:cs="Arial"/>
          <w:snapToGrid w:val="0"/>
          <w:sz w:val="18"/>
          <w:szCs w:val="20"/>
        </w:rPr>
        <w:t xml:space="preserve"> </w:t>
      </w:r>
    </w:p>
    <w:p w14:paraId="6B51622C" w14:textId="4AA2CEDA" w:rsidR="00201854" w:rsidRDefault="009D60C1" w:rsidP="008D59F2">
      <w:pPr>
        <w:keepNext/>
        <w:widowControl w:val="0"/>
        <w:spacing w:before="0" w:after="240"/>
        <w:contextualSpacing/>
        <w:rPr>
          <w:rFonts w:ascii="Arial Narrow" w:eastAsia="Times New Roman" w:hAnsi="Arial Narrow" w:cs="Arial"/>
          <w:snapToGrid w:val="0"/>
          <w:sz w:val="18"/>
          <w:szCs w:val="18"/>
        </w:rPr>
      </w:pPr>
      <w:r w:rsidRPr="2C973C4D">
        <w:rPr>
          <w:rFonts w:ascii="Arial Narrow" w:eastAsia="Times New Roman" w:hAnsi="Arial Narrow" w:cs="Arial"/>
          <w:snapToGrid w:val="0"/>
          <w:sz w:val="18"/>
          <w:szCs w:val="18"/>
        </w:rPr>
        <w:t xml:space="preserve">AI = </w:t>
      </w:r>
      <w:r w:rsidR="004F38BE" w:rsidRPr="2C973C4D">
        <w:rPr>
          <w:rFonts w:ascii="Arial Narrow" w:eastAsia="Times New Roman" w:hAnsi="Arial Narrow" w:cs="Arial"/>
          <w:snapToGrid w:val="0"/>
          <w:sz w:val="18"/>
          <w:szCs w:val="18"/>
        </w:rPr>
        <w:t>aromatase</w:t>
      </w:r>
      <w:r w:rsidRPr="2C973C4D">
        <w:rPr>
          <w:rFonts w:ascii="Arial Narrow" w:eastAsia="Times New Roman" w:hAnsi="Arial Narrow" w:cs="Arial"/>
          <w:snapToGrid w:val="0"/>
          <w:sz w:val="18"/>
          <w:szCs w:val="18"/>
        </w:rPr>
        <w:t xml:space="preserve"> inhibitor;</w:t>
      </w:r>
      <w:r w:rsidR="001D6362" w:rsidRPr="001D6362">
        <w:t xml:space="preserve"> </w:t>
      </w:r>
      <w:r w:rsidR="001D6362" w:rsidRPr="2C973C4D">
        <w:rPr>
          <w:rFonts w:ascii="Arial Narrow" w:eastAsia="Times New Roman" w:hAnsi="Arial Narrow" w:cs="Arial"/>
          <w:snapToGrid w:val="0"/>
          <w:sz w:val="18"/>
          <w:szCs w:val="18"/>
        </w:rPr>
        <w:t>AKT = serine/threonine protein kinase;</w:t>
      </w:r>
      <w:r w:rsidRPr="2C973C4D">
        <w:rPr>
          <w:rFonts w:ascii="Arial Narrow" w:eastAsia="Times New Roman" w:hAnsi="Arial Narrow" w:cs="Arial"/>
          <w:snapToGrid w:val="0"/>
          <w:sz w:val="18"/>
          <w:szCs w:val="18"/>
        </w:rPr>
        <w:t xml:space="preserve"> CDK4/6 = cyclin dependent kinase 4 and 6;</w:t>
      </w:r>
      <w:r w:rsidR="004F38BE" w:rsidRPr="2C973C4D">
        <w:rPr>
          <w:rFonts w:ascii="Arial Narrow" w:eastAsia="Times New Roman" w:hAnsi="Arial Narrow" w:cs="Arial"/>
          <w:snapToGrid w:val="0"/>
          <w:sz w:val="18"/>
          <w:szCs w:val="18"/>
        </w:rPr>
        <w:t xml:space="preserve"> ET = endocrine therapy; EVE = everolimus; EXE = exemestane;</w:t>
      </w:r>
      <w:r w:rsidRPr="2C973C4D">
        <w:rPr>
          <w:rFonts w:ascii="Arial Narrow" w:eastAsia="Times New Roman" w:hAnsi="Arial Narrow" w:cs="Arial"/>
          <w:snapToGrid w:val="0"/>
          <w:sz w:val="18"/>
          <w:szCs w:val="18"/>
        </w:rPr>
        <w:t xml:space="preserve"> </w:t>
      </w:r>
      <w:r w:rsidR="00A6144F" w:rsidRPr="2C973C4D">
        <w:rPr>
          <w:rFonts w:ascii="Arial Narrow" w:eastAsia="Times New Roman" w:hAnsi="Arial Narrow" w:cs="Arial"/>
          <w:snapToGrid w:val="0"/>
          <w:sz w:val="18"/>
          <w:szCs w:val="18"/>
        </w:rPr>
        <w:t xml:space="preserve">FULV = </w:t>
      </w:r>
      <w:proofErr w:type="spellStart"/>
      <w:r w:rsidR="00A6144F" w:rsidRPr="2C973C4D">
        <w:rPr>
          <w:rFonts w:ascii="Arial Narrow" w:eastAsia="Times New Roman" w:hAnsi="Arial Narrow" w:cs="Arial"/>
          <w:snapToGrid w:val="0"/>
          <w:sz w:val="18"/>
          <w:szCs w:val="18"/>
        </w:rPr>
        <w:t>fulvestrant</w:t>
      </w:r>
      <w:proofErr w:type="spellEnd"/>
      <w:r w:rsidR="00A6144F" w:rsidRPr="2C973C4D">
        <w:rPr>
          <w:rFonts w:ascii="Arial Narrow" w:eastAsia="Times New Roman" w:hAnsi="Arial Narrow" w:cs="Arial"/>
          <w:snapToGrid w:val="0"/>
          <w:sz w:val="18"/>
          <w:szCs w:val="18"/>
        </w:rPr>
        <w:t xml:space="preserve">; </w:t>
      </w:r>
      <w:r w:rsidRPr="2C973C4D">
        <w:rPr>
          <w:rFonts w:ascii="Arial Narrow" w:eastAsia="Times New Roman" w:hAnsi="Arial Narrow" w:cs="Arial"/>
          <w:snapToGrid w:val="0"/>
          <w:sz w:val="18"/>
          <w:szCs w:val="18"/>
        </w:rPr>
        <w:t xml:space="preserve">HER2- = human epidermal growth factor receptor 2 negative; HR+ = hormone receptor positive; </w:t>
      </w:r>
      <w:r w:rsidR="001974F1" w:rsidRPr="2C973C4D">
        <w:rPr>
          <w:rFonts w:ascii="Arial Narrow" w:eastAsia="Times New Roman" w:hAnsi="Arial Narrow" w:cs="Arial"/>
          <w:snapToGrid w:val="0"/>
          <w:sz w:val="18"/>
          <w:szCs w:val="18"/>
        </w:rPr>
        <w:t xml:space="preserve">NA=not applicable; </w:t>
      </w:r>
      <w:r w:rsidR="00F54F8B" w:rsidRPr="2C973C4D">
        <w:rPr>
          <w:rFonts w:ascii="Arial Narrow" w:eastAsia="Times New Roman" w:hAnsi="Arial Narrow" w:cs="Arial"/>
          <w:snapToGrid w:val="0"/>
          <w:sz w:val="18"/>
          <w:szCs w:val="18"/>
        </w:rPr>
        <w:t xml:space="preserve">NGS = Next Generation Sequencing; </w:t>
      </w:r>
      <w:r w:rsidR="001974F1" w:rsidRPr="2C973C4D">
        <w:rPr>
          <w:rFonts w:ascii="Arial Narrow" w:eastAsia="Times New Roman" w:hAnsi="Arial Narrow" w:cs="Arial"/>
          <w:snapToGrid w:val="0"/>
          <w:sz w:val="18"/>
          <w:szCs w:val="18"/>
        </w:rPr>
        <w:t>PASC</w:t>
      </w:r>
      <w:r w:rsidR="0053568F" w:rsidRPr="2C973C4D">
        <w:rPr>
          <w:rFonts w:ascii="Arial Narrow" w:eastAsia="Times New Roman" w:hAnsi="Arial Narrow" w:cs="Arial"/>
          <w:snapToGrid w:val="0"/>
          <w:sz w:val="18"/>
          <w:szCs w:val="18"/>
        </w:rPr>
        <w:t xml:space="preserve"> </w:t>
      </w:r>
      <w:r w:rsidR="001974F1" w:rsidRPr="2C973C4D">
        <w:rPr>
          <w:rFonts w:ascii="Arial Narrow" w:eastAsia="Times New Roman" w:hAnsi="Arial Narrow" w:cs="Arial"/>
          <w:snapToGrid w:val="0"/>
          <w:sz w:val="18"/>
          <w:szCs w:val="18"/>
        </w:rPr>
        <w:t>=</w:t>
      </w:r>
      <w:r w:rsidR="0053568F" w:rsidRPr="2C973C4D">
        <w:rPr>
          <w:rFonts w:ascii="Arial Narrow" w:eastAsia="Times New Roman" w:hAnsi="Arial Narrow" w:cs="Arial"/>
          <w:snapToGrid w:val="0"/>
          <w:sz w:val="18"/>
          <w:szCs w:val="18"/>
        </w:rPr>
        <w:t xml:space="preserve"> </w:t>
      </w:r>
      <w:r w:rsidR="001974F1" w:rsidRPr="2C973C4D">
        <w:rPr>
          <w:rFonts w:ascii="Arial Narrow" w:eastAsia="Times New Roman" w:hAnsi="Arial Narrow" w:cs="Arial"/>
          <w:snapToGrid w:val="0"/>
          <w:sz w:val="18"/>
          <w:szCs w:val="18"/>
        </w:rPr>
        <w:t>PICO Confirmation Advisory Sub-Committee</w:t>
      </w:r>
      <w:r w:rsidR="006F41D3" w:rsidRPr="2C973C4D">
        <w:rPr>
          <w:rFonts w:ascii="Arial Narrow" w:eastAsia="Times New Roman" w:hAnsi="Arial Narrow" w:cs="Arial"/>
          <w:snapToGrid w:val="0"/>
          <w:sz w:val="18"/>
          <w:szCs w:val="18"/>
        </w:rPr>
        <w:t>;</w:t>
      </w:r>
      <w:r w:rsidR="009B3342" w:rsidRPr="2C973C4D">
        <w:rPr>
          <w:rFonts w:ascii="Arial Narrow" w:eastAsia="Times New Roman" w:hAnsi="Arial Narrow" w:cs="Arial"/>
          <w:snapToGrid w:val="0"/>
          <w:sz w:val="18"/>
          <w:szCs w:val="18"/>
        </w:rPr>
        <w:t xml:space="preserve"> </w:t>
      </w:r>
      <w:r w:rsidR="007942D5" w:rsidRPr="2C973C4D">
        <w:rPr>
          <w:rFonts w:ascii="Arial Narrow" w:eastAsia="Times New Roman" w:hAnsi="Arial Narrow" w:cs="Arial"/>
          <w:snapToGrid w:val="0"/>
          <w:sz w:val="18"/>
          <w:szCs w:val="18"/>
        </w:rPr>
        <w:t>PICO = population, intervention, comparator, outcome</w:t>
      </w:r>
      <w:r w:rsidR="004375A8" w:rsidRPr="2C973C4D">
        <w:rPr>
          <w:rFonts w:ascii="Arial Narrow" w:eastAsia="Times New Roman" w:hAnsi="Arial Narrow" w:cs="Arial"/>
          <w:snapToGrid w:val="0"/>
          <w:sz w:val="18"/>
          <w:szCs w:val="18"/>
        </w:rPr>
        <w:t xml:space="preserve">; </w:t>
      </w:r>
      <w:r w:rsidR="009B3342" w:rsidRPr="2C973C4D">
        <w:rPr>
          <w:rFonts w:ascii="Arial Narrow" w:eastAsia="Times New Roman" w:hAnsi="Arial Narrow" w:cs="Arial"/>
          <w:snapToGrid w:val="0"/>
          <w:sz w:val="18"/>
          <w:szCs w:val="18"/>
        </w:rPr>
        <w:t xml:space="preserve">SOC = standard of care; </w:t>
      </w:r>
      <w:r w:rsidR="00F54F8B" w:rsidRPr="2C973C4D">
        <w:rPr>
          <w:rFonts w:ascii="Arial Narrow" w:eastAsia="Times New Roman" w:hAnsi="Arial Narrow" w:cs="Arial"/>
          <w:snapToGrid w:val="0"/>
          <w:sz w:val="18"/>
          <w:szCs w:val="18"/>
        </w:rPr>
        <w:t>1L = first line setting; 2L = second line setting</w:t>
      </w:r>
      <w:r w:rsidR="00A6144F" w:rsidRPr="2C973C4D">
        <w:rPr>
          <w:rFonts w:ascii="Arial Narrow" w:eastAsia="Times New Roman" w:hAnsi="Arial Narrow" w:cs="Arial"/>
          <w:snapToGrid w:val="0"/>
          <w:sz w:val="18"/>
          <w:szCs w:val="18"/>
        </w:rPr>
        <w:t>.</w:t>
      </w:r>
      <w:r w:rsidR="00D819A1" w:rsidRPr="2C973C4D" w:rsidDel="00D819A1">
        <w:rPr>
          <w:rFonts w:ascii="Arial Narrow" w:eastAsia="Times New Roman" w:hAnsi="Arial Narrow" w:cs="Arial"/>
          <w:snapToGrid w:val="0"/>
          <w:sz w:val="18"/>
          <w:szCs w:val="18"/>
        </w:rPr>
        <w:t xml:space="preserve"> </w:t>
      </w:r>
    </w:p>
    <w:p w14:paraId="42648A5B" w14:textId="214544F6" w:rsidR="00201854" w:rsidRPr="00201854" w:rsidRDefault="00201854"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r w:rsidRPr="00201854">
        <w:rPr>
          <w:rFonts w:ascii="Franklin Gothic Medium" w:hAnsi="Franklin Gothic Medium"/>
          <w:b w:val="0"/>
          <w:i w:val="0"/>
          <w:snapToGrid/>
          <w:color w:val="000000" w:themeColor="text1"/>
          <w:sz w:val="32"/>
          <w:szCs w:val="26"/>
        </w:rPr>
        <w:t>MSAC’s advice to the Minister</w:t>
      </w:r>
    </w:p>
    <w:p w14:paraId="6FA2B554" w14:textId="3B48046B" w:rsidR="00DD39AD" w:rsidRPr="00DD39AD" w:rsidRDefault="00D47613" w:rsidP="00DD39AD">
      <w:pPr>
        <w:rPr>
          <w:rFonts w:ascii="Franklin Gothic Book" w:hAnsi="Franklin Gothic Book"/>
          <w:sz w:val="22"/>
        </w:rPr>
      </w:pPr>
      <w:r w:rsidRPr="00F5289B">
        <w:rPr>
          <w:rFonts w:ascii="Franklin Gothic Book" w:hAnsi="Franklin Gothic Book"/>
          <w:sz w:val="22"/>
        </w:rPr>
        <w:t xml:space="preserve">After considering the strength of the available evidence in relation to comparative safety, clinical effectiveness, cost-effectiveness and total cost, MSAC </w:t>
      </w:r>
      <w:r w:rsidR="00DD39AD" w:rsidRPr="00DD39AD">
        <w:rPr>
          <w:rFonts w:ascii="Franklin Gothic Book" w:hAnsi="Franklin Gothic Book"/>
          <w:sz w:val="22"/>
        </w:rPr>
        <w:t>did not support public funding of next generation sequencing genetic testing to detect AKT</w:t>
      </w:r>
      <w:r w:rsidR="009723D9">
        <w:rPr>
          <w:rFonts w:ascii="Franklin Gothic Book" w:hAnsi="Franklin Gothic Book"/>
          <w:sz w:val="22"/>
        </w:rPr>
        <w:t xml:space="preserve"> </w:t>
      </w:r>
      <w:r w:rsidR="00DD39AD" w:rsidRPr="00DD39AD">
        <w:rPr>
          <w:rFonts w:ascii="Franklin Gothic Book" w:hAnsi="Franklin Gothic Book"/>
          <w:sz w:val="22"/>
        </w:rPr>
        <w:t>pathway alterations in patients with hormone receptor-positive (HR+), human epidermal growth factor receptor 2-negative (HER2–) locally advanced or metastatic breast cancer, to determine eligibility for Pharmaceutical Benefits Scheme (PBS) subsidised capivasertib treatment.</w:t>
      </w:r>
    </w:p>
    <w:p w14:paraId="0DE004A3" w14:textId="77777777" w:rsidR="00DD39AD" w:rsidRPr="00DD39AD" w:rsidRDefault="00DD39AD" w:rsidP="00DD39AD">
      <w:pPr>
        <w:rPr>
          <w:rFonts w:ascii="Franklin Gothic Book" w:hAnsi="Franklin Gothic Book"/>
          <w:sz w:val="22"/>
        </w:rPr>
      </w:pPr>
      <w:r w:rsidRPr="00DD39AD">
        <w:rPr>
          <w:rFonts w:ascii="Franklin Gothic Book" w:hAnsi="Franklin Gothic Book"/>
          <w:sz w:val="22"/>
        </w:rPr>
        <w:t xml:space="preserve">MSAC noted that the Pharmaceutical Benefits Advisory Committee (PBAC) did not recommend capivasertib for treatment of HR+ HER2- locally advanced or metastatic breast cancer with </w:t>
      </w:r>
      <w:r w:rsidRPr="00DD39AD">
        <w:rPr>
          <w:rFonts w:ascii="Franklin Gothic Book" w:hAnsi="Franklin Gothic Book"/>
          <w:sz w:val="22"/>
        </w:rPr>
        <w:lastRenderedPageBreak/>
        <w:t xml:space="preserve">evidence of AKT pathway alteration, following recurrence or progression on or after endocrine therapy in its November 2024 meeting. </w:t>
      </w:r>
    </w:p>
    <w:p w14:paraId="01DA396F" w14:textId="4753844F" w:rsidR="00D47613" w:rsidRPr="00F5289B" w:rsidRDefault="00DD39AD" w:rsidP="00D47613">
      <w:pPr>
        <w:rPr>
          <w:rFonts w:ascii="Franklin Gothic Book" w:hAnsi="Franklin Gothic Book"/>
          <w:color w:val="5B9BD5" w:themeColor="accent1"/>
          <w:sz w:val="22"/>
        </w:rPr>
      </w:pPr>
      <w:r w:rsidRPr="00DD39AD">
        <w:rPr>
          <w:rFonts w:ascii="Franklin Gothic Book" w:hAnsi="Franklin Gothic Book"/>
          <w:sz w:val="22"/>
        </w:rPr>
        <w:t xml:space="preserve">MSAC considered that the claim of </w:t>
      </w:r>
      <w:proofErr w:type="spellStart"/>
      <w:r w:rsidRPr="00DD39AD">
        <w:rPr>
          <w:rFonts w:ascii="Franklin Gothic Book" w:hAnsi="Franklin Gothic Book"/>
          <w:sz w:val="22"/>
        </w:rPr>
        <w:t>codependence</w:t>
      </w:r>
      <w:proofErr w:type="spellEnd"/>
      <w:r w:rsidRPr="00DD39AD">
        <w:rPr>
          <w:rFonts w:ascii="Franklin Gothic Book" w:hAnsi="Franklin Gothic Book"/>
          <w:sz w:val="22"/>
        </w:rPr>
        <w:t xml:space="preserve"> between testing for AKT pathway alterations and treatment benefit with capivasertib was not strong as patients appeared to have some progression-free survival benefit from capivasertib irrespective of whether their tumours had an AKT pathway alteration. MSAC considered that it might be inequitable to exclude these patients from access to treatment based on the current evidence. MSAC advised that further evidence would be required to confirm if AKT pathway alteration is a treatment effect modifier, and therefore to better support the clinical claim of </w:t>
      </w:r>
      <w:proofErr w:type="spellStart"/>
      <w:r w:rsidRPr="00DD39AD">
        <w:rPr>
          <w:rFonts w:ascii="Franklin Gothic Book" w:hAnsi="Franklin Gothic Book"/>
          <w:sz w:val="22"/>
        </w:rPr>
        <w:t>codependence</w:t>
      </w:r>
      <w:proofErr w:type="spellEnd"/>
      <w:r w:rsidR="000976AF">
        <w:rPr>
          <w:rFonts w:ascii="Franklin Gothic Book" w:hAnsi="Franklin Gothic Book"/>
          <w:sz w:val="22"/>
        </w:rPr>
        <w:t>.</w:t>
      </w:r>
    </w:p>
    <w:tbl>
      <w:tblPr>
        <w:tblStyle w:val="TableGrid"/>
        <w:tblW w:w="0" w:type="auto"/>
        <w:tblLook w:val="04A0" w:firstRow="1" w:lastRow="0" w:firstColumn="1" w:lastColumn="0" w:noHBand="0" w:noVBand="1"/>
        <w:tblDescription w:val="Consumer summary of MSAC consideration"/>
      </w:tblPr>
      <w:tblGrid>
        <w:gridCol w:w="9016"/>
      </w:tblGrid>
      <w:tr w:rsidR="00D47613" w:rsidRPr="00AF46D8" w14:paraId="35E9A400" w14:textId="77777777" w:rsidTr="002F0040">
        <w:trPr>
          <w:cnfStyle w:val="100000000000" w:firstRow="1" w:lastRow="0" w:firstColumn="0" w:lastColumn="0" w:oddVBand="0" w:evenVBand="0" w:oddHBand="0" w:evenHBand="0" w:firstRowFirstColumn="0" w:firstRowLastColumn="0" w:lastRowFirstColumn="0" w:lastRowLastColumn="0"/>
          <w:tblHeader/>
        </w:trPr>
        <w:tc>
          <w:tcPr>
            <w:tcW w:w="9016" w:type="dxa"/>
          </w:tcPr>
          <w:p w14:paraId="694FCFF4" w14:textId="77777777" w:rsidR="00D47613" w:rsidRPr="00F5289B" w:rsidRDefault="00D47613" w:rsidP="002F0040">
            <w:pPr>
              <w:pStyle w:val="Heading3"/>
              <w:rPr>
                <w:rFonts w:ascii="Franklin Gothic Book" w:eastAsiaTheme="minorHAnsi" w:hAnsi="Franklin Gothic Book" w:cstheme="minorBidi"/>
                <w:b/>
                <w:sz w:val="22"/>
                <w:szCs w:val="22"/>
              </w:rPr>
            </w:pPr>
            <w:r w:rsidRPr="00F5289B">
              <w:rPr>
                <w:rFonts w:ascii="Franklin Gothic Book" w:hAnsi="Franklin Gothic Book"/>
                <w:b/>
                <w:sz w:val="22"/>
                <w:szCs w:val="22"/>
              </w:rPr>
              <w:t>Consumer summary</w:t>
            </w:r>
          </w:p>
        </w:tc>
      </w:tr>
      <w:tr w:rsidR="00D47613" w:rsidRPr="00AF46D8" w14:paraId="53AFDD97" w14:textId="77777777" w:rsidTr="002F0040">
        <w:tc>
          <w:tcPr>
            <w:tcW w:w="9016" w:type="dxa"/>
          </w:tcPr>
          <w:p w14:paraId="5F455E1A" w14:textId="5633EEB4" w:rsidR="00D47613" w:rsidRPr="00F5289B" w:rsidRDefault="00D47613" w:rsidP="002F0040">
            <w:pPr>
              <w:rPr>
                <w:rFonts w:ascii="Franklin Gothic Book" w:hAnsi="Franklin Gothic Book"/>
                <w:sz w:val="22"/>
                <w:lang w:val="en-AU"/>
              </w:rPr>
            </w:pPr>
            <w:r w:rsidRPr="2C973C4D">
              <w:rPr>
                <w:rFonts w:ascii="Franklin Gothic Book" w:hAnsi="Franklin Gothic Book"/>
                <w:sz w:val="22"/>
                <w:lang w:val="en-AU"/>
              </w:rPr>
              <w:t>This is a co-dependent application from AstraZeneca Pty Ltd requesting Medicare Benefits Schedule (MBS) listing of testing for AKT</w:t>
            </w:r>
            <w:r w:rsidR="009723D9" w:rsidRPr="2C973C4D">
              <w:rPr>
                <w:rFonts w:ascii="Franklin Gothic Book" w:hAnsi="Franklin Gothic Book"/>
                <w:sz w:val="22"/>
                <w:lang w:val="en-AU"/>
              </w:rPr>
              <w:t xml:space="preserve"> </w:t>
            </w:r>
            <w:r w:rsidRPr="2C973C4D">
              <w:rPr>
                <w:rFonts w:ascii="Franklin Gothic Book" w:hAnsi="Franklin Gothic Book"/>
                <w:sz w:val="22"/>
                <w:lang w:val="en-AU"/>
              </w:rPr>
              <w:t>pathway alterations in people with hormone receptor-positive</w:t>
            </w:r>
            <w:r w:rsidR="004A2E15" w:rsidRPr="2C973C4D">
              <w:rPr>
                <w:rFonts w:ascii="Franklin Gothic Book" w:hAnsi="Franklin Gothic Book"/>
                <w:sz w:val="22"/>
                <w:lang w:val="en-AU"/>
              </w:rPr>
              <w:t xml:space="preserve"> (HR+)</w:t>
            </w:r>
            <w:r w:rsidRPr="2C973C4D">
              <w:rPr>
                <w:rFonts w:ascii="Franklin Gothic Book" w:hAnsi="Franklin Gothic Book"/>
                <w:sz w:val="22"/>
                <w:lang w:val="en-AU"/>
              </w:rPr>
              <w:t xml:space="preserve">, </w:t>
            </w:r>
            <w:r w:rsidR="004A2E15" w:rsidRPr="2C973C4D">
              <w:rPr>
                <w:rFonts w:ascii="Franklin Gothic Book" w:hAnsi="Franklin Gothic Book"/>
                <w:color w:val="000000" w:themeColor="text1"/>
                <w:sz w:val="22"/>
                <w:lang w:val="en-AU"/>
              </w:rPr>
              <w:t>human epidermal growth factor receptor 2-negative (HER2-)</w:t>
            </w:r>
            <w:r w:rsidRPr="2C973C4D">
              <w:rPr>
                <w:rFonts w:ascii="Franklin Gothic Book" w:hAnsi="Franklin Gothic Book"/>
                <w:sz w:val="22"/>
                <w:lang w:val="en-AU"/>
              </w:rPr>
              <w:t xml:space="preserve"> </w:t>
            </w:r>
            <w:r w:rsidR="00ED238B" w:rsidRPr="2C973C4D">
              <w:rPr>
                <w:rFonts w:ascii="Franklin Gothic Book" w:hAnsi="Franklin Gothic Book"/>
                <w:sz w:val="22"/>
                <w:lang w:val="en-AU"/>
              </w:rPr>
              <w:t xml:space="preserve">locally </w:t>
            </w:r>
            <w:r w:rsidRPr="2C973C4D">
              <w:rPr>
                <w:rFonts w:ascii="Franklin Gothic Book" w:hAnsi="Franklin Gothic Book"/>
                <w:sz w:val="22"/>
                <w:lang w:val="en-AU"/>
              </w:rPr>
              <w:t>advanced</w:t>
            </w:r>
            <w:r w:rsidR="00ED238B" w:rsidRPr="2C973C4D">
              <w:rPr>
                <w:rFonts w:ascii="Franklin Gothic Book" w:hAnsi="Franklin Gothic Book"/>
                <w:sz w:val="22"/>
                <w:lang w:val="en-AU"/>
              </w:rPr>
              <w:t xml:space="preserve"> (unresectable) or metastatic</w:t>
            </w:r>
            <w:r w:rsidRPr="2C973C4D">
              <w:rPr>
                <w:rFonts w:ascii="Franklin Gothic Book" w:hAnsi="Franklin Gothic Book"/>
                <w:sz w:val="22"/>
                <w:lang w:val="en-AU"/>
              </w:rPr>
              <w:t xml:space="preserve"> breast cancer so that they can access </w:t>
            </w:r>
            <w:r w:rsidR="002E4835" w:rsidRPr="2C973C4D">
              <w:rPr>
                <w:rFonts w:ascii="Franklin Gothic Book" w:hAnsi="Franklin Gothic Book"/>
                <w:sz w:val="22"/>
                <w:lang w:val="en-AU"/>
              </w:rPr>
              <w:t>the medication,</w:t>
            </w:r>
            <w:r w:rsidRPr="2C973C4D">
              <w:rPr>
                <w:rFonts w:ascii="Franklin Gothic Book" w:hAnsi="Franklin Gothic Book"/>
                <w:sz w:val="22"/>
                <w:lang w:val="en-AU"/>
              </w:rPr>
              <w:t xml:space="preserve"> capivasertib</w:t>
            </w:r>
            <w:r w:rsidR="002E4835" w:rsidRPr="2C973C4D">
              <w:rPr>
                <w:rFonts w:ascii="Franklin Gothic Book" w:hAnsi="Franklin Gothic Book"/>
                <w:sz w:val="22"/>
                <w:lang w:val="en-AU"/>
              </w:rPr>
              <w:t>,</w:t>
            </w:r>
            <w:r w:rsidRPr="2C973C4D">
              <w:rPr>
                <w:rFonts w:ascii="Franklin Gothic Book" w:hAnsi="Franklin Gothic Book"/>
                <w:sz w:val="22"/>
                <w:lang w:val="en-AU"/>
              </w:rPr>
              <w:t xml:space="preserve"> on the Pharmaceutical Benefits Scheme (PBS).</w:t>
            </w:r>
          </w:p>
          <w:p w14:paraId="0337FDF1" w14:textId="37F76F2A" w:rsidR="00D47613" w:rsidRPr="00F5289B" w:rsidRDefault="00EB5BCD" w:rsidP="002F0040">
            <w:pPr>
              <w:rPr>
                <w:rFonts w:ascii="Franklin Gothic Book" w:hAnsi="Franklin Gothic Book"/>
                <w:sz w:val="22"/>
                <w:lang w:val="en-AU"/>
              </w:rPr>
            </w:pPr>
            <w:r w:rsidRPr="2C973C4D">
              <w:rPr>
                <w:rFonts w:ascii="Franklin Gothic Book" w:hAnsi="Franklin Gothic Book"/>
                <w:sz w:val="22"/>
                <w:lang w:val="en-AU"/>
              </w:rPr>
              <w:t xml:space="preserve">Some people with breast cancer </w:t>
            </w:r>
            <w:r w:rsidR="000733A5" w:rsidRPr="2C973C4D">
              <w:rPr>
                <w:rFonts w:ascii="Franklin Gothic Book" w:hAnsi="Franklin Gothic Book"/>
                <w:sz w:val="22"/>
                <w:lang w:val="en-AU"/>
              </w:rPr>
              <w:t xml:space="preserve">might have alterations in the genetic code </w:t>
            </w:r>
            <w:r w:rsidR="00112890" w:rsidRPr="2C973C4D">
              <w:rPr>
                <w:rFonts w:ascii="Franklin Gothic Book" w:hAnsi="Franklin Gothic Book"/>
                <w:sz w:val="22"/>
                <w:lang w:val="en-AU"/>
              </w:rPr>
              <w:t xml:space="preserve">of their cancer cells </w:t>
            </w:r>
            <w:r w:rsidR="00855C28" w:rsidRPr="2C973C4D">
              <w:rPr>
                <w:rFonts w:ascii="Franklin Gothic Book" w:hAnsi="Franklin Gothic Book"/>
                <w:sz w:val="22"/>
                <w:lang w:val="en-AU"/>
              </w:rPr>
              <w:t>that can make</w:t>
            </w:r>
            <w:r w:rsidR="000733A5" w:rsidRPr="2C973C4D">
              <w:rPr>
                <w:rFonts w:ascii="Franklin Gothic Book" w:hAnsi="Franklin Gothic Book"/>
                <w:sz w:val="22"/>
                <w:lang w:val="en-AU"/>
              </w:rPr>
              <w:t xml:space="preserve"> the </w:t>
            </w:r>
            <w:r w:rsidR="00855C28" w:rsidRPr="2C973C4D">
              <w:rPr>
                <w:rFonts w:ascii="Franklin Gothic Book" w:hAnsi="Franklin Gothic Book"/>
                <w:sz w:val="22"/>
                <w:lang w:val="en-AU"/>
              </w:rPr>
              <w:t xml:space="preserve">cancer </w:t>
            </w:r>
            <w:r w:rsidR="008B084F" w:rsidRPr="2C973C4D">
              <w:rPr>
                <w:rFonts w:ascii="Franklin Gothic Book" w:hAnsi="Franklin Gothic Book"/>
                <w:sz w:val="22"/>
                <w:lang w:val="en-AU"/>
              </w:rPr>
              <w:t>more active.</w:t>
            </w:r>
            <w:r w:rsidR="00CA6865" w:rsidRPr="2C973C4D">
              <w:rPr>
                <w:rFonts w:ascii="Franklin Gothic Book" w:hAnsi="Franklin Gothic Book"/>
                <w:sz w:val="22"/>
                <w:lang w:val="en-AU"/>
              </w:rPr>
              <w:t xml:space="preserve"> One type of</w:t>
            </w:r>
            <w:r w:rsidR="00ED573E" w:rsidRPr="2C973C4D">
              <w:rPr>
                <w:rFonts w:ascii="Franklin Gothic Book" w:hAnsi="Franklin Gothic Book"/>
                <w:sz w:val="22"/>
                <w:lang w:val="en-AU"/>
              </w:rPr>
              <w:t xml:space="preserve"> genetic</w:t>
            </w:r>
            <w:r w:rsidR="00CA6865" w:rsidRPr="2C973C4D">
              <w:rPr>
                <w:rFonts w:ascii="Franklin Gothic Book" w:hAnsi="Franklin Gothic Book"/>
                <w:sz w:val="22"/>
                <w:lang w:val="en-AU"/>
              </w:rPr>
              <w:t xml:space="preserve"> alteration is </w:t>
            </w:r>
            <w:r w:rsidR="000733A5" w:rsidRPr="2C973C4D">
              <w:rPr>
                <w:rFonts w:ascii="Franklin Gothic Book" w:hAnsi="Franklin Gothic Book"/>
                <w:sz w:val="22"/>
                <w:lang w:val="en-AU"/>
              </w:rPr>
              <w:t>called</w:t>
            </w:r>
            <w:r w:rsidR="00D47613" w:rsidRPr="2C973C4D">
              <w:rPr>
                <w:rFonts w:ascii="Franklin Gothic Book" w:hAnsi="Franklin Gothic Book"/>
                <w:sz w:val="22"/>
                <w:lang w:val="en-AU"/>
              </w:rPr>
              <w:t xml:space="preserve"> </w:t>
            </w:r>
            <w:r w:rsidR="000733A5" w:rsidRPr="2C973C4D">
              <w:rPr>
                <w:rFonts w:ascii="Franklin Gothic Book" w:hAnsi="Franklin Gothic Book"/>
                <w:sz w:val="22"/>
                <w:lang w:val="en-AU"/>
              </w:rPr>
              <w:t>“</w:t>
            </w:r>
            <w:r w:rsidR="00D47613" w:rsidRPr="2C973C4D">
              <w:rPr>
                <w:rFonts w:ascii="Franklin Gothic Book" w:hAnsi="Franklin Gothic Book"/>
                <w:sz w:val="22"/>
                <w:lang w:val="en-AU"/>
              </w:rPr>
              <w:t xml:space="preserve">AKT pathway </w:t>
            </w:r>
            <w:r w:rsidR="008C2390" w:rsidRPr="2C973C4D">
              <w:rPr>
                <w:rFonts w:ascii="Franklin Gothic Book" w:hAnsi="Franklin Gothic Book"/>
                <w:sz w:val="22"/>
                <w:lang w:val="en-AU"/>
              </w:rPr>
              <w:t xml:space="preserve">alteration”. </w:t>
            </w:r>
            <w:r w:rsidR="00D47613" w:rsidRPr="2C973C4D">
              <w:rPr>
                <w:rFonts w:ascii="Franklin Gothic Book" w:hAnsi="Franklin Gothic Book"/>
                <w:sz w:val="22"/>
                <w:lang w:val="en-AU"/>
              </w:rPr>
              <w:t>AKT is a protein that promotes cell growth and survival</w:t>
            </w:r>
            <w:r w:rsidR="00400629" w:rsidRPr="2C973C4D">
              <w:rPr>
                <w:rFonts w:ascii="Franklin Gothic Book" w:hAnsi="Franklin Gothic Book"/>
                <w:sz w:val="22"/>
                <w:lang w:val="en-AU"/>
              </w:rPr>
              <w:t xml:space="preserve">. People with “AKT pathway </w:t>
            </w:r>
            <w:r w:rsidR="00D47613" w:rsidRPr="2C973C4D">
              <w:rPr>
                <w:rFonts w:ascii="Franklin Gothic Book" w:hAnsi="Franklin Gothic Book"/>
                <w:sz w:val="22"/>
                <w:lang w:val="en-AU"/>
              </w:rPr>
              <w:t>alterations</w:t>
            </w:r>
            <w:r w:rsidR="000733A5" w:rsidRPr="2C973C4D">
              <w:rPr>
                <w:rFonts w:ascii="Franklin Gothic Book" w:hAnsi="Franklin Gothic Book"/>
                <w:sz w:val="22"/>
                <w:lang w:val="en-AU"/>
              </w:rPr>
              <w:t xml:space="preserve">” </w:t>
            </w:r>
            <w:r w:rsidR="001A4125" w:rsidRPr="2C973C4D">
              <w:rPr>
                <w:rFonts w:ascii="Franklin Gothic Book" w:hAnsi="Franklin Gothic Book"/>
                <w:sz w:val="22"/>
                <w:lang w:val="en-AU"/>
              </w:rPr>
              <w:t xml:space="preserve">in their cancer cells </w:t>
            </w:r>
            <w:r w:rsidR="00757D5C" w:rsidRPr="2C973C4D">
              <w:rPr>
                <w:rFonts w:ascii="Franklin Gothic Book" w:hAnsi="Franklin Gothic Book"/>
                <w:sz w:val="22"/>
                <w:lang w:val="en-AU"/>
              </w:rPr>
              <w:t>may have</w:t>
            </w:r>
            <w:r w:rsidR="00A40278" w:rsidRPr="2C973C4D">
              <w:rPr>
                <w:rFonts w:ascii="Franklin Gothic Book" w:hAnsi="Franklin Gothic Book"/>
                <w:sz w:val="22"/>
                <w:lang w:val="en-AU"/>
              </w:rPr>
              <w:t xml:space="preserve"> increased activity of the AKT protein, which may lead to </w:t>
            </w:r>
            <w:r w:rsidR="005E39FF" w:rsidRPr="2C973C4D">
              <w:rPr>
                <w:rFonts w:ascii="Franklin Gothic Book" w:hAnsi="Franklin Gothic Book"/>
                <w:sz w:val="22"/>
                <w:lang w:val="en-AU"/>
              </w:rPr>
              <w:t>overactive cancer cells</w:t>
            </w:r>
            <w:r w:rsidR="00EA0CE8" w:rsidRPr="2C973C4D">
              <w:rPr>
                <w:rFonts w:ascii="Franklin Gothic Book" w:hAnsi="Franklin Gothic Book"/>
                <w:sz w:val="22"/>
                <w:lang w:val="en-AU"/>
              </w:rPr>
              <w:t xml:space="preserve">. The </w:t>
            </w:r>
            <w:r w:rsidR="00D47613" w:rsidRPr="2C973C4D">
              <w:rPr>
                <w:rFonts w:ascii="Franklin Gothic Book" w:hAnsi="Franklin Gothic Book"/>
                <w:sz w:val="22"/>
                <w:lang w:val="en-AU"/>
              </w:rPr>
              <w:t xml:space="preserve">alterations can be detected by genetic testing of 3 genes: </w:t>
            </w:r>
            <w:r w:rsidR="00D47613" w:rsidRPr="2C973C4D">
              <w:rPr>
                <w:rFonts w:ascii="Franklin Gothic Book" w:hAnsi="Franklin Gothic Book"/>
                <w:i/>
                <w:sz w:val="22"/>
                <w:lang w:val="en-AU"/>
              </w:rPr>
              <w:t>PIK3CA</w:t>
            </w:r>
            <w:r w:rsidR="00D47613" w:rsidRPr="2C973C4D">
              <w:rPr>
                <w:rFonts w:ascii="Franklin Gothic Book" w:hAnsi="Franklin Gothic Book"/>
                <w:sz w:val="22"/>
                <w:lang w:val="en-AU"/>
              </w:rPr>
              <w:t>,</w:t>
            </w:r>
            <w:r w:rsidR="00D47613" w:rsidRPr="2C973C4D">
              <w:rPr>
                <w:rFonts w:ascii="Franklin Gothic Book" w:hAnsi="Franklin Gothic Book"/>
                <w:i/>
                <w:sz w:val="22"/>
                <w:lang w:val="en-AU"/>
              </w:rPr>
              <w:t xml:space="preserve"> AKT1 </w:t>
            </w:r>
            <w:r w:rsidR="00D47613" w:rsidRPr="2C973C4D">
              <w:rPr>
                <w:rFonts w:ascii="Franklin Gothic Book" w:hAnsi="Franklin Gothic Book"/>
                <w:sz w:val="22"/>
                <w:lang w:val="en-AU"/>
              </w:rPr>
              <w:t>and</w:t>
            </w:r>
            <w:r w:rsidR="00D47613" w:rsidRPr="2C973C4D">
              <w:rPr>
                <w:rFonts w:ascii="Franklin Gothic Book" w:hAnsi="Franklin Gothic Book"/>
                <w:i/>
                <w:sz w:val="22"/>
                <w:lang w:val="en-AU"/>
              </w:rPr>
              <w:t xml:space="preserve"> PTEN</w:t>
            </w:r>
            <w:r w:rsidR="00D47613" w:rsidRPr="2C973C4D">
              <w:rPr>
                <w:rFonts w:ascii="Franklin Gothic Book" w:hAnsi="Franklin Gothic Book"/>
                <w:sz w:val="22"/>
                <w:lang w:val="en-AU"/>
              </w:rPr>
              <w:t>. Capivasertib is</w:t>
            </w:r>
            <w:r w:rsidR="00217843" w:rsidRPr="2C973C4D">
              <w:rPr>
                <w:rFonts w:ascii="Franklin Gothic Book" w:hAnsi="Franklin Gothic Book"/>
                <w:sz w:val="22"/>
                <w:lang w:val="en-AU"/>
              </w:rPr>
              <w:t xml:space="preserve"> a medication </w:t>
            </w:r>
            <w:r w:rsidR="00D47613" w:rsidRPr="2C973C4D">
              <w:rPr>
                <w:rFonts w:ascii="Franklin Gothic Book" w:hAnsi="Franklin Gothic Book"/>
                <w:sz w:val="22"/>
                <w:lang w:val="en-AU"/>
              </w:rPr>
              <w:t xml:space="preserve">that blocks the activity of the AKT </w:t>
            </w:r>
            <w:proofErr w:type="gramStart"/>
            <w:r w:rsidR="00D47613" w:rsidRPr="2C973C4D">
              <w:rPr>
                <w:rFonts w:ascii="Franklin Gothic Book" w:hAnsi="Franklin Gothic Book"/>
                <w:sz w:val="22"/>
                <w:lang w:val="en-AU"/>
              </w:rPr>
              <w:t>protein, and</w:t>
            </w:r>
            <w:proofErr w:type="gramEnd"/>
            <w:r w:rsidR="00D47613" w:rsidRPr="2C973C4D">
              <w:rPr>
                <w:rFonts w:ascii="Franklin Gothic Book" w:hAnsi="Franklin Gothic Book"/>
                <w:sz w:val="22"/>
                <w:lang w:val="en-AU"/>
              </w:rPr>
              <w:t xml:space="preserve"> is </w:t>
            </w:r>
            <w:r w:rsidR="00F23C06" w:rsidRPr="2C973C4D">
              <w:rPr>
                <w:rFonts w:ascii="Franklin Gothic Book" w:hAnsi="Franklin Gothic Book"/>
                <w:sz w:val="22"/>
                <w:lang w:val="en-AU"/>
              </w:rPr>
              <w:t xml:space="preserve">thought </w:t>
            </w:r>
            <w:r w:rsidR="00D47613" w:rsidRPr="2C973C4D">
              <w:rPr>
                <w:rFonts w:ascii="Franklin Gothic Book" w:hAnsi="Franklin Gothic Book"/>
                <w:sz w:val="22"/>
                <w:lang w:val="en-AU"/>
              </w:rPr>
              <w:t>to help patients</w:t>
            </w:r>
            <w:r w:rsidR="00193EE9" w:rsidRPr="2C973C4D">
              <w:rPr>
                <w:rFonts w:ascii="Franklin Gothic Book" w:hAnsi="Franklin Gothic Book"/>
                <w:sz w:val="22"/>
                <w:lang w:val="en-AU"/>
              </w:rPr>
              <w:t xml:space="preserve"> with breast cancer</w:t>
            </w:r>
            <w:r w:rsidR="00D47613" w:rsidRPr="2C973C4D">
              <w:rPr>
                <w:rFonts w:ascii="Franklin Gothic Book" w:hAnsi="Franklin Gothic Book"/>
                <w:sz w:val="22"/>
                <w:lang w:val="en-AU"/>
              </w:rPr>
              <w:t xml:space="preserve"> </w:t>
            </w:r>
            <w:r w:rsidR="0082334C" w:rsidRPr="2C973C4D">
              <w:rPr>
                <w:rFonts w:ascii="Franklin Gothic Book" w:hAnsi="Franklin Gothic Book"/>
                <w:sz w:val="22"/>
                <w:lang w:val="en-AU"/>
              </w:rPr>
              <w:t>who have alterations</w:t>
            </w:r>
            <w:r w:rsidR="00D47613" w:rsidRPr="2C973C4D">
              <w:rPr>
                <w:rFonts w:ascii="Franklin Gothic Book" w:hAnsi="Franklin Gothic Book"/>
                <w:sz w:val="22"/>
                <w:lang w:val="en-AU"/>
              </w:rPr>
              <w:t xml:space="preserve"> in their AKT pathway genes. In this </w:t>
            </w:r>
            <w:r w:rsidR="004F53F3" w:rsidRPr="2C973C4D">
              <w:rPr>
                <w:rFonts w:ascii="Franklin Gothic Book" w:hAnsi="Franklin Gothic Book"/>
                <w:sz w:val="22"/>
                <w:lang w:val="en-AU"/>
              </w:rPr>
              <w:t>application</w:t>
            </w:r>
            <w:r w:rsidR="00D47613" w:rsidRPr="2C973C4D">
              <w:rPr>
                <w:rFonts w:ascii="Franklin Gothic Book" w:hAnsi="Franklin Gothic Book"/>
                <w:sz w:val="22"/>
                <w:lang w:val="en-AU"/>
              </w:rPr>
              <w:t>, capivasertib is proposed to be used with another drug</w:t>
            </w:r>
            <w:r w:rsidR="00C52F96" w:rsidRPr="2C973C4D">
              <w:rPr>
                <w:rFonts w:ascii="Franklin Gothic Book" w:hAnsi="Franklin Gothic Book"/>
                <w:sz w:val="22"/>
                <w:lang w:val="en-AU"/>
              </w:rPr>
              <w:t xml:space="preserve"> called</w:t>
            </w:r>
            <w:r w:rsidR="00D47613" w:rsidRPr="2C973C4D">
              <w:rPr>
                <w:rFonts w:ascii="Franklin Gothic Book" w:hAnsi="Franklin Gothic Book"/>
                <w:sz w:val="22"/>
                <w:lang w:val="en-AU"/>
              </w:rPr>
              <w:t xml:space="preserve"> </w:t>
            </w:r>
            <w:proofErr w:type="spellStart"/>
            <w:r w:rsidR="00D47613" w:rsidRPr="2C973C4D">
              <w:rPr>
                <w:rFonts w:ascii="Franklin Gothic Book" w:hAnsi="Franklin Gothic Book"/>
                <w:sz w:val="22"/>
                <w:lang w:val="en-AU"/>
              </w:rPr>
              <w:t>fulvestr</w:t>
            </w:r>
            <w:r w:rsidR="00F23C06" w:rsidRPr="2C973C4D">
              <w:rPr>
                <w:rFonts w:ascii="Franklin Gothic Book" w:hAnsi="Franklin Gothic Book"/>
                <w:sz w:val="22"/>
                <w:lang w:val="en-AU"/>
              </w:rPr>
              <w:t>a</w:t>
            </w:r>
            <w:r w:rsidR="00D47613" w:rsidRPr="2C973C4D">
              <w:rPr>
                <w:rFonts w:ascii="Franklin Gothic Book" w:hAnsi="Franklin Gothic Book"/>
                <w:sz w:val="22"/>
                <w:lang w:val="en-AU"/>
              </w:rPr>
              <w:t>nt</w:t>
            </w:r>
            <w:proofErr w:type="spellEnd"/>
            <w:r w:rsidR="00D47613" w:rsidRPr="2C973C4D">
              <w:rPr>
                <w:rFonts w:ascii="Franklin Gothic Book" w:hAnsi="Franklin Gothic Book"/>
                <w:sz w:val="22"/>
                <w:lang w:val="en-AU"/>
              </w:rPr>
              <w:t>.</w:t>
            </w:r>
          </w:p>
          <w:p w14:paraId="1615A8A5" w14:textId="2D08AD03" w:rsidR="00D47613" w:rsidRPr="00F5289B" w:rsidRDefault="00296893" w:rsidP="002F0040">
            <w:pPr>
              <w:rPr>
                <w:rFonts w:ascii="Franklin Gothic Book" w:hAnsi="Franklin Gothic Book"/>
                <w:sz w:val="22"/>
              </w:rPr>
            </w:pPr>
            <w:r>
              <w:rPr>
                <w:rFonts w:ascii="Franklin Gothic Book" w:hAnsi="Franklin Gothic Book"/>
                <w:sz w:val="22"/>
              </w:rPr>
              <w:t>HR+</w:t>
            </w:r>
            <w:r w:rsidR="00C32195">
              <w:rPr>
                <w:rFonts w:ascii="Franklin Gothic Book" w:hAnsi="Franklin Gothic Book"/>
                <w:sz w:val="22"/>
              </w:rPr>
              <w:t>/</w:t>
            </w:r>
            <w:r>
              <w:rPr>
                <w:rFonts w:ascii="Franklin Gothic Book" w:hAnsi="Franklin Gothic Book"/>
                <w:sz w:val="22"/>
              </w:rPr>
              <w:t>HER2-</w:t>
            </w:r>
            <w:r w:rsidR="00D47613" w:rsidRPr="00F5289B">
              <w:rPr>
                <w:rFonts w:ascii="Franklin Gothic Book" w:hAnsi="Franklin Gothic Book"/>
                <w:sz w:val="22"/>
              </w:rPr>
              <w:t xml:space="preserve"> advanced breast cancer affects about 17,000 people in Australia each year. Outcomes for these patients are often poor, so there is a need for better treatments for this group of patients.</w:t>
            </w:r>
          </w:p>
          <w:p w14:paraId="57F38E38" w14:textId="734B973C" w:rsidR="00D47613" w:rsidRPr="00F5289B" w:rsidRDefault="00D47613" w:rsidP="002F0040">
            <w:pPr>
              <w:rPr>
                <w:rFonts w:ascii="Franklin Gothic Book" w:hAnsi="Franklin Gothic Book"/>
                <w:sz w:val="22"/>
                <w:lang w:val="en-AU"/>
              </w:rPr>
            </w:pPr>
            <w:r w:rsidRPr="2C973C4D">
              <w:rPr>
                <w:rFonts w:ascii="Franklin Gothic Book" w:hAnsi="Franklin Gothic Book"/>
                <w:sz w:val="22"/>
                <w:lang w:val="en-AU"/>
              </w:rPr>
              <w:t>MSAC considered the genetic testing to be safe</w:t>
            </w:r>
            <w:r w:rsidR="00BC32B8" w:rsidRPr="2C973C4D">
              <w:rPr>
                <w:rFonts w:ascii="Franklin Gothic Book" w:hAnsi="Franklin Gothic Book"/>
                <w:sz w:val="22"/>
                <w:lang w:val="en-AU"/>
              </w:rPr>
              <w:t>.</w:t>
            </w:r>
            <w:r w:rsidRPr="2C973C4D">
              <w:rPr>
                <w:rFonts w:ascii="Franklin Gothic Book" w:hAnsi="Franklin Gothic Book"/>
                <w:sz w:val="22"/>
                <w:lang w:val="en-AU"/>
              </w:rPr>
              <w:t xml:space="preserve"> However, MSAC was concerned that </w:t>
            </w:r>
            <w:r w:rsidR="00432F43" w:rsidRPr="2C973C4D">
              <w:rPr>
                <w:rFonts w:ascii="Franklin Gothic Book" w:hAnsi="Franklin Gothic Book"/>
                <w:sz w:val="22"/>
                <w:lang w:val="en-AU"/>
              </w:rPr>
              <w:t>there</w:t>
            </w:r>
            <w:r w:rsidRPr="2C973C4D">
              <w:rPr>
                <w:rFonts w:ascii="Franklin Gothic Book" w:hAnsi="Franklin Gothic Book"/>
                <w:sz w:val="22"/>
                <w:lang w:val="en-AU"/>
              </w:rPr>
              <w:t xml:space="preserve"> was not </w:t>
            </w:r>
            <w:r w:rsidR="00432F43" w:rsidRPr="2C973C4D">
              <w:rPr>
                <w:rFonts w:ascii="Franklin Gothic Book" w:hAnsi="Franklin Gothic Book"/>
                <w:sz w:val="22"/>
                <w:lang w:val="en-AU"/>
              </w:rPr>
              <w:t xml:space="preserve">enough </w:t>
            </w:r>
            <w:r w:rsidR="008A109F" w:rsidRPr="2C973C4D">
              <w:rPr>
                <w:rFonts w:ascii="Franklin Gothic Book" w:hAnsi="Franklin Gothic Book"/>
                <w:sz w:val="22"/>
                <w:lang w:val="en-AU"/>
              </w:rPr>
              <w:t>evidence</w:t>
            </w:r>
            <w:r w:rsidR="00470619" w:rsidRPr="2C973C4D">
              <w:rPr>
                <w:rFonts w:ascii="Franklin Gothic Book" w:hAnsi="Franklin Gothic Book"/>
                <w:sz w:val="22"/>
                <w:lang w:val="en-AU"/>
              </w:rPr>
              <w:t xml:space="preserve"> </w:t>
            </w:r>
            <w:r w:rsidR="001E4CFC" w:rsidRPr="2C973C4D">
              <w:rPr>
                <w:rFonts w:ascii="Franklin Gothic Book" w:hAnsi="Franklin Gothic Book"/>
                <w:sz w:val="22"/>
                <w:lang w:val="en-AU"/>
              </w:rPr>
              <w:t xml:space="preserve">to show </w:t>
            </w:r>
            <w:r w:rsidR="00470619" w:rsidRPr="2C973C4D">
              <w:rPr>
                <w:rFonts w:ascii="Franklin Gothic Book" w:hAnsi="Franklin Gothic Book"/>
                <w:sz w:val="22"/>
                <w:lang w:val="en-AU"/>
              </w:rPr>
              <w:t xml:space="preserve">that </w:t>
            </w:r>
            <w:r w:rsidR="00251DAC" w:rsidRPr="2C973C4D">
              <w:rPr>
                <w:rFonts w:ascii="Franklin Gothic Book" w:hAnsi="Franklin Gothic Book"/>
                <w:sz w:val="22"/>
                <w:lang w:val="en-AU"/>
              </w:rPr>
              <w:t>people</w:t>
            </w:r>
            <w:r w:rsidR="00470619" w:rsidRPr="2C973C4D">
              <w:rPr>
                <w:rFonts w:ascii="Franklin Gothic Book" w:hAnsi="Franklin Gothic Book"/>
                <w:sz w:val="22"/>
                <w:lang w:val="en-AU"/>
              </w:rPr>
              <w:t xml:space="preserve"> </w:t>
            </w:r>
            <w:r w:rsidR="00432F43" w:rsidRPr="2C973C4D">
              <w:rPr>
                <w:rFonts w:ascii="Franklin Gothic Book" w:hAnsi="Franklin Gothic Book"/>
                <w:sz w:val="22"/>
                <w:lang w:val="en-AU"/>
              </w:rPr>
              <w:t>with</w:t>
            </w:r>
            <w:r w:rsidR="00470619" w:rsidRPr="2C973C4D">
              <w:rPr>
                <w:rFonts w:ascii="Franklin Gothic Book" w:hAnsi="Franklin Gothic Book"/>
                <w:sz w:val="22"/>
                <w:lang w:val="en-AU"/>
              </w:rPr>
              <w:t xml:space="preserve"> an AKT pathway alteration </w:t>
            </w:r>
            <w:r w:rsidR="00251DAC" w:rsidRPr="2C973C4D">
              <w:rPr>
                <w:rFonts w:ascii="Franklin Gothic Book" w:hAnsi="Franklin Gothic Book"/>
                <w:sz w:val="22"/>
                <w:lang w:val="en-AU"/>
              </w:rPr>
              <w:t>will benefit more from capivasertib than people who don’t have the AKT pathway alteration</w:t>
            </w:r>
            <w:r w:rsidRPr="2C973C4D">
              <w:rPr>
                <w:rFonts w:ascii="Franklin Gothic Book" w:hAnsi="Franklin Gothic Book"/>
                <w:sz w:val="22"/>
                <w:lang w:val="en-AU"/>
              </w:rPr>
              <w:t xml:space="preserve">. MSAC </w:t>
            </w:r>
            <w:r w:rsidR="00284DAE" w:rsidRPr="2C973C4D">
              <w:rPr>
                <w:rFonts w:ascii="Franklin Gothic Book" w:hAnsi="Franklin Gothic Book"/>
                <w:sz w:val="22"/>
                <w:lang w:val="en-AU"/>
              </w:rPr>
              <w:t>considered</w:t>
            </w:r>
            <w:r w:rsidRPr="2C973C4D">
              <w:rPr>
                <w:rFonts w:ascii="Franklin Gothic Book" w:hAnsi="Franklin Gothic Book"/>
                <w:sz w:val="22"/>
                <w:lang w:val="en-AU"/>
              </w:rPr>
              <w:t xml:space="preserve"> that there was some evidence to support</w:t>
            </w:r>
            <w:r w:rsidR="008A109F" w:rsidRPr="2C973C4D">
              <w:rPr>
                <w:rFonts w:ascii="Franklin Gothic Book" w:hAnsi="Franklin Gothic Book"/>
                <w:sz w:val="22"/>
                <w:lang w:val="en-AU"/>
              </w:rPr>
              <w:t xml:space="preserve"> the claim</w:t>
            </w:r>
            <w:r w:rsidRPr="2C973C4D">
              <w:rPr>
                <w:rFonts w:ascii="Franklin Gothic Book" w:hAnsi="Franklin Gothic Book"/>
                <w:sz w:val="22"/>
                <w:lang w:val="en-AU"/>
              </w:rPr>
              <w:t xml:space="preserve"> that patients with AKT pathway alterations had better progression-free survival </w:t>
            </w:r>
            <w:r w:rsidR="00284DAE" w:rsidRPr="2C973C4D">
              <w:rPr>
                <w:rFonts w:ascii="Franklin Gothic Book" w:hAnsi="Franklin Gothic Book"/>
                <w:sz w:val="22"/>
                <w:lang w:val="en-AU"/>
              </w:rPr>
              <w:t>when they were treated with</w:t>
            </w:r>
            <w:r w:rsidRPr="2C973C4D">
              <w:rPr>
                <w:rFonts w:ascii="Franklin Gothic Book" w:hAnsi="Franklin Gothic Book"/>
                <w:sz w:val="22"/>
                <w:lang w:val="en-AU"/>
              </w:rPr>
              <w:t xml:space="preserve"> </w:t>
            </w:r>
            <w:proofErr w:type="spellStart"/>
            <w:r w:rsidRPr="2C973C4D">
              <w:rPr>
                <w:rFonts w:ascii="Franklin Gothic Book" w:hAnsi="Franklin Gothic Book"/>
                <w:sz w:val="22"/>
                <w:lang w:val="en-AU"/>
              </w:rPr>
              <w:t>capivasertib+fulvestr</w:t>
            </w:r>
            <w:r w:rsidR="00470619" w:rsidRPr="2C973C4D">
              <w:rPr>
                <w:rFonts w:ascii="Franklin Gothic Book" w:hAnsi="Franklin Gothic Book"/>
                <w:sz w:val="22"/>
                <w:lang w:val="en-AU"/>
              </w:rPr>
              <w:t>a</w:t>
            </w:r>
            <w:r w:rsidRPr="2C973C4D">
              <w:rPr>
                <w:rFonts w:ascii="Franklin Gothic Book" w:hAnsi="Franklin Gothic Book"/>
                <w:sz w:val="22"/>
                <w:lang w:val="en-AU"/>
              </w:rPr>
              <w:t>nt</w:t>
            </w:r>
            <w:proofErr w:type="spellEnd"/>
            <w:r w:rsidRPr="2C973C4D">
              <w:rPr>
                <w:rFonts w:ascii="Franklin Gothic Book" w:hAnsi="Franklin Gothic Book"/>
                <w:sz w:val="22"/>
                <w:lang w:val="en-AU"/>
              </w:rPr>
              <w:t xml:space="preserve"> treatment</w:t>
            </w:r>
            <w:r w:rsidR="00284DAE" w:rsidRPr="2C973C4D">
              <w:rPr>
                <w:rFonts w:ascii="Franklin Gothic Book" w:hAnsi="Franklin Gothic Book"/>
                <w:sz w:val="22"/>
                <w:lang w:val="en-AU"/>
              </w:rPr>
              <w:t>,</w:t>
            </w:r>
            <w:r w:rsidRPr="2C973C4D">
              <w:rPr>
                <w:rFonts w:ascii="Franklin Gothic Book" w:hAnsi="Franklin Gothic Book"/>
                <w:sz w:val="22"/>
                <w:lang w:val="en-AU"/>
              </w:rPr>
              <w:t xml:space="preserve"> compared to </w:t>
            </w:r>
            <w:r w:rsidR="00284DAE" w:rsidRPr="2C973C4D">
              <w:rPr>
                <w:rFonts w:ascii="Franklin Gothic Book" w:hAnsi="Franklin Gothic Book"/>
                <w:sz w:val="22"/>
                <w:lang w:val="en-AU"/>
              </w:rPr>
              <w:t xml:space="preserve">when they were treated with </w:t>
            </w:r>
            <w:proofErr w:type="spellStart"/>
            <w:r w:rsidRPr="2C973C4D">
              <w:rPr>
                <w:rFonts w:ascii="Franklin Gothic Book" w:hAnsi="Franklin Gothic Book"/>
                <w:sz w:val="22"/>
                <w:lang w:val="en-AU"/>
              </w:rPr>
              <w:t>fulvestr</w:t>
            </w:r>
            <w:r w:rsidR="00470619" w:rsidRPr="2C973C4D">
              <w:rPr>
                <w:rFonts w:ascii="Franklin Gothic Book" w:hAnsi="Franklin Gothic Book"/>
                <w:sz w:val="22"/>
                <w:lang w:val="en-AU"/>
              </w:rPr>
              <w:t>a</w:t>
            </w:r>
            <w:r w:rsidRPr="2C973C4D">
              <w:rPr>
                <w:rFonts w:ascii="Franklin Gothic Book" w:hAnsi="Franklin Gothic Book"/>
                <w:sz w:val="22"/>
                <w:lang w:val="en-AU"/>
              </w:rPr>
              <w:t>nt</w:t>
            </w:r>
            <w:proofErr w:type="spellEnd"/>
            <w:r w:rsidRPr="2C973C4D">
              <w:rPr>
                <w:rFonts w:ascii="Franklin Gothic Book" w:hAnsi="Franklin Gothic Book"/>
                <w:sz w:val="22"/>
                <w:lang w:val="en-AU"/>
              </w:rPr>
              <w:t xml:space="preserve"> alone. </w:t>
            </w:r>
            <w:r w:rsidR="00284DAE" w:rsidRPr="2C973C4D">
              <w:rPr>
                <w:rFonts w:ascii="Franklin Gothic Book" w:hAnsi="Franklin Gothic Book"/>
                <w:sz w:val="22"/>
                <w:lang w:val="en-AU"/>
              </w:rPr>
              <w:t>However,</w:t>
            </w:r>
            <w:r w:rsidRPr="2C973C4D">
              <w:rPr>
                <w:rFonts w:ascii="Franklin Gothic Book" w:hAnsi="Franklin Gothic Book"/>
                <w:sz w:val="22"/>
                <w:lang w:val="en-AU"/>
              </w:rPr>
              <w:t xml:space="preserve"> it also appeared that some patients </w:t>
            </w:r>
            <w:r w:rsidR="00284DAE" w:rsidRPr="2C973C4D">
              <w:rPr>
                <w:rFonts w:ascii="Franklin Gothic Book" w:hAnsi="Franklin Gothic Book"/>
                <w:sz w:val="22"/>
                <w:lang w:val="en-AU"/>
              </w:rPr>
              <w:t>who did not have</w:t>
            </w:r>
            <w:r w:rsidRPr="2C973C4D">
              <w:rPr>
                <w:rFonts w:ascii="Franklin Gothic Book" w:hAnsi="Franklin Gothic Book"/>
                <w:sz w:val="22"/>
                <w:lang w:val="en-AU"/>
              </w:rPr>
              <w:t xml:space="preserve"> AKT pathway alterations had better progression-free survival after </w:t>
            </w:r>
            <w:proofErr w:type="spellStart"/>
            <w:r w:rsidRPr="2C973C4D">
              <w:rPr>
                <w:rFonts w:ascii="Franklin Gothic Book" w:hAnsi="Franklin Gothic Book"/>
                <w:sz w:val="22"/>
                <w:lang w:val="en-AU"/>
              </w:rPr>
              <w:t>capivasertib+fulvestr</w:t>
            </w:r>
            <w:r w:rsidR="00470619" w:rsidRPr="2C973C4D">
              <w:rPr>
                <w:rFonts w:ascii="Franklin Gothic Book" w:hAnsi="Franklin Gothic Book"/>
                <w:sz w:val="22"/>
                <w:lang w:val="en-AU"/>
              </w:rPr>
              <w:t>a</w:t>
            </w:r>
            <w:r w:rsidRPr="2C973C4D">
              <w:rPr>
                <w:rFonts w:ascii="Franklin Gothic Book" w:hAnsi="Franklin Gothic Book"/>
                <w:sz w:val="22"/>
                <w:lang w:val="en-AU"/>
              </w:rPr>
              <w:t>nt</w:t>
            </w:r>
            <w:proofErr w:type="spellEnd"/>
            <w:r w:rsidRPr="2C973C4D">
              <w:rPr>
                <w:rFonts w:ascii="Franklin Gothic Book" w:hAnsi="Franklin Gothic Book"/>
                <w:sz w:val="22"/>
                <w:lang w:val="en-AU"/>
              </w:rPr>
              <w:t xml:space="preserve"> treatment. This meant that MSAC was not certain if it was reasonable to limit </w:t>
            </w:r>
            <w:proofErr w:type="spellStart"/>
            <w:r w:rsidRPr="2C973C4D">
              <w:rPr>
                <w:rFonts w:ascii="Franklin Gothic Book" w:hAnsi="Franklin Gothic Book"/>
                <w:sz w:val="22"/>
                <w:lang w:val="en-AU"/>
              </w:rPr>
              <w:t>capivasertib+fulvestr</w:t>
            </w:r>
            <w:r w:rsidR="00470619" w:rsidRPr="2C973C4D">
              <w:rPr>
                <w:rFonts w:ascii="Franklin Gothic Book" w:hAnsi="Franklin Gothic Book"/>
                <w:sz w:val="22"/>
                <w:lang w:val="en-AU"/>
              </w:rPr>
              <w:t>a</w:t>
            </w:r>
            <w:r w:rsidRPr="2C973C4D">
              <w:rPr>
                <w:rFonts w:ascii="Franklin Gothic Book" w:hAnsi="Franklin Gothic Book"/>
                <w:sz w:val="22"/>
                <w:lang w:val="en-AU"/>
              </w:rPr>
              <w:t>nt</w:t>
            </w:r>
            <w:proofErr w:type="spellEnd"/>
            <w:r w:rsidRPr="2C973C4D">
              <w:rPr>
                <w:rFonts w:ascii="Franklin Gothic Book" w:hAnsi="Franklin Gothic Book"/>
                <w:sz w:val="22"/>
                <w:lang w:val="en-AU"/>
              </w:rPr>
              <w:t xml:space="preserve"> treatment to </w:t>
            </w:r>
            <w:r w:rsidR="00602E47" w:rsidRPr="2C973C4D">
              <w:rPr>
                <w:rFonts w:ascii="Franklin Gothic Book" w:hAnsi="Franklin Gothic Book"/>
                <w:sz w:val="22"/>
                <w:lang w:val="en-AU"/>
              </w:rPr>
              <w:t>only</w:t>
            </w:r>
            <w:r w:rsidRPr="2C973C4D">
              <w:rPr>
                <w:rFonts w:ascii="Franklin Gothic Book" w:hAnsi="Franklin Gothic Book"/>
                <w:sz w:val="22"/>
                <w:lang w:val="en-AU"/>
              </w:rPr>
              <w:t xml:space="preserve"> patients with AKT pathway alterations; it would be </w:t>
            </w:r>
            <w:r w:rsidR="008A109F" w:rsidRPr="2C973C4D">
              <w:rPr>
                <w:rFonts w:ascii="Franklin Gothic Book" w:hAnsi="Franklin Gothic Book"/>
                <w:sz w:val="22"/>
                <w:lang w:val="en-AU"/>
              </w:rPr>
              <w:t>inequitable</w:t>
            </w:r>
            <w:r w:rsidRPr="2C973C4D">
              <w:rPr>
                <w:rFonts w:ascii="Franklin Gothic Book" w:hAnsi="Franklin Gothic Book"/>
                <w:sz w:val="22"/>
                <w:lang w:val="en-AU"/>
              </w:rPr>
              <w:t xml:space="preserve"> to limit access to capivasertib if it could benefit a wider population. </w:t>
            </w:r>
          </w:p>
          <w:p w14:paraId="35A3E7BD" w14:textId="2FE44375" w:rsidR="00D47613" w:rsidRPr="00F5289B" w:rsidRDefault="00D47613" w:rsidP="002F0040">
            <w:pPr>
              <w:rPr>
                <w:rFonts w:ascii="Franklin Gothic Book" w:hAnsi="Franklin Gothic Book"/>
                <w:sz w:val="22"/>
                <w:lang w:val="en-AU"/>
              </w:rPr>
            </w:pPr>
            <w:r w:rsidRPr="2C973C4D">
              <w:rPr>
                <w:rFonts w:ascii="Franklin Gothic Book" w:hAnsi="Franklin Gothic Book"/>
                <w:sz w:val="22"/>
                <w:lang w:val="en-AU"/>
              </w:rPr>
              <w:t xml:space="preserve">The Pharmaceutical Benefits Advisory Committee (PBAC) did not recommend listing capivasertib on the PBS. </w:t>
            </w:r>
            <w:r w:rsidR="00191E51" w:rsidRPr="2C973C4D">
              <w:rPr>
                <w:rFonts w:ascii="Franklin Gothic Book" w:hAnsi="Franklin Gothic Book"/>
                <w:sz w:val="22"/>
                <w:lang w:val="en-AU"/>
              </w:rPr>
              <w:t xml:space="preserve">Because </w:t>
            </w:r>
            <w:r w:rsidR="00E9715E" w:rsidRPr="2C973C4D">
              <w:rPr>
                <w:rFonts w:ascii="Franklin Gothic Book" w:hAnsi="Franklin Gothic Book"/>
                <w:sz w:val="22"/>
                <w:lang w:val="en-AU"/>
              </w:rPr>
              <w:t>PBAC’s decision</w:t>
            </w:r>
            <w:r w:rsidR="00191E51" w:rsidRPr="2C973C4D">
              <w:rPr>
                <w:rFonts w:ascii="Franklin Gothic Book" w:hAnsi="Franklin Gothic Book"/>
                <w:sz w:val="22"/>
                <w:lang w:val="en-AU"/>
              </w:rPr>
              <w:t xml:space="preserve"> meant </w:t>
            </w:r>
            <w:r w:rsidR="006808B2" w:rsidRPr="2C973C4D">
              <w:rPr>
                <w:rFonts w:ascii="Franklin Gothic Book" w:hAnsi="Franklin Gothic Book"/>
                <w:sz w:val="22"/>
                <w:lang w:val="en-AU"/>
              </w:rPr>
              <w:t xml:space="preserve">that </w:t>
            </w:r>
            <w:r w:rsidR="00191E51" w:rsidRPr="2C973C4D">
              <w:rPr>
                <w:rFonts w:ascii="Franklin Gothic Book" w:hAnsi="Franklin Gothic Book"/>
                <w:sz w:val="22"/>
                <w:lang w:val="en-AU"/>
              </w:rPr>
              <w:t xml:space="preserve">the test could not be used to access capivasertib on the PBS, </w:t>
            </w:r>
            <w:r w:rsidRPr="2C973C4D">
              <w:rPr>
                <w:rFonts w:ascii="Franklin Gothic Book" w:hAnsi="Franklin Gothic Book"/>
                <w:sz w:val="22"/>
                <w:lang w:val="en-AU"/>
              </w:rPr>
              <w:t xml:space="preserve">MSAC </w:t>
            </w:r>
            <w:r w:rsidR="006808B2" w:rsidRPr="2C973C4D">
              <w:rPr>
                <w:rFonts w:ascii="Franklin Gothic Book" w:hAnsi="Franklin Gothic Book"/>
                <w:sz w:val="22"/>
                <w:lang w:val="en-AU"/>
              </w:rPr>
              <w:t>did not support</w:t>
            </w:r>
            <w:r w:rsidRPr="2C973C4D">
              <w:rPr>
                <w:rFonts w:ascii="Franklin Gothic Book" w:hAnsi="Franklin Gothic Book"/>
                <w:sz w:val="22"/>
                <w:lang w:val="en-AU"/>
              </w:rPr>
              <w:t xml:space="preserve"> </w:t>
            </w:r>
            <w:r w:rsidR="006808B2" w:rsidRPr="2C973C4D">
              <w:rPr>
                <w:rFonts w:ascii="Franklin Gothic Book" w:hAnsi="Franklin Gothic Book"/>
                <w:sz w:val="22"/>
                <w:lang w:val="en-AU"/>
              </w:rPr>
              <w:t>listing</w:t>
            </w:r>
            <w:r w:rsidRPr="2C973C4D">
              <w:rPr>
                <w:rFonts w:ascii="Franklin Gothic Book" w:hAnsi="Franklin Gothic Book"/>
                <w:sz w:val="22"/>
                <w:lang w:val="en-AU"/>
              </w:rPr>
              <w:t xml:space="preserve"> testing for AKT pathway alterations</w:t>
            </w:r>
            <w:r w:rsidR="006808B2" w:rsidRPr="2C973C4D">
              <w:rPr>
                <w:rFonts w:ascii="Franklin Gothic Book" w:hAnsi="Franklin Gothic Book"/>
                <w:sz w:val="22"/>
                <w:lang w:val="en-AU"/>
              </w:rPr>
              <w:t xml:space="preserve"> on the MBS</w:t>
            </w:r>
            <w:r w:rsidRPr="2C973C4D">
              <w:rPr>
                <w:rFonts w:ascii="Franklin Gothic Book" w:hAnsi="Franklin Gothic Book"/>
                <w:sz w:val="22"/>
                <w:lang w:val="en-AU"/>
              </w:rPr>
              <w:t>.</w:t>
            </w:r>
            <w:r w:rsidR="006808B2" w:rsidRPr="2C973C4D">
              <w:rPr>
                <w:rFonts w:ascii="Franklin Gothic Book" w:hAnsi="Franklin Gothic Book"/>
                <w:sz w:val="22"/>
                <w:lang w:val="en-AU"/>
              </w:rPr>
              <w:t xml:space="preserve"> MSAC also considered that more evidence of </w:t>
            </w:r>
            <w:r w:rsidR="00F021D2" w:rsidRPr="2C973C4D">
              <w:rPr>
                <w:rFonts w:ascii="Franklin Gothic Book" w:hAnsi="Franklin Gothic Book"/>
                <w:sz w:val="22"/>
                <w:lang w:val="en-AU"/>
              </w:rPr>
              <w:t>the co</w:t>
            </w:r>
            <w:r w:rsidR="00BB19A4" w:rsidRPr="2C973C4D">
              <w:rPr>
                <w:rFonts w:ascii="Franklin Gothic Book" w:hAnsi="Franklin Gothic Book"/>
                <w:sz w:val="22"/>
                <w:lang w:val="en-AU"/>
              </w:rPr>
              <w:t>nnection</w:t>
            </w:r>
            <w:r w:rsidR="00F021D2" w:rsidRPr="2C973C4D">
              <w:rPr>
                <w:rFonts w:ascii="Franklin Gothic Book" w:hAnsi="Franklin Gothic Book"/>
                <w:sz w:val="22"/>
                <w:lang w:val="en-AU"/>
              </w:rPr>
              <w:t xml:space="preserve"> between AKT pathway testing and capivasertib effectiveness was needed, as well as</w:t>
            </w:r>
            <w:r w:rsidRPr="2C973C4D">
              <w:rPr>
                <w:rFonts w:ascii="Franklin Gothic Book" w:hAnsi="Franklin Gothic Book"/>
                <w:sz w:val="22"/>
                <w:lang w:val="en-AU"/>
              </w:rPr>
              <w:t xml:space="preserve"> a price justification for the test, which was more expensive than other similar tests on the MBS.</w:t>
            </w:r>
          </w:p>
          <w:p w14:paraId="6BFE1EFD" w14:textId="77777777" w:rsidR="00D47613" w:rsidRPr="00F5289B" w:rsidRDefault="00D47613" w:rsidP="002F0040">
            <w:pPr>
              <w:pStyle w:val="Heading3"/>
              <w:rPr>
                <w:rFonts w:ascii="Franklin Gothic Book" w:hAnsi="Franklin Gothic Book"/>
                <w:sz w:val="22"/>
                <w:szCs w:val="22"/>
                <w:lang w:val="en-AU"/>
              </w:rPr>
            </w:pPr>
            <w:r w:rsidRPr="2C973C4D">
              <w:rPr>
                <w:rFonts w:ascii="Franklin Gothic Book" w:hAnsi="Franklin Gothic Book"/>
                <w:sz w:val="22"/>
                <w:szCs w:val="22"/>
                <w:lang w:val="en-AU"/>
              </w:rPr>
              <w:t xml:space="preserve">MSAC’s advice to the </w:t>
            </w:r>
            <w:proofErr w:type="gramStart"/>
            <w:r w:rsidRPr="2C973C4D">
              <w:rPr>
                <w:rFonts w:ascii="Franklin Gothic Book" w:hAnsi="Franklin Gothic Book"/>
                <w:sz w:val="22"/>
                <w:szCs w:val="22"/>
                <w:lang w:val="en-AU"/>
              </w:rPr>
              <w:t>Commonwealth Minister</w:t>
            </w:r>
            <w:proofErr w:type="gramEnd"/>
            <w:r w:rsidRPr="2C973C4D">
              <w:rPr>
                <w:rFonts w:ascii="Franklin Gothic Book" w:hAnsi="Franklin Gothic Book"/>
                <w:sz w:val="22"/>
                <w:szCs w:val="22"/>
                <w:lang w:val="en-AU"/>
              </w:rPr>
              <w:t xml:space="preserve"> for Health and Aged Care</w:t>
            </w:r>
          </w:p>
          <w:p w14:paraId="0EF7CE3E" w14:textId="60086A7C" w:rsidR="00D47613" w:rsidRPr="00F5289B" w:rsidRDefault="00D47613" w:rsidP="002F0040">
            <w:pPr>
              <w:rPr>
                <w:rFonts w:ascii="Franklin Gothic Book" w:hAnsi="Franklin Gothic Book"/>
                <w:sz w:val="22"/>
                <w:lang w:val="en-AU"/>
              </w:rPr>
            </w:pPr>
            <w:r w:rsidRPr="2C973C4D">
              <w:rPr>
                <w:rFonts w:ascii="Franklin Gothic Book" w:hAnsi="Franklin Gothic Book"/>
                <w:sz w:val="22"/>
                <w:lang w:val="en-AU"/>
              </w:rPr>
              <w:t xml:space="preserve">MSAC did not support listing AKT pathway testing on the MBS for patients with </w:t>
            </w:r>
            <w:r w:rsidR="00F021D2" w:rsidRPr="2C973C4D">
              <w:rPr>
                <w:rFonts w:ascii="Franklin Gothic Book" w:hAnsi="Franklin Gothic Book"/>
                <w:sz w:val="22"/>
                <w:lang w:val="en-AU"/>
              </w:rPr>
              <w:t>HR+/</w:t>
            </w:r>
            <w:r w:rsidRPr="2C973C4D">
              <w:rPr>
                <w:rFonts w:ascii="Franklin Gothic Book" w:hAnsi="Franklin Gothic Book"/>
                <w:sz w:val="22"/>
                <w:lang w:val="en-AU"/>
              </w:rPr>
              <w:t xml:space="preserve">HER2- </w:t>
            </w:r>
            <w:r w:rsidR="00F021D2" w:rsidRPr="2C973C4D">
              <w:rPr>
                <w:rFonts w:ascii="Franklin Gothic Book" w:hAnsi="Franklin Gothic Book"/>
                <w:sz w:val="22"/>
                <w:lang w:val="en-AU"/>
              </w:rPr>
              <w:t>locally</w:t>
            </w:r>
            <w:r w:rsidRPr="2C973C4D">
              <w:rPr>
                <w:rFonts w:ascii="Franklin Gothic Book" w:hAnsi="Franklin Gothic Book"/>
                <w:sz w:val="22"/>
                <w:lang w:val="en-AU"/>
              </w:rPr>
              <w:t xml:space="preserve"> advanced </w:t>
            </w:r>
            <w:r w:rsidR="00F021D2" w:rsidRPr="2C973C4D">
              <w:rPr>
                <w:rFonts w:ascii="Franklin Gothic Book" w:hAnsi="Franklin Gothic Book"/>
                <w:sz w:val="22"/>
                <w:lang w:val="en-AU"/>
              </w:rPr>
              <w:t xml:space="preserve">or metastatic </w:t>
            </w:r>
            <w:r w:rsidRPr="2C973C4D">
              <w:rPr>
                <w:rFonts w:ascii="Franklin Gothic Book" w:hAnsi="Franklin Gothic Book"/>
                <w:sz w:val="22"/>
                <w:lang w:val="en-AU"/>
              </w:rPr>
              <w:t xml:space="preserve">breast cancer. The claim </w:t>
            </w:r>
            <w:r w:rsidR="00DA72D4" w:rsidRPr="2C973C4D">
              <w:rPr>
                <w:rFonts w:ascii="Franklin Gothic Book" w:hAnsi="Franklin Gothic Book"/>
                <w:sz w:val="22"/>
                <w:lang w:val="en-AU"/>
              </w:rPr>
              <w:t xml:space="preserve">that people with an </w:t>
            </w:r>
            <w:r w:rsidR="00C6208A" w:rsidRPr="2C973C4D">
              <w:rPr>
                <w:rFonts w:ascii="Franklin Gothic Book" w:hAnsi="Franklin Gothic Book"/>
                <w:sz w:val="22"/>
                <w:lang w:val="en-AU"/>
              </w:rPr>
              <w:t>AKT pathway alteration will benefit more from capivasertib than people without the AKT alternation</w:t>
            </w:r>
            <w:r w:rsidRPr="2C973C4D">
              <w:rPr>
                <w:rFonts w:ascii="Franklin Gothic Book" w:hAnsi="Franklin Gothic Book"/>
                <w:sz w:val="22"/>
                <w:lang w:val="en-AU"/>
              </w:rPr>
              <w:t xml:space="preserve"> was not proven</w:t>
            </w:r>
            <w:r w:rsidR="003A5E4F" w:rsidRPr="2C973C4D">
              <w:rPr>
                <w:rFonts w:ascii="Franklin Gothic Book" w:hAnsi="Franklin Gothic Book"/>
                <w:sz w:val="22"/>
                <w:lang w:val="en-AU"/>
              </w:rPr>
              <w:t>, and</w:t>
            </w:r>
            <w:r w:rsidRPr="2C973C4D">
              <w:rPr>
                <w:rFonts w:ascii="Franklin Gothic Book" w:hAnsi="Franklin Gothic Book"/>
                <w:sz w:val="22"/>
                <w:lang w:val="en-AU"/>
              </w:rPr>
              <w:t xml:space="preserve"> </w:t>
            </w:r>
            <w:r w:rsidR="003A5E4F" w:rsidRPr="2C973C4D">
              <w:rPr>
                <w:rFonts w:ascii="Franklin Gothic Book" w:hAnsi="Franklin Gothic Book"/>
                <w:sz w:val="22"/>
                <w:lang w:val="en-AU"/>
              </w:rPr>
              <w:t>t</w:t>
            </w:r>
            <w:r w:rsidRPr="2C973C4D">
              <w:rPr>
                <w:rFonts w:ascii="Franklin Gothic Book" w:hAnsi="Franklin Gothic Book"/>
                <w:sz w:val="22"/>
                <w:lang w:val="en-AU"/>
              </w:rPr>
              <w:t xml:space="preserve">he </w:t>
            </w:r>
            <w:r w:rsidR="003A5E4F" w:rsidRPr="2C973C4D">
              <w:rPr>
                <w:rFonts w:ascii="Franklin Gothic Book" w:hAnsi="Franklin Gothic Book"/>
                <w:sz w:val="22"/>
                <w:lang w:val="en-AU"/>
              </w:rPr>
              <w:t xml:space="preserve">cost of </w:t>
            </w:r>
            <w:r w:rsidRPr="2C973C4D">
              <w:rPr>
                <w:rFonts w:ascii="Franklin Gothic Book" w:hAnsi="Franklin Gothic Book"/>
                <w:sz w:val="22"/>
                <w:lang w:val="en-AU"/>
              </w:rPr>
              <w:t>test</w:t>
            </w:r>
            <w:r w:rsidR="003A5E4F" w:rsidRPr="2C973C4D">
              <w:rPr>
                <w:rFonts w:ascii="Franklin Gothic Book" w:hAnsi="Franklin Gothic Book"/>
                <w:sz w:val="22"/>
                <w:lang w:val="en-AU"/>
              </w:rPr>
              <w:t xml:space="preserve">ing was high without </w:t>
            </w:r>
            <w:r w:rsidRPr="2C973C4D">
              <w:rPr>
                <w:rFonts w:ascii="Franklin Gothic Book" w:hAnsi="Franklin Gothic Book"/>
                <w:sz w:val="22"/>
                <w:lang w:val="en-AU"/>
              </w:rPr>
              <w:t>justifi</w:t>
            </w:r>
            <w:r w:rsidR="003A5E4F" w:rsidRPr="2C973C4D">
              <w:rPr>
                <w:rFonts w:ascii="Franklin Gothic Book" w:hAnsi="Franklin Gothic Book"/>
                <w:sz w:val="22"/>
                <w:lang w:val="en-AU"/>
              </w:rPr>
              <w:t>cation</w:t>
            </w:r>
            <w:r w:rsidRPr="2C973C4D">
              <w:rPr>
                <w:rFonts w:ascii="Franklin Gothic Book" w:hAnsi="Franklin Gothic Book"/>
                <w:sz w:val="22"/>
                <w:lang w:val="en-AU"/>
              </w:rPr>
              <w:t>. Also, the PBAC did not recommend listing capivasertib on the PBS, and with no drug to access on the PBS, MSAC considered that there is no need for AKT pathway testing</w:t>
            </w:r>
            <w:r w:rsidR="006D5B45" w:rsidRPr="2C973C4D">
              <w:rPr>
                <w:rFonts w:ascii="Franklin Gothic Book" w:hAnsi="Franklin Gothic Book"/>
                <w:sz w:val="22"/>
                <w:lang w:val="en-AU"/>
              </w:rPr>
              <w:t xml:space="preserve"> at present</w:t>
            </w:r>
            <w:r w:rsidRPr="2C973C4D">
              <w:rPr>
                <w:rFonts w:ascii="Franklin Gothic Book" w:hAnsi="Franklin Gothic Book"/>
                <w:sz w:val="22"/>
                <w:lang w:val="en-AU"/>
              </w:rPr>
              <w:t>.</w:t>
            </w:r>
          </w:p>
        </w:tc>
      </w:tr>
    </w:tbl>
    <w:p w14:paraId="35764D4E" w14:textId="699A6846" w:rsidR="003F6F2A" w:rsidRPr="003F6F2A" w:rsidRDefault="003F6F2A"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4" w:name="_Toc497226164"/>
      <w:bookmarkStart w:id="5" w:name="_Toc177560706"/>
      <w:r w:rsidRPr="003F6F2A">
        <w:rPr>
          <w:rFonts w:ascii="Franklin Gothic Medium" w:hAnsi="Franklin Gothic Medium"/>
          <w:b w:val="0"/>
          <w:i w:val="0"/>
          <w:snapToGrid/>
          <w:color w:val="000000" w:themeColor="text1"/>
          <w:sz w:val="32"/>
          <w:szCs w:val="26"/>
        </w:rPr>
        <w:lastRenderedPageBreak/>
        <w:t>Summary of consideration and rationale for MSAC’s advice</w:t>
      </w:r>
    </w:p>
    <w:p w14:paraId="17FFF9E1" w14:textId="77777777" w:rsidR="002072A0" w:rsidRDefault="007D7D0C" w:rsidP="007D7D0C">
      <w:pPr>
        <w:rPr>
          <w:rFonts w:ascii="Franklin Gothic Book" w:hAnsi="Franklin Gothic Book"/>
          <w:sz w:val="22"/>
        </w:rPr>
      </w:pPr>
      <w:r w:rsidRPr="00F5289B">
        <w:rPr>
          <w:rFonts w:ascii="Franklin Gothic Book" w:hAnsi="Franklin Gothic Book"/>
          <w:sz w:val="22"/>
        </w:rPr>
        <w:t xml:space="preserve">MSAC noted that this was a co-dependent application from AstraZeneca Pty Ltd </w:t>
      </w:r>
      <w:r w:rsidR="00480A35">
        <w:rPr>
          <w:rFonts w:ascii="Franklin Gothic Book" w:hAnsi="Franklin Gothic Book"/>
          <w:sz w:val="22"/>
        </w:rPr>
        <w:t>requesting</w:t>
      </w:r>
      <w:r w:rsidR="002072A0">
        <w:rPr>
          <w:rFonts w:ascii="Franklin Gothic Book" w:hAnsi="Franklin Gothic Book"/>
          <w:sz w:val="22"/>
        </w:rPr>
        <w:t>:</w:t>
      </w:r>
    </w:p>
    <w:p w14:paraId="3D509B26" w14:textId="62E66359" w:rsidR="00F53E9E" w:rsidRDefault="00F518A8" w:rsidP="2C973C4D">
      <w:pPr>
        <w:pStyle w:val="ListParagraph"/>
        <w:rPr>
          <w:rFonts w:ascii="Franklin Gothic Book" w:hAnsi="Franklin Gothic Book"/>
          <w:sz w:val="22"/>
        </w:rPr>
      </w:pPr>
      <w:r w:rsidRPr="002072A0">
        <w:rPr>
          <w:rFonts w:ascii="Franklin Gothic Book" w:hAnsi="Franklin Gothic Book"/>
          <w:sz w:val="22"/>
        </w:rPr>
        <w:t xml:space="preserve">MBS listing of NGS testing of tumour tissue for AKT pathway alterations in the </w:t>
      </w:r>
      <w:r w:rsidRPr="002072A0">
        <w:rPr>
          <w:rFonts w:ascii="Franklin Gothic Book" w:hAnsi="Franklin Gothic Book"/>
          <w:i/>
          <w:sz w:val="22"/>
        </w:rPr>
        <w:t>PIK3CA</w:t>
      </w:r>
      <w:r w:rsidRPr="002072A0">
        <w:rPr>
          <w:rFonts w:ascii="Franklin Gothic Book" w:hAnsi="Franklin Gothic Book"/>
          <w:sz w:val="22"/>
        </w:rPr>
        <w:t>,</w:t>
      </w:r>
      <w:r w:rsidRPr="002072A0">
        <w:rPr>
          <w:rFonts w:ascii="Franklin Gothic Book" w:hAnsi="Franklin Gothic Book"/>
          <w:i/>
          <w:sz w:val="22"/>
        </w:rPr>
        <w:t xml:space="preserve"> AKT1 </w:t>
      </w:r>
      <w:r w:rsidRPr="002072A0">
        <w:rPr>
          <w:rFonts w:ascii="Franklin Gothic Book" w:hAnsi="Franklin Gothic Book"/>
          <w:sz w:val="22"/>
        </w:rPr>
        <w:t>and</w:t>
      </w:r>
      <w:r w:rsidRPr="002072A0">
        <w:rPr>
          <w:rFonts w:ascii="Franklin Gothic Book" w:hAnsi="Franklin Gothic Book"/>
          <w:i/>
          <w:sz w:val="22"/>
        </w:rPr>
        <w:t xml:space="preserve"> PTEN </w:t>
      </w:r>
      <w:r w:rsidRPr="002072A0">
        <w:rPr>
          <w:rFonts w:ascii="Franklin Gothic Book" w:hAnsi="Franklin Gothic Book"/>
          <w:sz w:val="22"/>
        </w:rPr>
        <w:t xml:space="preserve">genes in patients newly diagnosed with locally advanced </w:t>
      </w:r>
      <w:r w:rsidR="0059676A" w:rsidRPr="002072A0">
        <w:rPr>
          <w:rFonts w:ascii="Franklin Gothic Book" w:hAnsi="Franklin Gothic Book"/>
          <w:sz w:val="22"/>
        </w:rPr>
        <w:t xml:space="preserve">(unresectable) </w:t>
      </w:r>
      <w:r w:rsidRPr="002072A0">
        <w:rPr>
          <w:rFonts w:ascii="Franklin Gothic Book" w:hAnsi="Franklin Gothic Book"/>
          <w:sz w:val="22"/>
        </w:rPr>
        <w:t xml:space="preserve">or metastatic </w:t>
      </w:r>
      <w:r w:rsidR="00791355" w:rsidRPr="002072A0">
        <w:rPr>
          <w:rFonts w:ascii="Franklin Gothic Book" w:hAnsi="Franklin Gothic Book"/>
          <w:sz w:val="22"/>
        </w:rPr>
        <w:t>HR+, HER2-</w:t>
      </w:r>
      <w:r w:rsidR="00BD43C4" w:rsidRPr="002072A0">
        <w:rPr>
          <w:rFonts w:ascii="Franklin Gothic Book" w:hAnsi="Franklin Gothic Book"/>
          <w:sz w:val="22"/>
        </w:rPr>
        <w:t xml:space="preserve"> </w:t>
      </w:r>
      <w:r w:rsidR="003A076A" w:rsidRPr="002072A0">
        <w:rPr>
          <w:rFonts w:ascii="Franklin Gothic Book" w:hAnsi="Franklin Gothic Book"/>
          <w:sz w:val="22"/>
        </w:rPr>
        <w:t>breast cancer</w:t>
      </w:r>
      <w:r w:rsidR="00C52D2D">
        <w:rPr>
          <w:rFonts w:ascii="Franklin Gothic Book" w:hAnsi="Franklin Gothic Book"/>
          <w:sz w:val="22"/>
        </w:rPr>
        <w:t>.</w:t>
      </w:r>
      <w:r w:rsidR="003A076A" w:rsidRPr="002072A0">
        <w:rPr>
          <w:rFonts w:ascii="Franklin Gothic Book" w:hAnsi="Franklin Gothic Book"/>
          <w:sz w:val="22"/>
        </w:rPr>
        <w:t xml:space="preserve"> </w:t>
      </w:r>
    </w:p>
    <w:p w14:paraId="12D5B609" w14:textId="787296B5" w:rsidR="007D7D0C" w:rsidRPr="00F5289B" w:rsidRDefault="00642D9D" w:rsidP="2C973C4D">
      <w:pPr>
        <w:pStyle w:val="ListParagraph"/>
        <w:rPr>
          <w:rFonts w:ascii="Franklin Gothic Book" w:hAnsi="Franklin Gothic Book"/>
          <w:sz w:val="22"/>
        </w:rPr>
      </w:pPr>
      <w:r w:rsidRPr="002072A0">
        <w:rPr>
          <w:rFonts w:ascii="Franklin Gothic Book" w:hAnsi="Franklin Gothic Book"/>
          <w:sz w:val="22"/>
        </w:rPr>
        <w:t xml:space="preserve">PBS </w:t>
      </w:r>
      <w:r w:rsidR="007D7D0C" w:rsidRPr="002072A0">
        <w:rPr>
          <w:rFonts w:ascii="Franklin Gothic Book" w:hAnsi="Franklin Gothic Book"/>
          <w:sz w:val="22"/>
        </w:rPr>
        <w:t xml:space="preserve">listing </w:t>
      </w:r>
      <w:r w:rsidR="00864414" w:rsidRPr="002072A0">
        <w:rPr>
          <w:rFonts w:ascii="Franklin Gothic Book" w:hAnsi="Franklin Gothic Book"/>
          <w:sz w:val="22"/>
        </w:rPr>
        <w:t xml:space="preserve">of </w:t>
      </w:r>
      <w:r w:rsidR="007D7D0C" w:rsidRPr="00F5289B">
        <w:rPr>
          <w:rFonts w:ascii="Franklin Gothic Book" w:hAnsi="Franklin Gothic Book"/>
          <w:sz w:val="22"/>
        </w:rPr>
        <w:t>capivasertib</w:t>
      </w:r>
      <w:r w:rsidRPr="002072A0">
        <w:rPr>
          <w:rFonts w:ascii="Franklin Gothic Book" w:hAnsi="Franklin Gothic Book"/>
          <w:sz w:val="22"/>
        </w:rPr>
        <w:t xml:space="preserve"> (CAPI)</w:t>
      </w:r>
      <w:r w:rsidR="00747A3A" w:rsidRPr="002072A0">
        <w:rPr>
          <w:rFonts w:ascii="Franklin Gothic Book" w:hAnsi="Franklin Gothic Book"/>
          <w:sz w:val="22"/>
        </w:rPr>
        <w:t xml:space="preserve"> </w:t>
      </w:r>
      <w:r w:rsidR="00166CE0" w:rsidRPr="002072A0">
        <w:rPr>
          <w:rFonts w:ascii="Franklin Gothic Book" w:hAnsi="Franklin Gothic Book"/>
          <w:sz w:val="22"/>
        </w:rPr>
        <w:t xml:space="preserve">with </w:t>
      </w:r>
      <w:proofErr w:type="spellStart"/>
      <w:r w:rsidR="007D7D0C" w:rsidRPr="00F5289B">
        <w:rPr>
          <w:rFonts w:ascii="Franklin Gothic Book" w:hAnsi="Franklin Gothic Book"/>
          <w:sz w:val="22"/>
        </w:rPr>
        <w:t>fulvestr</w:t>
      </w:r>
      <w:r w:rsidR="00470619" w:rsidRPr="00F5289B">
        <w:rPr>
          <w:rFonts w:ascii="Franklin Gothic Book" w:hAnsi="Franklin Gothic Book"/>
          <w:sz w:val="22"/>
        </w:rPr>
        <w:t>a</w:t>
      </w:r>
      <w:r w:rsidR="007D7D0C" w:rsidRPr="00F5289B">
        <w:rPr>
          <w:rFonts w:ascii="Franklin Gothic Book" w:hAnsi="Franklin Gothic Book"/>
          <w:sz w:val="22"/>
        </w:rPr>
        <w:t>nt</w:t>
      </w:r>
      <w:proofErr w:type="spellEnd"/>
      <w:r w:rsidR="007D7D0C">
        <w:rPr>
          <w:rFonts w:ascii="Franklin Gothic Book" w:hAnsi="Franklin Gothic Book"/>
          <w:sz w:val="22"/>
        </w:rPr>
        <w:t xml:space="preserve"> </w:t>
      </w:r>
      <w:r w:rsidR="001D26C2">
        <w:rPr>
          <w:rFonts w:ascii="Franklin Gothic Book" w:hAnsi="Franklin Gothic Book"/>
          <w:sz w:val="22"/>
        </w:rPr>
        <w:t>(</w:t>
      </w:r>
      <w:r w:rsidR="00747A3A" w:rsidRPr="002072A0">
        <w:rPr>
          <w:rFonts w:ascii="Franklin Gothic Book" w:hAnsi="Franklin Gothic Book"/>
          <w:sz w:val="22"/>
        </w:rPr>
        <w:t xml:space="preserve">FULV, i.e., </w:t>
      </w:r>
      <w:r w:rsidR="001D26C2">
        <w:rPr>
          <w:rFonts w:ascii="Franklin Gothic Book" w:hAnsi="Franklin Gothic Book"/>
          <w:sz w:val="22"/>
        </w:rPr>
        <w:t>CAPI+FULV)</w:t>
      </w:r>
      <w:r w:rsidR="007D7D0C" w:rsidRPr="00F5289B">
        <w:rPr>
          <w:rFonts w:ascii="Franklin Gothic Book" w:hAnsi="Franklin Gothic Book"/>
          <w:sz w:val="22"/>
        </w:rPr>
        <w:t xml:space="preserve"> </w:t>
      </w:r>
      <w:r w:rsidR="00692219" w:rsidRPr="002072A0">
        <w:rPr>
          <w:rFonts w:ascii="Franklin Gothic Book" w:hAnsi="Franklin Gothic Book"/>
          <w:sz w:val="22"/>
        </w:rPr>
        <w:t xml:space="preserve">for the targeted treatment of </w:t>
      </w:r>
      <w:r w:rsidR="007D7D0C" w:rsidRPr="00F5289B">
        <w:rPr>
          <w:rFonts w:ascii="Franklin Gothic Book" w:hAnsi="Franklin Gothic Book"/>
          <w:sz w:val="22"/>
        </w:rPr>
        <w:t xml:space="preserve">patients with locally advanced </w:t>
      </w:r>
      <w:r w:rsidR="009F1314" w:rsidRPr="002072A0">
        <w:rPr>
          <w:rFonts w:ascii="Franklin Gothic Book" w:hAnsi="Franklin Gothic Book"/>
          <w:sz w:val="22"/>
        </w:rPr>
        <w:t xml:space="preserve">(unresectable) </w:t>
      </w:r>
      <w:r w:rsidR="007D7D0C" w:rsidRPr="00F5289B">
        <w:rPr>
          <w:rFonts w:ascii="Franklin Gothic Book" w:hAnsi="Franklin Gothic Book"/>
          <w:sz w:val="22"/>
        </w:rPr>
        <w:t>or metastatic HR</w:t>
      </w:r>
      <w:r w:rsidR="007D7D0C" w:rsidRPr="002072A0">
        <w:rPr>
          <w:rFonts w:ascii="Franklin Gothic Book" w:hAnsi="Franklin Gothic Book"/>
          <w:sz w:val="22"/>
        </w:rPr>
        <w:t>+</w:t>
      </w:r>
      <w:r w:rsidR="00F21DEA" w:rsidRPr="002072A0">
        <w:rPr>
          <w:rFonts w:ascii="Franklin Gothic Book" w:hAnsi="Franklin Gothic Book"/>
          <w:sz w:val="22"/>
        </w:rPr>
        <w:t xml:space="preserve">, </w:t>
      </w:r>
      <w:r w:rsidR="007D7D0C" w:rsidRPr="001E6A0A">
        <w:rPr>
          <w:rFonts w:ascii="Franklin Gothic Book" w:hAnsi="Franklin Gothic Book"/>
          <w:sz w:val="22"/>
        </w:rPr>
        <w:t>HER2</w:t>
      </w:r>
      <w:r w:rsidR="007D7D0C" w:rsidRPr="00F5289B">
        <w:rPr>
          <w:rFonts w:ascii="Franklin Gothic Book" w:hAnsi="Franklin Gothic Book"/>
          <w:sz w:val="22"/>
        </w:rPr>
        <w:t xml:space="preserve">– breast cancer </w:t>
      </w:r>
      <w:r w:rsidR="00AF3C4F" w:rsidRPr="002072A0">
        <w:rPr>
          <w:rFonts w:ascii="Franklin Gothic Book" w:hAnsi="Franklin Gothic Book"/>
          <w:sz w:val="22"/>
        </w:rPr>
        <w:t>following disease progression or recurrence on</w:t>
      </w:r>
      <w:r w:rsidR="00D66FAD" w:rsidRPr="002072A0">
        <w:rPr>
          <w:rFonts w:ascii="Franklin Gothic Book" w:hAnsi="Franklin Gothic Book"/>
          <w:sz w:val="22"/>
        </w:rPr>
        <w:t xml:space="preserve"> or after an endocrine-based regimen with or without a</w:t>
      </w:r>
      <w:r w:rsidR="00153784" w:rsidRPr="002072A0">
        <w:rPr>
          <w:rFonts w:ascii="Franklin Gothic Book" w:hAnsi="Franklin Gothic Book"/>
          <w:sz w:val="22"/>
        </w:rPr>
        <w:t xml:space="preserve"> CDK4/6 inhibitor </w:t>
      </w:r>
      <w:r w:rsidR="007D7D0C" w:rsidRPr="002072A0">
        <w:rPr>
          <w:rFonts w:ascii="Franklin Gothic Book" w:hAnsi="Franklin Gothic Book"/>
          <w:sz w:val="22"/>
        </w:rPr>
        <w:t xml:space="preserve">and </w:t>
      </w:r>
      <w:r w:rsidR="0075312C" w:rsidRPr="002072A0">
        <w:rPr>
          <w:rFonts w:ascii="Franklin Gothic Book" w:hAnsi="Franklin Gothic Book"/>
          <w:sz w:val="22"/>
        </w:rPr>
        <w:t>with evidence of</w:t>
      </w:r>
      <w:r w:rsidR="007D7D0C" w:rsidRPr="00F5289B">
        <w:rPr>
          <w:rFonts w:ascii="Franklin Gothic Book" w:hAnsi="Franklin Gothic Book"/>
          <w:sz w:val="22"/>
        </w:rPr>
        <w:t xml:space="preserve"> AKT pathway alterations</w:t>
      </w:r>
      <w:r w:rsidR="00F53E9E">
        <w:rPr>
          <w:rFonts w:ascii="Franklin Gothic Book" w:hAnsi="Franklin Gothic Book"/>
          <w:sz w:val="22"/>
        </w:rPr>
        <w:t>.</w:t>
      </w:r>
      <w:r w:rsidR="007D7D0C" w:rsidRPr="00F5289B">
        <w:rPr>
          <w:rFonts w:ascii="Franklin Gothic Book" w:hAnsi="Franklin Gothic Book"/>
          <w:sz w:val="22"/>
        </w:rPr>
        <w:t xml:space="preserve"> </w:t>
      </w:r>
    </w:p>
    <w:p w14:paraId="2BB52FD8" w14:textId="15DE2FAC"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that the Pharmaceutical Benefits Advisory Committee (PBAC) </w:t>
      </w:r>
      <w:r w:rsidR="005148A4">
        <w:rPr>
          <w:rFonts w:ascii="Franklin Gothic Book" w:hAnsi="Franklin Gothic Book"/>
          <w:sz w:val="22"/>
        </w:rPr>
        <w:t xml:space="preserve">did not </w:t>
      </w:r>
      <w:r w:rsidR="009C57C7">
        <w:rPr>
          <w:rFonts w:ascii="Franklin Gothic Book" w:hAnsi="Franklin Gothic Book"/>
          <w:sz w:val="22"/>
        </w:rPr>
        <w:t>recommend</w:t>
      </w:r>
      <w:r w:rsidRPr="00F5289B">
        <w:rPr>
          <w:rFonts w:ascii="Franklin Gothic Book" w:hAnsi="Franklin Gothic Book"/>
          <w:sz w:val="22"/>
        </w:rPr>
        <w:t xml:space="preserve"> </w:t>
      </w:r>
      <w:r w:rsidR="00055777">
        <w:rPr>
          <w:rFonts w:ascii="Franklin Gothic Book" w:hAnsi="Franklin Gothic Book"/>
          <w:sz w:val="22"/>
        </w:rPr>
        <w:t>CAPI</w:t>
      </w:r>
      <w:r w:rsidRPr="00F5289B">
        <w:rPr>
          <w:rFonts w:ascii="Franklin Gothic Book" w:hAnsi="Franklin Gothic Book"/>
          <w:sz w:val="22"/>
        </w:rPr>
        <w:t xml:space="preserve"> at its November 2024 meeting due to a high incremental cost-effectiveness ratio (ICER), low clinical benefit with </w:t>
      </w:r>
      <w:r w:rsidR="002E1128">
        <w:rPr>
          <w:rFonts w:ascii="Franklin Gothic Book" w:hAnsi="Franklin Gothic Book"/>
          <w:sz w:val="22"/>
        </w:rPr>
        <w:t>inappropriate</w:t>
      </w:r>
      <w:r w:rsidRPr="00F5289B">
        <w:rPr>
          <w:rFonts w:ascii="Franklin Gothic Book" w:hAnsi="Franklin Gothic Book"/>
          <w:sz w:val="22"/>
        </w:rPr>
        <w:t xml:space="preserve"> choice of comparator, and significant toxicity. </w:t>
      </w:r>
      <w:r w:rsidR="00FE3CDE">
        <w:rPr>
          <w:rFonts w:ascii="Franklin Gothic Book" w:hAnsi="Franklin Gothic Book"/>
          <w:sz w:val="22"/>
        </w:rPr>
        <w:t>The PBAC advised that a</w:t>
      </w:r>
      <w:r w:rsidRPr="00F5289B">
        <w:rPr>
          <w:rFonts w:ascii="Franklin Gothic Book" w:hAnsi="Franklin Gothic Book"/>
          <w:sz w:val="22"/>
        </w:rPr>
        <w:t>ny resubmission would need to undergo the standard re-entry pathway.</w:t>
      </w:r>
    </w:p>
    <w:p w14:paraId="60F92A43" w14:textId="6D5A65EB" w:rsidR="007D7D0C" w:rsidRPr="00F5289B" w:rsidRDefault="009F6897" w:rsidP="00465270">
      <w:pPr>
        <w:keepNext/>
        <w:rPr>
          <w:rFonts w:ascii="Franklin Gothic Book" w:hAnsi="Franklin Gothic Book"/>
          <w:sz w:val="22"/>
        </w:rPr>
      </w:pPr>
      <w:r>
        <w:rPr>
          <w:rFonts w:ascii="Franklin Gothic Book" w:hAnsi="Franklin Gothic Book"/>
          <w:sz w:val="22"/>
        </w:rPr>
        <w:t xml:space="preserve">MSAC noted </w:t>
      </w:r>
      <w:r w:rsidR="00FE59E5">
        <w:rPr>
          <w:rFonts w:ascii="Franklin Gothic Book" w:hAnsi="Franklin Gothic Book"/>
          <w:sz w:val="22"/>
        </w:rPr>
        <w:t>that there are over 20,000 cases of breast cancer per year</w:t>
      </w:r>
      <w:r w:rsidR="007E75BE">
        <w:rPr>
          <w:rFonts w:ascii="Franklin Gothic Book" w:hAnsi="Franklin Gothic Book"/>
          <w:sz w:val="22"/>
        </w:rPr>
        <w:t xml:space="preserve"> in Australia</w:t>
      </w:r>
      <w:r w:rsidR="00FE59E5">
        <w:rPr>
          <w:rFonts w:ascii="Franklin Gothic Book" w:hAnsi="Franklin Gothic Book"/>
          <w:sz w:val="22"/>
        </w:rPr>
        <w:t xml:space="preserve"> and</w:t>
      </w:r>
      <w:r w:rsidR="00E6010E">
        <w:rPr>
          <w:rFonts w:ascii="Franklin Gothic Book" w:hAnsi="Franklin Gothic Book"/>
          <w:sz w:val="22"/>
        </w:rPr>
        <w:t xml:space="preserve"> that approximately</w:t>
      </w:r>
      <w:r w:rsidR="00FE59E5">
        <w:rPr>
          <w:rFonts w:ascii="Franklin Gothic Book" w:hAnsi="Franklin Gothic Book"/>
          <w:sz w:val="22"/>
        </w:rPr>
        <w:t xml:space="preserve"> 70%</w:t>
      </w:r>
      <w:r>
        <w:rPr>
          <w:rFonts w:ascii="Franklin Gothic Book" w:hAnsi="Franklin Gothic Book"/>
          <w:sz w:val="22"/>
        </w:rPr>
        <w:t xml:space="preserve"> </w:t>
      </w:r>
      <w:r w:rsidR="00EE0171">
        <w:rPr>
          <w:rFonts w:ascii="Franklin Gothic Book" w:hAnsi="Franklin Gothic Book"/>
          <w:sz w:val="22"/>
        </w:rPr>
        <w:t xml:space="preserve">of these cases </w:t>
      </w:r>
      <w:r w:rsidR="00481D99">
        <w:rPr>
          <w:rFonts w:ascii="Franklin Gothic Book" w:hAnsi="Franklin Gothic Book"/>
          <w:sz w:val="22"/>
        </w:rPr>
        <w:t>are</w:t>
      </w:r>
      <w:r w:rsidR="00E6010E">
        <w:rPr>
          <w:rFonts w:ascii="Franklin Gothic Book" w:hAnsi="Franklin Gothic Book"/>
          <w:sz w:val="22"/>
        </w:rPr>
        <w:t xml:space="preserve"> estimated to be</w:t>
      </w:r>
      <w:r w:rsidR="00481D99">
        <w:rPr>
          <w:rFonts w:ascii="Franklin Gothic Book" w:hAnsi="Franklin Gothic Book"/>
          <w:sz w:val="22"/>
        </w:rPr>
        <w:t xml:space="preserve"> HR+/HER2</w:t>
      </w:r>
      <w:r w:rsidR="00EA22E6" w:rsidRPr="00465270">
        <w:rPr>
          <w:rFonts w:ascii="Franklin Gothic Book" w:hAnsi="Franklin Gothic Book"/>
          <w:sz w:val="22"/>
        </w:rPr>
        <w:t>–.</w:t>
      </w:r>
      <w:r w:rsidR="00EA22E6">
        <w:rPr>
          <w:rFonts w:ascii="Franklin Gothic Book" w:hAnsi="Franklin Gothic Book"/>
          <w:sz w:val="22"/>
        </w:rPr>
        <w:t xml:space="preserve"> </w:t>
      </w:r>
      <w:r w:rsidR="007D7D0C" w:rsidRPr="00F5289B">
        <w:rPr>
          <w:rFonts w:ascii="Franklin Gothic Book" w:hAnsi="Franklin Gothic Book"/>
          <w:sz w:val="22"/>
        </w:rPr>
        <w:t>MSAC noted that AKT pathway alterations are common in advanced breast cancer</w:t>
      </w:r>
      <w:r w:rsidR="008E2776">
        <w:rPr>
          <w:rFonts w:ascii="Franklin Gothic Book" w:hAnsi="Franklin Gothic Book"/>
          <w:sz w:val="22"/>
        </w:rPr>
        <w:t xml:space="preserve"> and can be as high as </w:t>
      </w:r>
      <w:r w:rsidR="00FB066B">
        <w:rPr>
          <w:rFonts w:ascii="Franklin Gothic Book" w:hAnsi="Franklin Gothic Book"/>
          <w:sz w:val="22"/>
        </w:rPr>
        <w:t xml:space="preserve">60% </w:t>
      </w:r>
      <w:r w:rsidR="00BF37E6">
        <w:rPr>
          <w:rFonts w:ascii="Franklin Gothic Book" w:hAnsi="Franklin Gothic Book"/>
          <w:sz w:val="22"/>
        </w:rPr>
        <w:t>of</w:t>
      </w:r>
      <w:r w:rsidR="00FB066B">
        <w:rPr>
          <w:rFonts w:ascii="Franklin Gothic Book" w:hAnsi="Franklin Gothic Book"/>
          <w:sz w:val="22"/>
        </w:rPr>
        <w:t xml:space="preserve"> patients with </w:t>
      </w:r>
      <w:r w:rsidR="007D7D0C" w:rsidRPr="00F5289B">
        <w:rPr>
          <w:rFonts w:ascii="Franklin Gothic Book" w:hAnsi="Franklin Gothic Book"/>
          <w:sz w:val="22"/>
        </w:rPr>
        <w:t>HR+/</w:t>
      </w:r>
      <w:r w:rsidR="007D7D0C" w:rsidRPr="001D26C2">
        <w:rPr>
          <w:rFonts w:ascii="Franklin Gothic Book" w:hAnsi="Franklin Gothic Book"/>
          <w:sz w:val="22"/>
        </w:rPr>
        <w:t>HER2</w:t>
      </w:r>
      <w:r w:rsidR="007D7D0C" w:rsidRPr="00F5289B">
        <w:rPr>
          <w:rFonts w:ascii="Franklin Gothic Book" w:hAnsi="Franklin Gothic Book"/>
          <w:sz w:val="22"/>
        </w:rPr>
        <w:t xml:space="preserve">– </w:t>
      </w:r>
      <w:r w:rsidR="001D4198">
        <w:rPr>
          <w:rFonts w:ascii="Franklin Gothic Book" w:hAnsi="Franklin Gothic Book"/>
          <w:sz w:val="22"/>
        </w:rPr>
        <w:t xml:space="preserve">breast </w:t>
      </w:r>
      <w:r w:rsidR="007D7D0C" w:rsidRPr="00F5289B">
        <w:rPr>
          <w:rFonts w:ascii="Franklin Gothic Book" w:hAnsi="Franklin Gothic Book"/>
          <w:sz w:val="22"/>
        </w:rPr>
        <w:t xml:space="preserve">cancer, although the Australian rates are unknown. </w:t>
      </w:r>
      <w:r w:rsidR="007D7D0C" w:rsidRPr="00F5289B">
        <w:rPr>
          <w:rFonts w:ascii="Franklin Gothic Book" w:hAnsi="Franklin Gothic Book"/>
          <w:i/>
          <w:sz w:val="22"/>
        </w:rPr>
        <w:t>PIK3CA</w:t>
      </w:r>
      <w:r w:rsidR="007D7D0C" w:rsidRPr="00F5289B">
        <w:rPr>
          <w:rFonts w:ascii="Franklin Gothic Book" w:hAnsi="Franklin Gothic Book"/>
          <w:sz w:val="22"/>
        </w:rPr>
        <w:t xml:space="preserve"> is the most common gene alteration, followed by </w:t>
      </w:r>
      <w:r w:rsidR="007D7D0C" w:rsidRPr="00F5289B">
        <w:rPr>
          <w:rFonts w:ascii="Franklin Gothic Book" w:hAnsi="Franklin Gothic Book"/>
          <w:i/>
          <w:sz w:val="22"/>
        </w:rPr>
        <w:t>AKT1</w:t>
      </w:r>
      <w:r w:rsidR="007D7D0C" w:rsidRPr="00F5289B">
        <w:rPr>
          <w:rFonts w:ascii="Franklin Gothic Book" w:hAnsi="Franklin Gothic Book"/>
          <w:sz w:val="22"/>
        </w:rPr>
        <w:t xml:space="preserve"> and then </w:t>
      </w:r>
      <w:r w:rsidR="007D7D0C" w:rsidRPr="00F5289B">
        <w:rPr>
          <w:rFonts w:ascii="Franklin Gothic Book" w:hAnsi="Franklin Gothic Book"/>
          <w:i/>
          <w:sz w:val="22"/>
        </w:rPr>
        <w:t>PTEN</w:t>
      </w:r>
      <w:r w:rsidR="007D7D0C" w:rsidRPr="00F5289B">
        <w:rPr>
          <w:rFonts w:ascii="Franklin Gothic Book" w:hAnsi="Franklin Gothic Book"/>
          <w:sz w:val="22"/>
        </w:rPr>
        <w:t xml:space="preserve">. These genetic variants can be </w:t>
      </w:r>
      <w:r w:rsidR="00D441B9" w:rsidRPr="003F6F2A">
        <w:rPr>
          <w:rFonts w:ascii="Franklin Gothic Book" w:hAnsi="Franklin Gothic Book"/>
          <w:sz w:val="22"/>
        </w:rPr>
        <w:t xml:space="preserve">present at the time of cancer </w:t>
      </w:r>
      <w:proofErr w:type="gramStart"/>
      <w:r w:rsidR="00D441B9" w:rsidRPr="003F6F2A">
        <w:rPr>
          <w:rFonts w:ascii="Franklin Gothic Book" w:hAnsi="Franklin Gothic Book"/>
          <w:sz w:val="22"/>
        </w:rPr>
        <w:t>recurrence</w:t>
      </w:r>
      <w:r w:rsidR="00D441B9">
        <w:rPr>
          <w:rFonts w:ascii="Franklin Gothic Book" w:hAnsi="Franklin Gothic Book"/>
          <w:sz w:val="22"/>
        </w:rPr>
        <w:t xml:space="preserve">, </w:t>
      </w:r>
      <w:r w:rsidR="00D441B9" w:rsidRPr="003F6F2A">
        <w:rPr>
          <w:rFonts w:ascii="Franklin Gothic Book" w:hAnsi="Franklin Gothic Book"/>
          <w:sz w:val="22"/>
        </w:rPr>
        <w:t>or</w:t>
      </w:r>
      <w:proofErr w:type="gramEnd"/>
      <w:r w:rsidR="00D441B9" w:rsidRPr="003F6F2A">
        <w:rPr>
          <w:rFonts w:ascii="Franklin Gothic Book" w:hAnsi="Franklin Gothic Book"/>
          <w:sz w:val="22"/>
        </w:rPr>
        <w:t xml:space="preserve"> may be acquired </w:t>
      </w:r>
      <w:r w:rsidR="00D441B9">
        <w:rPr>
          <w:rFonts w:ascii="Franklin Gothic Book" w:hAnsi="Franklin Gothic Book"/>
          <w:sz w:val="22"/>
        </w:rPr>
        <w:t>as a result of previous treatment</w:t>
      </w:r>
      <w:r w:rsidR="007D7D0C" w:rsidRPr="00F5289B">
        <w:rPr>
          <w:rFonts w:ascii="Franklin Gothic Book" w:hAnsi="Franklin Gothic Book"/>
          <w:sz w:val="22"/>
        </w:rPr>
        <w:t xml:space="preserve">. </w:t>
      </w:r>
      <w:r w:rsidR="00D441B9">
        <w:rPr>
          <w:rFonts w:ascii="Franklin Gothic Book" w:hAnsi="Franklin Gothic Book"/>
          <w:sz w:val="22"/>
        </w:rPr>
        <w:t>CAPI</w:t>
      </w:r>
      <w:r w:rsidR="007D7D0C" w:rsidRPr="00F5289B">
        <w:rPr>
          <w:rFonts w:ascii="Franklin Gothic Book" w:hAnsi="Franklin Gothic Book"/>
          <w:sz w:val="22"/>
        </w:rPr>
        <w:t xml:space="preserve"> is an AKT inhibitor</w:t>
      </w:r>
      <w:r w:rsidR="00602872">
        <w:rPr>
          <w:rFonts w:ascii="Franklin Gothic Book" w:hAnsi="Franklin Gothic Book"/>
          <w:sz w:val="22"/>
        </w:rPr>
        <w:t xml:space="preserve"> and TGA-approved</w:t>
      </w:r>
      <w:r w:rsidR="00037051">
        <w:rPr>
          <w:rFonts w:ascii="Franklin Gothic Book" w:hAnsi="Franklin Gothic Book"/>
          <w:sz w:val="22"/>
        </w:rPr>
        <w:t xml:space="preserve"> </w:t>
      </w:r>
      <w:r w:rsidR="00602872" w:rsidRPr="00602872">
        <w:rPr>
          <w:rFonts w:ascii="Franklin Gothic Book" w:hAnsi="Franklin Gothic Book"/>
          <w:sz w:val="22"/>
        </w:rPr>
        <w:t xml:space="preserve">in combination with </w:t>
      </w:r>
      <w:r w:rsidR="00321AA5">
        <w:rPr>
          <w:rFonts w:ascii="Franklin Gothic Book" w:hAnsi="Franklin Gothic Book"/>
          <w:sz w:val="22"/>
        </w:rPr>
        <w:t>FULV</w:t>
      </w:r>
      <w:r w:rsidR="004D6E5F">
        <w:rPr>
          <w:rFonts w:ascii="Franklin Gothic Book" w:hAnsi="Franklin Gothic Book"/>
          <w:sz w:val="22"/>
        </w:rPr>
        <w:t xml:space="preserve"> </w:t>
      </w:r>
      <w:r w:rsidR="00602872" w:rsidRPr="00602872">
        <w:rPr>
          <w:rFonts w:ascii="Franklin Gothic Book" w:hAnsi="Franklin Gothic Book"/>
          <w:sz w:val="22"/>
        </w:rPr>
        <w:t>for the treatment of adult patients with HR</w:t>
      </w:r>
      <w:r w:rsidR="0014285E">
        <w:rPr>
          <w:rFonts w:ascii="Franklin Gothic Book" w:hAnsi="Franklin Gothic Book"/>
          <w:sz w:val="22"/>
        </w:rPr>
        <w:t>+/</w:t>
      </w:r>
      <w:r w:rsidR="00602872" w:rsidRPr="00602872">
        <w:rPr>
          <w:rFonts w:ascii="Franklin Gothic Book" w:hAnsi="Franklin Gothic Book"/>
          <w:sz w:val="22"/>
        </w:rPr>
        <w:t>HER2</w:t>
      </w:r>
      <w:r w:rsidR="0014285E">
        <w:rPr>
          <w:rFonts w:ascii="Franklin Gothic Book" w:hAnsi="Franklin Gothic Book"/>
          <w:sz w:val="22"/>
        </w:rPr>
        <w:t>-</w:t>
      </w:r>
      <w:r w:rsidR="00602872" w:rsidRPr="00602872">
        <w:rPr>
          <w:rFonts w:ascii="Franklin Gothic Book" w:hAnsi="Franklin Gothic Book"/>
          <w:sz w:val="22"/>
        </w:rPr>
        <w:t xml:space="preserve"> locally advanced or metastatic breast cancer following recurrence or progression on or after an endocrine</w:t>
      </w:r>
      <w:r w:rsidR="0014285E">
        <w:rPr>
          <w:rFonts w:ascii="Franklin Gothic Book" w:hAnsi="Franklin Gothic Book"/>
          <w:sz w:val="22"/>
        </w:rPr>
        <w:t>-</w:t>
      </w:r>
      <w:r w:rsidR="00602872" w:rsidRPr="00602872">
        <w:rPr>
          <w:rFonts w:ascii="Franklin Gothic Book" w:hAnsi="Franklin Gothic Book"/>
          <w:sz w:val="22"/>
        </w:rPr>
        <w:t>based regimen</w:t>
      </w:r>
      <w:r w:rsidR="007D7D0C" w:rsidRPr="00F5289B">
        <w:rPr>
          <w:rFonts w:ascii="Franklin Gothic Book" w:hAnsi="Franklin Gothic Book"/>
          <w:sz w:val="22"/>
        </w:rPr>
        <w:t>.</w:t>
      </w:r>
    </w:p>
    <w:p w14:paraId="51D74067" w14:textId="461F8923"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w:t>
      </w:r>
      <w:r w:rsidR="00CA54C5">
        <w:rPr>
          <w:rFonts w:ascii="Franklin Gothic Book" w:hAnsi="Franklin Gothic Book"/>
          <w:sz w:val="22"/>
        </w:rPr>
        <w:t xml:space="preserve">that </w:t>
      </w:r>
      <w:r w:rsidR="00724006">
        <w:rPr>
          <w:rFonts w:ascii="Franklin Gothic Book" w:hAnsi="Franklin Gothic Book"/>
          <w:sz w:val="22"/>
        </w:rPr>
        <w:t xml:space="preserve">treatment resistance and death are </w:t>
      </w:r>
      <w:r w:rsidR="004D0DCF">
        <w:rPr>
          <w:rFonts w:ascii="Franklin Gothic Book" w:hAnsi="Franklin Gothic Book"/>
          <w:sz w:val="22"/>
        </w:rPr>
        <w:t xml:space="preserve">highly likely </w:t>
      </w:r>
      <w:r w:rsidR="00CE2784">
        <w:rPr>
          <w:rFonts w:ascii="Franklin Gothic Book" w:hAnsi="Franklin Gothic Book"/>
          <w:sz w:val="22"/>
        </w:rPr>
        <w:t xml:space="preserve">in </w:t>
      </w:r>
      <w:r w:rsidR="001D3231">
        <w:rPr>
          <w:rFonts w:ascii="Franklin Gothic Book" w:hAnsi="Franklin Gothic Book"/>
          <w:sz w:val="22"/>
        </w:rPr>
        <w:t>patients</w:t>
      </w:r>
      <w:r w:rsidRPr="00F5289B">
        <w:rPr>
          <w:rFonts w:ascii="Franklin Gothic Book" w:hAnsi="Franklin Gothic Book"/>
          <w:sz w:val="22"/>
        </w:rPr>
        <w:t xml:space="preserve"> </w:t>
      </w:r>
      <w:r w:rsidR="00B65B96">
        <w:rPr>
          <w:rFonts w:ascii="Franklin Gothic Book" w:hAnsi="Franklin Gothic Book"/>
          <w:sz w:val="22"/>
        </w:rPr>
        <w:t xml:space="preserve">with </w:t>
      </w:r>
      <w:r w:rsidRPr="00F5289B">
        <w:rPr>
          <w:rFonts w:ascii="Franklin Gothic Book" w:hAnsi="Franklin Gothic Book"/>
          <w:sz w:val="22"/>
        </w:rPr>
        <w:t>locally advanced or metastatic HR+/</w:t>
      </w:r>
      <w:r w:rsidRPr="00055777">
        <w:rPr>
          <w:rFonts w:ascii="Franklin Gothic Book" w:hAnsi="Franklin Gothic Book"/>
          <w:sz w:val="22"/>
        </w:rPr>
        <w:t>HER2–</w:t>
      </w:r>
      <w:r w:rsidRPr="00F5289B">
        <w:rPr>
          <w:rFonts w:ascii="Franklin Gothic Book" w:hAnsi="Franklin Gothic Book"/>
          <w:sz w:val="22"/>
        </w:rPr>
        <w:t xml:space="preserve"> breast cancer</w:t>
      </w:r>
      <w:r w:rsidR="00092648">
        <w:rPr>
          <w:rFonts w:ascii="Franklin Gothic Book" w:hAnsi="Franklin Gothic Book"/>
          <w:sz w:val="22"/>
        </w:rPr>
        <w:t>,</w:t>
      </w:r>
      <w:r w:rsidR="00827BAA">
        <w:rPr>
          <w:rFonts w:ascii="Franklin Gothic Book" w:hAnsi="Franklin Gothic Book"/>
          <w:sz w:val="22"/>
        </w:rPr>
        <w:t xml:space="preserve"> and </w:t>
      </w:r>
      <w:r w:rsidR="00092648">
        <w:rPr>
          <w:rFonts w:ascii="Franklin Gothic Book" w:hAnsi="Franklin Gothic Book"/>
          <w:sz w:val="22"/>
        </w:rPr>
        <w:t>therefore that</w:t>
      </w:r>
      <w:r w:rsidR="00827BAA">
        <w:rPr>
          <w:rFonts w:ascii="Franklin Gothic Book" w:hAnsi="Franklin Gothic Book"/>
          <w:sz w:val="22"/>
        </w:rPr>
        <w:t xml:space="preserve"> new</w:t>
      </w:r>
      <w:r w:rsidRPr="00F5289B">
        <w:rPr>
          <w:rFonts w:ascii="Franklin Gothic Book" w:hAnsi="Franklin Gothic Book"/>
          <w:sz w:val="22"/>
        </w:rPr>
        <w:t xml:space="preserve">, </w:t>
      </w:r>
      <w:r w:rsidR="00327088">
        <w:rPr>
          <w:rFonts w:ascii="Franklin Gothic Book" w:hAnsi="Franklin Gothic Book"/>
          <w:sz w:val="22"/>
        </w:rPr>
        <w:t>effective treatments</w:t>
      </w:r>
      <w:r w:rsidR="00525417">
        <w:rPr>
          <w:rFonts w:ascii="Franklin Gothic Book" w:hAnsi="Franklin Gothic Book"/>
          <w:sz w:val="22"/>
        </w:rPr>
        <w:t xml:space="preserve"> for </w:t>
      </w:r>
      <w:r w:rsidRPr="00F5289B">
        <w:rPr>
          <w:rFonts w:ascii="Franklin Gothic Book" w:hAnsi="Franklin Gothic Book"/>
          <w:sz w:val="22"/>
        </w:rPr>
        <w:t>this patient group</w:t>
      </w:r>
      <w:r w:rsidR="00092648">
        <w:rPr>
          <w:rFonts w:ascii="Franklin Gothic Book" w:hAnsi="Franklin Gothic Book"/>
          <w:sz w:val="22"/>
        </w:rPr>
        <w:t xml:space="preserve"> are needed</w:t>
      </w:r>
      <w:r w:rsidRPr="00F5289B">
        <w:rPr>
          <w:rFonts w:ascii="Franklin Gothic Book" w:hAnsi="Franklin Gothic Book"/>
          <w:sz w:val="22"/>
        </w:rPr>
        <w:t>.</w:t>
      </w:r>
    </w:p>
    <w:p w14:paraId="243E30DB" w14:textId="77777777" w:rsidR="00D37EFB" w:rsidRDefault="007D7D0C" w:rsidP="007D7D0C">
      <w:pPr>
        <w:rPr>
          <w:rFonts w:ascii="Franklin Gothic Book" w:hAnsi="Franklin Gothic Book"/>
          <w:sz w:val="22"/>
        </w:rPr>
      </w:pPr>
      <w:r w:rsidRPr="00F5289B">
        <w:rPr>
          <w:rFonts w:ascii="Franklin Gothic Book" w:hAnsi="Franklin Gothic Book"/>
          <w:sz w:val="22"/>
        </w:rPr>
        <w:t>MSAC noted the proposed MBS descriptor</w:t>
      </w:r>
      <w:r w:rsidR="00D37EFB">
        <w:rPr>
          <w:rFonts w:ascii="Franklin Gothic Book" w:hAnsi="Franklin Gothic Book"/>
          <w:sz w:val="22"/>
        </w:rPr>
        <w:t>, which was</w:t>
      </w:r>
      <w:r w:rsidRPr="00F5289B">
        <w:rPr>
          <w:rFonts w:ascii="Franklin Gothic Book" w:hAnsi="Franklin Gothic Book"/>
          <w:sz w:val="22"/>
        </w:rPr>
        <w:t xml:space="preserve">: </w:t>
      </w:r>
    </w:p>
    <w:p w14:paraId="27749178" w14:textId="0AC43552" w:rsidR="007D7D0C" w:rsidRPr="00F5289B" w:rsidRDefault="007D7D0C" w:rsidP="00F50E3E">
      <w:pPr>
        <w:spacing w:after="0"/>
        <w:rPr>
          <w:rFonts w:ascii="Franklin Gothic Book" w:hAnsi="Franklin Gothic Book"/>
          <w:sz w:val="22"/>
        </w:rPr>
      </w:pPr>
      <w:r w:rsidRPr="00F5289B">
        <w:rPr>
          <w:rFonts w:ascii="Franklin Gothic Book" w:hAnsi="Franklin Gothic Book"/>
          <w:sz w:val="22"/>
        </w:rPr>
        <w:t xml:space="preserve">‘A test of tumour tissue for full characterisation of tier 1 </w:t>
      </w:r>
      <w:r w:rsidRPr="00F5289B">
        <w:rPr>
          <w:rFonts w:ascii="Franklin Gothic Book" w:hAnsi="Franklin Gothic Book"/>
          <w:i/>
          <w:sz w:val="22"/>
        </w:rPr>
        <w:t>PIK3CA</w:t>
      </w:r>
      <w:r w:rsidRPr="00F5289B">
        <w:rPr>
          <w:rFonts w:ascii="Franklin Gothic Book" w:hAnsi="Franklin Gothic Book"/>
          <w:sz w:val="22"/>
        </w:rPr>
        <w:t xml:space="preserve">, </w:t>
      </w:r>
      <w:r w:rsidRPr="00F5289B">
        <w:rPr>
          <w:rFonts w:ascii="Franklin Gothic Book" w:hAnsi="Franklin Gothic Book"/>
          <w:i/>
          <w:sz w:val="22"/>
        </w:rPr>
        <w:t>AKT1</w:t>
      </w:r>
      <w:r w:rsidRPr="00F5289B">
        <w:rPr>
          <w:rFonts w:ascii="Franklin Gothic Book" w:hAnsi="Franklin Gothic Book"/>
          <w:sz w:val="22"/>
        </w:rPr>
        <w:t xml:space="preserve"> and </w:t>
      </w:r>
      <w:r w:rsidRPr="00F5289B">
        <w:rPr>
          <w:rFonts w:ascii="Franklin Gothic Book" w:hAnsi="Franklin Gothic Book"/>
          <w:i/>
          <w:sz w:val="22"/>
        </w:rPr>
        <w:t xml:space="preserve">PTEN </w:t>
      </w:r>
      <w:r w:rsidRPr="00F5289B">
        <w:rPr>
          <w:rFonts w:ascii="Franklin Gothic Book" w:hAnsi="Franklin Gothic Book"/>
          <w:sz w:val="22"/>
        </w:rPr>
        <w:t xml:space="preserve">gene variants including </w:t>
      </w:r>
      <w:r w:rsidRPr="00F5289B">
        <w:rPr>
          <w:rFonts w:ascii="Franklin Gothic Book" w:hAnsi="Franklin Gothic Book"/>
          <w:i/>
          <w:sz w:val="22"/>
        </w:rPr>
        <w:t>PTEN</w:t>
      </w:r>
      <w:r w:rsidRPr="00F5289B">
        <w:rPr>
          <w:rFonts w:ascii="Franklin Gothic Book" w:hAnsi="Franklin Gothic Book"/>
          <w:sz w:val="22"/>
        </w:rPr>
        <w:t xml:space="preserve"> copy number variants, associated with abrogation of the AKT pathway, in a patient with:</w:t>
      </w:r>
    </w:p>
    <w:p w14:paraId="3DFD6F67" w14:textId="77777777" w:rsidR="007D7D0C" w:rsidRPr="00F5289B" w:rsidRDefault="007D7D0C" w:rsidP="00F50E3E">
      <w:pPr>
        <w:pStyle w:val="Bullet"/>
        <w:numPr>
          <w:ilvl w:val="0"/>
          <w:numId w:val="19"/>
        </w:numPr>
        <w:spacing w:before="0" w:after="0"/>
        <w:ind w:left="714" w:hanging="357"/>
        <w:rPr>
          <w:rFonts w:ascii="Franklin Gothic Book" w:hAnsi="Franklin Gothic Book"/>
        </w:rPr>
      </w:pPr>
      <w:r w:rsidRPr="00F5289B">
        <w:rPr>
          <w:rFonts w:ascii="Franklin Gothic Book" w:hAnsi="Franklin Gothic Book"/>
        </w:rPr>
        <w:t>locally advanced (inoperable) or metastatic hormone receptor positive, HER2- breast cancer; OR</w:t>
      </w:r>
    </w:p>
    <w:p w14:paraId="3EA78ED8" w14:textId="31F5124E" w:rsidR="007D7D0C" w:rsidRDefault="007D7D0C" w:rsidP="003B4C29">
      <w:pPr>
        <w:pStyle w:val="Bullet"/>
        <w:numPr>
          <w:ilvl w:val="0"/>
          <w:numId w:val="19"/>
        </w:numPr>
        <w:spacing w:before="0" w:after="0"/>
        <w:ind w:left="714" w:hanging="357"/>
        <w:rPr>
          <w:rFonts w:ascii="Franklin Gothic Book" w:hAnsi="Franklin Gothic Book"/>
        </w:rPr>
      </w:pPr>
      <w:r w:rsidRPr="00F5289B">
        <w:rPr>
          <w:rFonts w:ascii="Franklin Gothic Book" w:hAnsi="Franklin Gothic Book"/>
        </w:rPr>
        <w:t>following recurrence or progression on or after endocrine based regimen, with or without a CDK4/6 inhibitor.</w:t>
      </w:r>
    </w:p>
    <w:p w14:paraId="6365EED3" w14:textId="0ABB867C" w:rsidR="004A07C2" w:rsidRPr="00756A54" w:rsidRDefault="004A07C2" w:rsidP="00756A54">
      <w:pPr>
        <w:pStyle w:val="BulletBeforeDash"/>
        <w:numPr>
          <w:ilvl w:val="0"/>
          <w:numId w:val="0"/>
        </w:numPr>
        <w:rPr>
          <w:rFonts w:ascii="Franklin Gothic Book" w:eastAsiaTheme="minorEastAsia" w:hAnsi="Franklin Gothic Book" w:cstheme="minorBidi"/>
          <w:color w:val="auto"/>
          <w:sz w:val="22"/>
          <w:szCs w:val="22"/>
          <w:lang w:eastAsia="en-US"/>
        </w:rPr>
      </w:pPr>
      <w:r w:rsidRPr="2C973C4D">
        <w:rPr>
          <w:rFonts w:ascii="Franklin Gothic Book" w:eastAsiaTheme="minorEastAsia" w:hAnsi="Franklin Gothic Book" w:cstheme="minorBidi"/>
          <w:color w:val="auto"/>
          <w:sz w:val="22"/>
          <w:szCs w:val="22"/>
          <w:lang w:eastAsia="en-US"/>
        </w:rPr>
        <w:t xml:space="preserve">As requested by a specialist or consultant physician, to determine eligibility for a </w:t>
      </w:r>
      <w:r w:rsidR="003B4C29" w:rsidRPr="2C973C4D">
        <w:rPr>
          <w:rFonts w:ascii="Franklin Gothic Book" w:eastAsiaTheme="minorEastAsia" w:hAnsi="Franklin Gothic Book" w:cstheme="minorBidi"/>
          <w:color w:val="auto"/>
          <w:sz w:val="22"/>
          <w:szCs w:val="22"/>
          <w:lang w:eastAsia="en-US"/>
        </w:rPr>
        <w:t xml:space="preserve">relevant </w:t>
      </w:r>
      <w:r w:rsidRPr="2C973C4D">
        <w:rPr>
          <w:rFonts w:ascii="Franklin Gothic Book" w:eastAsiaTheme="minorEastAsia" w:hAnsi="Franklin Gothic Book" w:cstheme="minorBidi"/>
          <w:color w:val="auto"/>
          <w:sz w:val="22"/>
          <w:szCs w:val="22"/>
          <w:lang w:eastAsia="en-US"/>
        </w:rPr>
        <w:t>treatment</w:t>
      </w:r>
      <w:r w:rsidR="00756A54" w:rsidRPr="2C973C4D">
        <w:rPr>
          <w:rFonts w:ascii="Franklin Gothic Book" w:eastAsiaTheme="minorEastAsia" w:hAnsi="Franklin Gothic Book" w:cstheme="minorBidi"/>
          <w:color w:val="auto"/>
          <w:sz w:val="22"/>
          <w:szCs w:val="22"/>
          <w:lang w:eastAsia="en-US"/>
        </w:rPr>
        <w:t xml:space="preserve"> </w:t>
      </w:r>
      <w:r w:rsidRPr="2C973C4D">
        <w:rPr>
          <w:rFonts w:ascii="Franklin Gothic Book" w:eastAsiaTheme="minorEastAsia" w:hAnsi="Franklin Gothic Book" w:cstheme="minorBidi"/>
          <w:color w:val="auto"/>
          <w:sz w:val="22"/>
          <w:szCs w:val="22"/>
          <w:lang w:eastAsia="en-US"/>
        </w:rPr>
        <w:t>listed on the Pharmaceutical Benefits Scheme (PBS) for this context.</w:t>
      </w:r>
      <w:r w:rsidR="00756A54" w:rsidRPr="2C973C4D">
        <w:rPr>
          <w:rFonts w:ascii="Franklin Gothic Book" w:eastAsiaTheme="minorEastAsia" w:hAnsi="Franklin Gothic Book" w:cstheme="minorBidi"/>
          <w:color w:val="auto"/>
          <w:sz w:val="22"/>
          <w:szCs w:val="22"/>
          <w:lang w:eastAsia="en-US"/>
        </w:rPr>
        <w:t>’</w:t>
      </w:r>
    </w:p>
    <w:p w14:paraId="4FF5C4B9" w14:textId="35534D18" w:rsidR="003A643A" w:rsidRDefault="007D7D0C" w:rsidP="007D7D0C">
      <w:pPr>
        <w:rPr>
          <w:rFonts w:ascii="Franklin Gothic Book" w:hAnsi="Franklin Gothic Book"/>
          <w:sz w:val="22"/>
        </w:rPr>
      </w:pPr>
      <w:r w:rsidRPr="00F5289B">
        <w:rPr>
          <w:rFonts w:ascii="Franklin Gothic Book" w:hAnsi="Franklin Gothic Book"/>
          <w:sz w:val="22"/>
        </w:rPr>
        <w:t xml:space="preserve">MSAC considered that </w:t>
      </w:r>
      <w:r w:rsidR="00D37EFB">
        <w:rPr>
          <w:rFonts w:ascii="Franklin Gothic Book" w:hAnsi="Franklin Gothic Book"/>
          <w:sz w:val="22"/>
        </w:rPr>
        <w:t>the use of</w:t>
      </w:r>
      <w:r w:rsidRPr="00F5289B">
        <w:rPr>
          <w:rFonts w:ascii="Franklin Gothic Book" w:hAnsi="Franklin Gothic Book"/>
          <w:sz w:val="22"/>
        </w:rPr>
        <w:t xml:space="preserve"> ‘</w:t>
      </w:r>
      <w:r w:rsidR="00D37EFB">
        <w:rPr>
          <w:rFonts w:ascii="Franklin Gothic Book" w:hAnsi="Franklin Gothic Book"/>
          <w:sz w:val="22"/>
        </w:rPr>
        <w:t>OR</w:t>
      </w:r>
      <w:r w:rsidRPr="00F5289B">
        <w:rPr>
          <w:rFonts w:ascii="Franklin Gothic Book" w:hAnsi="Franklin Gothic Book"/>
          <w:sz w:val="22"/>
        </w:rPr>
        <w:t xml:space="preserve">’ </w:t>
      </w:r>
      <w:r w:rsidR="00D37EFB">
        <w:rPr>
          <w:rFonts w:ascii="Franklin Gothic Book" w:hAnsi="Franklin Gothic Book"/>
          <w:sz w:val="22"/>
        </w:rPr>
        <w:t>within</w:t>
      </w:r>
      <w:r w:rsidRPr="00F5289B">
        <w:rPr>
          <w:rFonts w:ascii="Franklin Gothic Book" w:hAnsi="Franklin Gothic Book"/>
          <w:sz w:val="22"/>
        </w:rPr>
        <w:t xml:space="preserve"> the descriptor </w:t>
      </w:r>
      <w:r w:rsidR="00D37EFB">
        <w:rPr>
          <w:rFonts w:ascii="Franklin Gothic Book" w:hAnsi="Franklin Gothic Book"/>
          <w:sz w:val="22"/>
        </w:rPr>
        <w:t xml:space="preserve">resulted in a lack of alignment between the proposed testing item and </w:t>
      </w:r>
      <w:r w:rsidRPr="00F5289B">
        <w:rPr>
          <w:rFonts w:ascii="Franklin Gothic Book" w:hAnsi="Franklin Gothic Book"/>
          <w:sz w:val="22"/>
        </w:rPr>
        <w:t>the proposed PBS restriction</w:t>
      </w:r>
      <w:r w:rsidR="000E2411" w:rsidRPr="00F5289B">
        <w:rPr>
          <w:rFonts w:ascii="Franklin Gothic Book" w:hAnsi="Franklin Gothic Book"/>
          <w:sz w:val="22"/>
        </w:rPr>
        <w:t xml:space="preserve">. MSAC noted that </w:t>
      </w:r>
      <w:r w:rsidR="00AF67F7" w:rsidRPr="00F5289B">
        <w:rPr>
          <w:rFonts w:ascii="Franklin Gothic Book" w:hAnsi="Franklin Gothic Book"/>
          <w:sz w:val="22"/>
        </w:rPr>
        <w:t>‘</w:t>
      </w:r>
      <w:r w:rsidR="00D37EFB">
        <w:rPr>
          <w:rFonts w:ascii="Franklin Gothic Book" w:hAnsi="Franklin Gothic Book"/>
          <w:sz w:val="22"/>
        </w:rPr>
        <w:t>OR</w:t>
      </w:r>
      <w:r w:rsidR="00AF67F7" w:rsidRPr="00F5289B">
        <w:rPr>
          <w:rFonts w:ascii="Franklin Gothic Book" w:hAnsi="Franklin Gothic Book"/>
          <w:sz w:val="22"/>
        </w:rPr>
        <w:t xml:space="preserve">’ might be reasonable </w:t>
      </w:r>
      <w:r w:rsidR="001450D6" w:rsidRPr="00F5289B">
        <w:rPr>
          <w:rFonts w:ascii="Franklin Gothic Book" w:hAnsi="Franklin Gothic Book"/>
          <w:sz w:val="22"/>
        </w:rPr>
        <w:t xml:space="preserve">clinically </w:t>
      </w:r>
      <w:r w:rsidR="00AF67F7" w:rsidRPr="00F5289B">
        <w:rPr>
          <w:rFonts w:ascii="Franklin Gothic Book" w:hAnsi="Franklin Gothic Book"/>
          <w:sz w:val="22"/>
        </w:rPr>
        <w:t>as a means of saving time</w:t>
      </w:r>
      <w:r w:rsidR="00F67DE3" w:rsidRPr="00F5289B">
        <w:rPr>
          <w:rFonts w:ascii="Franklin Gothic Book" w:hAnsi="Franklin Gothic Book"/>
          <w:sz w:val="22"/>
        </w:rPr>
        <w:t xml:space="preserve"> (because it </w:t>
      </w:r>
      <w:r w:rsidR="00B025F0">
        <w:rPr>
          <w:rFonts w:ascii="Franklin Gothic Book" w:hAnsi="Franklin Gothic Book"/>
          <w:sz w:val="22"/>
        </w:rPr>
        <w:t>allows for</w:t>
      </w:r>
      <w:r w:rsidR="00F67DE3" w:rsidRPr="00F5289B">
        <w:rPr>
          <w:rFonts w:ascii="Franklin Gothic Book" w:hAnsi="Franklin Gothic Book"/>
          <w:sz w:val="22"/>
        </w:rPr>
        <w:t xml:space="preserve"> testing </w:t>
      </w:r>
      <w:r w:rsidR="000D0892">
        <w:rPr>
          <w:rFonts w:ascii="Franklin Gothic Book" w:hAnsi="Franklin Gothic Book"/>
          <w:sz w:val="22"/>
        </w:rPr>
        <w:t>at</w:t>
      </w:r>
      <w:r w:rsidR="00C25F92" w:rsidRPr="00F5289B">
        <w:rPr>
          <w:rFonts w:ascii="Franklin Gothic Book" w:hAnsi="Franklin Gothic Book"/>
          <w:sz w:val="22"/>
        </w:rPr>
        <w:t xml:space="preserve"> the first occurrence of cancer</w:t>
      </w:r>
      <w:r w:rsidR="00B025F0">
        <w:rPr>
          <w:rFonts w:ascii="Franklin Gothic Book" w:hAnsi="Franklin Gothic Book"/>
          <w:sz w:val="22"/>
        </w:rPr>
        <w:t xml:space="preserve">, resulting in treatment being initiated </w:t>
      </w:r>
      <w:r w:rsidR="00FD5420">
        <w:rPr>
          <w:rFonts w:ascii="Franklin Gothic Book" w:hAnsi="Franklin Gothic Book"/>
          <w:sz w:val="22"/>
        </w:rPr>
        <w:t>sooner after recurrence or progression</w:t>
      </w:r>
      <w:r w:rsidR="000F0EA2" w:rsidRPr="00F5289B">
        <w:rPr>
          <w:rFonts w:ascii="Franklin Gothic Book" w:hAnsi="Franklin Gothic Book"/>
          <w:sz w:val="22"/>
        </w:rPr>
        <w:t>)</w:t>
      </w:r>
      <w:r w:rsidR="00FD5420">
        <w:rPr>
          <w:rFonts w:ascii="Franklin Gothic Book" w:hAnsi="Franklin Gothic Book"/>
          <w:sz w:val="22"/>
        </w:rPr>
        <w:t xml:space="preserve">. However, MSAC also considered that testing prior to </w:t>
      </w:r>
      <w:r w:rsidR="00566C9B">
        <w:rPr>
          <w:rFonts w:ascii="Franklin Gothic Book" w:hAnsi="Franklin Gothic Book"/>
          <w:sz w:val="22"/>
        </w:rPr>
        <w:t>breast cancer</w:t>
      </w:r>
      <w:r w:rsidR="00FD5420">
        <w:rPr>
          <w:rFonts w:ascii="Franklin Gothic Book" w:hAnsi="Franklin Gothic Book"/>
          <w:sz w:val="22"/>
        </w:rPr>
        <w:t xml:space="preserve"> recurrence or progression</w:t>
      </w:r>
      <w:r w:rsidR="001450D6" w:rsidRPr="00F5289B">
        <w:rPr>
          <w:rFonts w:ascii="Franklin Gothic Book" w:hAnsi="Franklin Gothic Book"/>
          <w:sz w:val="22"/>
        </w:rPr>
        <w:t xml:space="preserve"> </w:t>
      </w:r>
      <w:r w:rsidR="000D0892">
        <w:rPr>
          <w:rFonts w:ascii="Franklin Gothic Book" w:hAnsi="Franklin Gothic Book"/>
          <w:sz w:val="22"/>
        </w:rPr>
        <w:t>may</w:t>
      </w:r>
      <w:r w:rsidR="001450D6">
        <w:rPr>
          <w:rFonts w:ascii="Franklin Gothic Book" w:hAnsi="Franklin Gothic Book"/>
          <w:sz w:val="22"/>
        </w:rPr>
        <w:t xml:space="preserve"> </w:t>
      </w:r>
      <w:r w:rsidR="001450D6" w:rsidRPr="00F5289B">
        <w:rPr>
          <w:rFonts w:ascii="Franklin Gothic Book" w:hAnsi="Franklin Gothic Book"/>
          <w:sz w:val="22"/>
        </w:rPr>
        <w:t xml:space="preserve">also </w:t>
      </w:r>
      <w:r w:rsidR="00A87DD8">
        <w:rPr>
          <w:rFonts w:ascii="Franklin Gothic Book" w:hAnsi="Franklin Gothic Book"/>
          <w:sz w:val="22"/>
        </w:rPr>
        <w:t>lead to</w:t>
      </w:r>
      <w:r w:rsidR="00FD5420">
        <w:rPr>
          <w:rFonts w:ascii="Franklin Gothic Book" w:hAnsi="Franklin Gothic Book"/>
          <w:sz w:val="22"/>
        </w:rPr>
        <w:t xml:space="preserve"> </w:t>
      </w:r>
      <w:r w:rsidR="00E26964">
        <w:rPr>
          <w:rFonts w:ascii="Franklin Gothic Book" w:hAnsi="Franklin Gothic Book"/>
          <w:sz w:val="22"/>
        </w:rPr>
        <w:t>missing</w:t>
      </w:r>
      <w:r w:rsidR="001450D6" w:rsidRPr="00F5289B">
        <w:rPr>
          <w:rFonts w:ascii="Franklin Gothic Book" w:hAnsi="Franklin Gothic Book"/>
          <w:sz w:val="22"/>
        </w:rPr>
        <w:t xml:space="preserve"> </w:t>
      </w:r>
      <w:r w:rsidR="0049521E" w:rsidRPr="00F5289B">
        <w:rPr>
          <w:rFonts w:ascii="Franklin Gothic Book" w:hAnsi="Franklin Gothic Book"/>
          <w:sz w:val="22"/>
        </w:rPr>
        <w:t>AKT pathway alterations</w:t>
      </w:r>
      <w:r w:rsidR="00362499">
        <w:rPr>
          <w:rFonts w:ascii="Franklin Gothic Book" w:hAnsi="Franklin Gothic Book"/>
          <w:sz w:val="22"/>
        </w:rPr>
        <w:t xml:space="preserve"> </w:t>
      </w:r>
      <w:r w:rsidR="0036344C">
        <w:rPr>
          <w:rFonts w:ascii="Franklin Gothic Book" w:hAnsi="Franklin Gothic Book"/>
          <w:sz w:val="22"/>
        </w:rPr>
        <w:t xml:space="preserve">that </w:t>
      </w:r>
      <w:r w:rsidR="00E448A5">
        <w:rPr>
          <w:rFonts w:ascii="Franklin Gothic Book" w:hAnsi="Franklin Gothic Book"/>
          <w:sz w:val="22"/>
        </w:rPr>
        <w:t>may</w:t>
      </w:r>
      <w:r w:rsidR="0036344C">
        <w:rPr>
          <w:rFonts w:ascii="Franklin Gothic Book" w:hAnsi="Franklin Gothic Book"/>
          <w:sz w:val="22"/>
        </w:rPr>
        <w:t xml:space="preserve"> develop </w:t>
      </w:r>
      <w:r w:rsidR="00362499">
        <w:rPr>
          <w:rFonts w:ascii="Franklin Gothic Book" w:hAnsi="Franklin Gothic Book"/>
          <w:sz w:val="22"/>
        </w:rPr>
        <w:t>later</w:t>
      </w:r>
      <w:r w:rsidRPr="00F5289B">
        <w:rPr>
          <w:rFonts w:ascii="Franklin Gothic Book" w:hAnsi="Franklin Gothic Book"/>
          <w:sz w:val="22"/>
        </w:rPr>
        <w:t>.</w:t>
      </w:r>
      <w:r w:rsidR="000E2411" w:rsidRPr="00F5289B">
        <w:rPr>
          <w:rFonts w:ascii="Franklin Gothic Book" w:hAnsi="Franklin Gothic Book"/>
          <w:sz w:val="22"/>
        </w:rPr>
        <w:t xml:space="preserve"> MSAC </w:t>
      </w:r>
      <w:r w:rsidR="00164DB2">
        <w:rPr>
          <w:rFonts w:ascii="Franklin Gothic Book" w:hAnsi="Franklin Gothic Book"/>
          <w:sz w:val="22"/>
        </w:rPr>
        <w:t>further</w:t>
      </w:r>
      <w:r w:rsidR="000E2411" w:rsidRPr="00F5289B">
        <w:rPr>
          <w:rFonts w:ascii="Franklin Gothic Book" w:hAnsi="Franklin Gothic Book"/>
          <w:sz w:val="22"/>
        </w:rPr>
        <w:t xml:space="preserve"> noted that the number of patients </w:t>
      </w:r>
      <w:r w:rsidR="00FD5420">
        <w:rPr>
          <w:rFonts w:ascii="Franklin Gothic Book" w:hAnsi="Franklin Gothic Book"/>
          <w:sz w:val="22"/>
        </w:rPr>
        <w:t xml:space="preserve">tested </w:t>
      </w:r>
      <w:r w:rsidR="000E2411" w:rsidRPr="00F5289B">
        <w:rPr>
          <w:rFonts w:ascii="Franklin Gothic Book" w:hAnsi="Franklin Gothic Book"/>
          <w:sz w:val="22"/>
        </w:rPr>
        <w:t xml:space="preserve">per year </w:t>
      </w:r>
      <w:r w:rsidR="00FD5420">
        <w:rPr>
          <w:rFonts w:ascii="Franklin Gothic Book" w:hAnsi="Franklin Gothic Book"/>
          <w:sz w:val="22"/>
        </w:rPr>
        <w:t>would</w:t>
      </w:r>
      <w:r w:rsidR="000E2411" w:rsidRPr="00F5289B">
        <w:rPr>
          <w:rFonts w:ascii="Franklin Gothic Book" w:hAnsi="Franklin Gothic Book"/>
          <w:sz w:val="22"/>
        </w:rPr>
        <w:t xml:space="preserve"> depend on whether the</w:t>
      </w:r>
      <w:r w:rsidR="000E2411">
        <w:rPr>
          <w:rFonts w:ascii="Franklin Gothic Book" w:hAnsi="Franklin Gothic Book"/>
          <w:sz w:val="22"/>
        </w:rPr>
        <w:t xml:space="preserve"> </w:t>
      </w:r>
      <w:r w:rsidR="003A643A">
        <w:rPr>
          <w:rFonts w:ascii="Franklin Gothic Book" w:hAnsi="Franklin Gothic Book"/>
          <w:sz w:val="22"/>
        </w:rPr>
        <w:t xml:space="preserve">item descriptor </w:t>
      </w:r>
      <w:r w:rsidR="000E2411" w:rsidRPr="00F5289B">
        <w:rPr>
          <w:rFonts w:ascii="Franklin Gothic Book" w:hAnsi="Franklin Gothic Book"/>
          <w:sz w:val="22"/>
        </w:rPr>
        <w:t xml:space="preserve">restricted </w:t>
      </w:r>
      <w:r w:rsidR="003A643A">
        <w:rPr>
          <w:rFonts w:ascii="Franklin Gothic Book" w:hAnsi="Franklin Gothic Book"/>
          <w:sz w:val="22"/>
        </w:rPr>
        <w:t>testing to patients after cancer recurrence or progression</w:t>
      </w:r>
      <w:r w:rsidR="000E2411" w:rsidRPr="00F5289B">
        <w:rPr>
          <w:rFonts w:ascii="Franklin Gothic Book" w:hAnsi="Franklin Gothic Book"/>
          <w:sz w:val="22"/>
        </w:rPr>
        <w:t xml:space="preserve"> (</w:t>
      </w:r>
      <w:r w:rsidR="003A643A">
        <w:rPr>
          <w:rFonts w:ascii="Franklin Gothic Book" w:hAnsi="Franklin Gothic Book"/>
          <w:sz w:val="22"/>
        </w:rPr>
        <w:t>i.e. if the descriptor used</w:t>
      </w:r>
      <w:r w:rsidR="000E2411" w:rsidRPr="00F5289B">
        <w:rPr>
          <w:rFonts w:ascii="Franklin Gothic Book" w:hAnsi="Franklin Gothic Book"/>
          <w:sz w:val="22"/>
        </w:rPr>
        <w:t xml:space="preserve"> ‘</w:t>
      </w:r>
      <w:r w:rsidR="003A643A">
        <w:rPr>
          <w:rFonts w:ascii="Franklin Gothic Book" w:hAnsi="Franklin Gothic Book"/>
          <w:sz w:val="22"/>
        </w:rPr>
        <w:t>AND</w:t>
      </w:r>
      <w:r w:rsidR="005559AD" w:rsidRPr="00F5289B">
        <w:rPr>
          <w:rFonts w:ascii="Franklin Gothic Book" w:hAnsi="Franklin Gothic Book"/>
          <w:sz w:val="22"/>
        </w:rPr>
        <w:t>’</w:t>
      </w:r>
      <w:r w:rsidR="003A643A">
        <w:rPr>
          <w:rFonts w:ascii="Franklin Gothic Book" w:hAnsi="Franklin Gothic Book"/>
          <w:sz w:val="22"/>
        </w:rPr>
        <w:t xml:space="preserve"> as opposed to ‘OR’</w:t>
      </w:r>
      <w:proofErr w:type="gramStart"/>
      <w:r w:rsidR="005559AD" w:rsidRPr="00F5289B">
        <w:rPr>
          <w:rFonts w:ascii="Franklin Gothic Book" w:hAnsi="Franklin Gothic Book"/>
          <w:sz w:val="22"/>
        </w:rPr>
        <w:t>)</w:t>
      </w:r>
      <w:r w:rsidR="003A643A">
        <w:rPr>
          <w:rFonts w:ascii="Franklin Gothic Book" w:hAnsi="Franklin Gothic Book"/>
          <w:sz w:val="22"/>
        </w:rPr>
        <w:t>,</w:t>
      </w:r>
      <w:r w:rsidR="000E2411" w:rsidRPr="00F5289B">
        <w:rPr>
          <w:rFonts w:ascii="Franklin Gothic Book" w:hAnsi="Franklin Gothic Book"/>
          <w:sz w:val="22"/>
        </w:rPr>
        <w:t xml:space="preserve"> or</w:t>
      </w:r>
      <w:proofErr w:type="gramEnd"/>
      <w:r w:rsidR="000E2411" w:rsidRPr="00F5289B">
        <w:rPr>
          <w:rFonts w:ascii="Franklin Gothic Book" w:hAnsi="Franklin Gothic Book"/>
          <w:sz w:val="22"/>
        </w:rPr>
        <w:t xml:space="preserve"> </w:t>
      </w:r>
      <w:r w:rsidR="003A643A">
        <w:rPr>
          <w:rFonts w:ascii="Franklin Gothic Book" w:hAnsi="Franklin Gothic Book"/>
          <w:sz w:val="22"/>
        </w:rPr>
        <w:t xml:space="preserve">permitted testing </w:t>
      </w:r>
      <w:r w:rsidR="000E2411" w:rsidRPr="00F5289B">
        <w:rPr>
          <w:rFonts w:ascii="Franklin Gothic Book" w:hAnsi="Franklin Gothic Book"/>
          <w:sz w:val="22"/>
        </w:rPr>
        <w:t>on initial diagnosis</w:t>
      </w:r>
      <w:r w:rsidR="003A643A">
        <w:rPr>
          <w:rFonts w:ascii="Franklin Gothic Book" w:hAnsi="Franklin Gothic Book"/>
          <w:sz w:val="22"/>
        </w:rPr>
        <w:t xml:space="preserve"> (as proposed)</w:t>
      </w:r>
      <w:r w:rsidR="005559AD" w:rsidRPr="00F5289B">
        <w:rPr>
          <w:rFonts w:ascii="Franklin Gothic Book" w:hAnsi="Franklin Gothic Book"/>
          <w:sz w:val="22"/>
        </w:rPr>
        <w:t xml:space="preserve">. </w:t>
      </w:r>
      <w:r w:rsidRPr="00F5289B">
        <w:rPr>
          <w:rFonts w:ascii="Franklin Gothic Book" w:hAnsi="Franklin Gothic Book"/>
          <w:sz w:val="22"/>
        </w:rPr>
        <w:t>MSAC considered that ‘</w:t>
      </w:r>
      <w:r w:rsidR="003A643A">
        <w:rPr>
          <w:rFonts w:ascii="Franklin Gothic Book" w:hAnsi="Franklin Gothic Book"/>
          <w:sz w:val="22"/>
        </w:rPr>
        <w:t>AND</w:t>
      </w:r>
      <w:r w:rsidRPr="00F5289B">
        <w:rPr>
          <w:rFonts w:ascii="Franklin Gothic Book" w:hAnsi="Franklin Gothic Book"/>
          <w:sz w:val="22"/>
        </w:rPr>
        <w:t xml:space="preserve">’ was a better word choice because </w:t>
      </w:r>
      <w:r w:rsidR="003A643A">
        <w:rPr>
          <w:rFonts w:ascii="Franklin Gothic Book" w:hAnsi="Franklin Gothic Book"/>
          <w:sz w:val="22"/>
        </w:rPr>
        <w:t>it would</w:t>
      </w:r>
      <w:r w:rsidR="00C25F92" w:rsidRPr="00F5289B">
        <w:rPr>
          <w:rFonts w:ascii="Franklin Gothic Book" w:hAnsi="Franklin Gothic Book"/>
          <w:sz w:val="22"/>
        </w:rPr>
        <w:t xml:space="preserve"> </w:t>
      </w:r>
      <w:r w:rsidRPr="00F5289B">
        <w:rPr>
          <w:rFonts w:ascii="Franklin Gothic Book" w:hAnsi="Franklin Gothic Book"/>
          <w:sz w:val="22"/>
        </w:rPr>
        <w:t>limit the test</w:t>
      </w:r>
      <w:r w:rsidR="00B6023D">
        <w:rPr>
          <w:rFonts w:ascii="Franklin Gothic Book" w:hAnsi="Franklin Gothic Book"/>
          <w:sz w:val="22"/>
        </w:rPr>
        <w:t>ing</w:t>
      </w:r>
      <w:r w:rsidR="009C2F69" w:rsidRPr="00F5289B">
        <w:rPr>
          <w:rFonts w:ascii="Franklin Gothic Book" w:hAnsi="Franklin Gothic Book"/>
          <w:sz w:val="22"/>
        </w:rPr>
        <w:t xml:space="preserve"> </w:t>
      </w:r>
      <w:r w:rsidR="008D658E">
        <w:rPr>
          <w:rFonts w:ascii="Franklin Gothic Book" w:hAnsi="Franklin Gothic Book"/>
          <w:sz w:val="22"/>
        </w:rPr>
        <w:t>population</w:t>
      </w:r>
      <w:r w:rsidR="008D658E" w:rsidRPr="00F5289B">
        <w:rPr>
          <w:rFonts w:ascii="Franklin Gothic Book" w:hAnsi="Franklin Gothic Book"/>
          <w:sz w:val="22"/>
        </w:rPr>
        <w:t xml:space="preserve"> </w:t>
      </w:r>
      <w:r w:rsidRPr="00F5289B">
        <w:rPr>
          <w:rFonts w:ascii="Franklin Gothic Book" w:hAnsi="Franklin Gothic Book"/>
          <w:sz w:val="22"/>
        </w:rPr>
        <w:t xml:space="preserve">to </w:t>
      </w:r>
      <w:proofErr w:type="gramStart"/>
      <w:r w:rsidRPr="00F5289B">
        <w:rPr>
          <w:rFonts w:ascii="Franklin Gothic Book" w:hAnsi="Franklin Gothic Book"/>
          <w:sz w:val="22"/>
        </w:rPr>
        <w:t>second-line</w:t>
      </w:r>
      <w:proofErr w:type="gramEnd"/>
      <w:r w:rsidRPr="00F5289B">
        <w:rPr>
          <w:rFonts w:ascii="Franklin Gothic Book" w:hAnsi="Franklin Gothic Book"/>
          <w:sz w:val="22"/>
        </w:rPr>
        <w:t xml:space="preserve"> use</w:t>
      </w:r>
      <w:r w:rsidR="00372B34">
        <w:rPr>
          <w:rFonts w:ascii="Franklin Gothic Book" w:hAnsi="Franklin Gothic Book"/>
          <w:sz w:val="22"/>
        </w:rPr>
        <w:t xml:space="preserve"> only</w:t>
      </w:r>
      <w:r w:rsidR="003A643A">
        <w:rPr>
          <w:rFonts w:ascii="Franklin Gothic Book" w:hAnsi="Franklin Gothic Book"/>
          <w:sz w:val="22"/>
        </w:rPr>
        <w:t>,</w:t>
      </w:r>
      <w:r w:rsidR="009C2F69" w:rsidRPr="00F5289B">
        <w:rPr>
          <w:rFonts w:ascii="Franklin Gothic Book" w:hAnsi="Franklin Gothic Book"/>
          <w:sz w:val="22"/>
        </w:rPr>
        <w:t xml:space="preserve"> as </w:t>
      </w:r>
      <w:r w:rsidR="003A643A">
        <w:rPr>
          <w:rFonts w:ascii="Franklin Gothic Book" w:hAnsi="Franklin Gothic Book"/>
          <w:sz w:val="22"/>
        </w:rPr>
        <w:t>proposed</w:t>
      </w:r>
      <w:r w:rsidR="009C2F69" w:rsidRPr="00F5289B">
        <w:rPr>
          <w:rFonts w:ascii="Franklin Gothic Book" w:hAnsi="Franklin Gothic Book"/>
          <w:sz w:val="22"/>
        </w:rPr>
        <w:t xml:space="preserve"> in the PBS restriction and the ratified PICO</w:t>
      </w:r>
      <w:r w:rsidR="009B5962">
        <w:rPr>
          <w:rFonts w:ascii="Franklin Gothic Book" w:hAnsi="Franklin Gothic Book"/>
          <w:sz w:val="22"/>
        </w:rPr>
        <w:t xml:space="preserve"> Confirmation</w:t>
      </w:r>
      <w:r w:rsidRPr="00F5289B">
        <w:rPr>
          <w:rFonts w:ascii="Franklin Gothic Book" w:hAnsi="Franklin Gothic Book"/>
          <w:sz w:val="22"/>
        </w:rPr>
        <w:t xml:space="preserve">. </w:t>
      </w:r>
    </w:p>
    <w:p w14:paraId="3D1FD8CC" w14:textId="4F0D9853"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that the </w:t>
      </w:r>
      <w:r w:rsidR="008F0333">
        <w:rPr>
          <w:rFonts w:ascii="Franklin Gothic Book" w:hAnsi="Franklin Gothic Book"/>
          <w:sz w:val="22"/>
        </w:rPr>
        <w:t>d</w:t>
      </w:r>
      <w:r w:rsidR="00032138">
        <w:rPr>
          <w:rFonts w:ascii="Franklin Gothic Book" w:hAnsi="Franklin Gothic Book"/>
          <w:sz w:val="22"/>
        </w:rPr>
        <w:t xml:space="preserve">epartment sought advice on whether the item </w:t>
      </w:r>
      <w:r w:rsidRPr="00F5289B">
        <w:rPr>
          <w:rFonts w:ascii="Franklin Gothic Book" w:hAnsi="Franklin Gothic Book"/>
          <w:sz w:val="22"/>
        </w:rPr>
        <w:t xml:space="preserve">descriptor </w:t>
      </w:r>
      <w:r w:rsidR="00032138">
        <w:rPr>
          <w:rFonts w:ascii="Franklin Gothic Book" w:hAnsi="Franklin Gothic Book"/>
          <w:sz w:val="22"/>
        </w:rPr>
        <w:t xml:space="preserve">should be amended to </w:t>
      </w:r>
      <w:r w:rsidRPr="00F5289B">
        <w:rPr>
          <w:rFonts w:ascii="Franklin Gothic Book" w:hAnsi="Franklin Gothic Book"/>
          <w:sz w:val="22"/>
        </w:rPr>
        <w:t>refer to fresh tumour tissue</w:t>
      </w:r>
      <w:r w:rsidR="00032138">
        <w:rPr>
          <w:rFonts w:ascii="Franklin Gothic Book" w:hAnsi="Franklin Gothic Book"/>
          <w:sz w:val="22"/>
        </w:rPr>
        <w:t xml:space="preserve">. While MSAC noted </w:t>
      </w:r>
      <w:r w:rsidRPr="00F5289B">
        <w:rPr>
          <w:rFonts w:ascii="Franklin Gothic Book" w:hAnsi="Franklin Gothic Book"/>
          <w:sz w:val="22"/>
        </w:rPr>
        <w:t>that testing w</w:t>
      </w:r>
      <w:r w:rsidR="003A643A">
        <w:rPr>
          <w:rFonts w:ascii="Franklin Gothic Book" w:hAnsi="Franklin Gothic Book"/>
          <w:sz w:val="22"/>
        </w:rPr>
        <w:t>ou</w:t>
      </w:r>
      <w:r w:rsidRPr="00F5289B">
        <w:rPr>
          <w:rFonts w:ascii="Franklin Gothic Book" w:hAnsi="Franklin Gothic Book"/>
          <w:sz w:val="22"/>
        </w:rPr>
        <w:t>l</w:t>
      </w:r>
      <w:r w:rsidR="003A643A">
        <w:rPr>
          <w:rFonts w:ascii="Franklin Gothic Book" w:hAnsi="Franklin Gothic Book"/>
          <w:sz w:val="22"/>
        </w:rPr>
        <w:t>d</w:t>
      </w:r>
      <w:r w:rsidRPr="00F5289B">
        <w:rPr>
          <w:rFonts w:ascii="Franklin Gothic Book" w:hAnsi="Franklin Gothic Book"/>
          <w:sz w:val="22"/>
        </w:rPr>
        <w:t xml:space="preserve"> have lower failure rates if </w:t>
      </w:r>
      <w:r w:rsidRPr="00F5289B">
        <w:rPr>
          <w:rFonts w:ascii="Franklin Gothic Book" w:hAnsi="Franklin Gothic Book"/>
          <w:sz w:val="22"/>
        </w:rPr>
        <w:lastRenderedPageBreak/>
        <w:t xml:space="preserve">performed on fresh biopsy </w:t>
      </w:r>
      <w:r w:rsidR="005220F4">
        <w:rPr>
          <w:rFonts w:ascii="Franklin Gothic Book" w:hAnsi="Franklin Gothic Book"/>
          <w:sz w:val="22"/>
        </w:rPr>
        <w:t>tissue</w:t>
      </w:r>
      <w:r w:rsidRPr="00F5289B">
        <w:rPr>
          <w:rFonts w:ascii="Franklin Gothic Book" w:hAnsi="Franklin Gothic Book"/>
          <w:sz w:val="22"/>
        </w:rPr>
        <w:t xml:space="preserve"> (rather than formalin-fixed</w:t>
      </w:r>
      <w:r w:rsidR="005220F4">
        <w:rPr>
          <w:rFonts w:ascii="Franklin Gothic Book" w:hAnsi="Franklin Gothic Book"/>
          <w:sz w:val="22"/>
        </w:rPr>
        <w:t xml:space="preserve"> </w:t>
      </w:r>
      <w:r w:rsidR="00FD38C6">
        <w:rPr>
          <w:rFonts w:ascii="Franklin Gothic Book" w:hAnsi="Franklin Gothic Book"/>
          <w:sz w:val="22"/>
        </w:rPr>
        <w:t>tissue</w:t>
      </w:r>
      <w:r w:rsidRPr="00F5289B">
        <w:rPr>
          <w:rFonts w:ascii="Franklin Gothic Book" w:hAnsi="Franklin Gothic Book"/>
          <w:sz w:val="22"/>
        </w:rPr>
        <w:t xml:space="preserve">), </w:t>
      </w:r>
      <w:r w:rsidR="006F77CA" w:rsidRPr="00F5289B">
        <w:rPr>
          <w:rFonts w:ascii="Franklin Gothic Book" w:hAnsi="Franklin Gothic Book"/>
          <w:sz w:val="22"/>
        </w:rPr>
        <w:t xml:space="preserve">MSAC </w:t>
      </w:r>
      <w:r w:rsidR="00FE0C13">
        <w:rPr>
          <w:rFonts w:ascii="Franklin Gothic Book" w:hAnsi="Franklin Gothic Book"/>
          <w:sz w:val="22"/>
        </w:rPr>
        <w:t>considered</w:t>
      </w:r>
      <w:r w:rsidR="006F77CA" w:rsidRPr="00F5289B">
        <w:rPr>
          <w:rFonts w:ascii="Franklin Gothic Book" w:hAnsi="Franklin Gothic Book"/>
          <w:sz w:val="22"/>
        </w:rPr>
        <w:t xml:space="preserve"> that the requirement </w:t>
      </w:r>
      <w:r w:rsidR="00AD7F0C">
        <w:rPr>
          <w:rFonts w:ascii="Franklin Gothic Book" w:hAnsi="Franklin Gothic Book"/>
          <w:sz w:val="22"/>
        </w:rPr>
        <w:t>for</w:t>
      </w:r>
      <w:r w:rsidR="006F77CA" w:rsidRPr="00F5289B">
        <w:rPr>
          <w:rFonts w:ascii="Franklin Gothic Book" w:hAnsi="Franklin Gothic Book"/>
          <w:sz w:val="22"/>
        </w:rPr>
        <w:t xml:space="preserve"> fresh tumour tissue would present significant </w:t>
      </w:r>
      <w:r w:rsidR="006B2448">
        <w:rPr>
          <w:rFonts w:ascii="Franklin Gothic Book" w:hAnsi="Franklin Gothic Book"/>
          <w:sz w:val="22"/>
        </w:rPr>
        <w:t xml:space="preserve">practical </w:t>
      </w:r>
      <w:r w:rsidR="006F77CA" w:rsidRPr="00F5289B">
        <w:rPr>
          <w:rFonts w:ascii="Franklin Gothic Book" w:hAnsi="Franklin Gothic Book"/>
          <w:sz w:val="22"/>
        </w:rPr>
        <w:t xml:space="preserve">barriers </w:t>
      </w:r>
      <w:r w:rsidR="00021D57" w:rsidRPr="00F5289B">
        <w:rPr>
          <w:rFonts w:ascii="Franklin Gothic Book" w:hAnsi="Franklin Gothic Book"/>
          <w:sz w:val="22"/>
        </w:rPr>
        <w:t>to access</w:t>
      </w:r>
      <w:r w:rsidR="000141BF">
        <w:rPr>
          <w:rFonts w:ascii="Franklin Gothic Book" w:hAnsi="Franklin Gothic Book"/>
          <w:sz w:val="22"/>
        </w:rPr>
        <w:t>ing</w:t>
      </w:r>
      <w:r w:rsidR="00021D57" w:rsidRPr="00F5289B">
        <w:rPr>
          <w:rFonts w:ascii="Franklin Gothic Book" w:hAnsi="Franklin Gothic Book"/>
          <w:sz w:val="22"/>
        </w:rPr>
        <w:t xml:space="preserve"> this item</w:t>
      </w:r>
      <w:r w:rsidR="00FE0C13">
        <w:rPr>
          <w:rFonts w:ascii="Franklin Gothic Book" w:hAnsi="Franklin Gothic Book"/>
          <w:sz w:val="22"/>
        </w:rPr>
        <w:t xml:space="preserve"> as formalin fixed tissue </w:t>
      </w:r>
      <w:r w:rsidR="008E0156">
        <w:rPr>
          <w:rFonts w:ascii="Franklin Gothic Book" w:hAnsi="Franklin Gothic Book"/>
          <w:sz w:val="22"/>
        </w:rPr>
        <w:t>is normally used for tumour testing</w:t>
      </w:r>
      <w:r w:rsidR="00AD7F0C">
        <w:rPr>
          <w:rFonts w:ascii="Franklin Gothic Book" w:hAnsi="Franklin Gothic Book"/>
          <w:sz w:val="22"/>
        </w:rPr>
        <w:t>,</w:t>
      </w:r>
      <w:r w:rsidR="00021D57" w:rsidRPr="00F5289B">
        <w:rPr>
          <w:rFonts w:ascii="Franklin Gothic Book" w:hAnsi="Franklin Gothic Book"/>
          <w:sz w:val="22"/>
        </w:rPr>
        <w:t xml:space="preserve"> and </w:t>
      </w:r>
      <w:r w:rsidR="00AD7F0C">
        <w:rPr>
          <w:rFonts w:ascii="Franklin Gothic Book" w:hAnsi="Franklin Gothic Book"/>
          <w:sz w:val="22"/>
        </w:rPr>
        <w:t>that</w:t>
      </w:r>
      <w:r w:rsidR="00021D57">
        <w:rPr>
          <w:rFonts w:ascii="Franklin Gothic Book" w:hAnsi="Franklin Gothic Book"/>
          <w:sz w:val="22"/>
        </w:rPr>
        <w:t xml:space="preserve"> </w:t>
      </w:r>
      <w:r w:rsidR="00021D57" w:rsidRPr="00F5289B">
        <w:rPr>
          <w:rFonts w:ascii="Franklin Gothic Book" w:hAnsi="Franklin Gothic Book"/>
          <w:sz w:val="22"/>
        </w:rPr>
        <w:t xml:space="preserve">the pivotal trial data did not specify a requirement </w:t>
      </w:r>
      <w:r w:rsidR="000141BF">
        <w:rPr>
          <w:rFonts w:ascii="Franklin Gothic Book" w:hAnsi="Franklin Gothic Book"/>
          <w:sz w:val="22"/>
        </w:rPr>
        <w:t>for</w:t>
      </w:r>
      <w:r w:rsidR="00021D57" w:rsidRPr="00F5289B">
        <w:rPr>
          <w:rFonts w:ascii="Franklin Gothic Book" w:hAnsi="Franklin Gothic Book"/>
          <w:sz w:val="22"/>
        </w:rPr>
        <w:t xml:space="preserve"> fresh </w:t>
      </w:r>
      <w:r w:rsidR="000141BF">
        <w:rPr>
          <w:rFonts w:ascii="Franklin Gothic Book" w:hAnsi="Franklin Gothic Book"/>
          <w:sz w:val="22"/>
        </w:rPr>
        <w:t>tumour</w:t>
      </w:r>
      <w:r w:rsidR="00021D57" w:rsidRPr="00F5289B">
        <w:rPr>
          <w:rFonts w:ascii="Franklin Gothic Book" w:hAnsi="Franklin Gothic Book"/>
          <w:sz w:val="22"/>
        </w:rPr>
        <w:t xml:space="preserve"> tissue. </w:t>
      </w:r>
      <w:r w:rsidR="00FE0C13">
        <w:rPr>
          <w:rFonts w:ascii="Franklin Gothic Book" w:hAnsi="Franklin Gothic Book"/>
          <w:sz w:val="22"/>
        </w:rPr>
        <w:t>MSAC acknowledged that</w:t>
      </w:r>
      <w:r w:rsidR="00FE0C13" w:rsidRPr="00F5289B">
        <w:rPr>
          <w:rFonts w:ascii="Franklin Gothic Book" w:hAnsi="Franklin Gothic Book"/>
          <w:sz w:val="22"/>
        </w:rPr>
        <w:t xml:space="preserve"> opportunities for re-biopsy are </w:t>
      </w:r>
      <w:r w:rsidR="00FE0C13">
        <w:rPr>
          <w:rFonts w:ascii="Franklin Gothic Book" w:hAnsi="Franklin Gothic Book"/>
          <w:sz w:val="22"/>
        </w:rPr>
        <w:t>often very limited</w:t>
      </w:r>
      <w:r w:rsidR="00FE0C13" w:rsidRPr="00F5289B">
        <w:rPr>
          <w:rFonts w:ascii="Franklin Gothic Book" w:hAnsi="Franklin Gothic Book"/>
          <w:sz w:val="22"/>
        </w:rPr>
        <w:t>.</w:t>
      </w:r>
      <w:r w:rsidR="008E0156">
        <w:rPr>
          <w:rFonts w:ascii="Franklin Gothic Book" w:hAnsi="Franklin Gothic Book"/>
          <w:sz w:val="22"/>
        </w:rPr>
        <w:t xml:space="preserve"> </w:t>
      </w:r>
      <w:r w:rsidRPr="00F5289B">
        <w:rPr>
          <w:rFonts w:ascii="Franklin Gothic Book" w:hAnsi="Franklin Gothic Book"/>
          <w:sz w:val="22"/>
        </w:rPr>
        <w:t xml:space="preserve">Thus, MSAC </w:t>
      </w:r>
      <w:r w:rsidR="00AD7F0C">
        <w:rPr>
          <w:rFonts w:ascii="Franklin Gothic Book" w:hAnsi="Franklin Gothic Book"/>
          <w:sz w:val="22"/>
        </w:rPr>
        <w:t>advised</w:t>
      </w:r>
      <w:r w:rsidRPr="00F5289B">
        <w:rPr>
          <w:rFonts w:ascii="Franklin Gothic Book" w:hAnsi="Franklin Gothic Book"/>
          <w:sz w:val="22"/>
        </w:rPr>
        <w:t xml:space="preserve"> that the MBS item descriptor </w:t>
      </w:r>
      <w:r w:rsidR="00AD7F0C">
        <w:rPr>
          <w:rFonts w:ascii="Franklin Gothic Book" w:hAnsi="Franklin Gothic Book"/>
          <w:sz w:val="22"/>
        </w:rPr>
        <w:t>should refer</w:t>
      </w:r>
      <w:r w:rsidRPr="00F5289B">
        <w:rPr>
          <w:rFonts w:ascii="Franklin Gothic Book" w:hAnsi="Franklin Gothic Book"/>
          <w:sz w:val="22"/>
        </w:rPr>
        <w:t xml:space="preserve"> to ‘tumour tissue’</w:t>
      </w:r>
      <w:r w:rsidR="00AD7F0C">
        <w:rPr>
          <w:rFonts w:ascii="Franklin Gothic Book" w:hAnsi="Franklin Gothic Book"/>
          <w:sz w:val="22"/>
        </w:rPr>
        <w:t>, without requiring tissue to be freshly acquired</w:t>
      </w:r>
      <w:r w:rsidRPr="00F5289B">
        <w:rPr>
          <w:rFonts w:ascii="Franklin Gothic Book" w:hAnsi="Franklin Gothic Book"/>
          <w:sz w:val="22"/>
        </w:rPr>
        <w:t>.</w:t>
      </w:r>
    </w:p>
    <w:p w14:paraId="4F6DFC06" w14:textId="60B4BF33" w:rsidR="000A032F" w:rsidRPr="00F5289B" w:rsidRDefault="00A74A0E" w:rsidP="000A032F">
      <w:pPr>
        <w:rPr>
          <w:rFonts w:ascii="Franklin Gothic Book" w:hAnsi="Franklin Gothic Book"/>
          <w:sz w:val="22"/>
        </w:rPr>
      </w:pPr>
      <w:r w:rsidRPr="00F5289B">
        <w:rPr>
          <w:rFonts w:ascii="Franklin Gothic Book" w:hAnsi="Franklin Gothic Book"/>
          <w:sz w:val="22"/>
        </w:rPr>
        <w:t xml:space="preserve">MSAC noted </w:t>
      </w:r>
      <w:r w:rsidR="00AD7F0C">
        <w:rPr>
          <w:rFonts w:ascii="Franklin Gothic Book" w:hAnsi="Franklin Gothic Book"/>
          <w:sz w:val="22"/>
        </w:rPr>
        <w:t>that</w:t>
      </w:r>
      <w:r>
        <w:rPr>
          <w:rFonts w:ascii="Franklin Gothic Book" w:hAnsi="Franklin Gothic Book"/>
          <w:sz w:val="22"/>
        </w:rPr>
        <w:t xml:space="preserve"> </w:t>
      </w:r>
      <w:r w:rsidR="00333A92" w:rsidRPr="00F5289B">
        <w:rPr>
          <w:rFonts w:ascii="Franklin Gothic Book" w:hAnsi="Franklin Gothic Book"/>
          <w:sz w:val="22"/>
        </w:rPr>
        <w:t>the removal of the restriction to tier 1 variants in the proposed item descriptor was consistent with previous advice from the ESCs</w:t>
      </w:r>
      <w:r w:rsidR="00B8269C">
        <w:rPr>
          <w:rFonts w:ascii="Franklin Gothic Book" w:hAnsi="Franklin Gothic Book"/>
          <w:sz w:val="22"/>
        </w:rPr>
        <w:t>.</w:t>
      </w:r>
      <w:r w:rsidR="00333A92" w:rsidRPr="00F5289B">
        <w:rPr>
          <w:rFonts w:ascii="Franklin Gothic Book" w:hAnsi="Franklin Gothic Book"/>
          <w:sz w:val="22"/>
        </w:rPr>
        <w:t xml:space="preserve"> MSAC </w:t>
      </w:r>
      <w:r w:rsidR="00B8269C">
        <w:rPr>
          <w:rFonts w:ascii="Franklin Gothic Book" w:hAnsi="Franklin Gothic Book"/>
          <w:sz w:val="22"/>
        </w:rPr>
        <w:t>noted</w:t>
      </w:r>
      <w:r w:rsidR="00333A92" w:rsidRPr="00F5289B">
        <w:rPr>
          <w:rFonts w:ascii="Franklin Gothic Book" w:hAnsi="Franklin Gothic Book"/>
          <w:sz w:val="22"/>
        </w:rPr>
        <w:t xml:space="preserve"> </w:t>
      </w:r>
      <w:r w:rsidR="002106C2" w:rsidRPr="00F5289B">
        <w:rPr>
          <w:rFonts w:ascii="Franklin Gothic Book" w:hAnsi="Franklin Gothic Book"/>
          <w:sz w:val="22"/>
        </w:rPr>
        <w:t xml:space="preserve">that it is unnecessary for MBS item descriptors to specify the test result required to grant PBS access, and it is sufficient to only specify </w:t>
      </w:r>
      <w:r w:rsidR="00E633E3">
        <w:rPr>
          <w:rFonts w:ascii="Franklin Gothic Book" w:hAnsi="Franklin Gothic Book"/>
          <w:sz w:val="22"/>
        </w:rPr>
        <w:t>the gene</w:t>
      </w:r>
      <w:r w:rsidR="00526F68">
        <w:rPr>
          <w:rFonts w:ascii="Franklin Gothic Book" w:hAnsi="Franklin Gothic Book"/>
          <w:sz w:val="22"/>
        </w:rPr>
        <w:t>s</w:t>
      </w:r>
      <w:r w:rsidR="00E633E3">
        <w:rPr>
          <w:rFonts w:ascii="Franklin Gothic Book" w:hAnsi="Franklin Gothic Book"/>
          <w:sz w:val="22"/>
        </w:rPr>
        <w:t xml:space="preserve"> being test</w:t>
      </w:r>
      <w:r w:rsidR="005E1799">
        <w:rPr>
          <w:rFonts w:ascii="Franklin Gothic Book" w:hAnsi="Franklin Gothic Book"/>
          <w:sz w:val="22"/>
        </w:rPr>
        <w:t>e</w:t>
      </w:r>
      <w:r w:rsidR="006948D8">
        <w:rPr>
          <w:rFonts w:ascii="Franklin Gothic Book" w:hAnsi="Franklin Gothic Book"/>
          <w:sz w:val="22"/>
        </w:rPr>
        <w:t>d (i.e. AKT pathway testing)</w:t>
      </w:r>
      <w:r w:rsidR="002106C2" w:rsidRPr="00F5289B">
        <w:rPr>
          <w:rFonts w:ascii="Franklin Gothic Book" w:hAnsi="Franklin Gothic Book"/>
          <w:sz w:val="22"/>
        </w:rPr>
        <w:t xml:space="preserve">. MSAC considered </w:t>
      </w:r>
      <w:r w:rsidR="00E17FB7" w:rsidRPr="00F5289B">
        <w:rPr>
          <w:rFonts w:ascii="Franklin Gothic Book" w:hAnsi="Franklin Gothic Book"/>
          <w:sz w:val="22"/>
        </w:rPr>
        <w:t>th</w:t>
      </w:r>
      <w:r w:rsidR="003249B4">
        <w:rPr>
          <w:rFonts w:ascii="Franklin Gothic Book" w:hAnsi="Franklin Gothic Book"/>
          <w:sz w:val="22"/>
        </w:rPr>
        <w:t xml:space="preserve">e removal of the </w:t>
      </w:r>
      <w:r w:rsidR="005D0DDE">
        <w:rPr>
          <w:rFonts w:ascii="Franklin Gothic Book" w:hAnsi="Franklin Gothic Book"/>
          <w:sz w:val="22"/>
        </w:rPr>
        <w:t>tier 1 variant</w:t>
      </w:r>
      <w:r w:rsidR="003841BC">
        <w:rPr>
          <w:rFonts w:ascii="Franklin Gothic Book" w:hAnsi="Franklin Gothic Book"/>
          <w:sz w:val="22"/>
        </w:rPr>
        <w:t xml:space="preserve"> wording</w:t>
      </w:r>
      <w:r w:rsidR="00333A92" w:rsidRPr="00F5289B">
        <w:rPr>
          <w:rFonts w:ascii="Franklin Gothic Book" w:hAnsi="Franklin Gothic Book"/>
          <w:sz w:val="22"/>
        </w:rPr>
        <w:t xml:space="preserve"> was reasonable </w:t>
      </w:r>
      <w:r w:rsidR="00D04E02" w:rsidRPr="00F5289B">
        <w:rPr>
          <w:rFonts w:ascii="Franklin Gothic Book" w:hAnsi="Franklin Gothic Book"/>
          <w:sz w:val="22"/>
        </w:rPr>
        <w:t>as an equivalent</w:t>
      </w:r>
      <w:r w:rsidR="00333A92" w:rsidRPr="00F5289B">
        <w:rPr>
          <w:rFonts w:ascii="Franklin Gothic Book" w:hAnsi="Franklin Gothic Book"/>
          <w:sz w:val="22"/>
        </w:rPr>
        <w:t xml:space="preserve"> </w:t>
      </w:r>
      <w:r w:rsidR="0049422F" w:rsidRPr="00F5289B">
        <w:rPr>
          <w:rFonts w:ascii="Franklin Gothic Book" w:hAnsi="Franklin Gothic Book"/>
          <w:sz w:val="22"/>
        </w:rPr>
        <w:t>restriction</w:t>
      </w:r>
      <w:r w:rsidR="0049422F">
        <w:rPr>
          <w:rFonts w:ascii="Franklin Gothic Book" w:hAnsi="Franklin Gothic Book"/>
          <w:sz w:val="22"/>
        </w:rPr>
        <w:t xml:space="preserve"> </w:t>
      </w:r>
      <w:r w:rsidR="0000727B">
        <w:rPr>
          <w:rFonts w:ascii="Franklin Gothic Book" w:hAnsi="Franklin Gothic Book"/>
          <w:sz w:val="22"/>
        </w:rPr>
        <w:t>to pathogenic or likely pathogenic variants</w:t>
      </w:r>
      <w:r w:rsidR="0049422F" w:rsidRPr="00F5289B">
        <w:rPr>
          <w:rFonts w:ascii="Franklin Gothic Book" w:hAnsi="Franklin Gothic Book"/>
          <w:sz w:val="22"/>
        </w:rPr>
        <w:t xml:space="preserve"> </w:t>
      </w:r>
      <w:r w:rsidR="0000727B">
        <w:rPr>
          <w:rFonts w:ascii="Franklin Gothic Book" w:hAnsi="Franklin Gothic Book"/>
          <w:sz w:val="22"/>
        </w:rPr>
        <w:t>is</w:t>
      </w:r>
      <w:r w:rsidR="0049422F" w:rsidRPr="00F5289B">
        <w:rPr>
          <w:rFonts w:ascii="Franklin Gothic Book" w:hAnsi="Franklin Gothic Book"/>
          <w:sz w:val="22"/>
        </w:rPr>
        <w:t xml:space="preserve"> </w:t>
      </w:r>
      <w:r w:rsidR="00D04E02" w:rsidRPr="00F5289B">
        <w:rPr>
          <w:rFonts w:ascii="Franklin Gothic Book" w:hAnsi="Franklin Gothic Book"/>
          <w:sz w:val="22"/>
        </w:rPr>
        <w:t>already</w:t>
      </w:r>
      <w:r w:rsidR="0000727B">
        <w:rPr>
          <w:rFonts w:ascii="Franklin Gothic Book" w:hAnsi="Franklin Gothic Book"/>
          <w:sz w:val="22"/>
        </w:rPr>
        <w:t xml:space="preserve"> required </w:t>
      </w:r>
      <w:r w:rsidR="00524374">
        <w:rPr>
          <w:rFonts w:ascii="Franklin Gothic Book" w:hAnsi="Franklin Gothic Book"/>
          <w:sz w:val="22"/>
        </w:rPr>
        <w:t xml:space="preserve">by </w:t>
      </w:r>
      <w:r w:rsidR="0049422F" w:rsidRPr="00F5289B">
        <w:rPr>
          <w:rFonts w:ascii="Franklin Gothic Book" w:hAnsi="Franklin Gothic Book"/>
          <w:sz w:val="22"/>
        </w:rPr>
        <w:t>the PBS listing</w:t>
      </w:r>
      <w:r w:rsidR="00333A92" w:rsidRPr="00F5289B">
        <w:rPr>
          <w:rFonts w:ascii="Franklin Gothic Book" w:hAnsi="Franklin Gothic Book"/>
          <w:sz w:val="22"/>
        </w:rPr>
        <w:t>.</w:t>
      </w:r>
      <w:r w:rsidR="001978E0" w:rsidRPr="00F5289B">
        <w:rPr>
          <w:rFonts w:ascii="Franklin Gothic Book" w:hAnsi="Franklin Gothic Book"/>
          <w:sz w:val="22"/>
        </w:rPr>
        <w:t xml:space="preserve"> </w:t>
      </w:r>
      <w:r w:rsidR="00524374">
        <w:rPr>
          <w:rFonts w:ascii="Franklin Gothic Book" w:hAnsi="Franklin Gothic Book"/>
          <w:sz w:val="22"/>
        </w:rPr>
        <w:t xml:space="preserve">MSAC further noted that </w:t>
      </w:r>
      <w:r w:rsidR="00FE4437">
        <w:rPr>
          <w:rFonts w:ascii="Franklin Gothic Book" w:hAnsi="Franklin Gothic Book"/>
          <w:sz w:val="22"/>
        </w:rPr>
        <w:t>removal of this wording</w:t>
      </w:r>
      <w:r w:rsidR="00524374">
        <w:rPr>
          <w:rFonts w:ascii="Franklin Gothic Book" w:hAnsi="Franklin Gothic Book"/>
          <w:sz w:val="22"/>
        </w:rPr>
        <w:t xml:space="preserve"> was in alignment with </w:t>
      </w:r>
      <w:r w:rsidR="00FE4437">
        <w:rPr>
          <w:rFonts w:ascii="Franklin Gothic Book" w:hAnsi="Franklin Gothic Book"/>
          <w:sz w:val="22"/>
        </w:rPr>
        <w:t xml:space="preserve">other </w:t>
      </w:r>
      <w:r w:rsidR="00524374">
        <w:rPr>
          <w:rFonts w:ascii="Franklin Gothic Book" w:hAnsi="Franklin Gothic Book"/>
          <w:sz w:val="22"/>
        </w:rPr>
        <w:t xml:space="preserve">similar MBS items, </w:t>
      </w:r>
      <w:r w:rsidR="00FE4437">
        <w:rPr>
          <w:rFonts w:ascii="Franklin Gothic Book" w:hAnsi="Franklin Gothic Book"/>
          <w:sz w:val="22"/>
        </w:rPr>
        <w:t>such as</w:t>
      </w:r>
      <w:r w:rsidR="00524374">
        <w:rPr>
          <w:rFonts w:ascii="Franklin Gothic Book" w:hAnsi="Franklin Gothic Book"/>
          <w:sz w:val="22"/>
        </w:rPr>
        <w:t xml:space="preserve"> item 73437</w:t>
      </w:r>
      <w:r w:rsidR="005C2445">
        <w:rPr>
          <w:rFonts w:ascii="Franklin Gothic Book" w:hAnsi="Franklin Gothic Book"/>
          <w:sz w:val="22"/>
        </w:rPr>
        <w:t xml:space="preserve">, which </w:t>
      </w:r>
      <w:r w:rsidR="00836AE0">
        <w:rPr>
          <w:rFonts w:ascii="Franklin Gothic Book" w:hAnsi="Franklin Gothic Book"/>
          <w:sz w:val="22"/>
        </w:rPr>
        <w:t>allows for NGS testing for non-small cell lung cancer (NSCLC</w:t>
      </w:r>
      <w:r w:rsidR="002E52B8">
        <w:rPr>
          <w:rFonts w:ascii="Franklin Gothic Book" w:hAnsi="Franklin Gothic Book"/>
          <w:sz w:val="22"/>
        </w:rPr>
        <w:t xml:space="preserve">). </w:t>
      </w:r>
    </w:p>
    <w:p w14:paraId="2C2FF1AE" w14:textId="26781CE7" w:rsidR="00A74A0E" w:rsidRPr="00F5289B" w:rsidRDefault="001978E0" w:rsidP="007D7D0C">
      <w:pPr>
        <w:rPr>
          <w:rFonts w:ascii="Franklin Gothic Book" w:hAnsi="Franklin Gothic Book"/>
          <w:sz w:val="22"/>
        </w:rPr>
      </w:pPr>
      <w:r w:rsidRPr="00F5289B">
        <w:rPr>
          <w:rFonts w:ascii="Franklin Gothic Book" w:hAnsi="Franklin Gothic Book"/>
          <w:sz w:val="22"/>
        </w:rPr>
        <w:t xml:space="preserve">MSAC </w:t>
      </w:r>
      <w:r w:rsidR="0003327B">
        <w:rPr>
          <w:rFonts w:ascii="Franklin Gothic Book" w:hAnsi="Franklin Gothic Book"/>
          <w:sz w:val="22"/>
        </w:rPr>
        <w:t>also</w:t>
      </w:r>
      <w:r w:rsidRPr="00F5289B">
        <w:rPr>
          <w:rFonts w:ascii="Franklin Gothic Book" w:hAnsi="Franklin Gothic Book"/>
          <w:sz w:val="22"/>
        </w:rPr>
        <w:t xml:space="preserve"> recommended</w:t>
      </w:r>
      <w:r w:rsidR="005666C5" w:rsidRPr="00F5289B">
        <w:rPr>
          <w:rFonts w:ascii="Franklin Gothic Book" w:hAnsi="Franklin Gothic Book"/>
          <w:sz w:val="22"/>
        </w:rPr>
        <w:t xml:space="preserve"> removal of the words ‘</w:t>
      </w:r>
      <w:r w:rsidR="00D367DD" w:rsidRPr="00F5289B">
        <w:rPr>
          <w:rFonts w:ascii="Franklin Gothic Book" w:hAnsi="Franklin Gothic Book"/>
          <w:sz w:val="22"/>
        </w:rPr>
        <w:t>associated with abrogation of the AKT</w:t>
      </w:r>
      <w:r w:rsidR="009723D9">
        <w:rPr>
          <w:rFonts w:ascii="Franklin Gothic Book" w:hAnsi="Franklin Gothic Book"/>
          <w:sz w:val="22"/>
        </w:rPr>
        <w:t xml:space="preserve"> </w:t>
      </w:r>
      <w:r w:rsidR="00D367DD" w:rsidRPr="00F5289B">
        <w:rPr>
          <w:rFonts w:ascii="Franklin Gothic Book" w:hAnsi="Franklin Gothic Book"/>
          <w:sz w:val="22"/>
        </w:rPr>
        <w:t>pathway</w:t>
      </w:r>
      <w:r w:rsidR="005666C5" w:rsidRPr="00F5289B">
        <w:rPr>
          <w:rFonts w:ascii="Franklin Gothic Book" w:hAnsi="Franklin Gothic Book"/>
          <w:sz w:val="22"/>
        </w:rPr>
        <w:t>’ in the item descriptor</w:t>
      </w:r>
      <w:r w:rsidR="0000727B">
        <w:rPr>
          <w:rFonts w:ascii="Franklin Gothic Book" w:hAnsi="Franklin Gothic Book"/>
          <w:sz w:val="22"/>
        </w:rPr>
        <w:t>,</w:t>
      </w:r>
      <w:r w:rsidR="005666C5" w:rsidRPr="00F5289B">
        <w:rPr>
          <w:rFonts w:ascii="Franklin Gothic Book" w:hAnsi="Franklin Gothic Book"/>
          <w:sz w:val="22"/>
        </w:rPr>
        <w:t xml:space="preserve"> as</w:t>
      </w:r>
      <w:r w:rsidR="005666C5">
        <w:rPr>
          <w:rFonts w:ascii="Franklin Gothic Book" w:hAnsi="Franklin Gothic Book"/>
          <w:sz w:val="22"/>
        </w:rPr>
        <w:t xml:space="preserve"> </w:t>
      </w:r>
      <w:r w:rsidR="0000727B">
        <w:rPr>
          <w:rFonts w:ascii="Franklin Gothic Book" w:hAnsi="Franklin Gothic Book"/>
          <w:sz w:val="22"/>
        </w:rPr>
        <w:t>MSAC considered this to be</w:t>
      </w:r>
      <w:r w:rsidR="005666C5" w:rsidRPr="00F5289B">
        <w:rPr>
          <w:rFonts w:ascii="Franklin Gothic Book" w:hAnsi="Franklin Gothic Book"/>
          <w:sz w:val="22"/>
        </w:rPr>
        <w:t xml:space="preserve"> </w:t>
      </w:r>
      <w:r w:rsidR="0000727B">
        <w:rPr>
          <w:rFonts w:ascii="Franklin Gothic Book" w:hAnsi="Franklin Gothic Book"/>
          <w:sz w:val="22"/>
        </w:rPr>
        <w:t>not clinically necessary</w:t>
      </w:r>
      <w:r w:rsidR="005666C5" w:rsidRPr="00F5289B">
        <w:rPr>
          <w:rFonts w:ascii="Franklin Gothic Book" w:hAnsi="Franklin Gothic Book"/>
          <w:sz w:val="22"/>
        </w:rPr>
        <w:t xml:space="preserve">. </w:t>
      </w:r>
    </w:p>
    <w:p w14:paraId="09CCEC45" w14:textId="09D7A819"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that the </w:t>
      </w:r>
      <w:r w:rsidR="004E4DD9">
        <w:rPr>
          <w:rFonts w:ascii="Franklin Gothic Book" w:hAnsi="Franklin Gothic Book"/>
          <w:sz w:val="22"/>
        </w:rPr>
        <w:t xml:space="preserve">proposed item </w:t>
      </w:r>
      <w:r w:rsidRPr="00F5289B">
        <w:rPr>
          <w:rFonts w:ascii="Franklin Gothic Book" w:hAnsi="Franklin Gothic Book"/>
          <w:sz w:val="22"/>
        </w:rPr>
        <w:t xml:space="preserve">fee </w:t>
      </w:r>
      <w:r w:rsidR="004E4DD9" w:rsidRPr="0060154C">
        <w:rPr>
          <w:rFonts w:ascii="Franklin Gothic Book" w:hAnsi="Franklin Gothic Book"/>
          <w:sz w:val="22"/>
        </w:rPr>
        <w:t>($2,200)</w:t>
      </w:r>
      <w:r w:rsidR="004E4DD9">
        <w:rPr>
          <w:rFonts w:ascii="Franklin Gothic Book" w:hAnsi="Franklin Gothic Book"/>
          <w:sz w:val="22"/>
        </w:rPr>
        <w:t xml:space="preserve"> was significantly higher than </w:t>
      </w:r>
      <w:r w:rsidR="00E066E6">
        <w:rPr>
          <w:rFonts w:ascii="Franklin Gothic Book" w:hAnsi="Franklin Gothic Book"/>
          <w:sz w:val="22"/>
        </w:rPr>
        <w:t xml:space="preserve">the fees </w:t>
      </w:r>
      <w:r>
        <w:rPr>
          <w:rFonts w:ascii="Franklin Gothic Book" w:hAnsi="Franklin Gothic Book"/>
          <w:sz w:val="22"/>
        </w:rPr>
        <w:t xml:space="preserve">for </w:t>
      </w:r>
      <w:r w:rsidR="00E066E6">
        <w:rPr>
          <w:rFonts w:ascii="Franklin Gothic Book" w:hAnsi="Franklin Gothic Book"/>
          <w:sz w:val="22"/>
        </w:rPr>
        <w:t xml:space="preserve">other similar MBS items, </w:t>
      </w:r>
      <w:r w:rsidRPr="00F5289B">
        <w:rPr>
          <w:rFonts w:ascii="Franklin Gothic Book" w:hAnsi="Franklin Gothic Book"/>
          <w:sz w:val="22"/>
        </w:rPr>
        <w:t>for</w:t>
      </w:r>
      <w:r w:rsidR="00E066E6">
        <w:rPr>
          <w:rFonts w:ascii="Franklin Gothic Book" w:hAnsi="Franklin Gothic Book"/>
          <w:sz w:val="22"/>
        </w:rPr>
        <w:t xml:space="preserve"> example,</w:t>
      </w:r>
      <w:r w:rsidRPr="00F5289B">
        <w:rPr>
          <w:rFonts w:ascii="Franklin Gothic Book" w:hAnsi="Franklin Gothic Book"/>
          <w:sz w:val="22"/>
        </w:rPr>
        <w:t xml:space="preserve"> MBS item 73437 (</w:t>
      </w:r>
      <w:r w:rsidRPr="007E31A4">
        <w:rPr>
          <w:rFonts w:ascii="Franklin Gothic Book" w:hAnsi="Franklin Gothic Book"/>
          <w:sz w:val="22"/>
        </w:rPr>
        <w:t>$</w:t>
      </w:r>
      <w:r w:rsidRPr="00F5289B">
        <w:rPr>
          <w:rFonts w:ascii="Franklin Gothic Book" w:hAnsi="Franklin Gothic Book"/>
          <w:sz w:val="22"/>
        </w:rPr>
        <w:t>1,247</w:t>
      </w:r>
      <w:r w:rsidR="00E066E6">
        <w:rPr>
          <w:rFonts w:ascii="Franklin Gothic Book" w:hAnsi="Franklin Gothic Book"/>
          <w:sz w:val="22"/>
        </w:rPr>
        <w:t>)</w:t>
      </w:r>
      <w:r w:rsidR="00FF3D71" w:rsidRPr="00F5289B">
        <w:rPr>
          <w:rFonts w:ascii="Franklin Gothic Book" w:hAnsi="Franklin Gothic Book"/>
          <w:sz w:val="22"/>
        </w:rPr>
        <w:t xml:space="preserve">. MSAC </w:t>
      </w:r>
      <w:r w:rsidR="00F428F2">
        <w:rPr>
          <w:rFonts w:ascii="Franklin Gothic Book" w:hAnsi="Franklin Gothic Book"/>
          <w:sz w:val="22"/>
        </w:rPr>
        <w:t>considered</w:t>
      </w:r>
      <w:r w:rsidR="00F428F2" w:rsidRPr="00F5289B">
        <w:rPr>
          <w:rFonts w:ascii="Franklin Gothic Book" w:hAnsi="Franklin Gothic Book"/>
          <w:sz w:val="22"/>
        </w:rPr>
        <w:t xml:space="preserve"> </w:t>
      </w:r>
      <w:r w:rsidR="00FF3D71" w:rsidRPr="00F5289B">
        <w:rPr>
          <w:rFonts w:ascii="Franklin Gothic Book" w:hAnsi="Franklin Gothic Book"/>
          <w:sz w:val="22"/>
        </w:rPr>
        <w:t xml:space="preserve">that </w:t>
      </w:r>
      <w:r w:rsidR="00E066E6">
        <w:rPr>
          <w:rFonts w:ascii="Franklin Gothic Book" w:hAnsi="Franklin Gothic Book"/>
          <w:sz w:val="22"/>
        </w:rPr>
        <w:t>the</w:t>
      </w:r>
      <w:r w:rsidR="00FF3D71" w:rsidRPr="00F5289B">
        <w:rPr>
          <w:rFonts w:ascii="Franklin Gothic Book" w:hAnsi="Franklin Gothic Book"/>
          <w:sz w:val="22"/>
        </w:rPr>
        <w:t xml:space="preserve"> propos</w:t>
      </w:r>
      <w:r w:rsidR="008E6427">
        <w:rPr>
          <w:rFonts w:ascii="Franklin Gothic Book" w:hAnsi="Franklin Gothic Book"/>
          <w:sz w:val="22"/>
        </w:rPr>
        <w:t>e</w:t>
      </w:r>
      <w:r w:rsidR="00FF3D71" w:rsidRPr="00F5289B">
        <w:rPr>
          <w:rFonts w:ascii="Franklin Gothic Book" w:hAnsi="Franklin Gothic Book"/>
          <w:sz w:val="22"/>
        </w:rPr>
        <w:t>d fee was reasonable only if</w:t>
      </w:r>
      <w:r w:rsidR="00FF3D71">
        <w:rPr>
          <w:rFonts w:ascii="Franklin Gothic Book" w:hAnsi="Franklin Gothic Book"/>
          <w:sz w:val="22"/>
        </w:rPr>
        <w:t xml:space="preserve"> </w:t>
      </w:r>
      <w:r w:rsidR="004E4DD9">
        <w:rPr>
          <w:rFonts w:ascii="Franklin Gothic Book" w:hAnsi="Franklin Gothic Book"/>
          <w:sz w:val="22"/>
        </w:rPr>
        <w:t>comprehensive genomic profiling</w:t>
      </w:r>
      <w:r w:rsidR="00FF3D71" w:rsidRPr="00F5289B">
        <w:rPr>
          <w:rFonts w:ascii="Franklin Gothic Book" w:hAnsi="Franklin Gothic Book"/>
          <w:sz w:val="22"/>
        </w:rPr>
        <w:t xml:space="preserve"> </w:t>
      </w:r>
      <w:r w:rsidR="004E4DD9">
        <w:rPr>
          <w:rFonts w:ascii="Franklin Gothic Book" w:hAnsi="Franklin Gothic Book"/>
          <w:sz w:val="22"/>
        </w:rPr>
        <w:t>(</w:t>
      </w:r>
      <w:r w:rsidR="00A15D12" w:rsidRPr="00F5289B">
        <w:rPr>
          <w:rFonts w:ascii="Franklin Gothic Book" w:hAnsi="Franklin Gothic Book"/>
          <w:sz w:val="22"/>
        </w:rPr>
        <w:t>CGP</w:t>
      </w:r>
      <w:r w:rsidR="004E4DD9">
        <w:rPr>
          <w:rFonts w:ascii="Franklin Gothic Book" w:hAnsi="Franklin Gothic Book"/>
          <w:sz w:val="22"/>
        </w:rPr>
        <w:t>)</w:t>
      </w:r>
      <w:r w:rsidR="00A15D12" w:rsidRPr="00F5289B">
        <w:rPr>
          <w:rFonts w:ascii="Franklin Gothic Book" w:hAnsi="Franklin Gothic Book"/>
          <w:sz w:val="22"/>
        </w:rPr>
        <w:t xml:space="preserve"> testing was performed</w:t>
      </w:r>
      <w:r w:rsidR="00F428F2">
        <w:rPr>
          <w:rFonts w:ascii="Franklin Gothic Book" w:hAnsi="Franklin Gothic Book"/>
          <w:sz w:val="22"/>
        </w:rPr>
        <w:t xml:space="preserve"> and required</w:t>
      </w:r>
      <w:r w:rsidR="00A15D12" w:rsidRPr="00F5289B">
        <w:rPr>
          <w:rFonts w:ascii="Franklin Gothic Book" w:hAnsi="Franklin Gothic Book"/>
          <w:sz w:val="22"/>
        </w:rPr>
        <w:t>. However</w:t>
      </w:r>
      <w:r w:rsidR="00BF6FAB">
        <w:rPr>
          <w:rFonts w:ascii="Franklin Gothic Book" w:hAnsi="Franklin Gothic Book"/>
          <w:sz w:val="22"/>
        </w:rPr>
        <w:t>,</w:t>
      </w:r>
      <w:r w:rsidR="00A15D12" w:rsidRPr="00F5289B">
        <w:rPr>
          <w:rFonts w:ascii="Franklin Gothic Book" w:hAnsi="Franklin Gothic Book"/>
          <w:sz w:val="22"/>
        </w:rPr>
        <w:t xml:space="preserve"> MSAC considered that the </w:t>
      </w:r>
      <w:r w:rsidR="00ED2802" w:rsidRPr="00F5289B">
        <w:rPr>
          <w:rFonts w:ascii="Franklin Gothic Book" w:hAnsi="Franklin Gothic Book"/>
          <w:sz w:val="22"/>
        </w:rPr>
        <w:t xml:space="preserve">need for CGP testing </w:t>
      </w:r>
      <w:r w:rsidR="00E066E6">
        <w:rPr>
          <w:rFonts w:ascii="Franklin Gothic Book" w:hAnsi="Franklin Gothic Book"/>
          <w:sz w:val="22"/>
        </w:rPr>
        <w:t>was not clearly justified,</w:t>
      </w:r>
      <w:r w:rsidRPr="00F5289B">
        <w:rPr>
          <w:rFonts w:ascii="Franklin Gothic Book" w:hAnsi="Franklin Gothic Book"/>
          <w:sz w:val="22"/>
        </w:rPr>
        <w:t xml:space="preserve"> as the testing </w:t>
      </w:r>
      <w:r w:rsidR="00E066E6">
        <w:rPr>
          <w:rFonts w:ascii="Franklin Gothic Book" w:hAnsi="Franklin Gothic Book"/>
          <w:sz w:val="22"/>
        </w:rPr>
        <w:t>would be</w:t>
      </w:r>
      <w:r w:rsidRPr="00F5289B">
        <w:rPr>
          <w:rFonts w:ascii="Franklin Gothic Book" w:hAnsi="Franklin Gothic Book"/>
          <w:sz w:val="22"/>
        </w:rPr>
        <w:t xml:space="preserve"> </w:t>
      </w:r>
      <w:r w:rsidR="00F428F2">
        <w:rPr>
          <w:rFonts w:ascii="Franklin Gothic Book" w:hAnsi="Franklin Gothic Book"/>
          <w:sz w:val="22"/>
        </w:rPr>
        <w:t xml:space="preserve">performed </w:t>
      </w:r>
      <w:r w:rsidRPr="00F5289B">
        <w:rPr>
          <w:rFonts w:ascii="Franklin Gothic Book" w:hAnsi="Franklin Gothic Book"/>
          <w:sz w:val="22"/>
        </w:rPr>
        <w:t>for 3 genes only</w:t>
      </w:r>
      <w:r w:rsidR="00364FC9" w:rsidRPr="00F5289B">
        <w:rPr>
          <w:rFonts w:ascii="Franklin Gothic Book" w:hAnsi="Franklin Gothic Book"/>
          <w:sz w:val="22"/>
        </w:rPr>
        <w:t xml:space="preserve"> and more targeted options for testing were available</w:t>
      </w:r>
      <w:r w:rsidR="00E066E6">
        <w:rPr>
          <w:rFonts w:ascii="Franklin Gothic Book" w:hAnsi="Franklin Gothic Book"/>
          <w:sz w:val="22"/>
        </w:rPr>
        <w:t>,</w:t>
      </w:r>
      <w:r w:rsidR="00364FC9" w:rsidRPr="00F5289B">
        <w:rPr>
          <w:rFonts w:ascii="Franklin Gothic Book" w:hAnsi="Franklin Gothic Book"/>
          <w:sz w:val="22"/>
        </w:rPr>
        <w:t xml:space="preserve"> which could reduce both costs and failure rates</w:t>
      </w:r>
      <w:r w:rsidR="00ED2802" w:rsidRPr="00F5289B">
        <w:rPr>
          <w:rFonts w:ascii="Franklin Gothic Book" w:hAnsi="Franklin Gothic Book"/>
          <w:sz w:val="22"/>
        </w:rPr>
        <w:t>.</w:t>
      </w:r>
      <w:r w:rsidR="00ED2802">
        <w:rPr>
          <w:rFonts w:ascii="Franklin Gothic Book" w:hAnsi="Franklin Gothic Book"/>
          <w:sz w:val="22"/>
        </w:rPr>
        <w:t xml:space="preserve"> </w:t>
      </w:r>
      <w:r w:rsidR="00E066E6">
        <w:rPr>
          <w:rFonts w:ascii="Franklin Gothic Book" w:hAnsi="Franklin Gothic Book"/>
          <w:sz w:val="22"/>
        </w:rPr>
        <w:t xml:space="preserve">MSAC advised that </w:t>
      </w:r>
      <w:r w:rsidR="008B0A2F">
        <w:rPr>
          <w:rFonts w:ascii="Franklin Gothic Book" w:hAnsi="Franklin Gothic Book"/>
          <w:sz w:val="22"/>
        </w:rPr>
        <w:t xml:space="preserve">a re-application should provide further information around the need for CGP or, alternatively, </w:t>
      </w:r>
      <w:r w:rsidR="00526F68">
        <w:rPr>
          <w:rFonts w:ascii="Franklin Gothic Book" w:hAnsi="Franklin Gothic Book"/>
          <w:sz w:val="22"/>
        </w:rPr>
        <w:t xml:space="preserve">propose a more targeted testing option and </w:t>
      </w:r>
      <w:r w:rsidR="008B0A2F">
        <w:rPr>
          <w:rFonts w:ascii="Franklin Gothic Book" w:hAnsi="Franklin Gothic Book"/>
          <w:sz w:val="22"/>
        </w:rPr>
        <w:t xml:space="preserve">revise the proposed </w:t>
      </w:r>
      <w:r w:rsidR="007364B6">
        <w:rPr>
          <w:rFonts w:ascii="Franklin Gothic Book" w:hAnsi="Franklin Gothic Book"/>
          <w:sz w:val="22"/>
        </w:rPr>
        <w:t>fee.</w:t>
      </w:r>
    </w:p>
    <w:p w14:paraId="6DD2D787" w14:textId="2E1DB10D" w:rsidR="007D7D0C" w:rsidRPr="00F5289B" w:rsidRDefault="007D7D0C" w:rsidP="007D7D0C">
      <w:pPr>
        <w:rPr>
          <w:rFonts w:ascii="Franklin Gothic Book" w:hAnsi="Franklin Gothic Book"/>
          <w:sz w:val="22"/>
        </w:rPr>
      </w:pPr>
      <w:r w:rsidRPr="00F5289B">
        <w:rPr>
          <w:rFonts w:ascii="Franklin Gothic Book" w:hAnsi="Franklin Gothic Book"/>
          <w:sz w:val="22"/>
        </w:rPr>
        <w:t>MSAC noted th</w:t>
      </w:r>
      <w:r w:rsidR="007364B6">
        <w:rPr>
          <w:rFonts w:ascii="Franklin Gothic Book" w:hAnsi="Franklin Gothic Book"/>
          <w:sz w:val="22"/>
        </w:rPr>
        <w:t>at th</w:t>
      </w:r>
      <w:r w:rsidRPr="00F5289B">
        <w:rPr>
          <w:rFonts w:ascii="Franklin Gothic Book" w:hAnsi="Franklin Gothic Book"/>
          <w:sz w:val="22"/>
        </w:rPr>
        <w:t>e</w:t>
      </w:r>
      <w:r w:rsidR="00382832" w:rsidRPr="00F5289B">
        <w:rPr>
          <w:rFonts w:ascii="Franklin Gothic Book" w:hAnsi="Franklin Gothic Book"/>
          <w:sz w:val="22"/>
        </w:rPr>
        <w:t xml:space="preserve"> </w:t>
      </w:r>
      <w:r w:rsidR="009137EE">
        <w:rPr>
          <w:rFonts w:ascii="Franklin Gothic Book" w:hAnsi="Franklin Gothic Book"/>
          <w:sz w:val="22"/>
        </w:rPr>
        <w:t xml:space="preserve">proposed </w:t>
      </w:r>
      <w:r w:rsidR="007364B6">
        <w:rPr>
          <w:rFonts w:ascii="Franklin Gothic Book" w:hAnsi="Franklin Gothic Book"/>
          <w:sz w:val="22"/>
        </w:rPr>
        <w:t xml:space="preserve">item descriptor states that the testing </w:t>
      </w:r>
      <w:r w:rsidR="00756A54">
        <w:rPr>
          <w:rFonts w:ascii="Franklin Gothic Book" w:hAnsi="Franklin Gothic Book"/>
          <w:sz w:val="22"/>
        </w:rPr>
        <w:t>is ‘</w:t>
      </w:r>
      <w:r w:rsidR="00756A54" w:rsidRPr="00756A54">
        <w:rPr>
          <w:rFonts w:ascii="Franklin Gothic Book" w:hAnsi="Franklin Gothic Book"/>
          <w:sz w:val="22"/>
        </w:rPr>
        <w:t>As requested by a specialist or consultant physician</w:t>
      </w:r>
      <w:r w:rsidR="00756A54">
        <w:rPr>
          <w:rFonts w:ascii="Franklin Gothic Book" w:hAnsi="Franklin Gothic Book"/>
          <w:sz w:val="22"/>
        </w:rPr>
        <w:t>’</w:t>
      </w:r>
      <w:r w:rsidR="00CE48A9">
        <w:rPr>
          <w:rFonts w:ascii="Franklin Gothic Book" w:hAnsi="Franklin Gothic Book"/>
          <w:sz w:val="22"/>
        </w:rPr>
        <w:t>, but that the department proposed</w:t>
      </w:r>
      <w:r w:rsidR="001C372D">
        <w:rPr>
          <w:rFonts w:ascii="Franklin Gothic Book" w:hAnsi="Franklin Gothic Book"/>
          <w:sz w:val="22"/>
        </w:rPr>
        <w:t xml:space="preserve"> this be updated to include the wording</w:t>
      </w:r>
      <w:r w:rsidR="0071455A">
        <w:rPr>
          <w:rFonts w:ascii="Franklin Gothic Book" w:hAnsi="Franklin Gothic Book"/>
          <w:sz w:val="22"/>
        </w:rPr>
        <w:t xml:space="preserve"> ‘</w:t>
      </w:r>
      <w:r w:rsidR="00BD7D56">
        <w:rPr>
          <w:rFonts w:ascii="Franklin Gothic Book" w:hAnsi="Franklin Gothic Book"/>
          <w:sz w:val="22"/>
        </w:rPr>
        <w:t>…by, or on behalf of, a specialist or consultant physician’.</w:t>
      </w:r>
      <w:r w:rsidR="00382832">
        <w:rPr>
          <w:rFonts w:ascii="Franklin Gothic Book" w:hAnsi="Franklin Gothic Book"/>
          <w:sz w:val="22"/>
        </w:rPr>
        <w:t xml:space="preserve"> </w:t>
      </w:r>
      <w:r w:rsidDel="00A25411">
        <w:rPr>
          <w:rFonts w:ascii="Franklin Gothic Book" w:hAnsi="Franklin Gothic Book"/>
          <w:sz w:val="22"/>
        </w:rPr>
        <w:t xml:space="preserve">MSAC </w:t>
      </w:r>
      <w:r w:rsidRPr="00F5289B">
        <w:rPr>
          <w:rFonts w:ascii="Franklin Gothic Book" w:hAnsi="Franklin Gothic Book"/>
          <w:sz w:val="22"/>
        </w:rPr>
        <w:t xml:space="preserve">considered it appropriate to </w:t>
      </w:r>
      <w:r w:rsidR="00443EDA">
        <w:rPr>
          <w:rFonts w:ascii="Franklin Gothic Book" w:hAnsi="Franklin Gothic Book"/>
          <w:sz w:val="22"/>
        </w:rPr>
        <w:t>include</w:t>
      </w:r>
      <w:r w:rsidRPr="00F5289B">
        <w:rPr>
          <w:rFonts w:ascii="Franklin Gothic Book" w:hAnsi="Franklin Gothic Book"/>
          <w:sz w:val="22"/>
        </w:rPr>
        <w:t xml:space="preserve"> </w:t>
      </w:r>
      <w:r w:rsidR="00443EDA">
        <w:rPr>
          <w:rFonts w:ascii="Franklin Gothic Book" w:hAnsi="Franklin Gothic Book"/>
          <w:sz w:val="22"/>
        </w:rPr>
        <w:t>‘on behalf of’</w:t>
      </w:r>
      <w:r w:rsidRPr="00F5289B">
        <w:rPr>
          <w:rFonts w:ascii="Franklin Gothic Book" w:hAnsi="Franklin Gothic Book"/>
          <w:sz w:val="22"/>
        </w:rPr>
        <w:t xml:space="preserve"> to expedite </w:t>
      </w:r>
      <w:proofErr w:type="gramStart"/>
      <w:r w:rsidRPr="00F5289B">
        <w:rPr>
          <w:rFonts w:ascii="Franklin Gothic Book" w:hAnsi="Franklin Gothic Book"/>
          <w:sz w:val="22"/>
        </w:rPr>
        <w:t>testing, and</w:t>
      </w:r>
      <w:proofErr w:type="gramEnd"/>
      <w:r w:rsidRPr="00F5289B">
        <w:rPr>
          <w:rFonts w:ascii="Franklin Gothic Book" w:hAnsi="Franklin Gothic Book"/>
          <w:sz w:val="22"/>
        </w:rPr>
        <w:t xml:space="preserve"> </w:t>
      </w:r>
      <w:r w:rsidR="001C372D">
        <w:rPr>
          <w:rFonts w:ascii="Franklin Gothic Book" w:hAnsi="Franklin Gothic Book"/>
          <w:sz w:val="22"/>
        </w:rPr>
        <w:t>considered that</w:t>
      </w:r>
      <w:r w:rsidRPr="00F5289B">
        <w:rPr>
          <w:rFonts w:ascii="Franklin Gothic Book" w:hAnsi="Franklin Gothic Book"/>
          <w:sz w:val="22"/>
        </w:rPr>
        <w:t xml:space="preserve"> pathologists</w:t>
      </w:r>
      <w:r w:rsidR="002019B7">
        <w:rPr>
          <w:rFonts w:ascii="Franklin Gothic Book" w:hAnsi="Franklin Gothic Book"/>
          <w:sz w:val="22"/>
        </w:rPr>
        <w:t xml:space="preserve"> should also be able to request the item</w:t>
      </w:r>
      <w:r w:rsidR="00C80649">
        <w:rPr>
          <w:rFonts w:ascii="Franklin Gothic Book" w:hAnsi="Franklin Gothic Book"/>
          <w:sz w:val="22"/>
        </w:rPr>
        <w:t xml:space="preserve"> on behalf of a specialist or consultant physician</w:t>
      </w:r>
      <w:r w:rsidRPr="00F5289B">
        <w:rPr>
          <w:rFonts w:ascii="Franklin Gothic Book" w:hAnsi="Franklin Gothic Book"/>
          <w:sz w:val="22"/>
        </w:rPr>
        <w:t>.</w:t>
      </w:r>
      <w:r w:rsidR="002B7DED" w:rsidRPr="00F5289B">
        <w:rPr>
          <w:rFonts w:ascii="Franklin Gothic Book" w:hAnsi="Franklin Gothic Book"/>
          <w:sz w:val="22"/>
        </w:rPr>
        <w:t xml:space="preserve"> </w:t>
      </w:r>
    </w:p>
    <w:p w14:paraId="396E1D05" w14:textId="415DE2A6" w:rsidR="002B7DED" w:rsidRPr="00F5289B" w:rsidRDefault="002B7DED" w:rsidP="007D7D0C">
      <w:pPr>
        <w:rPr>
          <w:rFonts w:ascii="Franklin Gothic Book" w:hAnsi="Franklin Gothic Book"/>
          <w:sz w:val="22"/>
        </w:rPr>
      </w:pPr>
      <w:r w:rsidRPr="00F5289B">
        <w:rPr>
          <w:rFonts w:ascii="Franklin Gothic Book" w:hAnsi="Franklin Gothic Book"/>
          <w:sz w:val="22"/>
        </w:rPr>
        <w:t>M</w:t>
      </w:r>
      <w:r w:rsidR="00E30164">
        <w:rPr>
          <w:rFonts w:ascii="Franklin Gothic Book" w:hAnsi="Franklin Gothic Book"/>
          <w:sz w:val="22"/>
        </w:rPr>
        <w:t>S</w:t>
      </w:r>
      <w:r w:rsidRPr="00F5289B">
        <w:rPr>
          <w:rFonts w:ascii="Franklin Gothic Book" w:hAnsi="Franklin Gothic Book"/>
          <w:sz w:val="22"/>
        </w:rPr>
        <w:t xml:space="preserve">AC </w:t>
      </w:r>
      <w:r w:rsidR="00E30164">
        <w:rPr>
          <w:rFonts w:ascii="Franklin Gothic Book" w:hAnsi="Franklin Gothic Book"/>
          <w:sz w:val="22"/>
        </w:rPr>
        <w:t>considered</w:t>
      </w:r>
      <w:r w:rsidRPr="00F5289B">
        <w:rPr>
          <w:rFonts w:ascii="Franklin Gothic Book" w:hAnsi="Franklin Gothic Book"/>
          <w:sz w:val="22"/>
        </w:rPr>
        <w:t xml:space="preserve"> that the </w:t>
      </w:r>
      <w:r w:rsidR="00E30164">
        <w:rPr>
          <w:rFonts w:ascii="Franklin Gothic Book" w:hAnsi="Franklin Gothic Book"/>
          <w:sz w:val="22"/>
        </w:rPr>
        <w:t xml:space="preserve">restriction of testing to </w:t>
      </w:r>
      <w:r w:rsidRPr="00F5289B">
        <w:rPr>
          <w:rFonts w:ascii="Franklin Gothic Book" w:hAnsi="Franklin Gothic Book"/>
          <w:sz w:val="22"/>
        </w:rPr>
        <w:t xml:space="preserve">once per </w:t>
      </w:r>
      <w:r w:rsidR="00533BE0" w:rsidRPr="00F5289B">
        <w:rPr>
          <w:rFonts w:ascii="Franklin Gothic Book" w:hAnsi="Franklin Gothic Book"/>
          <w:sz w:val="22"/>
        </w:rPr>
        <w:t xml:space="preserve">primary tumour diagnosis </w:t>
      </w:r>
      <w:r w:rsidRPr="00F5289B">
        <w:rPr>
          <w:rFonts w:ascii="Franklin Gothic Book" w:hAnsi="Franklin Gothic Book"/>
          <w:sz w:val="22"/>
        </w:rPr>
        <w:t xml:space="preserve">was </w:t>
      </w:r>
      <w:proofErr w:type="gramStart"/>
      <w:r w:rsidRPr="00F5289B">
        <w:rPr>
          <w:rFonts w:ascii="Franklin Gothic Book" w:hAnsi="Franklin Gothic Book"/>
          <w:sz w:val="22"/>
        </w:rPr>
        <w:t>reasonable</w:t>
      </w:r>
      <w:r w:rsidR="00444C6C">
        <w:rPr>
          <w:rFonts w:ascii="Franklin Gothic Book" w:hAnsi="Franklin Gothic Book"/>
          <w:sz w:val="22"/>
        </w:rPr>
        <w:t>,</w:t>
      </w:r>
      <w:r w:rsidRPr="00F5289B">
        <w:rPr>
          <w:rFonts w:ascii="Franklin Gothic Book" w:hAnsi="Franklin Gothic Book"/>
          <w:sz w:val="22"/>
        </w:rPr>
        <w:t xml:space="preserve"> </w:t>
      </w:r>
      <w:r w:rsidR="00DF3A7C" w:rsidRPr="00F5289B">
        <w:rPr>
          <w:rFonts w:ascii="Franklin Gothic Book" w:hAnsi="Franklin Gothic Book"/>
          <w:sz w:val="22"/>
        </w:rPr>
        <w:t>and</w:t>
      </w:r>
      <w:proofErr w:type="gramEnd"/>
      <w:r w:rsidR="00DF3A7C" w:rsidRPr="00F5289B">
        <w:rPr>
          <w:rFonts w:ascii="Franklin Gothic Book" w:hAnsi="Franklin Gothic Book"/>
          <w:sz w:val="22"/>
        </w:rPr>
        <w:t xml:space="preserve"> takes into account scenarios where a patient may get a second, primary breast cancer in either breast</w:t>
      </w:r>
      <w:r w:rsidRPr="00F5289B">
        <w:rPr>
          <w:rFonts w:ascii="Franklin Gothic Book" w:hAnsi="Franklin Gothic Book"/>
          <w:sz w:val="22"/>
        </w:rPr>
        <w:t xml:space="preserve">. </w:t>
      </w:r>
      <w:r w:rsidR="00174EF2" w:rsidRPr="00F5289B">
        <w:rPr>
          <w:rFonts w:ascii="Franklin Gothic Book" w:hAnsi="Franklin Gothic Book"/>
          <w:sz w:val="22"/>
        </w:rPr>
        <w:t xml:space="preserve">MSAC noted </w:t>
      </w:r>
      <w:r w:rsidR="00344586" w:rsidRPr="00F5289B">
        <w:rPr>
          <w:rFonts w:ascii="Franklin Gothic Book" w:hAnsi="Franklin Gothic Book"/>
          <w:sz w:val="22"/>
        </w:rPr>
        <w:t xml:space="preserve">that </w:t>
      </w:r>
      <w:r w:rsidR="0083799D" w:rsidRPr="00F5289B">
        <w:rPr>
          <w:rFonts w:ascii="Franklin Gothic Book" w:hAnsi="Franklin Gothic Book"/>
          <w:sz w:val="22"/>
        </w:rPr>
        <w:t xml:space="preserve">in the event </w:t>
      </w:r>
      <w:r w:rsidR="003B6C07">
        <w:rPr>
          <w:rFonts w:ascii="Franklin Gothic Book" w:hAnsi="Franklin Gothic Book"/>
          <w:sz w:val="22"/>
        </w:rPr>
        <w:t>of</w:t>
      </w:r>
      <w:r w:rsidR="0083799D" w:rsidRPr="00F5289B">
        <w:rPr>
          <w:rFonts w:ascii="Franklin Gothic Book" w:hAnsi="Franklin Gothic Book"/>
          <w:sz w:val="22"/>
        </w:rPr>
        <w:t xml:space="preserve"> test failure </w:t>
      </w:r>
      <w:r w:rsidR="00444C6C">
        <w:rPr>
          <w:rFonts w:ascii="Franklin Gothic Book" w:hAnsi="Franklin Gothic Book"/>
          <w:sz w:val="22"/>
        </w:rPr>
        <w:t>and subsequent</w:t>
      </w:r>
      <w:r w:rsidR="0083799D" w:rsidRPr="00F5289B">
        <w:rPr>
          <w:rFonts w:ascii="Franklin Gothic Book" w:hAnsi="Franklin Gothic Book"/>
          <w:sz w:val="22"/>
        </w:rPr>
        <w:t xml:space="preserve"> re-testing, patients would </w:t>
      </w:r>
      <w:r w:rsidR="00344586" w:rsidRPr="00F5289B">
        <w:rPr>
          <w:rFonts w:ascii="Franklin Gothic Book" w:hAnsi="Franklin Gothic Book"/>
          <w:sz w:val="22"/>
        </w:rPr>
        <w:t xml:space="preserve">not </w:t>
      </w:r>
      <w:r w:rsidR="00444C6C">
        <w:rPr>
          <w:rFonts w:ascii="Franklin Gothic Book" w:hAnsi="Franklin Gothic Book"/>
          <w:sz w:val="22"/>
        </w:rPr>
        <w:t xml:space="preserve">typically </w:t>
      </w:r>
      <w:r w:rsidR="0083799D" w:rsidRPr="00F5289B">
        <w:rPr>
          <w:rFonts w:ascii="Franklin Gothic Book" w:hAnsi="Franklin Gothic Book"/>
          <w:sz w:val="22"/>
        </w:rPr>
        <w:t>incur out of pocket costs</w:t>
      </w:r>
      <w:r w:rsidR="00444C6C">
        <w:rPr>
          <w:rFonts w:ascii="Franklin Gothic Book" w:hAnsi="Franklin Gothic Book"/>
          <w:sz w:val="22"/>
        </w:rPr>
        <w:t>, because</w:t>
      </w:r>
      <w:r w:rsidR="00344586" w:rsidRPr="00F5289B">
        <w:rPr>
          <w:rFonts w:ascii="Franklin Gothic Book" w:hAnsi="Franklin Gothic Book"/>
          <w:sz w:val="22"/>
        </w:rPr>
        <w:t xml:space="preserve"> </w:t>
      </w:r>
      <w:r w:rsidR="000B51E4" w:rsidRPr="00F5289B">
        <w:rPr>
          <w:rFonts w:ascii="Franklin Gothic Book" w:hAnsi="Franklin Gothic Book"/>
          <w:sz w:val="22"/>
        </w:rPr>
        <w:t>a valid result must be reported before a pathology item can be billed. In instances where insufficient sample is provided and a recollection is necessary</w:t>
      </w:r>
      <w:r w:rsidR="00444C6C">
        <w:rPr>
          <w:rFonts w:ascii="Franklin Gothic Book" w:hAnsi="Franklin Gothic Book"/>
          <w:sz w:val="22"/>
        </w:rPr>
        <w:t>,</w:t>
      </w:r>
      <w:r w:rsidR="000B51E4" w:rsidRPr="00F5289B">
        <w:rPr>
          <w:rFonts w:ascii="Franklin Gothic Book" w:hAnsi="Franklin Gothic Book"/>
          <w:sz w:val="22"/>
        </w:rPr>
        <w:t xml:space="preserve"> the </w:t>
      </w:r>
      <w:r w:rsidR="00B71BFF">
        <w:rPr>
          <w:rFonts w:ascii="Franklin Gothic Book" w:hAnsi="Franklin Gothic Book"/>
          <w:sz w:val="22"/>
        </w:rPr>
        <w:t xml:space="preserve">pathology </w:t>
      </w:r>
      <w:r w:rsidR="000B51E4" w:rsidRPr="00F5289B">
        <w:rPr>
          <w:rFonts w:ascii="Franklin Gothic Book" w:hAnsi="Franklin Gothic Book"/>
          <w:sz w:val="22"/>
        </w:rPr>
        <w:t xml:space="preserve">provider is expected to absorb the cost. </w:t>
      </w:r>
      <w:r w:rsidR="008A3A8E" w:rsidRPr="00F5289B">
        <w:rPr>
          <w:rFonts w:ascii="Franklin Gothic Book" w:hAnsi="Franklin Gothic Book"/>
          <w:sz w:val="22"/>
        </w:rPr>
        <w:t>Thus</w:t>
      </w:r>
      <w:r w:rsidR="00FE13A3">
        <w:rPr>
          <w:rFonts w:ascii="Franklin Gothic Book" w:hAnsi="Franklin Gothic Book"/>
          <w:sz w:val="22"/>
        </w:rPr>
        <w:t>,</w:t>
      </w:r>
      <w:r w:rsidR="008A3A8E" w:rsidRPr="00F5289B">
        <w:rPr>
          <w:rFonts w:ascii="Franklin Gothic Book" w:hAnsi="Franklin Gothic Book"/>
          <w:sz w:val="22"/>
        </w:rPr>
        <w:t xml:space="preserve"> MSAC considered that overall</w:t>
      </w:r>
      <w:r w:rsidR="005130C9">
        <w:rPr>
          <w:rFonts w:ascii="Franklin Gothic Book" w:hAnsi="Franklin Gothic Book"/>
          <w:sz w:val="22"/>
        </w:rPr>
        <w:t>,</w:t>
      </w:r>
      <w:r w:rsidR="008A3A8E" w:rsidRPr="00F5289B">
        <w:rPr>
          <w:rFonts w:ascii="Franklin Gothic Book" w:hAnsi="Franklin Gothic Book"/>
          <w:sz w:val="22"/>
        </w:rPr>
        <w:t xml:space="preserve"> it was reasonable to retain the restriction even after </w:t>
      </w:r>
      <w:proofErr w:type="gramStart"/>
      <w:r w:rsidR="008A3A8E" w:rsidRPr="00F5289B">
        <w:rPr>
          <w:rFonts w:ascii="Franklin Gothic Book" w:hAnsi="Franklin Gothic Book"/>
          <w:sz w:val="22"/>
        </w:rPr>
        <w:t>taking into account</w:t>
      </w:r>
      <w:proofErr w:type="gramEnd"/>
      <w:r w:rsidR="008A3A8E" w:rsidRPr="00F5289B">
        <w:rPr>
          <w:rFonts w:ascii="Franklin Gothic Book" w:hAnsi="Franklin Gothic Book"/>
          <w:sz w:val="22"/>
        </w:rPr>
        <w:t xml:space="preserve"> failure rates.</w:t>
      </w:r>
      <w:r w:rsidR="00576F98" w:rsidRPr="00F5289B">
        <w:rPr>
          <w:rFonts w:ascii="Franklin Gothic Book" w:hAnsi="Franklin Gothic Book"/>
          <w:sz w:val="22"/>
        </w:rPr>
        <w:t xml:space="preserve"> </w:t>
      </w:r>
    </w:p>
    <w:p w14:paraId="4CA34DDA" w14:textId="1C7ED48F" w:rsidR="007D7D0C" w:rsidRPr="00F5289B" w:rsidRDefault="00D5291D" w:rsidP="007D7D0C">
      <w:pPr>
        <w:rPr>
          <w:rFonts w:ascii="Franklin Gothic Book" w:hAnsi="Franklin Gothic Book"/>
          <w:sz w:val="22"/>
        </w:rPr>
      </w:pPr>
      <w:r w:rsidRPr="00F5289B">
        <w:rPr>
          <w:rFonts w:ascii="Franklin Gothic Book" w:hAnsi="Franklin Gothic Book"/>
          <w:sz w:val="22"/>
        </w:rPr>
        <w:t xml:space="preserve">MSAC noted that although there were no major issues with how the testing was depicted in the clinical management algorithm, </w:t>
      </w:r>
      <w:r w:rsidR="00B32AD9" w:rsidRPr="00F5289B">
        <w:rPr>
          <w:rFonts w:ascii="Franklin Gothic Book" w:hAnsi="Franklin Gothic Book"/>
          <w:sz w:val="22"/>
        </w:rPr>
        <w:t xml:space="preserve">comparator treatment options were broader than </w:t>
      </w:r>
      <w:r w:rsidR="0065184F">
        <w:rPr>
          <w:rFonts w:ascii="Franklin Gothic Book" w:hAnsi="Franklin Gothic Book"/>
          <w:sz w:val="22"/>
        </w:rPr>
        <w:t>FULV</w:t>
      </w:r>
      <w:r w:rsidR="00500563">
        <w:rPr>
          <w:rFonts w:ascii="Franklin Gothic Book" w:hAnsi="Franklin Gothic Book"/>
          <w:sz w:val="22"/>
        </w:rPr>
        <w:t xml:space="preserve"> only, and in many cases these alternative treatments </w:t>
      </w:r>
      <w:r w:rsidR="00B809A8">
        <w:rPr>
          <w:rFonts w:ascii="Franklin Gothic Book" w:hAnsi="Franklin Gothic Book"/>
          <w:sz w:val="22"/>
        </w:rPr>
        <w:t>would likely be more effective</w:t>
      </w:r>
      <w:r w:rsidR="00C96426">
        <w:rPr>
          <w:rFonts w:ascii="Franklin Gothic Book" w:hAnsi="Franklin Gothic Book"/>
          <w:sz w:val="22"/>
        </w:rPr>
        <w:t xml:space="preserve"> than FULV alone</w:t>
      </w:r>
      <w:r w:rsidR="00C94A6A">
        <w:rPr>
          <w:rFonts w:ascii="Franklin Gothic Book" w:hAnsi="Franklin Gothic Book"/>
          <w:sz w:val="22"/>
        </w:rPr>
        <w:t xml:space="preserve">. </w:t>
      </w:r>
    </w:p>
    <w:p w14:paraId="2129112C" w14:textId="3E7D4A0C" w:rsidR="006E01A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the clinical claim that </w:t>
      </w:r>
      <w:r w:rsidR="00C94A6A">
        <w:rPr>
          <w:rFonts w:ascii="Franklin Gothic Book" w:hAnsi="Franklin Gothic Book"/>
          <w:sz w:val="22"/>
        </w:rPr>
        <w:t>CAPI</w:t>
      </w:r>
      <w:r w:rsidRPr="00F5289B">
        <w:rPr>
          <w:rFonts w:ascii="Franklin Gothic Book" w:hAnsi="Franklin Gothic Book"/>
          <w:sz w:val="22"/>
        </w:rPr>
        <w:t>+</w:t>
      </w:r>
      <w:r w:rsidR="00C94A6A">
        <w:rPr>
          <w:rFonts w:ascii="Franklin Gothic Book" w:hAnsi="Franklin Gothic Book"/>
          <w:sz w:val="22"/>
        </w:rPr>
        <w:t>FULV</w:t>
      </w:r>
      <w:r w:rsidRPr="00F5289B">
        <w:rPr>
          <w:rFonts w:ascii="Franklin Gothic Book" w:hAnsi="Franklin Gothic Book"/>
          <w:sz w:val="22"/>
        </w:rPr>
        <w:t xml:space="preserve"> was superior to </w:t>
      </w:r>
      <w:proofErr w:type="spellStart"/>
      <w:r w:rsidRPr="00F5289B">
        <w:rPr>
          <w:rFonts w:ascii="Franklin Gothic Book" w:hAnsi="Franklin Gothic Book"/>
          <w:sz w:val="22"/>
        </w:rPr>
        <w:t>placebo+</w:t>
      </w:r>
      <w:r w:rsidR="00C94A6A">
        <w:rPr>
          <w:rFonts w:ascii="Franklin Gothic Book" w:hAnsi="Franklin Gothic Book"/>
          <w:sz w:val="22"/>
        </w:rPr>
        <w:t>FULV</w:t>
      </w:r>
      <w:proofErr w:type="spellEnd"/>
      <w:r w:rsidRPr="00F5289B">
        <w:rPr>
          <w:rFonts w:ascii="Franklin Gothic Book" w:hAnsi="Franklin Gothic Book"/>
          <w:sz w:val="22"/>
        </w:rPr>
        <w:t xml:space="preserve"> in patients with AKT pathway alterations (using progression-free survival [PFS] as the health outcome), and that it had inferior but manageable safety. MSAC noted</w:t>
      </w:r>
      <w:r>
        <w:rPr>
          <w:rFonts w:ascii="Franklin Gothic Book" w:hAnsi="Franklin Gothic Book"/>
          <w:sz w:val="22"/>
        </w:rPr>
        <w:t xml:space="preserve"> </w:t>
      </w:r>
      <w:r w:rsidR="00C94A6A">
        <w:rPr>
          <w:rFonts w:ascii="Franklin Gothic Book" w:hAnsi="Franklin Gothic Book"/>
          <w:sz w:val="22"/>
        </w:rPr>
        <w:t>that,</w:t>
      </w:r>
      <w:r w:rsidRPr="00F5289B">
        <w:rPr>
          <w:rFonts w:ascii="Franklin Gothic Book" w:hAnsi="Franklin Gothic Book"/>
          <w:sz w:val="22"/>
        </w:rPr>
        <w:t xml:space="preserve"> </w:t>
      </w:r>
      <w:r w:rsidR="00F14327" w:rsidRPr="00F5289B">
        <w:rPr>
          <w:rFonts w:ascii="Franklin Gothic Book" w:hAnsi="Franklin Gothic Book"/>
          <w:sz w:val="22"/>
        </w:rPr>
        <w:t>although re</w:t>
      </w:r>
      <w:r w:rsidR="00C94A6A">
        <w:rPr>
          <w:rFonts w:ascii="Franklin Gothic Book" w:hAnsi="Franklin Gothic Book"/>
          <w:sz w:val="22"/>
        </w:rPr>
        <w:t>-</w:t>
      </w:r>
      <w:r w:rsidR="00F14327" w:rsidRPr="00F5289B">
        <w:rPr>
          <w:rFonts w:ascii="Franklin Gothic Book" w:hAnsi="Franklin Gothic Book"/>
          <w:sz w:val="22"/>
        </w:rPr>
        <w:t xml:space="preserve">biopsy </w:t>
      </w:r>
      <w:r w:rsidR="00E10A67" w:rsidRPr="00F5289B">
        <w:rPr>
          <w:rFonts w:ascii="Franklin Gothic Book" w:hAnsi="Franklin Gothic Book"/>
          <w:sz w:val="22"/>
        </w:rPr>
        <w:t xml:space="preserve">for testing </w:t>
      </w:r>
      <w:r w:rsidR="003E30BD">
        <w:rPr>
          <w:rFonts w:ascii="Franklin Gothic Book" w:hAnsi="Franklin Gothic Book"/>
          <w:sz w:val="22"/>
        </w:rPr>
        <w:t>at disease recurrence or</w:t>
      </w:r>
      <w:r w:rsidR="00E10A67" w:rsidRPr="00F5289B">
        <w:rPr>
          <w:rFonts w:ascii="Franklin Gothic Book" w:hAnsi="Franklin Gothic Book"/>
          <w:sz w:val="22"/>
        </w:rPr>
        <w:t xml:space="preserve"> progression</w:t>
      </w:r>
      <w:r w:rsidR="003E30BD">
        <w:rPr>
          <w:rFonts w:ascii="Franklin Gothic Book" w:hAnsi="Franklin Gothic Book"/>
          <w:sz w:val="22"/>
        </w:rPr>
        <w:t>,</w:t>
      </w:r>
      <w:r w:rsidR="00E10A67" w:rsidRPr="00F5289B">
        <w:rPr>
          <w:rFonts w:ascii="Franklin Gothic Book" w:hAnsi="Franklin Gothic Book"/>
          <w:sz w:val="22"/>
        </w:rPr>
        <w:t xml:space="preserve"> </w:t>
      </w:r>
      <w:r w:rsidR="003E30BD">
        <w:rPr>
          <w:rFonts w:ascii="Franklin Gothic Book" w:hAnsi="Franklin Gothic Book"/>
          <w:sz w:val="22"/>
        </w:rPr>
        <w:t xml:space="preserve">is associated </w:t>
      </w:r>
      <w:r w:rsidR="00E10A67" w:rsidRPr="00F5289B">
        <w:rPr>
          <w:rFonts w:ascii="Franklin Gothic Book" w:hAnsi="Franklin Gothic Book"/>
          <w:sz w:val="22"/>
        </w:rPr>
        <w:t>with some additional risks</w:t>
      </w:r>
      <w:r w:rsidR="00DA103A" w:rsidRPr="00F5289B">
        <w:rPr>
          <w:rFonts w:ascii="Franklin Gothic Book" w:hAnsi="Franklin Gothic Book"/>
          <w:sz w:val="22"/>
        </w:rPr>
        <w:t xml:space="preserve">, </w:t>
      </w:r>
      <w:r w:rsidR="003E30BD">
        <w:rPr>
          <w:rFonts w:ascii="Franklin Gothic Book" w:hAnsi="Franklin Gothic Book"/>
          <w:sz w:val="22"/>
        </w:rPr>
        <w:t xml:space="preserve">the need for </w:t>
      </w:r>
      <w:r w:rsidR="00DA103A" w:rsidRPr="00F5289B">
        <w:rPr>
          <w:rFonts w:ascii="Franklin Gothic Book" w:hAnsi="Franklin Gothic Book"/>
          <w:sz w:val="22"/>
        </w:rPr>
        <w:t>re</w:t>
      </w:r>
      <w:r w:rsidR="003E30BD">
        <w:rPr>
          <w:rFonts w:ascii="Franklin Gothic Book" w:hAnsi="Franklin Gothic Book"/>
          <w:sz w:val="22"/>
        </w:rPr>
        <w:t>-</w:t>
      </w:r>
      <w:r w:rsidR="00DA103A" w:rsidRPr="00F5289B">
        <w:rPr>
          <w:rFonts w:ascii="Franklin Gothic Book" w:hAnsi="Franklin Gothic Book"/>
          <w:sz w:val="22"/>
        </w:rPr>
        <w:t>biopsy is unlikely. Since there were no other risks from the test</w:t>
      </w:r>
      <w:r w:rsidR="00001F21">
        <w:rPr>
          <w:rFonts w:ascii="Franklin Gothic Book" w:hAnsi="Franklin Gothic Book"/>
          <w:sz w:val="22"/>
        </w:rPr>
        <w:t>ing</w:t>
      </w:r>
      <w:r w:rsidR="00DA103A" w:rsidRPr="00F5289B">
        <w:rPr>
          <w:rFonts w:ascii="Franklin Gothic Book" w:hAnsi="Franklin Gothic Book"/>
          <w:sz w:val="22"/>
        </w:rPr>
        <w:t xml:space="preserve"> </w:t>
      </w:r>
      <w:r w:rsidR="00001F21">
        <w:rPr>
          <w:rFonts w:ascii="Franklin Gothic Book" w:hAnsi="Franklin Gothic Book"/>
          <w:sz w:val="22"/>
        </w:rPr>
        <w:t>(</w:t>
      </w:r>
      <w:r w:rsidR="00DA103A" w:rsidRPr="00F5289B">
        <w:rPr>
          <w:rFonts w:ascii="Franklin Gothic Book" w:hAnsi="Franklin Gothic Book"/>
          <w:sz w:val="22"/>
        </w:rPr>
        <w:t>aside from flow-on effects due to false p</w:t>
      </w:r>
      <w:r w:rsidR="00C41C09" w:rsidRPr="00F5289B">
        <w:rPr>
          <w:rFonts w:ascii="Franklin Gothic Book" w:hAnsi="Franklin Gothic Book"/>
          <w:sz w:val="22"/>
        </w:rPr>
        <w:t>ositive and negative</w:t>
      </w:r>
      <w:r w:rsidR="00802F4E">
        <w:rPr>
          <w:rFonts w:ascii="Franklin Gothic Book" w:hAnsi="Franklin Gothic Book"/>
          <w:sz w:val="22"/>
        </w:rPr>
        <w:t xml:space="preserve"> resu</w:t>
      </w:r>
      <w:r w:rsidR="00035F02">
        <w:rPr>
          <w:rFonts w:ascii="Franklin Gothic Book" w:hAnsi="Franklin Gothic Book"/>
          <w:sz w:val="22"/>
        </w:rPr>
        <w:t>lts</w:t>
      </w:r>
      <w:r w:rsidR="00001F21">
        <w:rPr>
          <w:rFonts w:ascii="Franklin Gothic Book" w:hAnsi="Franklin Gothic Book"/>
          <w:sz w:val="22"/>
        </w:rPr>
        <w:t>)</w:t>
      </w:r>
      <w:r w:rsidR="00C41C09" w:rsidRPr="00F5289B">
        <w:rPr>
          <w:rFonts w:ascii="Franklin Gothic Book" w:hAnsi="Franklin Gothic Book"/>
          <w:sz w:val="22"/>
        </w:rPr>
        <w:t>, MSAC considered</w:t>
      </w:r>
      <w:r w:rsidR="00E10A67" w:rsidRPr="00F5289B">
        <w:rPr>
          <w:rFonts w:ascii="Franklin Gothic Book" w:hAnsi="Franklin Gothic Book"/>
          <w:sz w:val="22"/>
        </w:rPr>
        <w:t xml:space="preserve"> </w:t>
      </w:r>
      <w:r w:rsidRPr="00F5289B">
        <w:rPr>
          <w:rFonts w:ascii="Franklin Gothic Book" w:hAnsi="Franklin Gothic Book"/>
          <w:sz w:val="22"/>
        </w:rPr>
        <w:t xml:space="preserve">that there </w:t>
      </w:r>
      <w:proofErr w:type="gramStart"/>
      <w:r w:rsidRPr="00F5289B">
        <w:rPr>
          <w:rFonts w:ascii="Franklin Gothic Book" w:hAnsi="Franklin Gothic Book"/>
          <w:sz w:val="22"/>
        </w:rPr>
        <w:t>were</w:t>
      </w:r>
      <w:proofErr w:type="gramEnd"/>
      <w:r w:rsidRPr="00F5289B">
        <w:rPr>
          <w:rFonts w:ascii="Franklin Gothic Book" w:hAnsi="Franklin Gothic Book"/>
          <w:sz w:val="22"/>
        </w:rPr>
        <w:t xml:space="preserve"> no significant safety issues associated with AKT testing. </w:t>
      </w:r>
      <w:r w:rsidR="00001F21">
        <w:rPr>
          <w:rFonts w:ascii="Franklin Gothic Book" w:hAnsi="Franklin Gothic Book"/>
          <w:sz w:val="22"/>
        </w:rPr>
        <w:t xml:space="preserve">MSAC considered that the primary </w:t>
      </w:r>
      <w:r w:rsidRPr="00F5289B">
        <w:rPr>
          <w:rFonts w:ascii="Franklin Gothic Book" w:hAnsi="Franklin Gothic Book"/>
          <w:sz w:val="22"/>
        </w:rPr>
        <w:t xml:space="preserve">safety issues </w:t>
      </w:r>
      <w:r w:rsidR="00001F21">
        <w:rPr>
          <w:rFonts w:ascii="Franklin Gothic Book" w:hAnsi="Franklin Gothic Book"/>
          <w:sz w:val="22"/>
        </w:rPr>
        <w:t>we</w:t>
      </w:r>
      <w:r w:rsidRPr="00F5289B">
        <w:rPr>
          <w:rFonts w:ascii="Franklin Gothic Book" w:hAnsi="Franklin Gothic Book"/>
          <w:sz w:val="22"/>
        </w:rPr>
        <w:t>re</w:t>
      </w:r>
      <w:r w:rsidR="00001F21">
        <w:rPr>
          <w:rFonts w:ascii="Franklin Gothic Book" w:hAnsi="Franklin Gothic Book"/>
          <w:sz w:val="22"/>
        </w:rPr>
        <w:t xml:space="preserve"> associated with treatment rather than testing, noting </w:t>
      </w:r>
      <w:r w:rsidRPr="00F5289B">
        <w:rPr>
          <w:rFonts w:ascii="Franklin Gothic Book" w:hAnsi="Franklin Gothic Book"/>
          <w:sz w:val="22"/>
        </w:rPr>
        <w:t>the PBAC’s concern</w:t>
      </w:r>
      <w:r w:rsidR="00001F21">
        <w:rPr>
          <w:rFonts w:ascii="Franklin Gothic Book" w:hAnsi="Franklin Gothic Book"/>
          <w:sz w:val="22"/>
        </w:rPr>
        <w:t>s</w:t>
      </w:r>
      <w:r w:rsidRPr="00F5289B">
        <w:rPr>
          <w:rFonts w:ascii="Franklin Gothic Book" w:hAnsi="Franklin Gothic Book"/>
          <w:sz w:val="22"/>
        </w:rPr>
        <w:t xml:space="preserve"> about the toxicity of </w:t>
      </w:r>
      <w:r w:rsidR="00001F21">
        <w:rPr>
          <w:rFonts w:ascii="Franklin Gothic Book" w:hAnsi="Franklin Gothic Book"/>
          <w:sz w:val="22"/>
        </w:rPr>
        <w:t>CAPI</w:t>
      </w:r>
      <w:r w:rsidR="00BA208A">
        <w:rPr>
          <w:rFonts w:ascii="Franklin Gothic Book" w:hAnsi="Franklin Gothic Book"/>
          <w:sz w:val="22"/>
        </w:rPr>
        <w:t xml:space="preserve"> treatment</w:t>
      </w:r>
      <w:r w:rsidRPr="00F5289B">
        <w:rPr>
          <w:rFonts w:ascii="Franklin Gothic Book" w:hAnsi="Franklin Gothic Book"/>
          <w:sz w:val="22"/>
        </w:rPr>
        <w:t>.</w:t>
      </w:r>
    </w:p>
    <w:p w14:paraId="0EF91129" w14:textId="03814E9E" w:rsidR="006E01AC" w:rsidRPr="00F5289B" w:rsidRDefault="006E01AC" w:rsidP="006E01AC">
      <w:pPr>
        <w:rPr>
          <w:rFonts w:ascii="Franklin Gothic Book" w:hAnsi="Franklin Gothic Book"/>
          <w:sz w:val="22"/>
        </w:rPr>
      </w:pPr>
      <w:r w:rsidRPr="00F5289B">
        <w:rPr>
          <w:rFonts w:ascii="Franklin Gothic Book" w:hAnsi="Franklin Gothic Book"/>
          <w:sz w:val="22"/>
        </w:rPr>
        <w:t xml:space="preserve">MSAC noted ESC’s concerns about the limited evidence </w:t>
      </w:r>
      <w:r w:rsidR="00F94AEA">
        <w:rPr>
          <w:rFonts w:ascii="Franklin Gothic Book" w:hAnsi="Franklin Gothic Book"/>
          <w:sz w:val="22"/>
        </w:rPr>
        <w:t>demonstrating</w:t>
      </w:r>
      <w:r w:rsidRPr="00F5289B">
        <w:rPr>
          <w:rFonts w:ascii="Franklin Gothic Book" w:hAnsi="Franklin Gothic Book"/>
          <w:sz w:val="22"/>
        </w:rPr>
        <w:t xml:space="preserve"> concordance </w:t>
      </w:r>
      <w:r w:rsidR="00001F21">
        <w:rPr>
          <w:rFonts w:ascii="Franklin Gothic Book" w:hAnsi="Franklin Gothic Book"/>
          <w:sz w:val="22"/>
        </w:rPr>
        <w:t>between different</w:t>
      </w:r>
      <w:r w:rsidRPr="00F5289B">
        <w:rPr>
          <w:rFonts w:ascii="Franklin Gothic Book" w:hAnsi="Franklin Gothic Book"/>
          <w:sz w:val="22"/>
        </w:rPr>
        <w:t xml:space="preserve"> testing methods (</w:t>
      </w:r>
      <w:r w:rsidR="004233D2">
        <w:rPr>
          <w:rFonts w:ascii="Franklin Gothic Book" w:hAnsi="Franklin Gothic Book"/>
          <w:sz w:val="22"/>
        </w:rPr>
        <w:t xml:space="preserve">i.e. </w:t>
      </w:r>
      <w:proofErr w:type="spellStart"/>
      <w:r w:rsidRPr="00F5289B">
        <w:rPr>
          <w:rFonts w:ascii="Franklin Gothic Book" w:hAnsi="Franklin Gothic Book"/>
          <w:sz w:val="22"/>
        </w:rPr>
        <w:t>FoundationOneCDx</w:t>
      </w:r>
      <w:proofErr w:type="spellEnd"/>
      <w:r w:rsidRPr="00F5289B">
        <w:rPr>
          <w:rFonts w:ascii="Franklin Gothic Book" w:hAnsi="Franklin Gothic Book"/>
          <w:sz w:val="22"/>
        </w:rPr>
        <w:t xml:space="preserve">, used in the </w:t>
      </w:r>
      <w:r w:rsidR="00001F21">
        <w:rPr>
          <w:rFonts w:ascii="Franklin Gothic Book" w:hAnsi="Franklin Gothic Book"/>
          <w:sz w:val="22"/>
        </w:rPr>
        <w:t xml:space="preserve">pivotal </w:t>
      </w:r>
      <w:r w:rsidRPr="00F5289B">
        <w:rPr>
          <w:rFonts w:ascii="Franklin Gothic Book" w:hAnsi="Franklin Gothic Book"/>
          <w:sz w:val="22"/>
        </w:rPr>
        <w:t xml:space="preserve">CAPItello-291 </w:t>
      </w:r>
      <w:r w:rsidRPr="000948D8">
        <w:rPr>
          <w:rFonts w:ascii="Franklin Gothic Book" w:hAnsi="Franklin Gothic Book"/>
          <w:sz w:val="22"/>
        </w:rPr>
        <w:t xml:space="preserve">trial, vs Roche </w:t>
      </w:r>
      <w:r w:rsidRPr="000948D8">
        <w:rPr>
          <w:rFonts w:ascii="Franklin Gothic Book" w:hAnsi="Franklin Gothic Book"/>
          <w:sz w:val="22"/>
        </w:rPr>
        <w:lastRenderedPageBreak/>
        <w:t xml:space="preserve">AVENIO CGP, </w:t>
      </w:r>
      <w:r w:rsidR="00001F21" w:rsidRPr="000948D8">
        <w:rPr>
          <w:rFonts w:ascii="Franklin Gothic Book" w:hAnsi="Franklin Gothic Book"/>
          <w:sz w:val="22"/>
        </w:rPr>
        <w:t>proposed by the applicant for use</w:t>
      </w:r>
      <w:r w:rsidRPr="000948D8">
        <w:rPr>
          <w:rFonts w:ascii="Franklin Gothic Book" w:hAnsi="Franklin Gothic Book"/>
          <w:sz w:val="22"/>
        </w:rPr>
        <w:t xml:space="preserve"> in</w:t>
      </w:r>
      <w:r w:rsidR="00001F21" w:rsidRPr="000948D8">
        <w:rPr>
          <w:rFonts w:ascii="Franklin Gothic Book" w:hAnsi="Franklin Gothic Book"/>
          <w:sz w:val="22"/>
        </w:rPr>
        <w:t xml:space="preserve"> Australia</w:t>
      </w:r>
      <w:r w:rsidRPr="000948D8">
        <w:rPr>
          <w:rFonts w:ascii="Franklin Gothic Book" w:hAnsi="Franklin Gothic Book"/>
          <w:sz w:val="22"/>
        </w:rPr>
        <w:t>)</w:t>
      </w:r>
      <w:r w:rsidR="00001F21" w:rsidRPr="000948D8">
        <w:rPr>
          <w:rFonts w:ascii="Franklin Gothic Book" w:hAnsi="Franklin Gothic Book"/>
          <w:sz w:val="22"/>
        </w:rPr>
        <w:t>. These issues</w:t>
      </w:r>
      <w:r w:rsidR="0039595C" w:rsidRPr="000948D8">
        <w:rPr>
          <w:rFonts w:ascii="Franklin Gothic Book" w:hAnsi="Franklin Gothic Book"/>
          <w:sz w:val="22"/>
        </w:rPr>
        <w:t xml:space="preserve"> includ</w:t>
      </w:r>
      <w:r w:rsidR="00001F21" w:rsidRPr="000948D8">
        <w:rPr>
          <w:rFonts w:ascii="Franklin Gothic Book" w:hAnsi="Franklin Gothic Book"/>
          <w:sz w:val="22"/>
        </w:rPr>
        <w:t>ed</w:t>
      </w:r>
      <w:r w:rsidR="0039595C" w:rsidRPr="000948D8">
        <w:rPr>
          <w:rFonts w:ascii="Franklin Gothic Book" w:hAnsi="Franklin Gothic Book"/>
          <w:sz w:val="22"/>
        </w:rPr>
        <w:t xml:space="preserve"> the very small sample sizes </w:t>
      </w:r>
      <w:r w:rsidR="00735855" w:rsidRPr="000948D8">
        <w:rPr>
          <w:rFonts w:ascii="Franklin Gothic Book" w:hAnsi="Franklin Gothic Book"/>
          <w:sz w:val="22"/>
        </w:rPr>
        <w:t>used to verify concordance</w:t>
      </w:r>
      <w:r w:rsidR="007C7D00" w:rsidRPr="000948D8">
        <w:rPr>
          <w:rFonts w:ascii="Franklin Gothic Book" w:hAnsi="Franklin Gothic Book"/>
          <w:sz w:val="22"/>
        </w:rPr>
        <w:t xml:space="preserve"> and the uncertainty about which test kit would be adopted in Australia</w:t>
      </w:r>
      <w:r w:rsidR="0039595C" w:rsidRPr="000948D8">
        <w:rPr>
          <w:rFonts w:ascii="Franklin Gothic Book" w:hAnsi="Franklin Gothic Book"/>
          <w:sz w:val="22"/>
        </w:rPr>
        <w:t>.</w:t>
      </w:r>
      <w:r w:rsidR="00932501" w:rsidRPr="000948D8">
        <w:rPr>
          <w:rFonts w:ascii="Franklin Gothic Book" w:hAnsi="Franklin Gothic Book"/>
          <w:sz w:val="22"/>
        </w:rPr>
        <w:t xml:space="preserve"> MSAC noted </w:t>
      </w:r>
      <w:r w:rsidR="00B40D5A" w:rsidRPr="000948D8">
        <w:rPr>
          <w:rFonts w:ascii="Franklin Gothic Book" w:hAnsi="Franklin Gothic Book"/>
          <w:sz w:val="22"/>
        </w:rPr>
        <w:t xml:space="preserve">a recent abstract </w:t>
      </w:r>
      <w:r w:rsidR="00064234" w:rsidRPr="000948D8">
        <w:rPr>
          <w:rFonts w:ascii="Franklin Gothic Book" w:hAnsi="Franklin Gothic Book"/>
          <w:sz w:val="22"/>
        </w:rPr>
        <w:t>which</w:t>
      </w:r>
      <w:r w:rsidR="008B0037" w:rsidRPr="000948D8">
        <w:rPr>
          <w:rFonts w:ascii="Franklin Gothic Book" w:hAnsi="Franklin Gothic Book"/>
          <w:sz w:val="22"/>
        </w:rPr>
        <w:t xml:space="preserve"> evaluated the performance of the </w:t>
      </w:r>
      <w:r w:rsidR="007C35DD" w:rsidRPr="000948D8">
        <w:rPr>
          <w:rFonts w:ascii="Franklin Gothic Book" w:hAnsi="Franklin Gothic Book"/>
          <w:sz w:val="22"/>
        </w:rPr>
        <w:t xml:space="preserve">proposed Roche </w:t>
      </w:r>
      <w:proofErr w:type="spellStart"/>
      <w:r w:rsidR="00A20B9A" w:rsidRPr="000948D8">
        <w:rPr>
          <w:rFonts w:ascii="Franklin Gothic Book" w:hAnsi="Franklin Gothic Book"/>
          <w:sz w:val="22"/>
        </w:rPr>
        <w:t>Avenio</w:t>
      </w:r>
      <w:proofErr w:type="spellEnd"/>
      <w:r w:rsidR="00A20B9A" w:rsidRPr="000948D8">
        <w:rPr>
          <w:rFonts w:ascii="Franklin Gothic Book" w:hAnsi="Franklin Gothic Book"/>
          <w:sz w:val="22"/>
        </w:rPr>
        <w:t xml:space="preserve"> CGP kit across multiple laboratory settings.</w:t>
      </w:r>
      <w:r w:rsidR="00A20B9A" w:rsidRPr="000948D8">
        <w:rPr>
          <w:rStyle w:val="FootnoteReference"/>
          <w:rFonts w:ascii="Franklin Gothic Book" w:hAnsi="Franklin Gothic Book"/>
          <w:sz w:val="22"/>
        </w:rPr>
        <w:footnoteReference w:id="3"/>
      </w:r>
      <w:r w:rsidR="008B0037" w:rsidRPr="000948D8">
        <w:rPr>
          <w:rFonts w:ascii="Franklin Gothic Book" w:hAnsi="Franklin Gothic Book"/>
          <w:sz w:val="22"/>
        </w:rPr>
        <w:t xml:space="preserve"> </w:t>
      </w:r>
      <w:r w:rsidR="0039595C" w:rsidRPr="000948D8">
        <w:rPr>
          <w:rFonts w:ascii="Franklin Gothic Book" w:hAnsi="Franklin Gothic Book"/>
          <w:sz w:val="22"/>
        </w:rPr>
        <w:t xml:space="preserve"> </w:t>
      </w:r>
      <w:r w:rsidRPr="000948D8">
        <w:rPr>
          <w:rFonts w:ascii="Franklin Gothic Book" w:hAnsi="Franklin Gothic Book"/>
          <w:sz w:val="22"/>
        </w:rPr>
        <w:t xml:space="preserve">In the pre-MSAC response, the applicant argued that </w:t>
      </w:r>
      <w:r w:rsidR="0039595C" w:rsidRPr="000948D8">
        <w:rPr>
          <w:rFonts w:ascii="Franklin Gothic Book" w:hAnsi="Franklin Gothic Book"/>
          <w:sz w:val="22"/>
        </w:rPr>
        <w:t xml:space="preserve">the </w:t>
      </w:r>
      <w:r w:rsidRPr="000948D8">
        <w:rPr>
          <w:rFonts w:ascii="Franklin Gothic Book" w:hAnsi="Franklin Gothic Book"/>
          <w:sz w:val="22"/>
        </w:rPr>
        <w:t>limited standardisation of testing modalities across laboratories</w:t>
      </w:r>
      <w:r w:rsidR="0039595C" w:rsidRPr="000948D8">
        <w:rPr>
          <w:rFonts w:ascii="Franklin Gothic Book" w:hAnsi="Franklin Gothic Book"/>
          <w:sz w:val="22"/>
        </w:rPr>
        <w:t xml:space="preserve"> was due to the current lack of MBS reimbursement for the testing</w:t>
      </w:r>
      <w:r w:rsidRPr="000948D8">
        <w:rPr>
          <w:rFonts w:ascii="Franklin Gothic Book" w:hAnsi="Franklin Gothic Book"/>
          <w:sz w:val="22"/>
        </w:rPr>
        <w:t>. The applicant state</w:t>
      </w:r>
      <w:r w:rsidR="001E2DBC" w:rsidRPr="000948D8">
        <w:rPr>
          <w:rFonts w:ascii="Franklin Gothic Book" w:hAnsi="Franklin Gothic Book"/>
          <w:sz w:val="22"/>
        </w:rPr>
        <w:t>d</w:t>
      </w:r>
      <w:r w:rsidRPr="000948D8">
        <w:rPr>
          <w:rFonts w:ascii="Franklin Gothic Book" w:hAnsi="Franklin Gothic Book"/>
          <w:sz w:val="22"/>
        </w:rPr>
        <w:t xml:space="preserve"> that the Roche AVENIO CGP kit</w:t>
      </w:r>
      <w:r w:rsidR="00C2640F" w:rsidRPr="000948D8">
        <w:rPr>
          <w:rFonts w:ascii="Franklin Gothic Book" w:hAnsi="Franklin Gothic Book"/>
          <w:sz w:val="22"/>
        </w:rPr>
        <w:t xml:space="preserve"> and similar t</w:t>
      </w:r>
      <w:r w:rsidR="00FA033F" w:rsidRPr="000948D8">
        <w:rPr>
          <w:rFonts w:ascii="Franklin Gothic Book" w:hAnsi="Franklin Gothic Book"/>
          <w:sz w:val="22"/>
        </w:rPr>
        <w:t>ests</w:t>
      </w:r>
      <w:r w:rsidR="00D841A2" w:rsidRPr="000948D8">
        <w:rPr>
          <w:rFonts w:ascii="Franklin Gothic Book" w:hAnsi="Franklin Gothic Book"/>
          <w:sz w:val="22"/>
        </w:rPr>
        <w:t xml:space="preserve"> will be used in NATA-accredited lab</w:t>
      </w:r>
      <w:r w:rsidR="0022180C" w:rsidRPr="000948D8">
        <w:rPr>
          <w:rFonts w:ascii="Franklin Gothic Book" w:hAnsi="Franklin Gothic Book"/>
          <w:sz w:val="22"/>
        </w:rPr>
        <w:t xml:space="preserve">oratories and their </w:t>
      </w:r>
      <w:r w:rsidRPr="000948D8">
        <w:rPr>
          <w:rFonts w:ascii="Franklin Gothic Book" w:hAnsi="Franklin Gothic Book"/>
          <w:sz w:val="22"/>
        </w:rPr>
        <w:t>use w</w:t>
      </w:r>
      <w:r w:rsidR="000C78B3" w:rsidRPr="000948D8">
        <w:rPr>
          <w:rFonts w:ascii="Franklin Gothic Book" w:hAnsi="Franklin Gothic Book"/>
          <w:sz w:val="22"/>
        </w:rPr>
        <w:t>ould</w:t>
      </w:r>
      <w:r w:rsidRPr="000948D8">
        <w:rPr>
          <w:rFonts w:ascii="Franklin Gothic Book" w:hAnsi="Franklin Gothic Book"/>
          <w:sz w:val="22"/>
        </w:rPr>
        <w:t xml:space="preserve"> be monitored by the Royal College of Pathologists of Australasia via a Quality Assurance Program.</w:t>
      </w:r>
    </w:p>
    <w:p w14:paraId="6DF55374" w14:textId="7CC160DE" w:rsidR="007D7D0C" w:rsidRPr="00F5289B" w:rsidRDefault="007D7D0C" w:rsidP="007D7D0C">
      <w:pPr>
        <w:rPr>
          <w:rFonts w:ascii="Franklin Gothic Book" w:hAnsi="Franklin Gothic Book"/>
          <w:sz w:val="22"/>
        </w:rPr>
      </w:pPr>
      <w:r w:rsidRPr="00F5289B">
        <w:rPr>
          <w:rFonts w:ascii="Franklin Gothic Book" w:hAnsi="Franklin Gothic Book"/>
          <w:sz w:val="22"/>
        </w:rPr>
        <w:t>The main clinical tria</w:t>
      </w:r>
      <w:r w:rsidR="00031E7A" w:rsidRPr="00F5289B">
        <w:rPr>
          <w:rFonts w:ascii="Franklin Gothic Book" w:hAnsi="Franklin Gothic Book"/>
          <w:sz w:val="22"/>
        </w:rPr>
        <w:t>l</w:t>
      </w:r>
      <w:r w:rsidR="002C22ED" w:rsidRPr="00F5289B">
        <w:rPr>
          <w:rFonts w:ascii="Franklin Gothic Book" w:hAnsi="Franklin Gothic Book"/>
          <w:sz w:val="22"/>
        </w:rPr>
        <w:t xml:space="preserve"> demonstrating prognostic and predictive validity of the test </w:t>
      </w:r>
      <w:r w:rsidRPr="00F5289B">
        <w:rPr>
          <w:rFonts w:ascii="Franklin Gothic Book" w:hAnsi="Franklin Gothic Book"/>
          <w:sz w:val="22"/>
        </w:rPr>
        <w:t>was CAPItello-291, which compared overall survival (OS) and PFS for AKT</w:t>
      </w:r>
      <w:r w:rsidR="009723D9">
        <w:rPr>
          <w:rFonts w:ascii="Franklin Gothic Book" w:hAnsi="Franklin Gothic Book"/>
          <w:sz w:val="22"/>
        </w:rPr>
        <w:t xml:space="preserve"> </w:t>
      </w:r>
      <w:r w:rsidRPr="00F5289B">
        <w:rPr>
          <w:rFonts w:ascii="Franklin Gothic Book" w:hAnsi="Franklin Gothic Book"/>
          <w:sz w:val="22"/>
        </w:rPr>
        <w:t>pathway-altered and non-AKT</w:t>
      </w:r>
      <w:r w:rsidR="009723D9">
        <w:rPr>
          <w:rFonts w:ascii="Franklin Gothic Book" w:hAnsi="Franklin Gothic Book"/>
          <w:sz w:val="22"/>
        </w:rPr>
        <w:t xml:space="preserve"> </w:t>
      </w:r>
      <w:r w:rsidRPr="00F5289B">
        <w:rPr>
          <w:rFonts w:ascii="Franklin Gothic Book" w:hAnsi="Franklin Gothic Book"/>
          <w:sz w:val="22"/>
        </w:rPr>
        <w:t xml:space="preserve">pathway-altered populations, treated with the intervention or comparator. MSAC noted </w:t>
      </w:r>
      <w:r w:rsidR="007C35DD" w:rsidRPr="00F5289B">
        <w:rPr>
          <w:rFonts w:ascii="Franklin Gothic Book" w:hAnsi="Franklin Gothic Book"/>
          <w:sz w:val="22"/>
        </w:rPr>
        <w:t xml:space="preserve">the joint </w:t>
      </w:r>
      <w:r w:rsidRPr="00F5289B">
        <w:rPr>
          <w:rFonts w:ascii="Franklin Gothic Book" w:hAnsi="Franklin Gothic Book"/>
          <w:sz w:val="22"/>
        </w:rPr>
        <w:t>ESCs</w:t>
      </w:r>
      <w:r w:rsidR="007C35DD" w:rsidRPr="00F5289B">
        <w:rPr>
          <w:rFonts w:ascii="Franklin Gothic Book" w:hAnsi="Franklin Gothic Book"/>
          <w:sz w:val="22"/>
        </w:rPr>
        <w:t>’</w:t>
      </w:r>
      <w:r w:rsidRPr="00F5289B">
        <w:rPr>
          <w:rFonts w:ascii="Franklin Gothic Book" w:hAnsi="Franklin Gothic Book"/>
          <w:sz w:val="22"/>
        </w:rPr>
        <w:t xml:space="preserve"> concerns about the clinical effectiveness of </w:t>
      </w:r>
      <w:r w:rsidR="00A661AC">
        <w:rPr>
          <w:rFonts w:ascii="Franklin Gothic Book" w:hAnsi="Franklin Gothic Book"/>
          <w:sz w:val="22"/>
        </w:rPr>
        <w:t>CAPI+FULV</w:t>
      </w:r>
      <w:r w:rsidRPr="00F5289B">
        <w:rPr>
          <w:rFonts w:ascii="Franklin Gothic Book" w:hAnsi="Franklin Gothic Book"/>
          <w:sz w:val="22"/>
        </w:rPr>
        <w:t>, which considered the OS data to be immature and the comparator (</w:t>
      </w:r>
      <w:r w:rsidR="0065184F">
        <w:rPr>
          <w:rFonts w:ascii="Franklin Gothic Book" w:hAnsi="Franklin Gothic Book"/>
          <w:sz w:val="22"/>
        </w:rPr>
        <w:t>FULV</w:t>
      </w:r>
      <w:r w:rsidRPr="00F5289B">
        <w:rPr>
          <w:rFonts w:ascii="Franklin Gothic Book" w:hAnsi="Franklin Gothic Book"/>
          <w:sz w:val="22"/>
        </w:rPr>
        <w:t xml:space="preserve"> alone) to be questionable. </w:t>
      </w:r>
    </w:p>
    <w:p w14:paraId="6F21E86F" w14:textId="32DA725E" w:rsidR="001E129C" w:rsidRDefault="007D7D0C" w:rsidP="007D7D0C">
      <w:pPr>
        <w:rPr>
          <w:rFonts w:ascii="Franklin Gothic Book" w:hAnsi="Franklin Gothic Book"/>
          <w:sz w:val="22"/>
        </w:rPr>
      </w:pPr>
      <w:r w:rsidRPr="00F5289B">
        <w:rPr>
          <w:rFonts w:ascii="Franklin Gothic Book" w:hAnsi="Franklin Gothic Book"/>
          <w:sz w:val="22"/>
        </w:rPr>
        <w:t>For AKT</w:t>
      </w:r>
      <w:r w:rsidR="009723D9">
        <w:rPr>
          <w:rFonts w:ascii="Franklin Gothic Book" w:hAnsi="Franklin Gothic Book"/>
          <w:sz w:val="22"/>
        </w:rPr>
        <w:t xml:space="preserve"> </w:t>
      </w:r>
      <w:r w:rsidRPr="00F5289B">
        <w:rPr>
          <w:rFonts w:ascii="Franklin Gothic Book" w:hAnsi="Franklin Gothic Book"/>
          <w:sz w:val="22"/>
        </w:rPr>
        <w:t>pathway-altered populations, MSAC noted that PFS appear</w:t>
      </w:r>
      <w:r w:rsidR="00332B22">
        <w:rPr>
          <w:rFonts w:ascii="Franklin Gothic Book" w:hAnsi="Franklin Gothic Book"/>
          <w:sz w:val="22"/>
        </w:rPr>
        <w:t>ed</w:t>
      </w:r>
      <w:r w:rsidRPr="00F5289B">
        <w:rPr>
          <w:rFonts w:ascii="Franklin Gothic Book" w:hAnsi="Franklin Gothic Book"/>
          <w:sz w:val="22"/>
        </w:rPr>
        <w:t xml:space="preserve"> to improve with </w:t>
      </w:r>
      <w:r w:rsidR="00332B22">
        <w:rPr>
          <w:rFonts w:ascii="Franklin Gothic Book" w:hAnsi="Franklin Gothic Book"/>
          <w:sz w:val="22"/>
        </w:rPr>
        <w:t>CAPI</w:t>
      </w:r>
      <w:r w:rsidRPr="00F5289B">
        <w:rPr>
          <w:rFonts w:ascii="Franklin Gothic Book" w:hAnsi="Franklin Gothic Book"/>
          <w:sz w:val="22"/>
        </w:rPr>
        <w:t>+</w:t>
      </w:r>
      <w:r w:rsidR="00332B22">
        <w:rPr>
          <w:rFonts w:ascii="Franklin Gothic Book" w:hAnsi="Franklin Gothic Book"/>
          <w:sz w:val="22"/>
        </w:rPr>
        <w:t>FULV</w:t>
      </w:r>
      <w:r w:rsidRPr="00F5289B">
        <w:rPr>
          <w:rFonts w:ascii="Franklin Gothic Book" w:hAnsi="Franklin Gothic Book"/>
          <w:sz w:val="22"/>
        </w:rPr>
        <w:t xml:space="preserve"> treatment</w:t>
      </w:r>
      <w:r w:rsidR="00F5175A" w:rsidRPr="00F5289B">
        <w:rPr>
          <w:rFonts w:ascii="Franklin Gothic Book" w:hAnsi="Franklin Gothic Book"/>
          <w:sz w:val="22"/>
        </w:rPr>
        <w:t xml:space="preserve"> (hazard ratio [HR</w:t>
      </w:r>
      <w:r w:rsidR="003F5B22" w:rsidRPr="00F5289B">
        <w:rPr>
          <w:rFonts w:ascii="Franklin Gothic Book" w:hAnsi="Franklin Gothic Book"/>
          <w:sz w:val="22"/>
        </w:rPr>
        <w:t>] 0.50</w:t>
      </w:r>
      <w:r w:rsidR="002334B1">
        <w:rPr>
          <w:rFonts w:ascii="Franklin Gothic Book" w:hAnsi="Franklin Gothic Book"/>
          <w:sz w:val="22"/>
        </w:rPr>
        <w:t xml:space="preserve">, </w:t>
      </w:r>
      <w:r w:rsidR="001F2C86">
        <w:rPr>
          <w:rFonts w:ascii="Franklin Gothic Book" w:hAnsi="Franklin Gothic Book"/>
          <w:sz w:val="22"/>
        </w:rPr>
        <w:t xml:space="preserve">95% CI </w:t>
      </w:r>
      <w:r w:rsidR="003F5B22" w:rsidRPr="00F5289B">
        <w:rPr>
          <w:rFonts w:ascii="Franklin Gothic Book" w:hAnsi="Franklin Gothic Book"/>
          <w:sz w:val="22"/>
        </w:rPr>
        <w:t>0.38,</w:t>
      </w:r>
      <w:r w:rsidR="001F2C86">
        <w:rPr>
          <w:rFonts w:ascii="Franklin Gothic Book" w:hAnsi="Franklin Gothic Book"/>
          <w:sz w:val="22"/>
        </w:rPr>
        <w:t xml:space="preserve"> </w:t>
      </w:r>
      <w:r w:rsidR="003F5B22" w:rsidRPr="00F5289B">
        <w:rPr>
          <w:rFonts w:ascii="Franklin Gothic Book" w:hAnsi="Franklin Gothic Book"/>
          <w:sz w:val="22"/>
        </w:rPr>
        <w:t>0.65</w:t>
      </w:r>
      <w:r w:rsidR="00275813" w:rsidRPr="00F5289B">
        <w:rPr>
          <w:rFonts w:ascii="Franklin Gothic Book" w:hAnsi="Franklin Gothic Book"/>
          <w:sz w:val="22"/>
        </w:rPr>
        <w:t>)</w:t>
      </w:r>
      <w:r w:rsidRPr="00F5289B">
        <w:rPr>
          <w:rFonts w:ascii="Franklin Gothic Book" w:hAnsi="Franklin Gothic Book"/>
          <w:sz w:val="22"/>
        </w:rPr>
        <w:t>.</w:t>
      </w:r>
      <w:r w:rsidR="0090211E" w:rsidRPr="00F5289B">
        <w:rPr>
          <w:rFonts w:ascii="Franklin Gothic Book" w:hAnsi="Franklin Gothic Book"/>
          <w:sz w:val="22"/>
        </w:rPr>
        <w:t xml:space="preserve"> MSAC </w:t>
      </w:r>
      <w:r w:rsidR="00302D61">
        <w:rPr>
          <w:rFonts w:ascii="Franklin Gothic Book" w:hAnsi="Franklin Gothic Book"/>
          <w:sz w:val="22"/>
        </w:rPr>
        <w:t>considered</w:t>
      </w:r>
      <w:r w:rsidR="0090211E" w:rsidRPr="00F5289B">
        <w:rPr>
          <w:rFonts w:ascii="Franklin Gothic Book" w:hAnsi="Franklin Gothic Book"/>
          <w:sz w:val="22"/>
        </w:rPr>
        <w:t xml:space="preserve"> that the PFS benefit observed in the AKT pathway altered groups relative to the</w:t>
      </w:r>
      <w:r w:rsidR="001E129C">
        <w:rPr>
          <w:rFonts w:ascii="Franklin Gothic Book" w:hAnsi="Franklin Gothic Book"/>
          <w:sz w:val="22"/>
        </w:rPr>
        <w:t xml:space="preserve"> known</w:t>
      </w:r>
      <w:r w:rsidR="0090211E" w:rsidRPr="00F5289B">
        <w:rPr>
          <w:rFonts w:ascii="Franklin Gothic Book" w:hAnsi="Franklin Gothic Book"/>
          <w:sz w:val="22"/>
        </w:rPr>
        <w:t xml:space="preserve"> </w:t>
      </w:r>
      <w:r w:rsidR="00E17FC0" w:rsidRPr="00F5289B">
        <w:rPr>
          <w:rFonts w:ascii="Franklin Gothic Book" w:hAnsi="Franklin Gothic Book"/>
          <w:sz w:val="22"/>
        </w:rPr>
        <w:t xml:space="preserve">non-AKT pathway </w:t>
      </w:r>
      <w:r w:rsidR="00053E3B" w:rsidRPr="00F5289B">
        <w:rPr>
          <w:rFonts w:ascii="Franklin Gothic Book" w:hAnsi="Franklin Gothic Book"/>
          <w:sz w:val="22"/>
        </w:rPr>
        <w:t>altered group was equivocal</w:t>
      </w:r>
      <w:r w:rsidR="000B16A4">
        <w:rPr>
          <w:rFonts w:ascii="Franklin Gothic Book" w:hAnsi="Franklin Gothic Book"/>
          <w:sz w:val="22"/>
        </w:rPr>
        <w:t>,</w:t>
      </w:r>
      <w:r w:rsidR="00053E3B" w:rsidRPr="00F5289B">
        <w:rPr>
          <w:rFonts w:ascii="Franklin Gothic Book" w:hAnsi="Franklin Gothic Book"/>
          <w:sz w:val="22"/>
        </w:rPr>
        <w:t xml:space="preserve"> as </w:t>
      </w:r>
      <w:r w:rsidR="00AB1E9C" w:rsidRPr="00F5289B">
        <w:rPr>
          <w:rFonts w:ascii="Franklin Gothic Book" w:hAnsi="Franklin Gothic Book"/>
          <w:sz w:val="22"/>
        </w:rPr>
        <w:t xml:space="preserve">the analysis was conducted </w:t>
      </w:r>
      <w:r w:rsidR="00AB1E9C" w:rsidRPr="00860106">
        <w:rPr>
          <w:rFonts w:ascii="Franklin Gothic Book" w:hAnsi="Franklin Gothic Book"/>
          <w:i/>
          <w:sz w:val="22"/>
        </w:rPr>
        <w:t>post hoc</w:t>
      </w:r>
      <w:r w:rsidR="00AB1E9C" w:rsidRPr="00F5289B">
        <w:rPr>
          <w:rFonts w:ascii="Franklin Gothic Book" w:hAnsi="Franklin Gothic Book"/>
          <w:sz w:val="22"/>
        </w:rPr>
        <w:t>, was not adjusted for multiplicity, and characteristics for these subgroups were not presented in the submission. However</w:t>
      </w:r>
      <w:r w:rsidR="00240FFF">
        <w:rPr>
          <w:rFonts w:ascii="Franklin Gothic Book" w:hAnsi="Franklin Gothic Book"/>
          <w:sz w:val="22"/>
        </w:rPr>
        <w:t>,</w:t>
      </w:r>
      <w:r w:rsidR="00AB1E9C" w:rsidRPr="00F5289B">
        <w:rPr>
          <w:rFonts w:ascii="Franklin Gothic Book" w:hAnsi="Franklin Gothic Book"/>
          <w:sz w:val="22"/>
        </w:rPr>
        <w:t xml:space="preserve"> MSAC noted </w:t>
      </w:r>
      <w:r w:rsidR="000B16A4">
        <w:rPr>
          <w:rFonts w:ascii="Franklin Gothic Book" w:hAnsi="Franklin Gothic Book"/>
          <w:sz w:val="22"/>
        </w:rPr>
        <w:t>that</w:t>
      </w:r>
      <w:r w:rsidR="00AB1E9C">
        <w:rPr>
          <w:rFonts w:ascii="Franklin Gothic Book" w:hAnsi="Franklin Gothic Book"/>
          <w:sz w:val="22"/>
        </w:rPr>
        <w:t xml:space="preserve"> </w:t>
      </w:r>
      <w:r w:rsidR="00AB1E9C" w:rsidRPr="00F5289B">
        <w:rPr>
          <w:rFonts w:ascii="Franklin Gothic Book" w:hAnsi="Franklin Gothic Book"/>
          <w:sz w:val="22"/>
        </w:rPr>
        <w:t>the pre-MSAC response</w:t>
      </w:r>
      <w:r w:rsidR="00852956" w:rsidRPr="00F5289B">
        <w:rPr>
          <w:rFonts w:ascii="Franklin Gothic Book" w:hAnsi="Franklin Gothic Book"/>
          <w:sz w:val="22"/>
        </w:rPr>
        <w:t xml:space="preserve"> provided additional information</w:t>
      </w:r>
      <w:r w:rsidR="00AB1E9C" w:rsidRPr="00F5289B">
        <w:rPr>
          <w:rFonts w:ascii="Franklin Gothic Book" w:hAnsi="Franklin Gothic Book"/>
          <w:sz w:val="22"/>
        </w:rPr>
        <w:t xml:space="preserve"> </w:t>
      </w:r>
      <w:r w:rsidR="006333D5" w:rsidRPr="00F5289B">
        <w:rPr>
          <w:rFonts w:ascii="Franklin Gothic Book" w:hAnsi="Franklin Gothic Book"/>
          <w:sz w:val="22"/>
        </w:rPr>
        <w:t xml:space="preserve">demonstrating that baseline characteristics were balanced across the subgroups in both treatment arms to support the robustness of the </w:t>
      </w:r>
      <w:r w:rsidR="006333D5" w:rsidRPr="00860106">
        <w:rPr>
          <w:rFonts w:ascii="Franklin Gothic Book" w:hAnsi="Franklin Gothic Book"/>
          <w:i/>
          <w:sz w:val="22"/>
        </w:rPr>
        <w:t>post</w:t>
      </w:r>
      <w:r w:rsidR="00860106">
        <w:rPr>
          <w:rFonts w:ascii="Franklin Gothic Book" w:hAnsi="Franklin Gothic Book"/>
          <w:i/>
          <w:iCs/>
          <w:sz w:val="22"/>
        </w:rPr>
        <w:t xml:space="preserve"> </w:t>
      </w:r>
      <w:r w:rsidR="006333D5" w:rsidRPr="00860106">
        <w:rPr>
          <w:rFonts w:ascii="Franklin Gothic Book" w:hAnsi="Franklin Gothic Book"/>
          <w:i/>
          <w:sz w:val="22"/>
        </w:rPr>
        <w:t>hoc</w:t>
      </w:r>
      <w:r w:rsidR="006333D5" w:rsidRPr="00F5289B">
        <w:rPr>
          <w:rFonts w:ascii="Franklin Gothic Book" w:hAnsi="Franklin Gothic Book"/>
          <w:sz w:val="22"/>
        </w:rPr>
        <w:t xml:space="preserve"> analysis. </w:t>
      </w:r>
      <w:r w:rsidRPr="00F5289B">
        <w:rPr>
          <w:rFonts w:ascii="Franklin Gothic Book" w:hAnsi="Franklin Gothic Book"/>
          <w:sz w:val="22"/>
        </w:rPr>
        <w:t>MSAC also noted that there was a trend towards PFS benefit in the known non-AKT</w:t>
      </w:r>
      <w:r>
        <w:rPr>
          <w:rFonts w:ascii="Franklin Gothic Book" w:hAnsi="Franklin Gothic Book"/>
          <w:sz w:val="22"/>
        </w:rPr>
        <w:t xml:space="preserve"> </w:t>
      </w:r>
      <w:r w:rsidR="00895E71">
        <w:rPr>
          <w:rFonts w:ascii="Franklin Gothic Book" w:hAnsi="Franklin Gothic Book"/>
          <w:sz w:val="22"/>
        </w:rPr>
        <w:t>pathway altered</w:t>
      </w:r>
      <w:r w:rsidRPr="00F5289B">
        <w:rPr>
          <w:rFonts w:ascii="Franklin Gothic Book" w:hAnsi="Franklin Gothic Book"/>
          <w:sz w:val="22"/>
        </w:rPr>
        <w:t xml:space="preserve"> group</w:t>
      </w:r>
      <w:r w:rsidR="00CD76AE" w:rsidRPr="00F5289B">
        <w:rPr>
          <w:rFonts w:ascii="Franklin Gothic Book" w:hAnsi="Franklin Gothic Book"/>
          <w:sz w:val="22"/>
        </w:rPr>
        <w:t xml:space="preserve"> (HR 0.</w:t>
      </w:r>
      <w:r w:rsidR="00062F06" w:rsidRPr="00F5289B">
        <w:rPr>
          <w:rFonts w:ascii="Franklin Gothic Book" w:hAnsi="Franklin Gothic Book"/>
          <w:sz w:val="22"/>
        </w:rPr>
        <w:t>79</w:t>
      </w:r>
      <w:r w:rsidR="006817FA">
        <w:rPr>
          <w:rFonts w:ascii="Franklin Gothic Book" w:hAnsi="Franklin Gothic Book"/>
          <w:sz w:val="22"/>
        </w:rPr>
        <w:t>, 95% CI</w:t>
      </w:r>
      <w:r w:rsidR="00CD76AE" w:rsidRPr="00F5289B">
        <w:rPr>
          <w:rFonts w:ascii="Franklin Gothic Book" w:hAnsi="Franklin Gothic Book"/>
          <w:sz w:val="22"/>
        </w:rPr>
        <w:t xml:space="preserve"> 0.</w:t>
      </w:r>
      <w:r w:rsidR="00062F06" w:rsidRPr="00F5289B">
        <w:rPr>
          <w:rFonts w:ascii="Franklin Gothic Book" w:hAnsi="Franklin Gothic Book"/>
          <w:sz w:val="22"/>
        </w:rPr>
        <w:t>61</w:t>
      </w:r>
      <w:r w:rsidR="00CD76AE" w:rsidRPr="00F5289B">
        <w:rPr>
          <w:rFonts w:ascii="Franklin Gothic Book" w:hAnsi="Franklin Gothic Book"/>
          <w:sz w:val="22"/>
        </w:rPr>
        <w:t>,</w:t>
      </w:r>
      <w:r w:rsidR="00386387">
        <w:rPr>
          <w:rFonts w:ascii="Franklin Gothic Book" w:hAnsi="Franklin Gothic Book"/>
          <w:sz w:val="22"/>
        </w:rPr>
        <w:t xml:space="preserve"> </w:t>
      </w:r>
      <w:r w:rsidR="00062F06" w:rsidRPr="00F5289B">
        <w:rPr>
          <w:rFonts w:ascii="Franklin Gothic Book" w:hAnsi="Franklin Gothic Book"/>
          <w:sz w:val="22"/>
        </w:rPr>
        <w:t>1.02</w:t>
      </w:r>
      <w:proofErr w:type="gramStart"/>
      <w:r w:rsidR="00CD76AE" w:rsidRPr="00F5289B">
        <w:rPr>
          <w:rFonts w:ascii="Franklin Gothic Book" w:hAnsi="Franklin Gothic Book"/>
          <w:sz w:val="22"/>
        </w:rPr>
        <w:t>)</w:t>
      </w:r>
      <w:r w:rsidR="00713058">
        <w:rPr>
          <w:rFonts w:ascii="Franklin Gothic Book" w:hAnsi="Franklin Gothic Book"/>
          <w:sz w:val="22"/>
        </w:rPr>
        <w:t>,</w:t>
      </w:r>
      <w:r w:rsidRPr="00F5289B">
        <w:rPr>
          <w:rFonts w:ascii="Franklin Gothic Book" w:hAnsi="Franklin Gothic Book"/>
          <w:sz w:val="22"/>
        </w:rPr>
        <w:t xml:space="preserve"> but</w:t>
      </w:r>
      <w:proofErr w:type="gramEnd"/>
      <w:r w:rsidRPr="00F5289B">
        <w:rPr>
          <w:rFonts w:ascii="Franklin Gothic Book" w:hAnsi="Franklin Gothic Book"/>
          <w:sz w:val="22"/>
        </w:rPr>
        <w:t xml:space="preserve"> considered that this could be due to </w:t>
      </w:r>
      <w:r w:rsidR="00713058">
        <w:rPr>
          <w:rFonts w:ascii="Franklin Gothic Book" w:hAnsi="Franklin Gothic Book"/>
          <w:sz w:val="22"/>
        </w:rPr>
        <w:t>unidentified</w:t>
      </w:r>
      <w:r w:rsidRPr="00F5289B">
        <w:rPr>
          <w:rFonts w:ascii="Franklin Gothic Book" w:hAnsi="Franklin Gothic Book"/>
          <w:sz w:val="22"/>
        </w:rPr>
        <w:t xml:space="preserve"> </w:t>
      </w:r>
      <w:r w:rsidR="00713058">
        <w:rPr>
          <w:rFonts w:ascii="Franklin Gothic Book" w:hAnsi="Franklin Gothic Book"/>
          <w:sz w:val="22"/>
        </w:rPr>
        <w:t>alterations</w:t>
      </w:r>
      <w:r w:rsidRPr="00F5289B">
        <w:rPr>
          <w:rFonts w:ascii="Franklin Gothic Book" w:hAnsi="Franklin Gothic Book"/>
          <w:sz w:val="22"/>
        </w:rPr>
        <w:t xml:space="preserve"> (</w:t>
      </w:r>
      <w:r w:rsidR="00713058">
        <w:rPr>
          <w:rFonts w:ascii="Franklin Gothic Book" w:hAnsi="Franklin Gothic Book"/>
          <w:sz w:val="22"/>
        </w:rPr>
        <w:t>resulting from either</w:t>
      </w:r>
      <w:r w:rsidRPr="00F5289B">
        <w:rPr>
          <w:rFonts w:ascii="Franklin Gothic Book" w:hAnsi="Franklin Gothic Book"/>
          <w:sz w:val="22"/>
        </w:rPr>
        <w:t xml:space="preserve"> test failure or </w:t>
      </w:r>
      <w:r w:rsidR="00516138">
        <w:rPr>
          <w:rFonts w:ascii="Franklin Gothic Book" w:hAnsi="Franklin Gothic Book"/>
          <w:sz w:val="22"/>
        </w:rPr>
        <w:t>alterations that were acquired</w:t>
      </w:r>
      <w:r>
        <w:rPr>
          <w:rFonts w:ascii="Franklin Gothic Book" w:hAnsi="Franklin Gothic Book"/>
          <w:sz w:val="22"/>
        </w:rPr>
        <w:t xml:space="preserve"> </w:t>
      </w:r>
      <w:r w:rsidR="00516138">
        <w:rPr>
          <w:rFonts w:ascii="Franklin Gothic Book" w:hAnsi="Franklin Gothic Book"/>
          <w:sz w:val="22"/>
        </w:rPr>
        <w:t>after testing</w:t>
      </w:r>
      <w:r w:rsidRPr="00F5289B">
        <w:rPr>
          <w:rFonts w:ascii="Franklin Gothic Book" w:hAnsi="Franklin Gothic Book"/>
          <w:sz w:val="22"/>
        </w:rPr>
        <w:t xml:space="preserve">). </w:t>
      </w:r>
    </w:p>
    <w:p w14:paraId="7EDBFB49" w14:textId="66F688A4" w:rsidR="00357066" w:rsidRPr="00F5289B" w:rsidRDefault="007D7D0C" w:rsidP="007D7D0C">
      <w:pPr>
        <w:rPr>
          <w:rFonts w:ascii="Franklin Gothic Book" w:hAnsi="Franklin Gothic Book"/>
          <w:sz w:val="22"/>
        </w:rPr>
      </w:pPr>
      <w:r w:rsidRPr="00F5289B">
        <w:rPr>
          <w:rFonts w:ascii="Franklin Gothic Book" w:hAnsi="Franklin Gothic Book"/>
          <w:sz w:val="22"/>
        </w:rPr>
        <w:t xml:space="preserve">For OS, there was a trend towards </w:t>
      </w:r>
      <w:r w:rsidR="00980759">
        <w:rPr>
          <w:rFonts w:ascii="Franklin Gothic Book" w:hAnsi="Franklin Gothic Book"/>
          <w:sz w:val="22"/>
        </w:rPr>
        <w:t xml:space="preserve">statistical </w:t>
      </w:r>
      <w:r w:rsidRPr="00F5289B">
        <w:rPr>
          <w:rFonts w:ascii="Franklin Gothic Book" w:hAnsi="Franklin Gothic Book"/>
          <w:sz w:val="22"/>
        </w:rPr>
        <w:t>significance in the AKT</w:t>
      </w:r>
      <w:r w:rsidR="00516138">
        <w:rPr>
          <w:rFonts w:ascii="Franklin Gothic Book" w:hAnsi="Franklin Gothic Book"/>
          <w:sz w:val="22"/>
        </w:rPr>
        <w:t xml:space="preserve"> </w:t>
      </w:r>
      <w:r w:rsidRPr="00F5289B">
        <w:rPr>
          <w:rFonts w:ascii="Franklin Gothic Book" w:hAnsi="Franklin Gothic Book"/>
          <w:sz w:val="22"/>
        </w:rPr>
        <w:t>pathway</w:t>
      </w:r>
      <w:r w:rsidR="00516138">
        <w:rPr>
          <w:rFonts w:ascii="Franklin Gothic Book" w:hAnsi="Franklin Gothic Book"/>
          <w:sz w:val="22"/>
        </w:rPr>
        <w:t xml:space="preserve"> </w:t>
      </w:r>
      <w:r w:rsidRPr="00F5289B">
        <w:rPr>
          <w:rFonts w:ascii="Franklin Gothic Book" w:hAnsi="Franklin Gothic Book"/>
          <w:sz w:val="22"/>
        </w:rPr>
        <w:t>altered population (HR 0.69</w:t>
      </w:r>
      <w:r w:rsidR="000627C3">
        <w:rPr>
          <w:rFonts w:ascii="Franklin Gothic Book" w:hAnsi="Franklin Gothic Book"/>
          <w:sz w:val="22"/>
        </w:rPr>
        <w:t>,</w:t>
      </w:r>
      <w:r w:rsidRPr="00F5289B">
        <w:rPr>
          <w:rFonts w:ascii="Franklin Gothic Book" w:hAnsi="Franklin Gothic Book"/>
          <w:sz w:val="22"/>
        </w:rPr>
        <w:t xml:space="preserve"> </w:t>
      </w:r>
      <w:r w:rsidR="000627C3">
        <w:rPr>
          <w:rFonts w:ascii="Franklin Gothic Book" w:hAnsi="Franklin Gothic Book"/>
          <w:sz w:val="22"/>
        </w:rPr>
        <w:t>95% CI</w:t>
      </w:r>
      <w:r w:rsidRPr="00F5289B">
        <w:rPr>
          <w:rFonts w:ascii="Franklin Gothic Book" w:hAnsi="Franklin Gothic Book"/>
          <w:sz w:val="22"/>
        </w:rPr>
        <w:t xml:space="preserve"> 0.46, 1.05), </w:t>
      </w:r>
      <w:r w:rsidR="00A97ECE">
        <w:rPr>
          <w:rFonts w:ascii="Franklin Gothic Book" w:hAnsi="Franklin Gothic Book"/>
          <w:sz w:val="22"/>
        </w:rPr>
        <w:t xml:space="preserve">however </w:t>
      </w:r>
      <w:r w:rsidR="005B6928">
        <w:rPr>
          <w:rFonts w:ascii="Franklin Gothic Book" w:hAnsi="Franklin Gothic Book"/>
          <w:sz w:val="22"/>
        </w:rPr>
        <w:t>there was no stati</w:t>
      </w:r>
      <w:r w:rsidR="00BF3F1E">
        <w:rPr>
          <w:rFonts w:ascii="Franklin Gothic Book" w:hAnsi="Franklin Gothic Book"/>
          <w:sz w:val="22"/>
        </w:rPr>
        <w:t xml:space="preserve">stically significant </w:t>
      </w:r>
      <w:r w:rsidR="00821736">
        <w:rPr>
          <w:rFonts w:ascii="Franklin Gothic Book" w:hAnsi="Franklin Gothic Book"/>
          <w:sz w:val="22"/>
        </w:rPr>
        <w:t xml:space="preserve">difference </w:t>
      </w:r>
      <w:r w:rsidR="00990249">
        <w:rPr>
          <w:rFonts w:ascii="Franklin Gothic Book" w:hAnsi="Franklin Gothic Book"/>
          <w:sz w:val="22"/>
        </w:rPr>
        <w:t>found</w:t>
      </w:r>
      <w:r w:rsidR="00821736">
        <w:rPr>
          <w:rFonts w:ascii="Franklin Gothic Book" w:hAnsi="Franklin Gothic Book"/>
          <w:sz w:val="22"/>
        </w:rPr>
        <w:t xml:space="preserve"> between </w:t>
      </w:r>
      <w:r w:rsidR="00980759">
        <w:rPr>
          <w:rFonts w:ascii="Franklin Gothic Book" w:hAnsi="Franklin Gothic Book"/>
          <w:sz w:val="22"/>
        </w:rPr>
        <w:t xml:space="preserve">the </w:t>
      </w:r>
      <w:r w:rsidR="00821736">
        <w:rPr>
          <w:rFonts w:ascii="Franklin Gothic Book" w:hAnsi="Franklin Gothic Book"/>
          <w:sz w:val="22"/>
        </w:rPr>
        <w:t>treatment arms, which was likely due to the OS data being immature.</w:t>
      </w:r>
      <w:r w:rsidRPr="00F5289B">
        <w:rPr>
          <w:rFonts w:ascii="Franklin Gothic Book" w:hAnsi="Franklin Gothic Book"/>
          <w:sz w:val="22"/>
        </w:rPr>
        <w:t xml:space="preserve"> </w:t>
      </w:r>
      <w:r w:rsidR="00821736">
        <w:rPr>
          <w:rFonts w:ascii="Franklin Gothic Book" w:hAnsi="Franklin Gothic Book"/>
          <w:sz w:val="22"/>
        </w:rPr>
        <w:t>N</w:t>
      </w:r>
      <w:r w:rsidRPr="00F5289B">
        <w:rPr>
          <w:rFonts w:ascii="Franklin Gothic Book" w:hAnsi="Franklin Gothic Book"/>
          <w:sz w:val="22"/>
        </w:rPr>
        <w:t xml:space="preserve">o OS benefit in the </w:t>
      </w:r>
      <w:r w:rsidR="003B41E8">
        <w:rPr>
          <w:rFonts w:ascii="Franklin Gothic Book" w:hAnsi="Franklin Gothic Book"/>
          <w:sz w:val="22"/>
        </w:rPr>
        <w:t xml:space="preserve">known </w:t>
      </w:r>
      <w:r w:rsidRPr="00F5289B">
        <w:rPr>
          <w:rFonts w:ascii="Franklin Gothic Book" w:hAnsi="Franklin Gothic Book"/>
          <w:sz w:val="22"/>
        </w:rPr>
        <w:t>non-AKT</w:t>
      </w:r>
      <w:r w:rsidR="00516138">
        <w:rPr>
          <w:rFonts w:ascii="Franklin Gothic Book" w:hAnsi="Franklin Gothic Book"/>
          <w:sz w:val="22"/>
        </w:rPr>
        <w:t xml:space="preserve"> </w:t>
      </w:r>
      <w:r w:rsidRPr="00F5289B">
        <w:rPr>
          <w:rFonts w:ascii="Franklin Gothic Book" w:hAnsi="Franklin Gothic Book"/>
          <w:sz w:val="22"/>
        </w:rPr>
        <w:t>pathway</w:t>
      </w:r>
      <w:r w:rsidR="00690F88">
        <w:rPr>
          <w:rFonts w:ascii="Franklin Gothic Book" w:hAnsi="Franklin Gothic Book"/>
          <w:sz w:val="22"/>
        </w:rPr>
        <w:t xml:space="preserve"> </w:t>
      </w:r>
      <w:r w:rsidRPr="00F5289B">
        <w:rPr>
          <w:rFonts w:ascii="Franklin Gothic Book" w:hAnsi="Franklin Gothic Book"/>
          <w:sz w:val="22"/>
        </w:rPr>
        <w:t>altered population</w:t>
      </w:r>
      <w:r w:rsidR="00980759">
        <w:rPr>
          <w:rFonts w:ascii="Franklin Gothic Book" w:hAnsi="Franklin Gothic Book"/>
          <w:sz w:val="22"/>
        </w:rPr>
        <w:t xml:space="preserve"> was </w:t>
      </w:r>
      <w:r w:rsidR="006B50FC">
        <w:rPr>
          <w:rFonts w:ascii="Franklin Gothic Book" w:hAnsi="Franklin Gothic Book"/>
          <w:sz w:val="22"/>
        </w:rPr>
        <w:t>found</w:t>
      </w:r>
      <w:r w:rsidRPr="00F5289B">
        <w:rPr>
          <w:rFonts w:ascii="Franklin Gothic Book" w:hAnsi="Franklin Gothic Book"/>
          <w:sz w:val="22"/>
        </w:rPr>
        <w:t>.</w:t>
      </w:r>
      <w:r w:rsidR="0007347F" w:rsidRPr="00F5289B">
        <w:rPr>
          <w:rFonts w:ascii="Franklin Gothic Book" w:hAnsi="Franklin Gothic Book"/>
          <w:sz w:val="22"/>
        </w:rPr>
        <w:t xml:space="preserve"> </w:t>
      </w:r>
    </w:p>
    <w:p w14:paraId="4553B04B" w14:textId="32A5BB7A" w:rsidR="00357066" w:rsidRPr="00F5289B" w:rsidRDefault="007D7D0C" w:rsidP="00357066">
      <w:pPr>
        <w:rPr>
          <w:rFonts w:ascii="Franklin Gothic Book" w:hAnsi="Franklin Gothic Book"/>
          <w:sz w:val="22"/>
        </w:rPr>
      </w:pPr>
      <w:r w:rsidRPr="00F5289B">
        <w:rPr>
          <w:rFonts w:ascii="Franklin Gothic Book" w:hAnsi="Franklin Gothic Book"/>
          <w:sz w:val="22"/>
        </w:rPr>
        <w:t xml:space="preserve">Overall, MSAC considered the co-dependency claim </w:t>
      </w:r>
      <w:r w:rsidR="00D274AE">
        <w:rPr>
          <w:rFonts w:ascii="Franklin Gothic Book" w:hAnsi="Franklin Gothic Book"/>
          <w:sz w:val="22"/>
        </w:rPr>
        <w:t>is likely</w:t>
      </w:r>
      <w:r w:rsidR="00BD6AFE">
        <w:rPr>
          <w:rFonts w:ascii="Franklin Gothic Book" w:hAnsi="Franklin Gothic Book"/>
          <w:sz w:val="22"/>
        </w:rPr>
        <w:t xml:space="preserve"> </w:t>
      </w:r>
      <w:r w:rsidRPr="00F5289B">
        <w:rPr>
          <w:rFonts w:ascii="Franklin Gothic Book" w:hAnsi="Franklin Gothic Book"/>
          <w:sz w:val="22"/>
        </w:rPr>
        <w:t xml:space="preserve">to be reasonable but </w:t>
      </w:r>
      <w:r w:rsidR="00BD6AFE">
        <w:rPr>
          <w:rFonts w:ascii="Franklin Gothic Book" w:hAnsi="Franklin Gothic Book"/>
          <w:sz w:val="22"/>
        </w:rPr>
        <w:t>needed further justification</w:t>
      </w:r>
      <w:r w:rsidR="00690F88">
        <w:rPr>
          <w:rFonts w:ascii="Franklin Gothic Book" w:hAnsi="Franklin Gothic Book"/>
          <w:sz w:val="22"/>
        </w:rPr>
        <w:t>, because</w:t>
      </w:r>
      <w:r w:rsidR="00357066" w:rsidRPr="00F5289B">
        <w:rPr>
          <w:rFonts w:ascii="Franklin Gothic Book" w:hAnsi="Franklin Gothic Book"/>
          <w:sz w:val="22"/>
        </w:rPr>
        <w:t xml:space="preserve"> </w:t>
      </w:r>
      <w:r w:rsidR="0045330E">
        <w:rPr>
          <w:rFonts w:ascii="Franklin Gothic Book" w:hAnsi="Franklin Gothic Book"/>
          <w:sz w:val="22"/>
        </w:rPr>
        <w:t xml:space="preserve">the </w:t>
      </w:r>
      <w:r w:rsidR="00BD6AFE">
        <w:rPr>
          <w:rFonts w:ascii="Franklin Gothic Book" w:hAnsi="Franklin Gothic Book"/>
          <w:sz w:val="22"/>
        </w:rPr>
        <w:t>trial results</w:t>
      </w:r>
      <w:r w:rsidR="0045330E">
        <w:rPr>
          <w:rFonts w:ascii="Franklin Gothic Book" w:hAnsi="Franklin Gothic Book"/>
          <w:sz w:val="22"/>
        </w:rPr>
        <w:t xml:space="preserve"> suggested that </w:t>
      </w:r>
      <w:r w:rsidR="00357066" w:rsidRPr="00F5289B">
        <w:rPr>
          <w:rFonts w:ascii="Franklin Gothic Book" w:hAnsi="Franklin Gothic Book"/>
          <w:sz w:val="22"/>
        </w:rPr>
        <w:t xml:space="preserve">patients appeared to have some PFS benefit from </w:t>
      </w:r>
      <w:r w:rsidR="00690F88">
        <w:rPr>
          <w:rFonts w:ascii="Franklin Gothic Book" w:hAnsi="Franklin Gothic Book"/>
          <w:sz w:val="22"/>
        </w:rPr>
        <w:t>CAPI</w:t>
      </w:r>
      <w:r w:rsidR="00357066" w:rsidRPr="00F5289B">
        <w:rPr>
          <w:rFonts w:ascii="Franklin Gothic Book" w:hAnsi="Franklin Gothic Book"/>
          <w:sz w:val="22"/>
        </w:rPr>
        <w:t xml:space="preserve"> irrespective of whether their tumours had a AKT pathway alteration</w:t>
      </w:r>
      <w:r w:rsidR="00690F88">
        <w:rPr>
          <w:rFonts w:ascii="Franklin Gothic Book" w:hAnsi="Franklin Gothic Book"/>
          <w:sz w:val="22"/>
        </w:rPr>
        <w:t>,</w:t>
      </w:r>
      <w:r w:rsidR="00B23E01" w:rsidRPr="00F5289B">
        <w:rPr>
          <w:rFonts w:ascii="Franklin Gothic Book" w:hAnsi="Franklin Gothic Book"/>
          <w:sz w:val="22"/>
        </w:rPr>
        <w:t xml:space="preserve"> and </w:t>
      </w:r>
      <w:r w:rsidR="00690F88">
        <w:rPr>
          <w:rFonts w:ascii="Franklin Gothic Book" w:hAnsi="Franklin Gothic Book"/>
          <w:sz w:val="22"/>
        </w:rPr>
        <w:t>because</w:t>
      </w:r>
      <w:r w:rsidR="00B23E01" w:rsidRPr="00F5289B">
        <w:rPr>
          <w:rFonts w:ascii="Franklin Gothic Book" w:hAnsi="Franklin Gothic Book"/>
          <w:sz w:val="22"/>
        </w:rPr>
        <w:t xml:space="preserve"> the key evidence demonstrating a PFS benefit was based on </w:t>
      </w:r>
      <w:r w:rsidR="00857CA9" w:rsidRPr="004F5CFF">
        <w:rPr>
          <w:rFonts w:ascii="Franklin Gothic Book" w:hAnsi="Franklin Gothic Book"/>
          <w:i/>
          <w:sz w:val="22"/>
        </w:rPr>
        <w:t>post hoc</w:t>
      </w:r>
      <w:r w:rsidR="00857CA9" w:rsidRPr="00F5289B">
        <w:rPr>
          <w:rFonts w:ascii="Franklin Gothic Book" w:hAnsi="Franklin Gothic Book"/>
          <w:sz w:val="22"/>
        </w:rPr>
        <w:t xml:space="preserve"> analys</w:t>
      </w:r>
      <w:r w:rsidR="009331AC">
        <w:rPr>
          <w:rFonts w:ascii="Franklin Gothic Book" w:hAnsi="Franklin Gothic Book"/>
          <w:sz w:val="22"/>
        </w:rPr>
        <w:t>e</w:t>
      </w:r>
      <w:r w:rsidR="00857CA9" w:rsidRPr="00F5289B">
        <w:rPr>
          <w:rFonts w:ascii="Franklin Gothic Book" w:hAnsi="Franklin Gothic Book"/>
          <w:sz w:val="22"/>
        </w:rPr>
        <w:t>s</w:t>
      </w:r>
      <w:r w:rsidRPr="00F5289B">
        <w:rPr>
          <w:rFonts w:ascii="Franklin Gothic Book" w:hAnsi="Franklin Gothic Book"/>
          <w:sz w:val="22"/>
        </w:rPr>
        <w:t>.</w:t>
      </w:r>
      <w:r w:rsidR="00357066" w:rsidRPr="00F5289B">
        <w:rPr>
          <w:rFonts w:ascii="Franklin Gothic Book" w:hAnsi="Franklin Gothic Book"/>
          <w:sz w:val="22"/>
        </w:rPr>
        <w:t xml:space="preserve"> MSAC considered that </w:t>
      </w:r>
      <w:r w:rsidR="00D27FB1">
        <w:rPr>
          <w:rFonts w:ascii="Franklin Gothic Book" w:hAnsi="Franklin Gothic Book"/>
          <w:sz w:val="22"/>
        </w:rPr>
        <w:t>based on the current evidence,</w:t>
      </w:r>
      <w:r w:rsidR="00357066" w:rsidRPr="00F5289B">
        <w:rPr>
          <w:rFonts w:ascii="Franklin Gothic Book" w:hAnsi="Franklin Gothic Book"/>
          <w:sz w:val="22"/>
        </w:rPr>
        <w:t xml:space="preserve"> it might be inequitable to exclude </w:t>
      </w:r>
      <w:r w:rsidR="009331AC">
        <w:rPr>
          <w:rFonts w:ascii="Franklin Gothic Book" w:hAnsi="Franklin Gothic Book"/>
          <w:sz w:val="22"/>
        </w:rPr>
        <w:t>non-AKT pathway altered</w:t>
      </w:r>
      <w:r w:rsidR="00357066" w:rsidRPr="00F5289B">
        <w:rPr>
          <w:rFonts w:ascii="Franklin Gothic Book" w:hAnsi="Franklin Gothic Book"/>
          <w:sz w:val="22"/>
        </w:rPr>
        <w:t xml:space="preserve"> patients from access to treatment</w:t>
      </w:r>
      <w:r w:rsidR="00E12E6A" w:rsidRPr="00F5289B">
        <w:rPr>
          <w:rFonts w:ascii="Franklin Gothic Book" w:hAnsi="Franklin Gothic Book"/>
          <w:sz w:val="22"/>
        </w:rPr>
        <w:t xml:space="preserve">. MSAC advised that further evidence would be required to confirm if AKT pathway alteration is a treatment effect modifier, and therefore to better support the clinical claim of </w:t>
      </w:r>
      <w:proofErr w:type="spellStart"/>
      <w:r w:rsidR="00E12E6A" w:rsidRPr="00F5289B">
        <w:rPr>
          <w:rFonts w:ascii="Franklin Gothic Book" w:hAnsi="Franklin Gothic Book"/>
          <w:sz w:val="22"/>
        </w:rPr>
        <w:t>codependence</w:t>
      </w:r>
      <w:proofErr w:type="spellEnd"/>
      <w:r w:rsidR="00E12E6A" w:rsidRPr="00F5289B">
        <w:rPr>
          <w:rFonts w:ascii="Franklin Gothic Book" w:hAnsi="Franklin Gothic Book"/>
          <w:sz w:val="22"/>
        </w:rPr>
        <w:t>.</w:t>
      </w:r>
    </w:p>
    <w:p w14:paraId="3BA1831F" w14:textId="2647FCA1" w:rsidR="007D7D0C" w:rsidRPr="00F5289B" w:rsidRDefault="007D7D0C" w:rsidP="007D7D0C">
      <w:pPr>
        <w:rPr>
          <w:rFonts w:ascii="Franklin Gothic Book" w:hAnsi="Franklin Gothic Book"/>
          <w:sz w:val="22"/>
        </w:rPr>
      </w:pPr>
      <w:r w:rsidRPr="00F5289B">
        <w:rPr>
          <w:rFonts w:ascii="Franklin Gothic Book" w:hAnsi="Franklin Gothic Book"/>
          <w:sz w:val="22"/>
        </w:rPr>
        <w:t>MSAC noted</w:t>
      </w:r>
      <w:r w:rsidR="009331AC">
        <w:rPr>
          <w:rFonts w:ascii="Franklin Gothic Book" w:hAnsi="Franklin Gothic Book"/>
          <w:sz w:val="22"/>
        </w:rPr>
        <w:t xml:space="preserve"> that</w:t>
      </w:r>
      <w:r w:rsidRPr="00F5289B">
        <w:rPr>
          <w:rFonts w:ascii="Franklin Gothic Book" w:hAnsi="Franklin Gothic Book"/>
          <w:sz w:val="22"/>
        </w:rPr>
        <w:t xml:space="preserve"> the economic evaluation was a cost-utility analysis that assumed </w:t>
      </w:r>
      <w:r w:rsidRPr="00C22038">
        <w:rPr>
          <w:rFonts w:ascii="Franklin Gothic Book" w:hAnsi="Franklin Gothic Book"/>
          <w:sz w:val="22"/>
        </w:rPr>
        <w:t xml:space="preserve">99% specificity, 99% </w:t>
      </w:r>
      <w:r w:rsidRPr="00621B95">
        <w:rPr>
          <w:rFonts w:ascii="Franklin Gothic Book" w:hAnsi="Franklin Gothic Book"/>
          <w:sz w:val="22"/>
        </w:rPr>
        <w:t>sensitivity, 5% failure</w:t>
      </w:r>
      <w:r w:rsidRPr="00C22038">
        <w:rPr>
          <w:rFonts w:ascii="Franklin Gothic Book" w:hAnsi="Franklin Gothic Book"/>
          <w:sz w:val="22"/>
        </w:rPr>
        <w:t xml:space="preserve"> rate </w:t>
      </w:r>
      <w:r w:rsidRPr="00221FAB">
        <w:rPr>
          <w:rFonts w:ascii="Franklin Gothic Book" w:hAnsi="Franklin Gothic Book"/>
          <w:sz w:val="22"/>
        </w:rPr>
        <w:t xml:space="preserve">and </w:t>
      </w:r>
      <w:r w:rsidR="00221FAB" w:rsidRPr="00221FAB">
        <w:rPr>
          <w:rFonts w:ascii="Franklin Gothic Book" w:hAnsi="Franklin Gothic Book"/>
          <w:b/>
          <w:bCs/>
          <w:sz w:val="22"/>
        </w:rPr>
        <w:t>r</w:t>
      </w:r>
      <w:r w:rsidR="00621B95" w:rsidRPr="00221FAB">
        <w:rPr>
          <w:rFonts w:ascii="Franklin Gothic Book" w:hAnsi="Franklin Gothic Book"/>
          <w:b/>
          <w:bCs/>
          <w:sz w:val="22"/>
        </w:rPr>
        <w:t>edacted</w:t>
      </w:r>
      <w:r w:rsidRPr="00221FAB" w:rsidDel="00621B95">
        <w:rPr>
          <w:rFonts w:ascii="Franklin Gothic Book" w:hAnsi="Franklin Gothic Book"/>
          <w:sz w:val="22"/>
        </w:rPr>
        <w:t>%</w:t>
      </w:r>
      <w:r w:rsidRPr="00221FAB">
        <w:rPr>
          <w:rFonts w:ascii="Franklin Gothic Book" w:hAnsi="Franklin Gothic Book"/>
          <w:sz w:val="22"/>
        </w:rPr>
        <w:t xml:space="preserve"> uptake</w:t>
      </w:r>
      <w:r w:rsidRPr="00F5289B">
        <w:rPr>
          <w:rFonts w:ascii="Franklin Gothic Book" w:hAnsi="Franklin Gothic Book"/>
          <w:sz w:val="22"/>
        </w:rPr>
        <w:t>. MSAC noted that the failure rate</w:t>
      </w:r>
      <w:r>
        <w:rPr>
          <w:rFonts w:ascii="Franklin Gothic Book" w:hAnsi="Franklin Gothic Book"/>
          <w:sz w:val="22"/>
        </w:rPr>
        <w:t xml:space="preserve"> </w:t>
      </w:r>
      <w:r w:rsidR="009331AC">
        <w:rPr>
          <w:rFonts w:ascii="Franklin Gothic Book" w:hAnsi="Franklin Gothic Book"/>
          <w:sz w:val="22"/>
        </w:rPr>
        <w:t>reported</w:t>
      </w:r>
      <w:r w:rsidRPr="00F5289B">
        <w:rPr>
          <w:rFonts w:ascii="Franklin Gothic Book" w:hAnsi="Franklin Gothic Book"/>
          <w:sz w:val="22"/>
        </w:rPr>
        <w:t xml:space="preserve"> in </w:t>
      </w:r>
      <w:r w:rsidR="00FA73D1">
        <w:rPr>
          <w:rFonts w:ascii="Franklin Gothic Book" w:hAnsi="Franklin Gothic Book"/>
          <w:sz w:val="22"/>
        </w:rPr>
        <w:t xml:space="preserve">the </w:t>
      </w:r>
      <w:r w:rsidR="00B74D1E">
        <w:rPr>
          <w:rFonts w:ascii="Franklin Gothic Book" w:hAnsi="Franklin Gothic Book"/>
          <w:sz w:val="22"/>
        </w:rPr>
        <w:t>CAPItell</w:t>
      </w:r>
      <w:r w:rsidR="003A08BA">
        <w:rPr>
          <w:rFonts w:ascii="Franklin Gothic Book" w:hAnsi="Franklin Gothic Book"/>
          <w:sz w:val="22"/>
        </w:rPr>
        <w:t>o-291</w:t>
      </w:r>
      <w:r w:rsidR="00FA73D1">
        <w:rPr>
          <w:rFonts w:ascii="Franklin Gothic Book" w:hAnsi="Franklin Gothic Book"/>
          <w:sz w:val="22"/>
        </w:rPr>
        <w:t xml:space="preserve"> trial</w:t>
      </w:r>
      <w:r w:rsidRPr="00F5289B">
        <w:rPr>
          <w:rFonts w:ascii="Franklin Gothic Book" w:hAnsi="Franklin Gothic Book"/>
          <w:sz w:val="22"/>
        </w:rPr>
        <w:t xml:space="preserve"> was 15%</w:t>
      </w:r>
      <w:r w:rsidR="009331AC">
        <w:rPr>
          <w:rFonts w:ascii="Franklin Gothic Book" w:hAnsi="Franklin Gothic Book"/>
          <w:sz w:val="22"/>
        </w:rPr>
        <w:t>,</w:t>
      </w:r>
      <w:r w:rsidRPr="00F5289B">
        <w:rPr>
          <w:rFonts w:ascii="Franklin Gothic Book" w:hAnsi="Franklin Gothic Book"/>
          <w:sz w:val="22"/>
        </w:rPr>
        <w:t xml:space="preserve"> and</w:t>
      </w:r>
      <w:r>
        <w:rPr>
          <w:rFonts w:ascii="Franklin Gothic Book" w:hAnsi="Franklin Gothic Book"/>
          <w:sz w:val="22"/>
        </w:rPr>
        <w:t xml:space="preserve"> </w:t>
      </w:r>
      <w:r w:rsidR="00945E38">
        <w:rPr>
          <w:rFonts w:ascii="Franklin Gothic Book" w:hAnsi="Franklin Gothic Book"/>
          <w:sz w:val="22"/>
        </w:rPr>
        <w:t>therefore</w:t>
      </w:r>
      <w:r w:rsidRPr="00F5289B">
        <w:rPr>
          <w:rFonts w:ascii="Franklin Gothic Book" w:hAnsi="Franklin Gothic Book"/>
          <w:sz w:val="22"/>
        </w:rPr>
        <w:t xml:space="preserve"> </w:t>
      </w:r>
      <w:r w:rsidRPr="00221FAB">
        <w:rPr>
          <w:rFonts w:ascii="Franklin Gothic Book" w:hAnsi="Franklin Gothic Book"/>
          <w:sz w:val="22"/>
        </w:rPr>
        <w:t xml:space="preserve">the 5% </w:t>
      </w:r>
      <w:r w:rsidR="009331AC" w:rsidRPr="00221FAB">
        <w:rPr>
          <w:rFonts w:ascii="Franklin Gothic Book" w:hAnsi="Franklin Gothic Book"/>
          <w:sz w:val="22"/>
        </w:rPr>
        <w:t>failure</w:t>
      </w:r>
      <w:r w:rsidR="009331AC">
        <w:rPr>
          <w:rFonts w:ascii="Franklin Gothic Book" w:hAnsi="Franklin Gothic Book"/>
          <w:sz w:val="22"/>
        </w:rPr>
        <w:t xml:space="preserve"> rate</w:t>
      </w:r>
      <w:r w:rsidRPr="00F5289B">
        <w:rPr>
          <w:rFonts w:ascii="Franklin Gothic Book" w:hAnsi="Franklin Gothic Book"/>
          <w:sz w:val="22"/>
        </w:rPr>
        <w:t xml:space="preserve"> used in the analysis was not well justified</w:t>
      </w:r>
      <w:r w:rsidR="009331AC">
        <w:rPr>
          <w:rFonts w:ascii="Franklin Gothic Book" w:hAnsi="Franklin Gothic Book"/>
          <w:sz w:val="22"/>
        </w:rPr>
        <w:t>.</w:t>
      </w:r>
      <w:r w:rsidRPr="00F5289B">
        <w:rPr>
          <w:rFonts w:ascii="Franklin Gothic Book" w:hAnsi="Franklin Gothic Book"/>
          <w:sz w:val="22"/>
        </w:rPr>
        <w:t xml:space="preserve"> MSAC </w:t>
      </w:r>
      <w:r w:rsidR="009331AC">
        <w:rPr>
          <w:rFonts w:ascii="Franklin Gothic Book" w:hAnsi="Franklin Gothic Book"/>
          <w:sz w:val="22"/>
        </w:rPr>
        <w:t>noted</w:t>
      </w:r>
      <w:r w:rsidRPr="00F5289B">
        <w:rPr>
          <w:rFonts w:ascii="Franklin Gothic Book" w:hAnsi="Franklin Gothic Book"/>
          <w:sz w:val="22"/>
        </w:rPr>
        <w:t xml:space="preserve"> the applicant’s claim that </w:t>
      </w:r>
      <w:r w:rsidR="00EC6E8E">
        <w:rPr>
          <w:rFonts w:ascii="Franklin Gothic Book" w:hAnsi="Franklin Gothic Book"/>
          <w:sz w:val="22"/>
        </w:rPr>
        <w:t xml:space="preserve">failure rates </w:t>
      </w:r>
      <w:r w:rsidR="000F7DA9">
        <w:rPr>
          <w:rFonts w:ascii="Franklin Gothic Book" w:hAnsi="Franklin Gothic Book"/>
          <w:sz w:val="22"/>
        </w:rPr>
        <w:t>would</w:t>
      </w:r>
      <w:r w:rsidR="00122D80">
        <w:rPr>
          <w:rFonts w:ascii="Franklin Gothic Book" w:hAnsi="Franklin Gothic Book"/>
          <w:sz w:val="22"/>
        </w:rPr>
        <w:t xml:space="preserve"> </w:t>
      </w:r>
      <w:r w:rsidR="00C16C45">
        <w:rPr>
          <w:rFonts w:ascii="Franklin Gothic Book" w:hAnsi="Franklin Gothic Book"/>
          <w:sz w:val="22"/>
        </w:rPr>
        <w:t xml:space="preserve">be lower with </w:t>
      </w:r>
      <w:r w:rsidR="00EB10BD">
        <w:rPr>
          <w:rFonts w:ascii="Franklin Gothic Book" w:hAnsi="Franklin Gothic Book"/>
          <w:sz w:val="22"/>
        </w:rPr>
        <w:t>improve</w:t>
      </w:r>
      <w:r w:rsidR="00160F1F">
        <w:rPr>
          <w:rFonts w:ascii="Franklin Gothic Book" w:hAnsi="Franklin Gothic Book"/>
          <w:sz w:val="22"/>
        </w:rPr>
        <w:t>ment in</w:t>
      </w:r>
      <w:r w:rsidR="00EB10BD" w:rsidRPr="00F5289B">
        <w:rPr>
          <w:rFonts w:ascii="Franklin Gothic Book" w:hAnsi="Franklin Gothic Book"/>
          <w:sz w:val="22"/>
        </w:rPr>
        <w:t xml:space="preserve"> </w:t>
      </w:r>
      <w:r w:rsidRPr="00F5289B">
        <w:rPr>
          <w:rFonts w:ascii="Franklin Gothic Book" w:hAnsi="Franklin Gothic Book"/>
          <w:sz w:val="22"/>
        </w:rPr>
        <w:t xml:space="preserve">biopsy </w:t>
      </w:r>
      <w:r w:rsidR="000B0787">
        <w:rPr>
          <w:rFonts w:ascii="Franklin Gothic Book" w:hAnsi="Franklin Gothic Book"/>
          <w:sz w:val="22"/>
        </w:rPr>
        <w:t>sample collection</w:t>
      </w:r>
      <w:r w:rsidRPr="00F5289B">
        <w:rPr>
          <w:rFonts w:ascii="Franklin Gothic Book" w:hAnsi="Franklin Gothic Book"/>
          <w:sz w:val="22"/>
        </w:rPr>
        <w:t xml:space="preserve"> and education </w:t>
      </w:r>
      <w:r w:rsidR="00EB10BD">
        <w:rPr>
          <w:rFonts w:ascii="Franklin Gothic Book" w:hAnsi="Franklin Gothic Book"/>
          <w:sz w:val="22"/>
        </w:rPr>
        <w:t>in the Australian setting</w:t>
      </w:r>
      <w:r w:rsidR="009331AC">
        <w:rPr>
          <w:rFonts w:ascii="Franklin Gothic Book" w:hAnsi="Franklin Gothic Book"/>
          <w:sz w:val="22"/>
        </w:rPr>
        <w:t xml:space="preserve">, but </w:t>
      </w:r>
      <w:r w:rsidR="00C2547A">
        <w:rPr>
          <w:rFonts w:ascii="Franklin Gothic Book" w:hAnsi="Franklin Gothic Book"/>
          <w:sz w:val="22"/>
        </w:rPr>
        <w:t xml:space="preserve">MSAC </w:t>
      </w:r>
      <w:r w:rsidR="009331AC">
        <w:rPr>
          <w:rFonts w:ascii="Franklin Gothic Book" w:hAnsi="Franklin Gothic Book"/>
          <w:sz w:val="22"/>
        </w:rPr>
        <w:t>did not consider that this was likely to be the case</w:t>
      </w:r>
      <w:r w:rsidRPr="00F5289B">
        <w:rPr>
          <w:rFonts w:ascii="Franklin Gothic Book" w:hAnsi="Franklin Gothic Book"/>
          <w:sz w:val="22"/>
        </w:rPr>
        <w:t xml:space="preserve">. </w:t>
      </w:r>
      <w:r w:rsidR="00143D85">
        <w:rPr>
          <w:rFonts w:ascii="Franklin Gothic Book" w:hAnsi="Franklin Gothic Book"/>
          <w:sz w:val="22"/>
        </w:rPr>
        <w:t>MSAC noted that t</w:t>
      </w:r>
      <w:r w:rsidRPr="00F5289B">
        <w:rPr>
          <w:rFonts w:ascii="Franklin Gothic Book" w:hAnsi="Franklin Gothic Book"/>
          <w:sz w:val="22"/>
        </w:rPr>
        <w:t xml:space="preserve">he </w:t>
      </w:r>
      <w:r w:rsidR="003505A9">
        <w:rPr>
          <w:rFonts w:ascii="Franklin Gothic Book" w:hAnsi="Franklin Gothic Book"/>
          <w:sz w:val="22"/>
        </w:rPr>
        <w:t>economic model</w:t>
      </w:r>
      <w:r w:rsidRPr="00F5289B">
        <w:rPr>
          <w:rFonts w:ascii="Franklin Gothic Book" w:hAnsi="Franklin Gothic Book"/>
          <w:sz w:val="22"/>
        </w:rPr>
        <w:t xml:space="preserve"> </w:t>
      </w:r>
      <w:r w:rsidR="00B35E2F">
        <w:rPr>
          <w:rFonts w:ascii="Franklin Gothic Book" w:hAnsi="Franklin Gothic Book"/>
          <w:sz w:val="22"/>
        </w:rPr>
        <w:t>applied</w:t>
      </w:r>
      <w:r w:rsidRPr="00F5289B">
        <w:rPr>
          <w:rFonts w:ascii="Franklin Gothic Book" w:hAnsi="Franklin Gothic Book"/>
          <w:sz w:val="22"/>
        </w:rPr>
        <w:t xml:space="preserve"> a test</w:t>
      </w:r>
      <w:r w:rsidR="00B35E2F">
        <w:rPr>
          <w:rFonts w:ascii="Franklin Gothic Book" w:hAnsi="Franklin Gothic Book"/>
          <w:sz w:val="22"/>
        </w:rPr>
        <w:t>ing</w:t>
      </w:r>
      <w:r w:rsidRPr="00F5289B">
        <w:rPr>
          <w:rFonts w:ascii="Franklin Gothic Book" w:hAnsi="Franklin Gothic Book"/>
          <w:sz w:val="22"/>
        </w:rPr>
        <w:t xml:space="preserve"> cost of </w:t>
      </w:r>
      <w:r w:rsidR="00221FAB">
        <w:rPr>
          <w:rFonts w:ascii="Franklin Gothic Book" w:hAnsi="Franklin Gothic Book"/>
          <w:sz w:val="22"/>
        </w:rPr>
        <w:t>$</w:t>
      </w:r>
      <w:r w:rsidR="00221FAB" w:rsidRPr="00221FAB">
        <w:rPr>
          <w:rFonts w:ascii="Franklin Gothic Book" w:hAnsi="Franklin Gothic Book"/>
          <w:b/>
          <w:bCs/>
          <w:sz w:val="22"/>
        </w:rPr>
        <w:t>redacted</w:t>
      </w:r>
      <w:r w:rsidRPr="00221FAB">
        <w:rPr>
          <w:rFonts w:ascii="Franklin Gothic Book" w:hAnsi="Franklin Gothic Book"/>
          <w:sz w:val="22"/>
        </w:rPr>
        <w:t xml:space="preserve"> per patient</w:t>
      </w:r>
      <w:r w:rsidRPr="00F5289B">
        <w:rPr>
          <w:rFonts w:ascii="Franklin Gothic Book" w:hAnsi="Franklin Gothic Book"/>
          <w:sz w:val="22"/>
        </w:rPr>
        <w:t xml:space="preserve">. However, the failure rate and cost of the test </w:t>
      </w:r>
      <w:r w:rsidR="00723D8F">
        <w:rPr>
          <w:rFonts w:ascii="Franklin Gothic Book" w:hAnsi="Franklin Gothic Book"/>
          <w:sz w:val="22"/>
        </w:rPr>
        <w:t>did not have a significant impact on</w:t>
      </w:r>
      <w:r w:rsidRPr="00F5289B">
        <w:rPr>
          <w:rFonts w:ascii="Franklin Gothic Book" w:hAnsi="Franklin Gothic Book"/>
          <w:sz w:val="22"/>
        </w:rPr>
        <w:t xml:space="preserve"> the ICER.</w:t>
      </w:r>
    </w:p>
    <w:p w14:paraId="3E301FC4" w14:textId="296F1622"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MSAC noted that the ICER </w:t>
      </w:r>
      <w:r w:rsidRPr="001C02F5">
        <w:rPr>
          <w:rFonts w:ascii="Franklin Gothic Book" w:hAnsi="Franklin Gothic Book"/>
          <w:sz w:val="22"/>
        </w:rPr>
        <w:t>was $</w:t>
      </w:r>
      <w:r w:rsidR="001C02F5" w:rsidRPr="001C02F5">
        <w:rPr>
          <w:rFonts w:ascii="Franklin Gothic Book" w:hAnsi="Franklin Gothic Book"/>
          <w:sz w:val="22"/>
        </w:rPr>
        <w:t>75,000 to &lt;$95,000</w:t>
      </w:r>
      <w:r w:rsidRPr="001C02F5">
        <w:rPr>
          <w:rFonts w:ascii="Franklin Gothic Book" w:hAnsi="Franklin Gothic Book"/>
          <w:sz w:val="22"/>
        </w:rPr>
        <w:t xml:space="preserve"> </w:t>
      </w:r>
      <w:r w:rsidRPr="00F5289B">
        <w:rPr>
          <w:rFonts w:ascii="Franklin Gothic Book" w:hAnsi="Franklin Gothic Book"/>
          <w:sz w:val="22"/>
        </w:rPr>
        <w:t>per quality-ad</w:t>
      </w:r>
      <w:r w:rsidR="00723D8F">
        <w:rPr>
          <w:rFonts w:ascii="Franklin Gothic Book" w:hAnsi="Franklin Gothic Book"/>
          <w:sz w:val="22"/>
        </w:rPr>
        <w:t>j</w:t>
      </w:r>
      <w:r w:rsidRPr="00F5289B">
        <w:rPr>
          <w:rFonts w:ascii="Franklin Gothic Book" w:hAnsi="Franklin Gothic Book"/>
          <w:sz w:val="22"/>
        </w:rPr>
        <w:t xml:space="preserve">usted life year (QALY) gained. If </w:t>
      </w:r>
      <w:r w:rsidR="00493E3D">
        <w:rPr>
          <w:rFonts w:ascii="Franklin Gothic Book" w:hAnsi="Franklin Gothic Book"/>
          <w:sz w:val="22"/>
        </w:rPr>
        <w:t>CAPI</w:t>
      </w:r>
      <w:r w:rsidRPr="00F5289B">
        <w:rPr>
          <w:rFonts w:ascii="Franklin Gothic Book" w:hAnsi="Franklin Gothic Book"/>
          <w:sz w:val="22"/>
        </w:rPr>
        <w:t xml:space="preserve"> was available without AKT pathway testing (that is</w:t>
      </w:r>
      <w:r w:rsidR="00493E3D">
        <w:rPr>
          <w:rFonts w:ascii="Franklin Gothic Book" w:hAnsi="Franklin Gothic Book"/>
          <w:sz w:val="22"/>
        </w:rPr>
        <w:t xml:space="preserve">, was available to all patients regardless </w:t>
      </w:r>
      <w:r w:rsidR="00493E3D">
        <w:rPr>
          <w:rFonts w:ascii="Franklin Gothic Book" w:hAnsi="Franklin Gothic Book"/>
          <w:sz w:val="22"/>
        </w:rPr>
        <w:lastRenderedPageBreak/>
        <w:t>of AKT pathway status</w:t>
      </w:r>
      <w:r w:rsidRPr="00F5289B">
        <w:rPr>
          <w:rFonts w:ascii="Franklin Gothic Book" w:hAnsi="Franklin Gothic Book"/>
          <w:sz w:val="22"/>
        </w:rPr>
        <w:t xml:space="preserve">), the ICER </w:t>
      </w:r>
      <w:r w:rsidR="00A837D0">
        <w:rPr>
          <w:rFonts w:ascii="Franklin Gothic Book" w:hAnsi="Franklin Gothic Book"/>
          <w:sz w:val="22"/>
        </w:rPr>
        <w:t xml:space="preserve">would </w:t>
      </w:r>
      <w:r w:rsidRPr="00F5289B">
        <w:rPr>
          <w:rFonts w:ascii="Franklin Gothic Book" w:hAnsi="Franklin Gothic Book"/>
          <w:sz w:val="22"/>
        </w:rPr>
        <w:t xml:space="preserve">increase </w:t>
      </w:r>
      <w:r w:rsidRPr="001C02F5">
        <w:rPr>
          <w:rFonts w:ascii="Franklin Gothic Book" w:hAnsi="Franklin Gothic Book"/>
          <w:sz w:val="22"/>
        </w:rPr>
        <w:t>to $</w:t>
      </w:r>
      <w:r w:rsidR="001C02F5" w:rsidRPr="001C02F5">
        <w:rPr>
          <w:rFonts w:ascii="Franklin Gothic Book" w:hAnsi="Franklin Gothic Book"/>
          <w:sz w:val="22"/>
        </w:rPr>
        <w:t>95,000 to &lt;$115,000</w:t>
      </w:r>
      <w:r w:rsidRPr="001C02F5">
        <w:rPr>
          <w:rFonts w:ascii="Franklin Gothic Book" w:hAnsi="Franklin Gothic Book"/>
          <w:sz w:val="22"/>
        </w:rPr>
        <w:t xml:space="preserve">/QALY </w:t>
      </w:r>
      <w:r w:rsidRPr="00F5289B">
        <w:rPr>
          <w:rFonts w:ascii="Franklin Gothic Book" w:hAnsi="Franklin Gothic Book"/>
          <w:sz w:val="22"/>
        </w:rPr>
        <w:t>gained</w:t>
      </w:r>
      <w:r w:rsidR="00E71FC7" w:rsidRPr="00F5289B">
        <w:rPr>
          <w:rFonts w:ascii="Franklin Gothic Book" w:hAnsi="Franklin Gothic Book"/>
          <w:sz w:val="22"/>
        </w:rPr>
        <w:t xml:space="preserve">. </w:t>
      </w:r>
      <w:r w:rsidRPr="00F5289B">
        <w:rPr>
          <w:rFonts w:ascii="Franklin Gothic Book" w:hAnsi="Franklin Gothic Book"/>
          <w:sz w:val="22"/>
        </w:rPr>
        <w:t>Key drivers</w:t>
      </w:r>
      <w:r w:rsidR="008B049F" w:rsidRPr="00F5289B">
        <w:rPr>
          <w:rFonts w:ascii="Franklin Gothic Book" w:hAnsi="Franklin Gothic Book"/>
          <w:sz w:val="22"/>
        </w:rPr>
        <w:t xml:space="preserve"> of the ICER</w:t>
      </w:r>
      <w:r w:rsidRPr="00F5289B">
        <w:rPr>
          <w:rFonts w:ascii="Franklin Gothic Book" w:hAnsi="Franklin Gothic Book"/>
          <w:sz w:val="22"/>
        </w:rPr>
        <w:t xml:space="preserve"> were the cost of </w:t>
      </w:r>
      <w:r w:rsidR="00493E3D">
        <w:rPr>
          <w:rFonts w:ascii="Franklin Gothic Book" w:hAnsi="Franklin Gothic Book"/>
          <w:sz w:val="22"/>
        </w:rPr>
        <w:t>CAPI</w:t>
      </w:r>
      <w:r w:rsidRPr="00F5289B">
        <w:rPr>
          <w:rFonts w:ascii="Franklin Gothic Book" w:hAnsi="Franklin Gothic Book"/>
          <w:sz w:val="22"/>
        </w:rPr>
        <w:t xml:space="preserve">, </w:t>
      </w:r>
      <w:r w:rsidR="00596406">
        <w:rPr>
          <w:rFonts w:ascii="Franklin Gothic Book" w:hAnsi="Franklin Gothic Book"/>
          <w:sz w:val="22"/>
        </w:rPr>
        <w:t>and</w:t>
      </w:r>
      <w:r>
        <w:rPr>
          <w:rFonts w:ascii="Franklin Gothic Book" w:hAnsi="Franklin Gothic Book"/>
          <w:sz w:val="22"/>
        </w:rPr>
        <w:t xml:space="preserve"> </w:t>
      </w:r>
      <w:r w:rsidRPr="00F5289B">
        <w:rPr>
          <w:rFonts w:ascii="Franklin Gothic Book" w:hAnsi="Franklin Gothic Book"/>
          <w:sz w:val="22"/>
        </w:rPr>
        <w:t>the modelled OS in</w:t>
      </w:r>
      <w:r>
        <w:rPr>
          <w:rFonts w:ascii="Franklin Gothic Book" w:hAnsi="Franklin Gothic Book"/>
          <w:sz w:val="22"/>
        </w:rPr>
        <w:t xml:space="preserve"> </w:t>
      </w:r>
      <w:r w:rsidR="00596406">
        <w:rPr>
          <w:rFonts w:ascii="Franklin Gothic Book" w:hAnsi="Franklin Gothic Book"/>
          <w:sz w:val="22"/>
        </w:rPr>
        <w:t>both</w:t>
      </w:r>
      <w:r w:rsidRPr="00F5289B">
        <w:rPr>
          <w:rFonts w:ascii="Franklin Gothic Book" w:hAnsi="Franklin Gothic Book"/>
          <w:sz w:val="22"/>
        </w:rPr>
        <w:t xml:space="preserve"> the </w:t>
      </w:r>
      <w:r w:rsidR="00493E3D">
        <w:rPr>
          <w:rFonts w:ascii="Franklin Gothic Book" w:hAnsi="Franklin Gothic Book"/>
          <w:sz w:val="22"/>
        </w:rPr>
        <w:t>CAPI+FULV</w:t>
      </w:r>
      <w:r w:rsidRPr="00F5289B">
        <w:rPr>
          <w:rFonts w:ascii="Franklin Gothic Book" w:hAnsi="Franklin Gothic Book"/>
          <w:sz w:val="22"/>
        </w:rPr>
        <w:t xml:space="preserve"> group and the </w:t>
      </w:r>
      <w:proofErr w:type="spellStart"/>
      <w:r w:rsidRPr="00F5289B">
        <w:rPr>
          <w:rFonts w:ascii="Franklin Gothic Book" w:hAnsi="Franklin Gothic Book"/>
          <w:sz w:val="22"/>
        </w:rPr>
        <w:t>placebo+</w:t>
      </w:r>
      <w:r w:rsidR="00493E3D">
        <w:rPr>
          <w:rFonts w:ascii="Franklin Gothic Book" w:hAnsi="Franklin Gothic Book"/>
          <w:sz w:val="22"/>
        </w:rPr>
        <w:t>FULV</w:t>
      </w:r>
      <w:proofErr w:type="spellEnd"/>
      <w:r w:rsidRPr="00F5289B">
        <w:rPr>
          <w:rFonts w:ascii="Franklin Gothic Book" w:hAnsi="Franklin Gothic Book"/>
          <w:sz w:val="22"/>
        </w:rPr>
        <w:t xml:space="preserve"> </w:t>
      </w:r>
      <w:r w:rsidR="00596406">
        <w:rPr>
          <w:rFonts w:ascii="Franklin Gothic Book" w:hAnsi="Franklin Gothic Book"/>
          <w:sz w:val="22"/>
        </w:rPr>
        <w:t>group, noting that the</w:t>
      </w:r>
      <w:r>
        <w:rPr>
          <w:rFonts w:ascii="Franklin Gothic Book" w:hAnsi="Franklin Gothic Book"/>
          <w:sz w:val="22"/>
        </w:rPr>
        <w:t xml:space="preserve"> </w:t>
      </w:r>
      <w:r w:rsidRPr="00F5289B">
        <w:rPr>
          <w:rFonts w:ascii="Franklin Gothic Book" w:hAnsi="Franklin Gothic Book"/>
          <w:sz w:val="22"/>
        </w:rPr>
        <w:t xml:space="preserve">difference </w:t>
      </w:r>
      <w:r w:rsidR="00596406">
        <w:rPr>
          <w:rFonts w:ascii="Franklin Gothic Book" w:hAnsi="Franklin Gothic Book"/>
          <w:sz w:val="22"/>
        </w:rPr>
        <w:t xml:space="preserve">in OS between these two groups was </w:t>
      </w:r>
      <w:r w:rsidRPr="00F5289B">
        <w:rPr>
          <w:rFonts w:ascii="Franklin Gothic Book" w:hAnsi="Franklin Gothic Book"/>
          <w:sz w:val="22"/>
        </w:rPr>
        <w:t>not statistically significant</w:t>
      </w:r>
      <w:r w:rsidR="000F3EC1">
        <w:rPr>
          <w:rFonts w:ascii="Franklin Gothic Book" w:hAnsi="Franklin Gothic Book"/>
          <w:sz w:val="22"/>
        </w:rPr>
        <w:t xml:space="preserve"> in the CAPItello-291 trial</w:t>
      </w:r>
      <w:r w:rsidRPr="00F5289B">
        <w:rPr>
          <w:rFonts w:ascii="Franklin Gothic Book" w:hAnsi="Franklin Gothic Book"/>
          <w:sz w:val="22"/>
        </w:rPr>
        <w:t>.</w:t>
      </w:r>
    </w:p>
    <w:p w14:paraId="573F846F" w14:textId="72106C9A" w:rsidR="007D7D0C" w:rsidRPr="00F5289B" w:rsidRDefault="007D7D0C" w:rsidP="007D7D0C">
      <w:pPr>
        <w:rPr>
          <w:rFonts w:ascii="Franklin Gothic Book" w:hAnsi="Franklin Gothic Book"/>
          <w:sz w:val="22"/>
        </w:rPr>
      </w:pPr>
      <w:r w:rsidRPr="00F5289B">
        <w:rPr>
          <w:rFonts w:ascii="Franklin Gothic Book" w:hAnsi="Franklin Gothic Book"/>
          <w:sz w:val="22"/>
        </w:rPr>
        <w:t>MSAC noted the financial impact to the MBS (</w:t>
      </w:r>
      <w:r w:rsidR="00FE4D5F">
        <w:rPr>
          <w:rFonts w:ascii="Franklin Gothic Book" w:hAnsi="Franklin Gothic Book"/>
          <w:sz w:val="22"/>
        </w:rPr>
        <w:t>including</w:t>
      </w:r>
      <w:r w:rsidR="00B66700">
        <w:rPr>
          <w:rFonts w:ascii="Franklin Gothic Book" w:hAnsi="Franklin Gothic Book"/>
          <w:sz w:val="22"/>
        </w:rPr>
        <w:t xml:space="preserve"> </w:t>
      </w:r>
      <w:r w:rsidRPr="00F5289B">
        <w:rPr>
          <w:rFonts w:ascii="Franklin Gothic Book" w:hAnsi="Franklin Gothic Book"/>
          <w:sz w:val="22"/>
        </w:rPr>
        <w:t xml:space="preserve">88% of patients who progress from </w:t>
      </w:r>
      <w:proofErr w:type="gramStart"/>
      <w:r w:rsidRPr="00F5289B">
        <w:rPr>
          <w:rFonts w:ascii="Franklin Gothic Book" w:hAnsi="Franklin Gothic Book"/>
          <w:sz w:val="22"/>
        </w:rPr>
        <w:t>first-line</w:t>
      </w:r>
      <w:proofErr w:type="gramEnd"/>
      <w:r w:rsidRPr="00F5289B">
        <w:rPr>
          <w:rFonts w:ascii="Franklin Gothic Book" w:hAnsi="Franklin Gothic Book"/>
          <w:sz w:val="22"/>
        </w:rPr>
        <w:t xml:space="preserve"> to second-line therapy) was </w:t>
      </w:r>
      <w:r w:rsidR="001C02F5">
        <w:rPr>
          <w:rFonts w:ascii="Franklin Gothic Book" w:hAnsi="Franklin Gothic Book"/>
          <w:sz w:val="22"/>
        </w:rPr>
        <w:t>$</w:t>
      </w:r>
      <w:r w:rsidR="7895EA8B" w:rsidRPr="10812078">
        <w:rPr>
          <w:rFonts w:ascii="Franklin Gothic Book" w:hAnsi="Franklin Gothic Book"/>
          <w:sz w:val="22"/>
        </w:rPr>
        <w:t>0 to &lt;$10 million</w:t>
      </w:r>
      <w:r w:rsidR="00E03DC4">
        <w:rPr>
          <w:rFonts w:ascii="Franklin Gothic Book" w:hAnsi="Franklin Gothic Book"/>
          <w:sz w:val="22"/>
        </w:rPr>
        <w:t xml:space="preserve"> </w:t>
      </w:r>
      <w:r w:rsidRPr="00F5289B">
        <w:rPr>
          <w:rFonts w:ascii="Franklin Gothic Book" w:hAnsi="Franklin Gothic Book"/>
          <w:sz w:val="22"/>
        </w:rPr>
        <w:t xml:space="preserve">in year 1, increasing to </w:t>
      </w:r>
      <w:r w:rsidR="001C02F5">
        <w:rPr>
          <w:rFonts w:ascii="Franklin Gothic Book" w:hAnsi="Franklin Gothic Book"/>
          <w:sz w:val="22"/>
        </w:rPr>
        <w:t>$</w:t>
      </w:r>
      <w:r w:rsidR="1B516B96" w:rsidRPr="10812078">
        <w:rPr>
          <w:rFonts w:ascii="Franklin Gothic Book" w:hAnsi="Franklin Gothic Book"/>
          <w:sz w:val="22"/>
        </w:rPr>
        <w:t>0 to &lt;$10 million</w:t>
      </w:r>
      <w:r w:rsidR="00714979">
        <w:rPr>
          <w:rFonts w:ascii="Franklin Gothic Book" w:hAnsi="Franklin Gothic Book"/>
          <w:sz w:val="22"/>
        </w:rPr>
        <w:t xml:space="preserve"> </w:t>
      </w:r>
      <w:r w:rsidR="00D458D0">
        <w:rPr>
          <w:rFonts w:ascii="Franklin Gothic Book" w:hAnsi="Franklin Gothic Book"/>
          <w:sz w:val="22"/>
        </w:rPr>
        <w:t>in</w:t>
      </w:r>
      <w:r w:rsidRPr="00F5289B">
        <w:rPr>
          <w:rFonts w:ascii="Franklin Gothic Book" w:hAnsi="Franklin Gothic Book"/>
          <w:sz w:val="22"/>
        </w:rPr>
        <w:t xml:space="preserve"> year 6</w:t>
      </w:r>
      <w:r w:rsidR="00C67D13">
        <w:rPr>
          <w:rFonts w:ascii="Franklin Gothic Book" w:hAnsi="Franklin Gothic Book"/>
          <w:sz w:val="22"/>
        </w:rPr>
        <w:t xml:space="preserve"> (Table 18)</w:t>
      </w:r>
      <w:r w:rsidRPr="00F5289B">
        <w:rPr>
          <w:rFonts w:ascii="Franklin Gothic Book" w:hAnsi="Franklin Gothic Book"/>
          <w:sz w:val="22"/>
        </w:rPr>
        <w:t xml:space="preserve">. MSAC considered these </w:t>
      </w:r>
      <w:r w:rsidR="002D1FDD">
        <w:rPr>
          <w:rFonts w:ascii="Franklin Gothic Book" w:hAnsi="Franklin Gothic Book"/>
          <w:sz w:val="22"/>
        </w:rPr>
        <w:t>estimates</w:t>
      </w:r>
      <w:r w:rsidRPr="00F5289B">
        <w:rPr>
          <w:rFonts w:ascii="Franklin Gothic Book" w:hAnsi="Franklin Gothic Book"/>
          <w:sz w:val="22"/>
        </w:rPr>
        <w:t xml:space="preserve"> to be reasonable, with the first-year financial impact possibly underestimated.</w:t>
      </w:r>
    </w:p>
    <w:p w14:paraId="6286D0BC" w14:textId="4966C322" w:rsidR="00DB04F8" w:rsidRPr="00F5289B" w:rsidRDefault="00DB04F8" w:rsidP="007D7D0C">
      <w:pPr>
        <w:rPr>
          <w:rFonts w:ascii="Franklin Gothic Book" w:hAnsi="Franklin Gothic Book"/>
          <w:sz w:val="22"/>
        </w:rPr>
      </w:pPr>
      <w:r w:rsidRPr="00F5289B">
        <w:rPr>
          <w:rFonts w:ascii="Franklin Gothic Book" w:hAnsi="Franklin Gothic Book"/>
          <w:sz w:val="22"/>
        </w:rPr>
        <w:t xml:space="preserve">MSAC </w:t>
      </w:r>
      <w:r w:rsidR="003643F0">
        <w:rPr>
          <w:rFonts w:ascii="Franklin Gothic Book" w:hAnsi="Franklin Gothic Book"/>
          <w:sz w:val="22"/>
        </w:rPr>
        <w:t xml:space="preserve">considered that </w:t>
      </w:r>
      <w:r w:rsidR="00E9048E">
        <w:rPr>
          <w:rFonts w:ascii="Franklin Gothic Book" w:hAnsi="Franklin Gothic Book"/>
          <w:sz w:val="22"/>
        </w:rPr>
        <w:t xml:space="preserve">major implementation </w:t>
      </w:r>
      <w:r w:rsidR="007458E0">
        <w:rPr>
          <w:rFonts w:ascii="Franklin Gothic Book" w:hAnsi="Franklin Gothic Book"/>
          <w:sz w:val="22"/>
        </w:rPr>
        <w:t>iss</w:t>
      </w:r>
      <w:r w:rsidR="00BF565B">
        <w:rPr>
          <w:rFonts w:ascii="Franklin Gothic Book" w:hAnsi="Franklin Gothic Book"/>
          <w:sz w:val="22"/>
        </w:rPr>
        <w:t xml:space="preserve">ues </w:t>
      </w:r>
      <w:r w:rsidR="00395711">
        <w:rPr>
          <w:rFonts w:ascii="Franklin Gothic Book" w:hAnsi="Franklin Gothic Book"/>
          <w:sz w:val="22"/>
        </w:rPr>
        <w:t xml:space="preserve">are unlikely as NGS </w:t>
      </w:r>
      <w:r w:rsidR="00A14464">
        <w:rPr>
          <w:rFonts w:ascii="Franklin Gothic Book" w:hAnsi="Franklin Gothic Book"/>
          <w:sz w:val="22"/>
        </w:rPr>
        <w:t xml:space="preserve">testing </w:t>
      </w:r>
      <w:r w:rsidR="00CD1F6E">
        <w:rPr>
          <w:rFonts w:ascii="Franklin Gothic Book" w:hAnsi="Franklin Gothic Book"/>
          <w:sz w:val="22"/>
        </w:rPr>
        <w:t xml:space="preserve">is </w:t>
      </w:r>
      <w:r w:rsidR="00A14464">
        <w:rPr>
          <w:rFonts w:ascii="Franklin Gothic Book" w:hAnsi="Franklin Gothic Book"/>
          <w:sz w:val="22"/>
        </w:rPr>
        <w:t>established in other cancers. However,</w:t>
      </w:r>
      <w:r w:rsidRPr="00F5289B">
        <w:rPr>
          <w:rFonts w:ascii="Franklin Gothic Book" w:hAnsi="Franklin Gothic Book"/>
          <w:sz w:val="22"/>
        </w:rPr>
        <w:t xml:space="preserve"> there </w:t>
      </w:r>
      <w:r w:rsidR="00430F26">
        <w:rPr>
          <w:rFonts w:ascii="Franklin Gothic Book" w:hAnsi="Franklin Gothic Book"/>
          <w:sz w:val="22"/>
        </w:rPr>
        <w:t>might be</w:t>
      </w:r>
      <w:r w:rsidRPr="00F5289B">
        <w:rPr>
          <w:rFonts w:ascii="Franklin Gothic Book" w:hAnsi="Franklin Gothic Book"/>
          <w:sz w:val="22"/>
        </w:rPr>
        <w:t xml:space="preserve"> equity issues relating to the timeliness of testing and access to biopsies in rural and regional areas.</w:t>
      </w:r>
    </w:p>
    <w:p w14:paraId="3AC8752F" w14:textId="782C1221" w:rsidR="007D7D0C" w:rsidRPr="00F5289B" w:rsidRDefault="007D7D0C" w:rsidP="007D7D0C">
      <w:pPr>
        <w:rPr>
          <w:rFonts w:ascii="Franklin Gothic Book" w:hAnsi="Franklin Gothic Book"/>
          <w:sz w:val="22"/>
        </w:rPr>
      </w:pPr>
      <w:r w:rsidRPr="00F5289B">
        <w:rPr>
          <w:rFonts w:ascii="Franklin Gothic Book" w:hAnsi="Franklin Gothic Book"/>
          <w:sz w:val="22"/>
        </w:rPr>
        <w:t xml:space="preserve">Overall, MSAC </w:t>
      </w:r>
      <w:r w:rsidR="00E04594">
        <w:rPr>
          <w:rFonts w:ascii="Franklin Gothic Book" w:hAnsi="Franklin Gothic Book"/>
          <w:sz w:val="22"/>
        </w:rPr>
        <w:t>did not support</w:t>
      </w:r>
      <w:r w:rsidRPr="00F5289B">
        <w:rPr>
          <w:rFonts w:ascii="Franklin Gothic Book" w:hAnsi="Franklin Gothic Book"/>
          <w:sz w:val="22"/>
        </w:rPr>
        <w:t xml:space="preserve"> </w:t>
      </w:r>
      <w:r w:rsidR="00127E4A">
        <w:rPr>
          <w:rFonts w:ascii="Franklin Gothic Book" w:hAnsi="Franklin Gothic Book"/>
          <w:sz w:val="22"/>
        </w:rPr>
        <w:t xml:space="preserve">public funding </w:t>
      </w:r>
      <w:r w:rsidR="008E72A2">
        <w:rPr>
          <w:rFonts w:ascii="Franklin Gothic Book" w:hAnsi="Franklin Gothic Book"/>
          <w:sz w:val="22"/>
        </w:rPr>
        <w:t>of</w:t>
      </w:r>
      <w:r w:rsidRPr="00F5289B">
        <w:rPr>
          <w:rFonts w:ascii="Franklin Gothic Book" w:hAnsi="Franklin Gothic Book"/>
          <w:sz w:val="22"/>
        </w:rPr>
        <w:t xml:space="preserve"> testing</w:t>
      </w:r>
      <w:r w:rsidR="002B7590">
        <w:rPr>
          <w:rFonts w:ascii="Franklin Gothic Book" w:hAnsi="Franklin Gothic Book"/>
          <w:sz w:val="22"/>
        </w:rPr>
        <w:t xml:space="preserve"> for</w:t>
      </w:r>
      <w:r w:rsidRPr="00F5289B">
        <w:rPr>
          <w:rFonts w:ascii="Franklin Gothic Book" w:hAnsi="Franklin Gothic Book"/>
          <w:sz w:val="22"/>
        </w:rPr>
        <w:t xml:space="preserve"> AKT pathway </w:t>
      </w:r>
      <w:r w:rsidR="004C19CE">
        <w:rPr>
          <w:rFonts w:ascii="Franklin Gothic Book" w:hAnsi="Franklin Gothic Book"/>
          <w:sz w:val="22"/>
        </w:rPr>
        <w:t>alterations</w:t>
      </w:r>
      <w:r w:rsidR="006E21AF">
        <w:rPr>
          <w:rFonts w:ascii="Franklin Gothic Book" w:hAnsi="Franklin Gothic Book"/>
          <w:sz w:val="22"/>
        </w:rPr>
        <w:t xml:space="preserve"> in patients with HR+/HER2-</w:t>
      </w:r>
      <w:r w:rsidR="00BA0B1A">
        <w:rPr>
          <w:rFonts w:ascii="Franklin Gothic Book" w:hAnsi="Franklin Gothic Book"/>
          <w:sz w:val="22"/>
        </w:rPr>
        <w:t xml:space="preserve"> </w:t>
      </w:r>
      <w:r w:rsidR="00EC0CE0">
        <w:rPr>
          <w:rFonts w:ascii="Franklin Gothic Book" w:hAnsi="Franklin Gothic Book"/>
          <w:sz w:val="22"/>
        </w:rPr>
        <w:t>locally advanced or metastatic breast cancer</w:t>
      </w:r>
      <w:r w:rsidR="002678BD">
        <w:rPr>
          <w:rFonts w:ascii="Franklin Gothic Book" w:hAnsi="Franklin Gothic Book"/>
          <w:sz w:val="22"/>
        </w:rPr>
        <w:t>. MSAC considered that there was no</w:t>
      </w:r>
      <w:r w:rsidRPr="00F5289B">
        <w:rPr>
          <w:rFonts w:ascii="Franklin Gothic Book" w:hAnsi="Franklin Gothic Book"/>
          <w:sz w:val="22"/>
        </w:rPr>
        <w:t xml:space="preserve"> clinical </w:t>
      </w:r>
      <w:r w:rsidR="00155AB3">
        <w:rPr>
          <w:rFonts w:ascii="Franklin Gothic Book" w:hAnsi="Franklin Gothic Book"/>
          <w:sz w:val="22"/>
        </w:rPr>
        <w:t>indication</w:t>
      </w:r>
      <w:r w:rsidR="00155AB3" w:rsidRPr="00F5289B">
        <w:rPr>
          <w:rFonts w:ascii="Franklin Gothic Book" w:hAnsi="Franklin Gothic Book"/>
          <w:sz w:val="22"/>
        </w:rPr>
        <w:t xml:space="preserve"> </w:t>
      </w:r>
      <w:r w:rsidRPr="00F5289B">
        <w:rPr>
          <w:rFonts w:ascii="Franklin Gothic Book" w:hAnsi="Franklin Gothic Book"/>
          <w:sz w:val="22"/>
        </w:rPr>
        <w:t>for AKT pathway testing</w:t>
      </w:r>
      <w:r w:rsidR="005A4CE2">
        <w:rPr>
          <w:rFonts w:ascii="Franklin Gothic Book" w:hAnsi="Franklin Gothic Book"/>
          <w:sz w:val="22"/>
        </w:rPr>
        <w:t>,</w:t>
      </w:r>
      <w:r w:rsidRPr="00F5289B">
        <w:rPr>
          <w:rFonts w:ascii="Franklin Gothic Book" w:hAnsi="Franklin Gothic Book"/>
          <w:sz w:val="22"/>
        </w:rPr>
        <w:t xml:space="preserve"> </w:t>
      </w:r>
      <w:r w:rsidR="00ED0C66">
        <w:rPr>
          <w:rFonts w:ascii="Franklin Gothic Book" w:hAnsi="Franklin Gothic Book"/>
          <w:sz w:val="22"/>
        </w:rPr>
        <w:t xml:space="preserve">as </w:t>
      </w:r>
      <w:r w:rsidR="00ED0C66" w:rsidRPr="00F5289B">
        <w:rPr>
          <w:rFonts w:ascii="Franklin Gothic Book" w:hAnsi="Franklin Gothic Book"/>
          <w:sz w:val="22"/>
        </w:rPr>
        <w:t xml:space="preserve">PBAC </w:t>
      </w:r>
      <w:r w:rsidR="005A4CE2">
        <w:rPr>
          <w:rFonts w:ascii="Franklin Gothic Book" w:hAnsi="Franklin Gothic Book"/>
          <w:sz w:val="22"/>
        </w:rPr>
        <w:t xml:space="preserve">did </w:t>
      </w:r>
      <w:r w:rsidR="00EF0C2F">
        <w:rPr>
          <w:rFonts w:ascii="Franklin Gothic Book" w:hAnsi="Franklin Gothic Book"/>
          <w:sz w:val="22"/>
        </w:rPr>
        <w:t xml:space="preserve">not </w:t>
      </w:r>
      <w:r w:rsidR="005A4CE2">
        <w:rPr>
          <w:rFonts w:ascii="Franklin Gothic Book" w:hAnsi="Franklin Gothic Book"/>
          <w:sz w:val="22"/>
        </w:rPr>
        <w:t>recommend</w:t>
      </w:r>
      <w:r w:rsidR="005A4CE2" w:rsidRPr="00F5289B">
        <w:rPr>
          <w:rFonts w:ascii="Franklin Gothic Book" w:hAnsi="Franklin Gothic Book"/>
          <w:sz w:val="22"/>
        </w:rPr>
        <w:t xml:space="preserve"> </w:t>
      </w:r>
      <w:r w:rsidR="00ED0C66" w:rsidRPr="00F5289B">
        <w:rPr>
          <w:rFonts w:ascii="Franklin Gothic Book" w:hAnsi="Franklin Gothic Book"/>
          <w:sz w:val="22"/>
        </w:rPr>
        <w:t xml:space="preserve">the </w:t>
      </w:r>
      <w:r w:rsidR="005A4CE2">
        <w:rPr>
          <w:rFonts w:ascii="Franklin Gothic Book" w:hAnsi="Franklin Gothic Book"/>
          <w:sz w:val="22"/>
        </w:rPr>
        <w:t xml:space="preserve">proposed </w:t>
      </w:r>
      <w:r w:rsidR="00D851D3">
        <w:rPr>
          <w:rFonts w:ascii="Franklin Gothic Book" w:hAnsi="Franklin Gothic Book"/>
          <w:sz w:val="22"/>
        </w:rPr>
        <w:t>PBS-</w:t>
      </w:r>
      <w:r w:rsidR="00ED0C66" w:rsidRPr="00F5289B">
        <w:rPr>
          <w:rFonts w:ascii="Franklin Gothic Book" w:hAnsi="Franklin Gothic Book"/>
          <w:sz w:val="22"/>
        </w:rPr>
        <w:t xml:space="preserve">listing </w:t>
      </w:r>
      <w:r w:rsidR="00ED0C66">
        <w:rPr>
          <w:rFonts w:ascii="Franklin Gothic Book" w:hAnsi="Franklin Gothic Book"/>
          <w:sz w:val="22"/>
        </w:rPr>
        <w:t>of CAPI</w:t>
      </w:r>
      <w:r w:rsidR="00BB73AF">
        <w:rPr>
          <w:rFonts w:ascii="Franklin Gothic Book" w:hAnsi="Franklin Gothic Book"/>
          <w:sz w:val="22"/>
        </w:rPr>
        <w:t>.</w:t>
      </w:r>
      <w:r w:rsidR="00ED0C66" w:rsidRPr="00F5289B">
        <w:rPr>
          <w:rFonts w:ascii="Franklin Gothic Book" w:hAnsi="Franklin Gothic Book"/>
          <w:sz w:val="22"/>
        </w:rPr>
        <w:t xml:space="preserve"> </w:t>
      </w:r>
      <w:r w:rsidR="00ED0C66">
        <w:rPr>
          <w:rFonts w:ascii="Franklin Gothic Book" w:hAnsi="Franklin Gothic Book"/>
          <w:sz w:val="22"/>
        </w:rPr>
        <w:t xml:space="preserve">MSAC advised that </w:t>
      </w:r>
      <w:r w:rsidRPr="00F5289B">
        <w:rPr>
          <w:rFonts w:ascii="Franklin Gothic Book" w:hAnsi="Franklin Gothic Book"/>
          <w:sz w:val="22"/>
        </w:rPr>
        <w:t>a re</w:t>
      </w:r>
      <w:r w:rsidR="00E6757B">
        <w:rPr>
          <w:rFonts w:ascii="Franklin Gothic Book" w:hAnsi="Franklin Gothic Book"/>
          <w:sz w:val="22"/>
        </w:rPr>
        <w:t>submi</w:t>
      </w:r>
      <w:r w:rsidR="00D06726">
        <w:rPr>
          <w:rFonts w:ascii="Franklin Gothic Book" w:hAnsi="Franklin Gothic Book"/>
          <w:sz w:val="22"/>
        </w:rPr>
        <w:t xml:space="preserve">ssion </w:t>
      </w:r>
      <w:r w:rsidR="00F62B5C">
        <w:rPr>
          <w:rFonts w:ascii="Franklin Gothic Book" w:hAnsi="Franklin Gothic Book"/>
          <w:sz w:val="22"/>
        </w:rPr>
        <w:t xml:space="preserve">should </w:t>
      </w:r>
      <w:r w:rsidR="00E824EF">
        <w:rPr>
          <w:rFonts w:ascii="Franklin Gothic Book" w:hAnsi="Franklin Gothic Book"/>
          <w:sz w:val="22"/>
        </w:rPr>
        <w:t xml:space="preserve">address </w:t>
      </w:r>
      <w:r w:rsidR="00D13FF1">
        <w:rPr>
          <w:rFonts w:ascii="Franklin Gothic Book" w:hAnsi="Franklin Gothic Book"/>
          <w:sz w:val="22"/>
        </w:rPr>
        <w:t>the issue</w:t>
      </w:r>
      <w:r w:rsidR="0098293F">
        <w:rPr>
          <w:rFonts w:ascii="Franklin Gothic Book" w:hAnsi="Franklin Gothic Book"/>
          <w:sz w:val="22"/>
        </w:rPr>
        <w:t>s</w:t>
      </w:r>
      <w:r w:rsidR="00260040">
        <w:rPr>
          <w:rFonts w:ascii="Franklin Gothic Book" w:hAnsi="Franklin Gothic Book"/>
          <w:sz w:val="22"/>
        </w:rPr>
        <w:t xml:space="preserve"> </w:t>
      </w:r>
      <w:r w:rsidR="008E20CB">
        <w:rPr>
          <w:rFonts w:ascii="Franklin Gothic Book" w:hAnsi="Franklin Gothic Book"/>
          <w:sz w:val="22"/>
        </w:rPr>
        <w:t xml:space="preserve">regarding </w:t>
      </w:r>
      <w:r w:rsidRPr="00F5289B">
        <w:rPr>
          <w:rFonts w:ascii="Franklin Gothic Book" w:hAnsi="Franklin Gothic Book"/>
          <w:sz w:val="22"/>
        </w:rPr>
        <w:t xml:space="preserve">the </w:t>
      </w:r>
      <w:r w:rsidR="00874193">
        <w:rPr>
          <w:rFonts w:ascii="Franklin Gothic Book" w:hAnsi="Franklin Gothic Book"/>
          <w:sz w:val="22"/>
        </w:rPr>
        <w:t xml:space="preserve">claim of </w:t>
      </w:r>
      <w:r w:rsidRPr="00F5289B">
        <w:rPr>
          <w:rFonts w:ascii="Franklin Gothic Book" w:hAnsi="Franklin Gothic Book"/>
          <w:sz w:val="22"/>
        </w:rPr>
        <w:t>co-dependency,</w:t>
      </w:r>
      <w:r w:rsidR="000B6246" w:rsidRPr="00F5289B">
        <w:rPr>
          <w:rFonts w:ascii="Franklin Gothic Book" w:hAnsi="Franklin Gothic Book"/>
          <w:sz w:val="22"/>
        </w:rPr>
        <w:t xml:space="preserve"> greater detail</w:t>
      </w:r>
      <w:r w:rsidR="00282723">
        <w:rPr>
          <w:rFonts w:ascii="Franklin Gothic Book" w:hAnsi="Franklin Gothic Book"/>
          <w:sz w:val="22"/>
        </w:rPr>
        <w:t>s</w:t>
      </w:r>
      <w:r w:rsidR="000B6246" w:rsidRPr="00F5289B">
        <w:rPr>
          <w:rFonts w:ascii="Franklin Gothic Book" w:hAnsi="Franklin Gothic Book"/>
          <w:sz w:val="22"/>
        </w:rPr>
        <w:t xml:space="preserve"> about potential rate of missed </w:t>
      </w:r>
      <w:r w:rsidR="00ED0C66">
        <w:rPr>
          <w:rFonts w:ascii="Franklin Gothic Book" w:hAnsi="Franklin Gothic Book"/>
          <w:sz w:val="22"/>
        </w:rPr>
        <w:t>alterations</w:t>
      </w:r>
      <w:r w:rsidR="000B6246" w:rsidRPr="00F5289B">
        <w:rPr>
          <w:rFonts w:ascii="Franklin Gothic Book" w:hAnsi="Franklin Gothic Book"/>
          <w:sz w:val="22"/>
        </w:rPr>
        <w:t xml:space="preserve"> in ‘known non-</w:t>
      </w:r>
      <w:r w:rsidR="00ED0C66">
        <w:rPr>
          <w:rFonts w:ascii="Franklin Gothic Book" w:hAnsi="Franklin Gothic Book"/>
          <w:sz w:val="22"/>
        </w:rPr>
        <w:t>AKT pathway altered</w:t>
      </w:r>
      <w:r w:rsidR="000B6246" w:rsidRPr="00F5289B">
        <w:rPr>
          <w:rFonts w:ascii="Franklin Gothic Book" w:hAnsi="Franklin Gothic Book"/>
          <w:sz w:val="22"/>
        </w:rPr>
        <w:t>’ group, justif</w:t>
      </w:r>
      <w:r w:rsidR="00F62B5C">
        <w:rPr>
          <w:rFonts w:ascii="Franklin Gothic Book" w:hAnsi="Franklin Gothic Book"/>
          <w:sz w:val="22"/>
        </w:rPr>
        <w:t>ication of</w:t>
      </w:r>
      <w:r w:rsidR="00B3489E">
        <w:rPr>
          <w:rFonts w:ascii="Franklin Gothic Book" w:hAnsi="Franklin Gothic Book"/>
          <w:sz w:val="22"/>
        </w:rPr>
        <w:t xml:space="preserve"> </w:t>
      </w:r>
      <w:r w:rsidRPr="00F5289B">
        <w:rPr>
          <w:rFonts w:ascii="Franklin Gothic Book" w:hAnsi="Franklin Gothic Book"/>
          <w:sz w:val="22"/>
        </w:rPr>
        <w:t xml:space="preserve">the need for CGP </w:t>
      </w:r>
      <w:r w:rsidR="00F62B5C">
        <w:rPr>
          <w:rFonts w:ascii="Franklin Gothic Book" w:hAnsi="Franklin Gothic Book"/>
          <w:sz w:val="22"/>
        </w:rPr>
        <w:t>(and therefore</w:t>
      </w:r>
      <w:r w:rsidRPr="00F5289B">
        <w:rPr>
          <w:rFonts w:ascii="Franklin Gothic Book" w:hAnsi="Franklin Gothic Book"/>
          <w:sz w:val="22"/>
        </w:rPr>
        <w:t xml:space="preserve"> the cost of the testing</w:t>
      </w:r>
      <w:r w:rsidR="00F62B5C">
        <w:rPr>
          <w:rFonts w:ascii="Franklin Gothic Book" w:hAnsi="Franklin Gothic Book"/>
          <w:sz w:val="22"/>
        </w:rPr>
        <w:t>)</w:t>
      </w:r>
      <w:r w:rsidRPr="00F5289B">
        <w:rPr>
          <w:rFonts w:ascii="Franklin Gothic Book" w:hAnsi="Franklin Gothic Book"/>
          <w:sz w:val="22"/>
        </w:rPr>
        <w:t>, and</w:t>
      </w:r>
      <w:r w:rsidR="00F62B5C">
        <w:rPr>
          <w:rFonts w:ascii="Franklin Gothic Book" w:hAnsi="Franklin Gothic Book"/>
          <w:sz w:val="22"/>
        </w:rPr>
        <w:t xml:space="preserve"> </w:t>
      </w:r>
      <w:r w:rsidR="00BF4325">
        <w:rPr>
          <w:rFonts w:ascii="Franklin Gothic Book" w:hAnsi="Franklin Gothic Book"/>
          <w:sz w:val="22"/>
        </w:rPr>
        <w:t xml:space="preserve">revised economics </w:t>
      </w:r>
      <w:r w:rsidR="00A57212">
        <w:rPr>
          <w:rFonts w:ascii="Franklin Gothic Book" w:hAnsi="Franklin Gothic Book"/>
          <w:sz w:val="22"/>
        </w:rPr>
        <w:t xml:space="preserve">around </w:t>
      </w:r>
      <w:r w:rsidRPr="00F5289B">
        <w:rPr>
          <w:rFonts w:ascii="Franklin Gothic Book" w:hAnsi="Franklin Gothic Book"/>
          <w:sz w:val="22"/>
        </w:rPr>
        <w:t>failure rates.</w:t>
      </w:r>
      <w:r w:rsidR="007415F1" w:rsidRPr="00F5289B">
        <w:rPr>
          <w:rFonts w:ascii="Franklin Gothic Book" w:hAnsi="Franklin Gothic Book"/>
          <w:sz w:val="22"/>
        </w:rPr>
        <w:t xml:space="preserve"> </w:t>
      </w:r>
      <w:r w:rsidR="00C92BD3">
        <w:rPr>
          <w:rFonts w:ascii="Franklin Gothic Book" w:hAnsi="Franklin Gothic Book"/>
          <w:sz w:val="22"/>
        </w:rPr>
        <w:t>MSAC considered the resubmission should be considered by ESC.</w:t>
      </w:r>
    </w:p>
    <w:p w14:paraId="4E3255DB" w14:textId="0DA23C06" w:rsidR="00CF7D42" w:rsidRPr="00201854" w:rsidRDefault="00CF7D42"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r w:rsidRPr="00201854">
        <w:rPr>
          <w:rFonts w:ascii="Franklin Gothic Medium" w:hAnsi="Franklin Gothic Medium"/>
          <w:b w:val="0"/>
          <w:i w:val="0"/>
          <w:snapToGrid/>
          <w:color w:val="000000" w:themeColor="text1"/>
          <w:sz w:val="32"/>
          <w:szCs w:val="26"/>
        </w:rPr>
        <w:t>Background</w:t>
      </w:r>
      <w:bookmarkEnd w:id="4"/>
      <w:bookmarkEnd w:id="5"/>
    </w:p>
    <w:p w14:paraId="02FBB7E4" w14:textId="204E18C7" w:rsidR="00D12287" w:rsidRPr="003F6F2A" w:rsidRDefault="001A4BC3" w:rsidP="00D12287">
      <w:pPr>
        <w:rPr>
          <w:rFonts w:ascii="Franklin Gothic Book" w:hAnsi="Franklin Gothic Book"/>
          <w:sz w:val="22"/>
        </w:rPr>
      </w:pPr>
      <w:r w:rsidRPr="003F6F2A">
        <w:rPr>
          <w:rFonts w:ascii="Franklin Gothic Book" w:hAnsi="Franklin Gothic Book"/>
          <w:sz w:val="22"/>
        </w:rPr>
        <w:t xml:space="preserve">While this is the first submission of CAPI, there are two </w:t>
      </w:r>
      <w:r w:rsidR="00DB63C7" w:rsidRPr="003F6F2A">
        <w:rPr>
          <w:rFonts w:ascii="Franklin Gothic Book" w:hAnsi="Franklin Gothic Book"/>
          <w:sz w:val="22"/>
        </w:rPr>
        <w:t>other</w:t>
      </w:r>
      <w:r w:rsidRPr="003F6F2A">
        <w:rPr>
          <w:rFonts w:ascii="Franklin Gothic Book" w:hAnsi="Franklin Gothic Book"/>
          <w:sz w:val="22"/>
        </w:rPr>
        <w:t xml:space="preserve"> MSAC applications</w:t>
      </w:r>
      <w:r w:rsidR="00F44EF9" w:rsidRPr="003F6F2A">
        <w:rPr>
          <w:rFonts w:ascii="Franklin Gothic Book" w:hAnsi="Franklin Gothic Book"/>
          <w:sz w:val="22"/>
        </w:rPr>
        <w:t xml:space="preserve"> of potential interest</w:t>
      </w:r>
      <w:r w:rsidR="00DB63C7" w:rsidRPr="003F6F2A">
        <w:rPr>
          <w:rFonts w:ascii="Franklin Gothic Book" w:hAnsi="Franklin Gothic Book"/>
          <w:sz w:val="22"/>
        </w:rPr>
        <w:t xml:space="preserve">, which </w:t>
      </w:r>
      <w:r w:rsidR="00D12287" w:rsidRPr="003F6F2A">
        <w:rPr>
          <w:rFonts w:ascii="Franklin Gothic Book" w:hAnsi="Franklin Gothic Book"/>
          <w:sz w:val="22"/>
        </w:rPr>
        <w:t xml:space="preserve">are presented in </w:t>
      </w:r>
      <w:r w:rsidR="00AC15A7" w:rsidRPr="003F6F2A">
        <w:rPr>
          <w:rFonts w:ascii="Franklin Gothic Book" w:hAnsi="Franklin Gothic Book"/>
          <w:sz w:val="22"/>
        </w:rPr>
        <w:fldChar w:fldCharType="begin"/>
      </w:r>
      <w:r w:rsidR="00AC15A7" w:rsidRPr="003F6F2A">
        <w:rPr>
          <w:rFonts w:ascii="Franklin Gothic Book" w:hAnsi="Franklin Gothic Book"/>
          <w:sz w:val="22"/>
        </w:rPr>
        <w:instrText xml:space="preserve"> REF _Ref176769378 \h </w:instrText>
      </w:r>
      <w:r w:rsidR="003F6F2A" w:rsidRPr="003F6F2A">
        <w:rPr>
          <w:rFonts w:ascii="Franklin Gothic Book" w:hAnsi="Franklin Gothic Book"/>
          <w:sz w:val="22"/>
        </w:rPr>
        <w:instrText xml:space="preserve"> \* MERGEFORMAT </w:instrText>
      </w:r>
      <w:r w:rsidR="00AC15A7" w:rsidRPr="003F6F2A">
        <w:rPr>
          <w:rFonts w:ascii="Franklin Gothic Book" w:hAnsi="Franklin Gothic Book"/>
          <w:sz w:val="22"/>
        </w:rPr>
      </w:r>
      <w:r w:rsidR="00AC15A7" w:rsidRPr="003F6F2A">
        <w:rPr>
          <w:rFonts w:ascii="Franklin Gothic Book" w:hAnsi="Franklin Gothic Book"/>
          <w:sz w:val="22"/>
        </w:rPr>
        <w:fldChar w:fldCharType="separate"/>
      </w:r>
      <w:r w:rsidR="0016064D" w:rsidRPr="003F6F2A">
        <w:rPr>
          <w:rFonts w:ascii="Franklin Gothic Book" w:hAnsi="Franklin Gothic Book"/>
          <w:sz w:val="22"/>
        </w:rPr>
        <w:t xml:space="preserve">Table </w:t>
      </w:r>
      <w:r w:rsidR="0016064D" w:rsidRPr="003F6F2A">
        <w:rPr>
          <w:rFonts w:ascii="Franklin Gothic Book" w:hAnsi="Franklin Gothic Book"/>
          <w:noProof/>
          <w:sz w:val="22"/>
        </w:rPr>
        <w:t>3</w:t>
      </w:r>
      <w:r w:rsidR="00AC15A7" w:rsidRPr="003F6F2A">
        <w:rPr>
          <w:rFonts w:ascii="Franklin Gothic Book" w:hAnsi="Franklin Gothic Book"/>
          <w:sz w:val="22"/>
        </w:rPr>
        <w:fldChar w:fldCharType="end"/>
      </w:r>
      <w:r w:rsidR="00D12287" w:rsidRPr="003F6F2A">
        <w:rPr>
          <w:rFonts w:ascii="Franklin Gothic Book" w:hAnsi="Franklin Gothic Book"/>
          <w:sz w:val="22"/>
        </w:rPr>
        <w:t>.</w:t>
      </w:r>
    </w:p>
    <w:p w14:paraId="00064F61" w14:textId="51851D06" w:rsidR="00094C42" w:rsidRPr="001A4BC3" w:rsidRDefault="00AC15A7" w:rsidP="00315A1B">
      <w:pPr>
        <w:pStyle w:val="Caption"/>
      </w:pPr>
      <w:bookmarkStart w:id="6" w:name="_Ref176769378"/>
      <w:r>
        <w:lastRenderedPageBreak/>
        <w:t xml:space="preserve">Table </w:t>
      </w:r>
      <w:r w:rsidR="0016064D">
        <w:fldChar w:fldCharType="begin"/>
      </w:r>
      <w:r w:rsidR="0016064D">
        <w:instrText xml:space="preserve"> SEQ Table_MSAC. \* ARABIC </w:instrText>
      </w:r>
      <w:r w:rsidR="0016064D">
        <w:fldChar w:fldCharType="separate"/>
      </w:r>
      <w:r w:rsidR="0016064D">
        <w:rPr>
          <w:noProof/>
        </w:rPr>
        <w:t>3</w:t>
      </w:r>
      <w:r w:rsidR="0016064D">
        <w:rPr>
          <w:noProof/>
        </w:rPr>
        <w:fldChar w:fldCharType="end"/>
      </w:r>
      <w:bookmarkEnd w:id="6"/>
      <w:r>
        <w:t xml:space="preserve">: MSAC applications </w:t>
      </w:r>
      <w:r w:rsidR="007F0EAB">
        <w:t>of interest</w:t>
      </w:r>
    </w:p>
    <w:tbl>
      <w:tblPr>
        <w:tblStyle w:val="HTATableshaded"/>
        <w:tblW w:w="0" w:type="auto"/>
        <w:tblLook w:val="04A0" w:firstRow="1" w:lastRow="0" w:firstColumn="1" w:lastColumn="0" w:noHBand="0" w:noVBand="1"/>
      </w:tblPr>
      <w:tblGrid>
        <w:gridCol w:w="1555"/>
        <w:gridCol w:w="3730"/>
        <w:gridCol w:w="3731"/>
      </w:tblGrid>
      <w:tr w:rsidR="00094C42" w14:paraId="57EFE980" w14:textId="77777777" w:rsidTr="0027542B">
        <w:trPr>
          <w:cnfStyle w:val="100000000000" w:firstRow="1" w:lastRow="0" w:firstColumn="0" w:lastColumn="0" w:oddVBand="0" w:evenVBand="0" w:oddHBand="0" w:evenHBand="0" w:firstRowFirstColumn="0" w:firstRowLastColumn="0" w:lastRowFirstColumn="0" w:lastRowLastColumn="0"/>
        </w:trPr>
        <w:tc>
          <w:tcPr>
            <w:tcW w:w="1555" w:type="dxa"/>
          </w:tcPr>
          <w:p w14:paraId="3E3DA054" w14:textId="0B7E4422" w:rsidR="00094C42" w:rsidRDefault="00094C42" w:rsidP="00315A1B">
            <w:pPr>
              <w:pStyle w:val="TableText"/>
              <w:keepNext/>
              <w:keepLines/>
            </w:pPr>
          </w:p>
        </w:tc>
        <w:tc>
          <w:tcPr>
            <w:tcW w:w="3730" w:type="dxa"/>
            <w:vAlign w:val="center"/>
          </w:tcPr>
          <w:p w14:paraId="5D3C7BAC" w14:textId="045C6130" w:rsidR="00094C42" w:rsidRPr="0093218B" w:rsidRDefault="00094C42" w:rsidP="00315A1B">
            <w:pPr>
              <w:pStyle w:val="TableText"/>
              <w:keepNext/>
              <w:keepLines/>
              <w:jc w:val="center"/>
              <w:rPr>
                <w:b/>
                <w:bCs/>
              </w:rPr>
            </w:pPr>
            <w:r w:rsidRPr="0093218B">
              <w:rPr>
                <w:b/>
                <w:bCs/>
              </w:rPr>
              <w:t>MSAC 1604</w:t>
            </w:r>
            <w:r w:rsidR="0093218B" w:rsidRPr="0093218B">
              <w:rPr>
                <w:b/>
                <w:bCs/>
              </w:rPr>
              <w:t xml:space="preserve"> </w:t>
            </w:r>
            <w:r w:rsidR="0093218B" w:rsidRPr="0093218B">
              <w:rPr>
                <w:rStyle w:val="FootnoteReference"/>
                <w:b/>
                <w:bCs/>
              </w:rPr>
              <w:footnoteReference w:id="4"/>
            </w:r>
          </w:p>
        </w:tc>
        <w:tc>
          <w:tcPr>
            <w:tcW w:w="3731" w:type="dxa"/>
            <w:vAlign w:val="center"/>
          </w:tcPr>
          <w:p w14:paraId="7461686C" w14:textId="38A5FDE0" w:rsidR="00094C42" w:rsidRPr="0093218B" w:rsidRDefault="00094C42" w:rsidP="00315A1B">
            <w:pPr>
              <w:pStyle w:val="TableText"/>
              <w:keepNext/>
              <w:keepLines/>
              <w:jc w:val="center"/>
              <w:rPr>
                <w:b/>
                <w:bCs/>
              </w:rPr>
            </w:pPr>
            <w:r w:rsidRPr="0093218B">
              <w:rPr>
                <w:b/>
                <w:bCs/>
              </w:rPr>
              <w:t>MSAC 1783</w:t>
            </w:r>
            <w:r w:rsidR="0093218B" w:rsidRPr="0093218B">
              <w:rPr>
                <w:b/>
                <w:bCs/>
              </w:rPr>
              <w:t xml:space="preserve"> </w:t>
            </w:r>
            <w:r w:rsidR="0093218B" w:rsidRPr="0093218B">
              <w:rPr>
                <w:rStyle w:val="FootnoteReference"/>
                <w:b/>
                <w:bCs/>
              </w:rPr>
              <w:footnoteReference w:id="5"/>
            </w:r>
          </w:p>
        </w:tc>
      </w:tr>
      <w:tr w:rsidR="0093218B" w14:paraId="2AB9BCBC" w14:textId="77777777" w:rsidTr="004D06F8">
        <w:tc>
          <w:tcPr>
            <w:tcW w:w="1555" w:type="dxa"/>
          </w:tcPr>
          <w:p w14:paraId="3DADF924" w14:textId="1A032385" w:rsidR="0093218B" w:rsidRDefault="0093218B" w:rsidP="00315A1B">
            <w:pPr>
              <w:pStyle w:val="TableText"/>
              <w:keepNext/>
              <w:keepLines/>
            </w:pPr>
            <w:r>
              <w:t>Application process</w:t>
            </w:r>
          </w:p>
        </w:tc>
        <w:tc>
          <w:tcPr>
            <w:tcW w:w="3730" w:type="dxa"/>
          </w:tcPr>
          <w:p w14:paraId="563BBDF5" w14:textId="5E02DCC7" w:rsidR="0093218B" w:rsidRDefault="0093218B" w:rsidP="00315A1B">
            <w:pPr>
              <w:pStyle w:val="TableText"/>
              <w:keepNext/>
              <w:keepLines/>
            </w:pPr>
            <w:r>
              <w:t>C</w:t>
            </w:r>
            <w:r w:rsidRPr="0093218B">
              <w:t>ompleted the PICO process in February 2020 (1604 Ratified PICO Confirmation), though status of submission for PBS-listing was not known</w:t>
            </w:r>
          </w:p>
        </w:tc>
        <w:tc>
          <w:tcPr>
            <w:tcW w:w="3731" w:type="dxa"/>
          </w:tcPr>
          <w:p w14:paraId="4CF33EB6" w14:textId="53F74B5B" w:rsidR="0093218B" w:rsidRDefault="0093218B" w:rsidP="00315A1B">
            <w:pPr>
              <w:pStyle w:val="TableText"/>
              <w:keepNext/>
              <w:keepLines/>
            </w:pPr>
            <w:r>
              <w:t>C</w:t>
            </w:r>
            <w:r w:rsidRPr="0093218B">
              <w:t>onsidered by PASC in August 2024</w:t>
            </w:r>
            <w:r w:rsidR="00CB65EE">
              <w:t xml:space="preserve"> </w:t>
            </w:r>
            <w:r w:rsidR="009C74AD">
              <w:t xml:space="preserve">(ratified PICO confirmation pending) </w:t>
            </w:r>
            <w:r w:rsidRPr="0093218B">
              <w:t xml:space="preserve">and </w:t>
            </w:r>
            <w:r w:rsidR="00742B40">
              <w:t>i</w:t>
            </w:r>
            <w:r w:rsidRPr="0093218B">
              <w:t>s yet to be considered by MSAC</w:t>
            </w:r>
          </w:p>
        </w:tc>
      </w:tr>
      <w:tr w:rsidR="00094C42" w14:paraId="503B36B4" w14:textId="77777777" w:rsidTr="004D06F8">
        <w:tc>
          <w:tcPr>
            <w:tcW w:w="1555" w:type="dxa"/>
          </w:tcPr>
          <w:p w14:paraId="29DDAD7E" w14:textId="64FBBA0F" w:rsidR="00094C42" w:rsidRDefault="00094C42" w:rsidP="00315A1B">
            <w:pPr>
              <w:pStyle w:val="TableText"/>
              <w:keepNext/>
              <w:keepLines/>
            </w:pPr>
            <w:r>
              <w:t>Population</w:t>
            </w:r>
          </w:p>
        </w:tc>
        <w:tc>
          <w:tcPr>
            <w:tcW w:w="3730" w:type="dxa"/>
          </w:tcPr>
          <w:p w14:paraId="38557405" w14:textId="363EEE01" w:rsidR="00094C42" w:rsidRDefault="005372D4" w:rsidP="00315A1B">
            <w:pPr>
              <w:pStyle w:val="TableText"/>
              <w:keepNext/>
              <w:keepLines/>
            </w:pPr>
            <w:r>
              <w:t xml:space="preserve">Patients with </w:t>
            </w:r>
            <w:r w:rsidR="00094C42">
              <w:t xml:space="preserve">HR+/HER2- advanced breast cancer, </w:t>
            </w:r>
            <w:r w:rsidR="00094C42" w:rsidRPr="001A4BC3">
              <w:t xml:space="preserve">who have progressed on or after treatment with an </w:t>
            </w:r>
            <w:r w:rsidR="00094C42">
              <w:t>AI</w:t>
            </w:r>
            <w:r w:rsidR="00094C42" w:rsidRPr="001A4BC3">
              <w:t xml:space="preserve"> or </w:t>
            </w:r>
            <w:r w:rsidR="00094C42">
              <w:t>CDK4/6 inhibitor</w:t>
            </w:r>
          </w:p>
        </w:tc>
        <w:tc>
          <w:tcPr>
            <w:tcW w:w="3731" w:type="dxa"/>
          </w:tcPr>
          <w:p w14:paraId="4150B4F7" w14:textId="13BDC66E" w:rsidR="00094C42" w:rsidRDefault="005372D4" w:rsidP="00315A1B">
            <w:pPr>
              <w:pStyle w:val="TableText"/>
              <w:keepNext/>
              <w:keepLines/>
            </w:pPr>
            <w:r>
              <w:t xml:space="preserve">Patients with </w:t>
            </w:r>
            <w:r w:rsidR="0093218B" w:rsidRPr="0093218B">
              <w:t>HR+/HER2- locally advanced or metastatic breast cancer</w:t>
            </w:r>
          </w:p>
        </w:tc>
      </w:tr>
      <w:tr w:rsidR="00094C42" w14:paraId="74F1B424" w14:textId="77777777" w:rsidTr="004D06F8">
        <w:tc>
          <w:tcPr>
            <w:tcW w:w="1555" w:type="dxa"/>
          </w:tcPr>
          <w:p w14:paraId="696D5378" w14:textId="412752B3" w:rsidR="00094C42" w:rsidRDefault="00094C42" w:rsidP="00315A1B">
            <w:pPr>
              <w:pStyle w:val="TableText"/>
              <w:keepNext/>
              <w:keepLines/>
            </w:pPr>
            <w:r>
              <w:t>Biomarker</w:t>
            </w:r>
          </w:p>
        </w:tc>
        <w:tc>
          <w:tcPr>
            <w:tcW w:w="3730" w:type="dxa"/>
          </w:tcPr>
          <w:p w14:paraId="22280ABF" w14:textId="286FDD30" w:rsidR="00094C42" w:rsidRPr="00094C42" w:rsidRDefault="00094C42" w:rsidP="00315A1B">
            <w:pPr>
              <w:pStyle w:val="TableText"/>
              <w:keepNext/>
              <w:keepLines/>
              <w:rPr>
                <w:i/>
                <w:iCs/>
              </w:rPr>
            </w:pPr>
            <w:r w:rsidRPr="00094C42">
              <w:rPr>
                <w:i/>
                <w:iCs/>
              </w:rPr>
              <w:t>PIK3CA</w:t>
            </w:r>
          </w:p>
        </w:tc>
        <w:tc>
          <w:tcPr>
            <w:tcW w:w="3731" w:type="dxa"/>
          </w:tcPr>
          <w:p w14:paraId="7531074B" w14:textId="51437AD4" w:rsidR="00094C42" w:rsidRDefault="00094C42" w:rsidP="00315A1B">
            <w:pPr>
              <w:pStyle w:val="TableText"/>
              <w:keepNext/>
              <w:keepLines/>
            </w:pPr>
            <w:r w:rsidRPr="00094C42">
              <w:rPr>
                <w:i/>
                <w:iCs/>
              </w:rPr>
              <w:t>PIK3CA</w:t>
            </w:r>
          </w:p>
        </w:tc>
      </w:tr>
      <w:tr w:rsidR="00094C42" w14:paraId="623C9863" w14:textId="77777777" w:rsidTr="004D06F8">
        <w:tc>
          <w:tcPr>
            <w:tcW w:w="1555" w:type="dxa"/>
          </w:tcPr>
          <w:p w14:paraId="0AAE8277" w14:textId="627AC75E" w:rsidR="00094C42" w:rsidRDefault="00094C42" w:rsidP="00315A1B">
            <w:pPr>
              <w:pStyle w:val="TableText"/>
              <w:keepNext/>
              <w:keepLines/>
            </w:pPr>
            <w:r>
              <w:t xml:space="preserve">Test </w:t>
            </w:r>
          </w:p>
        </w:tc>
        <w:tc>
          <w:tcPr>
            <w:tcW w:w="3730" w:type="dxa"/>
          </w:tcPr>
          <w:p w14:paraId="63CFD85C" w14:textId="4244AE60" w:rsidR="00094C42" w:rsidRDefault="002F7276" w:rsidP="00315A1B">
            <w:pPr>
              <w:pStyle w:val="TableText"/>
              <w:keepNext/>
              <w:keepLines/>
            </w:pPr>
            <w:r>
              <w:t>Tissue or plasma sample testing.</w:t>
            </w:r>
            <w:r w:rsidR="00DA45C2">
              <w:t xml:space="preserve"> The e</w:t>
            </w:r>
            <w:r w:rsidR="008E6592">
              <w:t xml:space="preserve">xact assay </w:t>
            </w:r>
            <w:r w:rsidR="00BE1F60">
              <w:t xml:space="preserve">and relevant costs were </w:t>
            </w:r>
            <w:r w:rsidR="008E6592">
              <w:t>not specified.</w:t>
            </w:r>
          </w:p>
        </w:tc>
        <w:tc>
          <w:tcPr>
            <w:tcW w:w="3731" w:type="dxa"/>
          </w:tcPr>
          <w:p w14:paraId="37AC260D" w14:textId="772CDF89" w:rsidR="00094C42" w:rsidRDefault="0093218B" w:rsidP="00315A1B">
            <w:pPr>
              <w:pStyle w:val="TableText"/>
              <w:keepNext/>
              <w:keepLines/>
            </w:pPr>
            <w:r>
              <w:t xml:space="preserve">Tissue or plasma sample testing using a NGS assay. The exact assay was not specified. </w:t>
            </w:r>
            <w:r w:rsidR="00BE1F60">
              <w:t>Indicative cost of $350-$400 per test.</w:t>
            </w:r>
          </w:p>
        </w:tc>
      </w:tr>
      <w:tr w:rsidR="00094C42" w14:paraId="0FC60890" w14:textId="77777777" w:rsidTr="004D06F8">
        <w:tc>
          <w:tcPr>
            <w:tcW w:w="1555" w:type="dxa"/>
          </w:tcPr>
          <w:p w14:paraId="49AEFBBC" w14:textId="56A94061" w:rsidR="00094C42" w:rsidRDefault="00094C42" w:rsidP="00315A1B">
            <w:pPr>
              <w:pStyle w:val="TableText"/>
              <w:keepNext/>
              <w:keepLines/>
            </w:pPr>
            <w:r>
              <w:t xml:space="preserve">Intervention </w:t>
            </w:r>
          </w:p>
        </w:tc>
        <w:tc>
          <w:tcPr>
            <w:tcW w:w="3730" w:type="dxa"/>
          </w:tcPr>
          <w:p w14:paraId="58FC391B" w14:textId="32B7F0D5" w:rsidR="00094C42" w:rsidRDefault="002F7276" w:rsidP="00315A1B">
            <w:pPr>
              <w:pStyle w:val="TableText"/>
              <w:keepNext/>
              <w:keepLines/>
            </w:pPr>
            <w:proofErr w:type="spellStart"/>
            <w:r>
              <w:t>Alpelisib</w:t>
            </w:r>
            <w:proofErr w:type="spellEnd"/>
            <w:r>
              <w:t xml:space="preserve"> + FULV</w:t>
            </w:r>
          </w:p>
        </w:tc>
        <w:tc>
          <w:tcPr>
            <w:tcW w:w="3731" w:type="dxa"/>
          </w:tcPr>
          <w:p w14:paraId="5F27AA88" w14:textId="4E0B03A9" w:rsidR="00094C42" w:rsidRDefault="0093218B" w:rsidP="00315A1B">
            <w:pPr>
              <w:pStyle w:val="TableText"/>
              <w:keepNext/>
              <w:keepLines/>
            </w:pPr>
            <w:proofErr w:type="spellStart"/>
            <w:r>
              <w:t>Inavolisib</w:t>
            </w:r>
            <w:proofErr w:type="spellEnd"/>
            <w:r>
              <w:t xml:space="preserve"> </w:t>
            </w:r>
          </w:p>
        </w:tc>
      </w:tr>
      <w:tr w:rsidR="0093218B" w14:paraId="06A2FA48" w14:textId="77777777" w:rsidTr="004D06F8">
        <w:tc>
          <w:tcPr>
            <w:tcW w:w="1555" w:type="dxa"/>
          </w:tcPr>
          <w:p w14:paraId="72490868" w14:textId="26371ECA" w:rsidR="0093218B" w:rsidRDefault="0093218B" w:rsidP="00315A1B">
            <w:pPr>
              <w:pStyle w:val="TableText"/>
              <w:keepNext/>
              <w:keepLines/>
            </w:pPr>
            <w:r>
              <w:t>Comparator test</w:t>
            </w:r>
          </w:p>
        </w:tc>
        <w:tc>
          <w:tcPr>
            <w:tcW w:w="3730" w:type="dxa"/>
          </w:tcPr>
          <w:p w14:paraId="76D47284" w14:textId="2AA968E6" w:rsidR="0093218B" w:rsidRDefault="0093218B" w:rsidP="00315A1B">
            <w:pPr>
              <w:pStyle w:val="TableText"/>
              <w:keepNext/>
              <w:keepLines/>
            </w:pPr>
            <w:r>
              <w:t>No testin</w:t>
            </w:r>
            <w:r w:rsidR="00BE1F60">
              <w:t>g</w:t>
            </w:r>
          </w:p>
        </w:tc>
        <w:tc>
          <w:tcPr>
            <w:tcW w:w="3731" w:type="dxa"/>
          </w:tcPr>
          <w:p w14:paraId="4F3A3228" w14:textId="5ECD77F0" w:rsidR="0093218B" w:rsidRDefault="0093218B" w:rsidP="00315A1B">
            <w:pPr>
              <w:pStyle w:val="TableText"/>
              <w:keepNext/>
              <w:keepLines/>
            </w:pPr>
            <w:r>
              <w:t>No testing</w:t>
            </w:r>
          </w:p>
        </w:tc>
      </w:tr>
      <w:tr w:rsidR="00094C42" w14:paraId="149C41A7" w14:textId="77777777" w:rsidTr="004D06F8">
        <w:tc>
          <w:tcPr>
            <w:tcW w:w="1555" w:type="dxa"/>
          </w:tcPr>
          <w:p w14:paraId="139F3275" w14:textId="590A999B" w:rsidR="00094C42" w:rsidRDefault="00094C42" w:rsidP="00315A1B">
            <w:pPr>
              <w:pStyle w:val="TableText"/>
              <w:keepNext/>
              <w:keepLines/>
            </w:pPr>
            <w:r>
              <w:t xml:space="preserve">Comparator </w:t>
            </w:r>
            <w:r w:rsidR="0093218B">
              <w:t>treatment</w:t>
            </w:r>
          </w:p>
        </w:tc>
        <w:tc>
          <w:tcPr>
            <w:tcW w:w="3730" w:type="dxa"/>
          </w:tcPr>
          <w:p w14:paraId="0DC95C57" w14:textId="0D52E215" w:rsidR="00094C42" w:rsidRDefault="002F7276" w:rsidP="00315A1B">
            <w:pPr>
              <w:pStyle w:val="TableText"/>
              <w:keepNext/>
              <w:keepLines/>
            </w:pPr>
            <w:r>
              <w:t>Standard care</w:t>
            </w:r>
          </w:p>
          <w:p w14:paraId="7B9A307C" w14:textId="77777777" w:rsidR="002F7276" w:rsidRDefault="002F7276" w:rsidP="00315A1B">
            <w:pPr>
              <w:pStyle w:val="TableText"/>
              <w:keepNext/>
              <w:keepLines/>
            </w:pPr>
            <w:r>
              <w:t xml:space="preserve">1L setting: CDK4/6 inhibitor + NSAI or </w:t>
            </w:r>
            <w:proofErr w:type="spellStart"/>
            <w:r>
              <w:t>ribociclib</w:t>
            </w:r>
            <w:proofErr w:type="spellEnd"/>
            <w:r>
              <w:t xml:space="preserve"> + FULV </w:t>
            </w:r>
          </w:p>
          <w:p w14:paraId="5D5F7EDB" w14:textId="65678895" w:rsidR="002F7276" w:rsidRDefault="002F7276" w:rsidP="00315A1B">
            <w:pPr>
              <w:pStyle w:val="TableText"/>
              <w:keepNext/>
              <w:keepLines/>
            </w:pPr>
            <w:r>
              <w:t xml:space="preserve">2L setting: EVE+EXE or </w:t>
            </w:r>
            <w:proofErr w:type="spellStart"/>
            <w:r>
              <w:t>ribociclib</w:t>
            </w:r>
            <w:proofErr w:type="spellEnd"/>
            <w:r>
              <w:t xml:space="preserve"> + FULV</w:t>
            </w:r>
          </w:p>
        </w:tc>
        <w:tc>
          <w:tcPr>
            <w:tcW w:w="3731" w:type="dxa"/>
          </w:tcPr>
          <w:p w14:paraId="339274EC" w14:textId="51187343" w:rsidR="00094C42" w:rsidRDefault="0093218B" w:rsidP="00315A1B">
            <w:pPr>
              <w:pStyle w:val="TableText"/>
              <w:keepNext/>
              <w:keepLines/>
            </w:pPr>
            <w:r>
              <w:t>P</w:t>
            </w:r>
            <w:r w:rsidRPr="0093218B">
              <w:t xml:space="preserve">albociclib </w:t>
            </w:r>
            <w:r>
              <w:t>+ FULV</w:t>
            </w:r>
          </w:p>
        </w:tc>
      </w:tr>
    </w:tbl>
    <w:p w14:paraId="166CAEEC" w14:textId="3A82056A" w:rsidR="00094C42" w:rsidRDefault="00D12287" w:rsidP="00315A1B">
      <w:pPr>
        <w:pStyle w:val="TableFigureFooter"/>
        <w:keepNext/>
        <w:keepLines/>
      </w:pPr>
      <w:r>
        <w:t xml:space="preserve">Source: 1604 Ratified PICO Confirmation; MSAC Application 1783 PICO set document </w:t>
      </w:r>
    </w:p>
    <w:p w14:paraId="20B8EA09" w14:textId="1F8C8D68" w:rsidR="00094C42" w:rsidRPr="0089743B" w:rsidRDefault="00D12287" w:rsidP="00315A1B">
      <w:pPr>
        <w:pStyle w:val="TableFigureFooter"/>
        <w:keepNext/>
        <w:keepLines/>
      </w:pPr>
      <w:r>
        <w:t>AI = aromatase inhibitor;</w:t>
      </w:r>
      <w:r w:rsidRPr="001D6362">
        <w:t xml:space="preserve"> AKT = serine/threonine protein kinase</w:t>
      </w:r>
      <w:r>
        <w:t xml:space="preserve">; </w:t>
      </w:r>
      <w:r w:rsidRPr="009D60C1">
        <w:t>CDK4/6 = cyclin dependent kinase 4 and 6</w:t>
      </w:r>
      <w:r>
        <w:t>; EVE = everolimus; EXE = exemestane;</w:t>
      </w:r>
      <w:r w:rsidRPr="009D60C1">
        <w:t xml:space="preserve"> </w:t>
      </w:r>
      <w:r w:rsidR="00A42950">
        <w:t xml:space="preserve">FULV = </w:t>
      </w:r>
      <w:proofErr w:type="spellStart"/>
      <w:r w:rsidR="00A42950">
        <w:t>fulvestrant</w:t>
      </w:r>
      <w:proofErr w:type="spellEnd"/>
      <w:r w:rsidR="00A42950">
        <w:t xml:space="preserve">; </w:t>
      </w:r>
      <w:r w:rsidRPr="006F41D3">
        <w:t>HER2- = human epidermal growth factor receptor 2 negative; HR+ = hormone receptor positive;</w:t>
      </w:r>
      <w:r w:rsidRPr="00D12287">
        <w:t xml:space="preserve"> </w:t>
      </w:r>
      <w:r>
        <w:t xml:space="preserve">NGS = Next Generation Sequencing; </w:t>
      </w:r>
      <w:r w:rsidR="0089743B">
        <w:t xml:space="preserve">NSAI = non-steroidal aromatase inhibitor; </w:t>
      </w:r>
      <w:r w:rsidRPr="001974F1">
        <w:t>PASC=PICO Confirmation Advisory Sub-Committee</w:t>
      </w:r>
      <w:r>
        <w:t>;</w:t>
      </w:r>
      <w:r w:rsidRPr="00D12287">
        <w:t xml:space="preserve"> </w:t>
      </w:r>
      <w:r w:rsidR="00C25B78">
        <w:t xml:space="preserve">PBS = Pharmaceutical Benefits Scheme; PICO = population, intervention, comparator, outcome; </w:t>
      </w:r>
      <w:r w:rsidRPr="00D12287">
        <w:t>PIK3CA = phosphatidylinositol-4,5-bisphosphate 3-kinase catalytic subunit alpha gene</w:t>
      </w:r>
      <w:r>
        <w:t xml:space="preserve">; </w:t>
      </w:r>
      <w:r w:rsidRPr="00F54F8B">
        <w:t>1L = first line setting; 2L = second line setting</w:t>
      </w:r>
    </w:p>
    <w:p w14:paraId="15A9C73F" w14:textId="77777777" w:rsidR="005D6D39" w:rsidRPr="003F6F2A" w:rsidRDefault="005D6D39"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7" w:name="_Toc177560707"/>
      <w:r w:rsidRPr="003F6F2A">
        <w:rPr>
          <w:rFonts w:ascii="Franklin Gothic Medium" w:hAnsi="Franklin Gothic Medium"/>
          <w:b w:val="0"/>
          <w:i w:val="0"/>
          <w:snapToGrid/>
          <w:color w:val="000000" w:themeColor="text1"/>
          <w:sz w:val="32"/>
          <w:szCs w:val="26"/>
        </w:rPr>
        <w:t>Prerequisites to implementation of any funding advice</w:t>
      </w:r>
      <w:bookmarkEnd w:id="7"/>
    </w:p>
    <w:p w14:paraId="2D4D7642" w14:textId="05533163" w:rsidR="005D6D39" w:rsidRPr="00684DE6" w:rsidRDefault="005D6D39" w:rsidP="005D6D39">
      <w:pPr>
        <w:rPr>
          <w:rFonts w:ascii="Franklin Gothic Book" w:hAnsi="Franklin Gothic Book"/>
          <w:sz w:val="22"/>
        </w:rPr>
      </w:pPr>
      <w:r w:rsidRPr="003F6F2A">
        <w:rPr>
          <w:rFonts w:ascii="Franklin Gothic Book" w:hAnsi="Franklin Gothic Book"/>
          <w:sz w:val="22"/>
        </w:rPr>
        <w:t>The submission proposed</w:t>
      </w:r>
      <w:r w:rsidR="0140CDF8" w:rsidRPr="003F6F2A">
        <w:rPr>
          <w:rFonts w:ascii="Franklin Gothic Book" w:hAnsi="Franklin Gothic Book"/>
          <w:sz w:val="22"/>
        </w:rPr>
        <w:t xml:space="preserve"> </w:t>
      </w:r>
      <w:r w:rsidR="3E9622B6" w:rsidRPr="003F6F2A">
        <w:rPr>
          <w:rFonts w:ascii="Franklin Gothic Book" w:hAnsi="Franklin Gothic Book"/>
          <w:sz w:val="22"/>
        </w:rPr>
        <w:t>that</w:t>
      </w:r>
      <w:r w:rsidRPr="003F6F2A">
        <w:rPr>
          <w:rFonts w:ascii="Franklin Gothic Book" w:hAnsi="Franklin Gothic Book"/>
          <w:sz w:val="22"/>
        </w:rPr>
        <w:t xml:space="preserve"> </w:t>
      </w:r>
      <w:r w:rsidRPr="000948D8">
        <w:rPr>
          <w:rFonts w:ascii="Franklin Gothic Book" w:hAnsi="Franklin Gothic Book"/>
          <w:sz w:val="22"/>
        </w:rPr>
        <w:t xml:space="preserve">the Roche AVENIO Comprehensive Genomic Profiling (CGP) assay would be the test used in Australia for the detection of </w:t>
      </w:r>
      <w:r w:rsidRPr="000948D8">
        <w:rPr>
          <w:rFonts w:ascii="Franklin Gothic Book" w:hAnsi="Franklin Gothic Book"/>
          <w:i/>
          <w:iCs/>
          <w:sz w:val="22"/>
        </w:rPr>
        <w:t>PIK3CA, AKT1</w:t>
      </w:r>
      <w:r w:rsidRPr="000948D8">
        <w:rPr>
          <w:rFonts w:ascii="Franklin Gothic Book" w:hAnsi="Franklin Gothic Book"/>
          <w:sz w:val="22"/>
        </w:rPr>
        <w:t xml:space="preserve">, or </w:t>
      </w:r>
      <w:r w:rsidRPr="000948D8">
        <w:rPr>
          <w:rFonts w:ascii="Franklin Gothic Book" w:hAnsi="Franklin Gothic Book"/>
          <w:i/>
          <w:iCs/>
          <w:sz w:val="22"/>
        </w:rPr>
        <w:t>PTEN</w:t>
      </w:r>
      <w:r w:rsidRPr="000948D8">
        <w:rPr>
          <w:rFonts w:ascii="Franklin Gothic Book" w:hAnsi="Franklin Gothic Book"/>
          <w:sz w:val="22"/>
        </w:rPr>
        <w:t xml:space="preserve"> alterations in</w:t>
      </w:r>
      <w:r w:rsidRPr="000948D8">
        <w:t xml:space="preserve"> </w:t>
      </w:r>
      <w:r w:rsidRPr="000948D8">
        <w:rPr>
          <w:rFonts w:ascii="Franklin Gothic Book" w:hAnsi="Franklin Gothic Book"/>
          <w:sz w:val="22"/>
        </w:rPr>
        <w:t>patients with HR+/HER2- locally advanced (unresectable) or metastatic breast cancer. Roche</w:t>
      </w:r>
      <w:r w:rsidRPr="003F6F2A">
        <w:rPr>
          <w:rFonts w:ascii="Franklin Gothic Book" w:hAnsi="Franklin Gothic Book"/>
          <w:sz w:val="22"/>
        </w:rPr>
        <w:t xml:space="preserve"> AVENIO CGP is an in-house Next Generation Sequencing (NGS) pan-cancer assay that provides comprehensive genomic profiling of solid tumours from formalin-fixed paraffin-embedded (FFPE) </w:t>
      </w:r>
      <w:r w:rsidRPr="00684DE6">
        <w:rPr>
          <w:rFonts w:ascii="Franklin Gothic Book" w:hAnsi="Franklin Gothic Book"/>
          <w:sz w:val="22"/>
        </w:rPr>
        <w:t>tissue samples</w:t>
      </w:r>
      <w:r w:rsidR="6AE215E4" w:rsidRPr="00684DE6">
        <w:rPr>
          <w:rFonts w:ascii="Franklin Gothic Book" w:hAnsi="Franklin Gothic Book"/>
          <w:sz w:val="22"/>
        </w:rPr>
        <w:t>,</w:t>
      </w:r>
      <w:r w:rsidRPr="00684DE6">
        <w:rPr>
          <w:rFonts w:ascii="Franklin Gothic Book" w:hAnsi="Franklin Gothic Book"/>
          <w:sz w:val="22"/>
        </w:rPr>
        <w:t xml:space="preserve"> including </w:t>
      </w:r>
      <w:r w:rsidRPr="00684DE6">
        <w:rPr>
          <w:rFonts w:ascii="Franklin Gothic Book" w:hAnsi="Franklin Gothic Book"/>
          <w:i/>
          <w:iCs/>
          <w:sz w:val="22"/>
        </w:rPr>
        <w:t xml:space="preserve">PIK3CA, AKT1, </w:t>
      </w:r>
      <w:r w:rsidRPr="00684DE6">
        <w:rPr>
          <w:rFonts w:ascii="Franklin Gothic Book" w:hAnsi="Franklin Gothic Book"/>
          <w:sz w:val="22"/>
        </w:rPr>
        <w:t>and</w:t>
      </w:r>
      <w:r w:rsidRPr="00684DE6">
        <w:rPr>
          <w:rFonts w:ascii="Franklin Gothic Book" w:hAnsi="Franklin Gothic Book"/>
          <w:i/>
          <w:iCs/>
          <w:sz w:val="22"/>
        </w:rPr>
        <w:t xml:space="preserve"> PTEN </w:t>
      </w:r>
      <w:r w:rsidRPr="00684DE6">
        <w:rPr>
          <w:rFonts w:ascii="Franklin Gothic Book" w:hAnsi="Franklin Gothic Book"/>
          <w:sz w:val="22"/>
        </w:rPr>
        <w:t xml:space="preserve">pathway alterations. </w:t>
      </w:r>
    </w:p>
    <w:p w14:paraId="0FBE8890" w14:textId="0FA1C64B" w:rsidR="005D6D39" w:rsidRPr="00684DE6" w:rsidRDefault="005D6D39" w:rsidP="005D6D39">
      <w:pPr>
        <w:rPr>
          <w:rFonts w:ascii="Franklin Gothic Book" w:hAnsi="Franklin Gothic Book"/>
          <w:sz w:val="22"/>
        </w:rPr>
      </w:pPr>
      <w:r w:rsidRPr="00684DE6">
        <w:rPr>
          <w:rFonts w:ascii="Franklin Gothic Book" w:hAnsi="Franklin Gothic Book"/>
          <w:sz w:val="22"/>
        </w:rPr>
        <w:t>Roche AVENIO CGP is not currently TGA</w:t>
      </w:r>
      <w:r w:rsidR="00445459" w:rsidRPr="00684DE6">
        <w:rPr>
          <w:rFonts w:ascii="Franklin Gothic Book" w:hAnsi="Franklin Gothic Book"/>
          <w:sz w:val="22"/>
        </w:rPr>
        <w:t>-</w:t>
      </w:r>
      <w:r w:rsidRPr="00684DE6">
        <w:rPr>
          <w:rFonts w:ascii="Franklin Gothic Book" w:hAnsi="Franklin Gothic Book"/>
          <w:sz w:val="22"/>
        </w:rPr>
        <w:t>approved, and it was not apparent in the submission if there was intent to register this test on the Australian Register of Therapeutic Goods (ARTG). The submission stated that NGS that is not approved by the TGA as a commercial test</w:t>
      </w:r>
      <w:r w:rsidR="0027542B" w:rsidRPr="00684DE6">
        <w:rPr>
          <w:rFonts w:ascii="Franklin Gothic Book" w:hAnsi="Franklin Gothic Book"/>
          <w:sz w:val="22"/>
        </w:rPr>
        <w:t>,</w:t>
      </w:r>
      <w:r w:rsidRPr="00684DE6">
        <w:rPr>
          <w:rFonts w:ascii="Franklin Gothic Book" w:hAnsi="Franklin Gothic Book"/>
          <w:sz w:val="22"/>
        </w:rPr>
        <w:t xml:space="preserve"> is considered to be an in-house in vitro diagnostic (IVD) </w:t>
      </w:r>
      <w:proofErr w:type="gramStart"/>
      <w:r w:rsidRPr="00684DE6">
        <w:rPr>
          <w:rFonts w:ascii="Franklin Gothic Book" w:hAnsi="Franklin Gothic Book"/>
          <w:sz w:val="22"/>
        </w:rPr>
        <w:t>device</w:t>
      </w:r>
      <w:r w:rsidR="6EDCA4BD" w:rsidRPr="00684DE6">
        <w:rPr>
          <w:rFonts w:ascii="Franklin Gothic Book" w:hAnsi="Franklin Gothic Book"/>
          <w:sz w:val="22"/>
        </w:rPr>
        <w:t>,</w:t>
      </w:r>
      <w:r w:rsidRPr="00684DE6">
        <w:rPr>
          <w:rFonts w:ascii="Franklin Gothic Book" w:hAnsi="Franklin Gothic Book"/>
          <w:sz w:val="22"/>
        </w:rPr>
        <w:t xml:space="preserve"> and</w:t>
      </w:r>
      <w:proofErr w:type="gramEnd"/>
      <w:r w:rsidRPr="00684DE6">
        <w:rPr>
          <w:rFonts w:ascii="Franklin Gothic Book" w:hAnsi="Franklin Gothic Book"/>
          <w:sz w:val="22"/>
        </w:rPr>
        <w:t xml:space="preserve"> </w:t>
      </w:r>
      <w:r w:rsidR="2204D172" w:rsidRPr="00684DE6">
        <w:rPr>
          <w:rFonts w:ascii="Franklin Gothic Book" w:hAnsi="Franklin Gothic Book"/>
          <w:sz w:val="22"/>
        </w:rPr>
        <w:t xml:space="preserve">is </w:t>
      </w:r>
      <w:r w:rsidRPr="00684DE6">
        <w:rPr>
          <w:rFonts w:ascii="Franklin Gothic Book" w:hAnsi="Franklin Gothic Book"/>
          <w:sz w:val="22"/>
        </w:rPr>
        <w:t xml:space="preserve">subject to regulation according to </w:t>
      </w:r>
      <w:r w:rsidR="001C1E2C" w:rsidRPr="00684DE6">
        <w:rPr>
          <w:rFonts w:ascii="Franklin Gothic Book" w:hAnsi="Franklin Gothic Book"/>
          <w:sz w:val="22"/>
        </w:rPr>
        <w:t xml:space="preserve">the </w:t>
      </w:r>
      <w:r w:rsidRPr="00684DE6">
        <w:rPr>
          <w:rFonts w:ascii="Franklin Gothic Book" w:hAnsi="Franklin Gothic Book"/>
          <w:sz w:val="22"/>
        </w:rPr>
        <w:t xml:space="preserve">IVD regulatory framework. The submission stated there are 27 National Association of Testing Authorities (NATA) accredited organisations </w:t>
      </w:r>
      <w:r w:rsidR="4F5C072A" w:rsidRPr="00684DE6">
        <w:rPr>
          <w:rFonts w:ascii="Franklin Gothic Book" w:hAnsi="Franklin Gothic Book"/>
          <w:sz w:val="22"/>
        </w:rPr>
        <w:t xml:space="preserve">that </w:t>
      </w:r>
      <w:r w:rsidRPr="00684DE6">
        <w:rPr>
          <w:rFonts w:ascii="Franklin Gothic Book" w:hAnsi="Franklin Gothic Book"/>
          <w:sz w:val="22"/>
        </w:rPr>
        <w:t>provide DNA sequencing of human tissue using NGS technology in Australia. The submission stated that the laboratory conducting the NGS genetic testing would be monitored and audited by the Royal College of Pathologists of Australasia (RCPA) via a Quality Assurance Program.</w:t>
      </w:r>
    </w:p>
    <w:p w14:paraId="1B89B3D6" w14:textId="74375CF1" w:rsidR="005D6D39" w:rsidRPr="003F6F2A" w:rsidRDefault="005D6D39" w:rsidP="005D6D39">
      <w:pPr>
        <w:rPr>
          <w:rFonts w:ascii="Franklin Gothic Book" w:hAnsi="Franklin Gothic Book"/>
          <w:sz w:val="22"/>
        </w:rPr>
      </w:pPr>
      <w:r w:rsidRPr="00684DE6">
        <w:rPr>
          <w:rFonts w:ascii="Franklin Gothic Book" w:hAnsi="Franklin Gothic Book"/>
          <w:sz w:val="22"/>
        </w:rPr>
        <w:t>The commentary considered that since Roche AVENIO CGP is not</w:t>
      </w:r>
      <w:r w:rsidRPr="003F6F2A">
        <w:rPr>
          <w:rFonts w:ascii="Franklin Gothic Book" w:hAnsi="Franklin Gothic Book"/>
          <w:sz w:val="22"/>
        </w:rPr>
        <w:t xml:space="preserve"> TGA</w:t>
      </w:r>
      <w:r w:rsidR="00A24342" w:rsidRPr="003F6F2A">
        <w:rPr>
          <w:rFonts w:ascii="Franklin Gothic Book" w:hAnsi="Franklin Gothic Book"/>
          <w:sz w:val="22"/>
        </w:rPr>
        <w:t>-</w:t>
      </w:r>
      <w:r w:rsidRPr="003F6F2A">
        <w:rPr>
          <w:rFonts w:ascii="Franklin Gothic Book" w:hAnsi="Franklin Gothic Book"/>
          <w:sz w:val="22"/>
        </w:rPr>
        <w:t xml:space="preserve">approved (and intention for registration was not apparent), it was not clear which test would </w:t>
      </w:r>
      <w:proofErr w:type="gramStart"/>
      <w:r w:rsidRPr="003F6F2A">
        <w:rPr>
          <w:rFonts w:ascii="Franklin Gothic Book" w:hAnsi="Franklin Gothic Book"/>
          <w:sz w:val="22"/>
        </w:rPr>
        <w:t>actually be</w:t>
      </w:r>
      <w:proofErr w:type="gramEnd"/>
      <w:r w:rsidRPr="003F6F2A">
        <w:rPr>
          <w:rFonts w:ascii="Franklin Gothic Book" w:hAnsi="Franklin Gothic Book"/>
          <w:sz w:val="22"/>
        </w:rPr>
        <w:t xml:space="preserve"> used in clinical practice. The submission noted </w:t>
      </w:r>
      <w:r w:rsidR="68F6D4B4" w:rsidRPr="003F6F2A">
        <w:rPr>
          <w:rFonts w:ascii="Franklin Gothic Book" w:hAnsi="Franklin Gothic Book"/>
          <w:sz w:val="22"/>
        </w:rPr>
        <w:t>that there are</w:t>
      </w:r>
      <w:r w:rsidRPr="003F6F2A">
        <w:rPr>
          <w:rFonts w:ascii="Franklin Gothic Book" w:hAnsi="Franklin Gothic Book"/>
          <w:sz w:val="22"/>
        </w:rPr>
        <w:t xml:space="preserve"> two NGS IVD devices approved by the ARTG: the Illumina (ARTG ID 297844) and the </w:t>
      </w:r>
      <w:proofErr w:type="spellStart"/>
      <w:r w:rsidRPr="003F6F2A">
        <w:rPr>
          <w:rFonts w:ascii="Franklin Gothic Book" w:hAnsi="Franklin Gothic Book"/>
          <w:sz w:val="22"/>
        </w:rPr>
        <w:t>ThermoFisher</w:t>
      </w:r>
      <w:proofErr w:type="spellEnd"/>
      <w:r w:rsidRPr="003F6F2A">
        <w:rPr>
          <w:rFonts w:ascii="Franklin Gothic Book" w:hAnsi="Franklin Gothic Book"/>
          <w:sz w:val="22"/>
        </w:rPr>
        <w:t xml:space="preserve"> Scientific </w:t>
      </w:r>
      <w:proofErr w:type="spellStart"/>
      <w:r w:rsidRPr="003F6F2A">
        <w:rPr>
          <w:rFonts w:ascii="Franklin Gothic Book" w:hAnsi="Franklin Gothic Book"/>
          <w:sz w:val="22"/>
        </w:rPr>
        <w:t>OncomineDx</w:t>
      </w:r>
      <w:proofErr w:type="spellEnd"/>
      <w:r w:rsidRPr="003F6F2A">
        <w:rPr>
          <w:rFonts w:ascii="Franklin Gothic Book" w:hAnsi="Franklin Gothic Book"/>
          <w:sz w:val="22"/>
        </w:rPr>
        <w:t xml:space="preserve"> (ARTG ID 426895). However, it was not known if the Illumina or </w:t>
      </w:r>
      <w:proofErr w:type="spellStart"/>
      <w:r w:rsidRPr="003F6F2A">
        <w:rPr>
          <w:rFonts w:ascii="Franklin Gothic Book" w:hAnsi="Franklin Gothic Book"/>
          <w:sz w:val="22"/>
        </w:rPr>
        <w:t>ThermoFisher</w:t>
      </w:r>
      <w:proofErr w:type="spellEnd"/>
      <w:r w:rsidRPr="003F6F2A">
        <w:rPr>
          <w:rFonts w:ascii="Franklin Gothic Book" w:hAnsi="Franklin Gothic Book"/>
          <w:sz w:val="22"/>
        </w:rPr>
        <w:t xml:space="preserve"> NGS tests would also be used in clinical practice to identify AKT pathway</w:t>
      </w:r>
      <w:r w:rsidR="00314C64" w:rsidRPr="003F6F2A">
        <w:rPr>
          <w:rFonts w:ascii="Franklin Gothic Book" w:hAnsi="Franklin Gothic Book"/>
          <w:sz w:val="22"/>
        </w:rPr>
        <w:t xml:space="preserve"> </w:t>
      </w:r>
      <w:r w:rsidRPr="003F6F2A">
        <w:rPr>
          <w:rFonts w:ascii="Franklin Gothic Book" w:hAnsi="Franklin Gothic Book"/>
          <w:sz w:val="22"/>
        </w:rPr>
        <w:t>altered patients. In addition, the submission noted that other in-house NGS assays could be used by laboratories for AKT pathway testing</w:t>
      </w:r>
      <w:r w:rsidR="5BEFC114" w:rsidRPr="003F6F2A">
        <w:rPr>
          <w:rFonts w:ascii="Franklin Gothic Book" w:hAnsi="Franklin Gothic Book"/>
          <w:sz w:val="22"/>
        </w:rPr>
        <w:t>;</w:t>
      </w:r>
      <w:r w:rsidRPr="003F6F2A">
        <w:rPr>
          <w:rFonts w:ascii="Franklin Gothic Book" w:hAnsi="Franklin Gothic Book"/>
          <w:sz w:val="22"/>
        </w:rPr>
        <w:t xml:space="preserve"> however, these assays </w:t>
      </w:r>
      <w:r w:rsidRPr="003F6F2A">
        <w:rPr>
          <w:rFonts w:ascii="Franklin Gothic Book" w:hAnsi="Franklin Gothic Book"/>
          <w:sz w:val="22"/>
        </w:rPr>
        <w:lastRenderedPageBreak/>
        <w:t xml:space="preserve">were not specified. As such, the commentary considered there was uncertainty as to whether accredited pathology services would adopt the Roche AVENIO CGP as the in-house assay or whether an independently developed in-house assay would be used for </w:t>
      </w:r>
      <w:r w:rsidRPr="003F6F2A" w:rsidDel="006F41D3">
        <w:rPr>
          <w:rFonts w:ascii="Franklin Gothic Book" w:hAnsi="Franklin Gothic Book"/>
          <w:sz w:val="22"/>
        </w:rPr>
        <w:t>AKT</w:t>
      </w:r>
      <w:r w:rsidR="006F41D3" w:rsidRPr="003F6F2A">
        <w:rPr>
          <w:rFonts w:ascii="Franklin Gothic Book" w:hAnsi="Franklin Gothic Book"/>
          <w:sz w:val="22"/>
        </w:rPr>
        <w:t xml:space="preserve"> pathway</w:t>
      </w:r>
      <w:r w:rsidRPr="003F6F2A">
        <w:rPr>
          <w:rFonts w:ascii="Franklin Gothic Book" w:hAnsi="Franklin Gothic Book"/>
          <w:sz w:val="22"/>
        </w:rPr>
        <w:t xml:space="preserve"> testing. </w:t>
      </w:r>
    </w:p>
    <w:p w14:paraId="0CC4E313" w14:textId="782B9F96" w:rsidR="005D6D39" w:rsidRPr="003F6F2A" w:rsidRDefault="005D6D39" w:rsidP="005D6D39">
      <w:pPr>
        <w:rPr>
          <w:rFonts w:ascii="Franklin Gothic Book" w:hAnsi="Franklin Gothic Book"/>
          <w:sz w:val="22"/>
        </w:rPr>
      </w:pPr>
      <w:r w:rsidRPr="003F6F2A">
        <w:rPr>
          <w:rFonts w:ascii="Franklin Gothic Book" w:hAnsi="Franklin Gothic Book"/>
          <w:sz w:val="22"/>
        </w:rPr>
        <w:t>The submission proposed that a specialist clinician (e.g., medical oncologist, breast surgeon, interventional radiologist) will request AKT pathway alteration testing. Fresh tumour tissue samples are preferred for AKT pathway testing. The commentary noted this was also noted by PASC (p11, 1766 Ratified PICO Confirmation, April 2024 PASC Meeting) and consistent with the pivotal trial, CAPItello-291</w:t>
      </w:r>
      <w:r w:rsidR="11C1DCDE" w:rsidRPr="003F6F2A">
        <w:rPr>
          <w:rFonts w:ascii="Franklin Gothic Book" w:hAnsi="Franklin Gothic Book"/>
          <w:sz w:val="22"/>
        </w:rPr>
        <w:t>. However,</w:t>
      </w:r>
      <w:r w:rsidRPr="003F6F2A">
        <w:rPr>
          <w:rFonts w:ascii="Franklin Gothic Book" w:hAnsi="Franklin Gothic Book"/>
          <w:sz w:val="22"/>
        </w:rPr>
        <w:t xml:space="preserve"> there may be downstream consequences of re-biopsy in terms of safety and costs given the preference for fresh tumour tissue</w:t>
      </w:r>
      <w:r w:rsidR="001635BB">
        <w:rPr>
          <w:rFonts w:ascii="Franklin Gothic Book" w:hAnsi="Franklin Gothic Book"/>
          <w:sz w:val="22"/>
        </w:rPr>
        <w:t xml:space="preserve"> (see Section 11)</w:t>
      </w:r>
      <w:r w:rsidRPr="003F6F2A">
        <w:rPr>
          <w:rFonts w:ascii="Franklin Gothic Book" w:hAnsi="Franklin Gothic Book"/>
          <w:sz w:val="22"/>
        </w:rPr>
        <w:t>.</w:t>
      </w:r>
      <w:r w:rsidRPr="003F6F2A">
        <w:rPr>
          <w:rFonts w:ascii="Franklin Gothic Book" w:hAnsi="Franklin Gothic Book"/>
          <w:i/>
          <w:iCs/>
          <w:sz w:val="22"/>
        </w:rPr>
        <w:t xml:space="preserve"> </w:t>
      </w:r>
      <w:r w:rsidRPr="003F6F2A">
        <w:rPr>
          <w:rFonts w:ascii="Franklin Gothic Book" w:hAnsi="Franklin Gothic Book"/>
          <w:sz w:val="22"/>
        </w:rPr>
        <w:t>The patient’s tumour tissue sample would be sent to a NATA-accredited pathology laboratory to conduct NGS genetic testing</w:t>
      </w:r>
      <w:r w:rsidR="11D4224C" w:rsidRPr="003F6F2A">
        <w:rPr>
          <w:rFonts w:ascii="Franklin Gothic Book" w:hAnsi="Franklin Gothic Book"/>
          <w:sz w:val="22"/>
        </w:rPr>
        <w:t>,</w:t>
      </w:r>
      <w:r w:rsidRPr="003F6F2A">
        <w:rPr>
          <w:rFonts w:ascii="Franklin Gothic Book" w:hAnsi="Franklin Gothic Book"/>
          <w:sz w:val="22"/>
        </w:rPr>
        <w:t xml:space="preserve"> </w:t>
      </w:r>
      <w:r w:rsidR="4A339605" w:rsidRPr="003F6F2A">
        <w:rPr>
          <w:rFonts w:ascii="Franklin Gothic Book" w:hAnsi="Franklin Gothic Book"/>
          <w:sz w:val="22"/>
        </w:rPr>
        <w:t>where</w:t>
      </w:r>
      <w:r w:rsidRPr="003F6F2A">
        <w:rPr>
          <w:rFonts w:ascii="Franklin Gothic Book" w:hAnsi="Franklin Gothic Book"/>
          <w:sz w:val="22"/>
        </w:rPr>
        <w:t xml:space="preserve"> a registered molecular/anatomical pathologist is responsible for conducting the detection, diagnosis and reporting of the pathology result. Based on a positive AKT pathway alteration (</w:t>
      </w:r>
      <w:r w:rsidRPr="003F6F2A">
        <w:rPr>
          <w:rFonts w:ascii="Franklin Gothic Book" w:hAnsi="Franklin Gothic Book"/>
          <w:i/>
          <w:iCs/>
          <w:sz w:val="22"/>
        </w:rPr>
        <w:t>PIK3CA</w:t>
      </w:r>
      <w:r w:rsidRPr="003F6F2A">
        <w:rPr>
          <w:rFonts w:ascii="Franklin Gothic Book" w:hAnsi="Franklin Gothic Book"/>
          <w:sz w:val="22"/>
        </w:rPr>
        <w:t xml:space="preserve">, </w:t>
      </w:r>
      <w:r w:rsidRPr="003F6F2A">
        <w:rPr>
          <w:rFonts w:ascii="Franklin Gothic Book" w:hAnsi="Franklin Gothic Book"/>
          <w:i/>
          <w:iCs/>
          <w:sz w:val="22"/>
        </w:rPr>
        <w:t>AKT1</w:t>
      </w:r>
      <w:r w:rsidRPr="003F6F2A">
        <w:rPr>
          <w:rFonts w:ascii="Franklin Gothic Book" w:hAnsi="Franklin Gothic Book"/>
          <w:sz w:val="22"/>
        </w:rPr>
        <w:t xml:space="preserve"> or </w:t>
      </w:r>
      <w:r w:rsidRPr="003F6F2A">
        <w:rPr>
          <w:rFonts w:ascii="Franklin Gothic Book" w:hAnsi="Franklin Gothic Book"/>
          <w:i/>
          <w:iCs/>
          <w:sz w:val="22"/>
        </w:rPr>
        <w:t>PTEN</w:t>
      </w:r>
      <w:r w:rsidRPr="003F6F2A">
        <w:rPr>
          <w:rFonts w:ascii="Franklin Gothic Book" w:hAnsi="Franklin Gothic Book"/>
          <w:sz w:val="22"/>
        </w:rPr>
        <w:t>) test result, the medical practitioner will consider prescribing CAPI+FULV to the patient if they meet the PBS criteria to access treatment.</w:t>
      </w:r>
    </w:p>
    <w:p w14:paraId="78480A91" w14:textId="77777777" w:rsidR="005D6D39" w:rsidRPr="003F6F2A" w:rsidRDefault="005D6D39"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8" w:name="_Toc93044754"/>
      <w:bookmarkStart w:id="9" w:name="_Toc93322888"/>
      <w:bookmarkStart w:id="10" w:name="_Toc177560708"/>
      <w:bookmarkEnd w:id="8"/>
      <w:bookmarkEnd w:id="9"/>
      <w:r w:rsidRPr="003F6F2A">
        <w:rPr>
          <w:rFonts w:ascii="Franklin Gothic Medium" w:hAnsi="Franklin Gothic Medium"/>
          <w:b w:val="0"/>
          <w:i w:val="0"/>
          <w:snapToGrid/>
          <w:color w:val="000000" w:themeColor="text1"/>
          <w:sz w:val="32"/>
          <w:szCs w:val="26"/>
        </w:rPr>
        <w:t>Proposal for public funding</w:t>
      </w:r>
      <w:bookmarkEnd w:id="10"/>
    </w:p>
    <w:p w14:paraId="7ECA657E" w14:textId="3C9645B6"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submission’s proposed MBS item descriptor is presented in </w:t>
      </w:r>
      <w:r w:rsidRPr="003F6F2A">
        <w:rPr>
          <w:rFonts w:ascii="Franklin Gothic Book" w:hAnsi="Franklin Gothic Book"/>
          <w:color w:val="2B579A"/>
          <w:sz w:val="22"/>
          <w:shd w:val="clear" w:color="auto" w:fill="E6E6E6"/>
        </w:rPr>
        <w:fldChar w:fldCharType="begin"/>
      </w:r>
      <w:r w:rsidRPr="003F6F2A">
        <w:rPr>
          <w:rFonts w:ascii="Franklin Gothic Book" w:hAnsi="Franklin Gothic Book"/>
          <w:sz w:val="22"/>
        </w:rPr>
        <w:instrText xml:space="preserve"> REF _Ref174960001 \h </w:instrText>
      </w:r>
      <w:r w:rsidR="003F6F2A" w:rsidRPr="003F6F2A">
        <w:rPr>
          <w:rFonts w:ascii="Franklin Gothic Book" w:hAnsi="Franklin Gothic Book"/>
          <w:color w:val="2B579A"/>
          <w:sz w:val="22"/>
          <w:shd w:val="clear" w:color="auto" w:fill="E6E6E6"/>
        </w:rPr>
        <w:instrText xml:space="preserve"> \* MERGEFORMAT </w:instrText>
      </w:r>
      <w:r w:rsidRPr="003F6F2A">
        <w:rPr>
          <w:rFonts w:ascii="Franklin Gothic Book" w:hAnsi="Franklin Gothic Book"/>
          <w:color w:val="2B579A"/>
          <w:sz w:val="22"/>
          <w:shd w:val="clear" w:color="auto" w:fill="E6E6E6"/>
        </w:rPr>
      </w:r>
      <w:r w:rsidRPr="003F6F2A">
        <w:rPr>
          <w:rFonts w:ascii="Franklin Gothic Book" w:hAnsi="Franklin Gothic Book"/>
          <w:color w:val="2B579A"/>
          <w:sz w:val="22"/>
          <w:shd w:val="clear" w:color="auto" w:fill="E6E6E6"/>
        </w:rPr>
        <w:fldChar w:fldCharType="separate"/>
      </w:r>
      <w:r w:rsidR="0016064D" w:rsidRPr="003F6F2A">
        <w:rPr>
          <w:rFonts w:ascii="Franklin Gothic Book" w:hAnsi="Franklin Gothic Book"/>
          <w:sz w:val="22"/>
        </w:rPr>
        <w:t xml:space="preserve">Table </w:t>
      </w:r>
      <w:r w:rsidR="0016064D" w:rsidRPr="003F6F2A">
        <w:rPr>
          <w:rFonts w:ascii="Franklin Gothic Book" w:hAnsi="Franklin Gothic Book"/>
          <w:noProof/>
          <w:sz w:val="22"/>
        </w:rPr>
        <w:t>4</w:t>
      </w:r>
      <w:r w:rsidRPr="003F6F2A">
        <w:rPr>
          <w:rFonts w:ascii="Franklin Gothic Book" w:hAnsi="Franklin Gothic Book"/>
          <w:color w:val="2B579A"/>
          <w:sz w:val="22"/>
          <w:shd w:val="clear" w:color="auto" w:fill="E6E6E6"/>
        </w:rPr>
        <w:fldChar w:fldCharType="end"/>
      </w:r>
      <w:r w:rsidRPr="003F6F2A">
        <w:rPr>
          <w:rFonts w:ascii="Franklin Gothic Book" w:hAnsi="Franklin Gothic Book"/>
          <w:sz w:val="22"/>
        </w:rPr>
        <w:t>.</w:t>
      </w:r>
    </w:p>
    <w:p w14:paraId="35A486B0" w14:textId="6BFD39A5" w:rsidR="005D6D39" w:rsidRPr="00102634" w:rsidRDefault="005D6D39" w:rsidP="003F6F2A">
      <w:pPr>
        <w:pStyle w:val="Caption"/>
      </w:pPr>
      <w:bookmarkStart w:id="11" w:name="_Ref174960001"/>
      <w:r w:rsidRPr="00102634">
        <w:t xml:space="preserve">Table </w:t>
      </w:r>
      <w:r w:rsidR="0016064D">
        <w:fldChar w:fldCharType="begin"/>
      </w:r>
      <w:r w:rsidR="0016064D">
        <w:instrText xml:space="preserve"> SEQ Table_MSAC. \* ARABIC </w:instrText>
      </w:r>
      <w:r w:rsidR="0016064D">
        <w:fldChar w:fldCharType="separate"/>
      </w:r>
      <w:r w:rsidR="0016064D">
        <w:rPr>
          <w:noProof/>
        </w:rPr>
        <w:t>4</w:t>
      </w:r>
      <w:r w:rsidR="0016064D">
        <w:rPr>
          <w:noProof/>
        </w:rPr>
        <w:fldChar w:fldCharType="end"/>
      </w:r>
      <w:bookmarkEnd w:id="11"/>
      <w:r w:rsidRPr="00102634">
        <w:t xml:space="preserve">: </w:t>
      </w:r>
      <w:r w:rsidR="00486A54">
        <w:t>Proposed n</w:t>
      </w:r>
      <w:r w:rsidRPr="00102634">
        <w:t>ew MBS item</w:t>
      </w:r>
      <w:r w:rsidR="00486A54">
        <w:t xml:space="preserve"> in the submission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D6D39" w:rsidRPr="00102634" w14:paraId="59FB8EF7" w14:textId="77777777" w:rsidTr="2C973C4D">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FE7C8" w14:textId="77777777" w:rsidR="005D6D39" w:rsidRPr="00077954" w:rsidRDefault="005D6D39" w:rsidP="008D59F2">
            <w:pPr>
              <w:pStyle w:val="TableText"/>
              <w:keepNext/>
              <w:rPr>
                <w:b/>
                <w:sz w:val="24"/>
              </w:rPr>
            </w:pPr>
            <w:r w:rsidRPr="00077954">
              <w:rPr>
                <w:b/>
              </w:rPr>
              <w:t>Category 6 – PATHOLOGY SERVICES</w:t>
            </w:r>
          </w:p>
        </w:tc>
      </w:tr>
      <w:tr w:rsidR="005D6D39" w:rsidRPr="00102634" w14:paraId="6C8A7093" w14:textId="77777777" w:rsidTr="2C973C4D">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8731F" w14:textId="1ED958DA" w:rsidR="005D6D39" w:rsidRPr="00102634" w:rsidRDefault="005D6D39" w:rsidP="008D59F2">
            <w:pPr>
              <w:pStyle w:val="TableText"/>
              <w:keepNext/>
            </w:pPr>
            <w:r w:rsidRPr="00102634">
              <w:t>MBS item XXXX</w:t>
            </w:r>
          </w:p>
          <w:p w14:paraId="33553A7D" w14:textId="13326656" w:rsidR="005D6D39" w:rsidRPr="00102634" w:rsidRDefault="005D6D39" w:rsidP="008D59F2">
            <w:pPr>
              <w:pStyle w:val="TableText"/>
              <w:keepNext/>
            </w:pPr>
            <w:r w:rsidRPr="00102634">
              <w:t xml:space="preserve">A test of tumour tissue for full characterisation of tier 1 </w:t>
            </w:r>
            <w:r w:rsidRPr="00102634">
              <w:rPr>
                <w:i/>
                <w:iCs/>
              </w:rPr>
              <w:t>PIK3CA, AKT1</w:t>
            </w:r>
            <w:r w:rsidRPr="00102634">
              <w:t xml:space="preserve"> and </w:t>
            </w:r>
            <w:r w:rsidRPr="00102634">
              <w:rPr>
                <w:i/>
                <w:iCs/>
              </w:rPr>
              <w:t>PTEN</w:t>
            </w:r>
            <w:r w:rsidRPr="00102634">
              <w:t xml:space="preserve"> gene variants including </w:t>
            </w:r>
            <w:r w:rsidRPr="00102634">
              <w:rPr>
                <w:i/>
                <w:iCs/>
              </w:rPr>
              <w:t>PTEN</w:t>
            </w:r>
            <w:r w:rsidRPr="00102634">
              <w:t xml:space="preserve"> copy number variants, associated with abrogation of the </w:t>
            </w:r>
            <w:r w:rsidRPr="00102634" w:rsidDel="006F41D3">
              <w:t>AKT</w:t>
            </w:r>
            <w:r w:rsidR="006F41D3">
              <w:t xml:space="preserve"> pathway</w:t>
            </w:r>
            <w:r w:rsidRPr="00102634">
              <w:t>, in a patient with:</w:t>
            </w:r>
          </w:p>
          <w:p w14:paraId="67B19929" w14:textId="4012CD12" w:rsidR="005D6D39" w:rsidRPr="00102634" w:rsidRDefault="005D6D39" w:rsidP="008D59F2">
            <w:pPr>
              <w:pStyle w:val="TableText"/>
              <w:keepNext/>
            </w:pPr>
            <w:r w:rsidRPr="00102634">
              <w:t>•</w:t>
            </w:r>
            <w:r w:rsidRPr="00102634">
              <w:tab/>
              <w:t>locally advanced (inoperable) or metastatic hormone receptor positive, HER2- breast cancer; OR</w:t>
            </w:r>
          </w:p>
          <w:p w14:paraId="234DAC3D" w14:textId="77777777" w:rsidR="005D6D39" w:rsidRPr="00102634" w:rsidRDefault="005D6D39" w:rsidP="008D59F2">
            <w:pPr>
              <w:pStyle w:val="TableText"/>
              <w:keepNext/>
            </w:pPr>
            <w:r w:rsidRPr="00102634">
              <w:t>•</w:t>
            </w:r>
            <w:r w:rsidRPr="00102634">
              <w:tab/>
              <w:t>following recurrence or progression on or after endocrine based regimen, with or without a CDK4/6 inhibitor.</w:t>
            </w:r>
          </w:p>
          <w:p w14:paraId="75D55AAD" w14:textId="77777777" w:rsidR="005D6D39" w:rsidRPr="00102634" w:rsidRDefault="005D6D39" w:rsidP="008D59F2">
            <w:pPr>
              <w:pStyle w:val="TableText"/>
              <w:keepNext/>
            </w:pPr>
            <w:r w:rsidRPr="00102634">
              <w:t>As requested by a specialist or consultant physician, to determine eligibility for a treatment listed on the Pharmaceutical Benefits Scheme (PBS) for this context.</w:t>
            </w:r>
          </w:p>
          <w:p w14:paraId="150499BC" w14:textId="77777777" w:rsidR="005D6D39" w:rsidRPr="00102634" w:rsidRDefault="005D6D39" w:rsidP="008D59F2">
            <w:pPr>
              <w:pStyle w:val="TableText"/>
              <w:keepNext/>
            </w:pPr>
            <w:r w:rsidRPr="00102634">
              <w:t>Once per primary tumour diagnosis</w:t>
            </w:r>
          </w:p>
        </w:tc>
      </w:tr>
      <w:tr w:rsidR="005D6D39" w:rsidRPr="00102634" w14:paraId="2513409C" w14:textId="77777777" w:rsidTr="2C973C4D">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DA8D9" w14:textId="77777777" w:rsidR="005D6D39" w:rsidRPr="00102634" w:rsidRDefault="005D6D39" w:rsidP="008D59F2">
            <w:pPr>
              <w:pStyle w:val="TableText"/>
              <w:keepNext/>
              <w:rPr>
                <w:szCs w:val="20"/>
              </w:rPr>
            </w:pPr>
            <w:r w:rsidRPr="00C946D9">
              <w:t>Fee: $2,200</w:t>
            </w:r>
            <w:r w:rsidRPr="00C946D9">
              <w:tab/>
              <w:t>Benefit: 75% = $1,650</w:t>
            </w:r>
            <w:r w:rsidRPr="00C946D9">
              <w:tab/>
              <w:t xml:space="preserve"> 85% = $1,870</w:t>
            </w:r>
          </w:p>
        </w:tc>
      </w:tr>
    </w:tbl>
    <w:p w14:paraId="6EA267DA" w14:textId="77777777" w:rsidR="005D6D39" w:rsidRPr="00102634" w:rsidRDefault="005D6D39" w:rsidP="008D59F2">
      <w:pPr>
        <w:pStyle w:val="TableFooter"/>
        <w:keepNext/>
      </w:pPr>
      <w:r w:rsidRPr="00102634">
        <w:t>Source: Table 1.5, p21 of the submission</w:t>
      </w:r>
    </w:p>
    <w:p w14:paraId="759E5D0A" w14:textId="46ABCE00" w:rsidR="005D6D39" w:rsidRPr="00102634" w:rsidRDefault="005D6D39" w:rsidP="008D59F2">
      <w:pPr>
        <w:pStyle w:val="TableFooter"/>
        <w:keepNext/>
      </w:pPr>
      <w:r w:rsidRPr="00EC6CF9">
        <w:rPr>
          <w:i/>
        </w:rPr>
        <w:t xml:space="preserve">The commentary noted the submission applied the 85% Medicare rebate and did not consider the Greatest Permissible Gap of $98.70. The MBS fee after applying the Greatest Permissible Gap </w:t>
      </w:r>
      <w:r w:rsidRPr="00C946D9">
        <w:rPr>
          <w:i/>
        </w:rPr>
        <w:t>was $2,101.30</w:t>
      </w:r>
      <w:r w:rsidRPr="00C946D9">
        <w:t>.</w:t>
      </w:r>
      <w:r w:rsidRPr="00102634">
        <w:t xml:space="preserve">  </w:t>
      </w:r>
    </w:p>
    <w:p w14:paraId="5C197607" w14:textId="3BE8B2CC" w:rsidR="005D6D39" w:rsidRPr="003F6F2A" w:rsidRDefault="005D6D39" w:rsidP="003C46AA">
      <w:pPr>
        <w:spacing w:after="0"/>
        <w:rPr>
          <w:rFonts w:ascii="Franklin Gothic Book" w:hAnsi="Franklin Gothic Book"/>
          <w:sz w:val="22"/>
        </w:rPr>
      </w:pPr>
      <w:r w:rsidRPr="003F6F2A">
        <w:rPr>
          <w:rFonts w:ascii="Franklin Gothic Book" w:hAnsi="Franklin Gothic Book"/>
          <w:sz w:val="22"/>
        </w:rPr>
        <w:t xml:space="preserve">The commentary noted </w:t>
      </w:r>
      <w:r w:rsidR="4F4FE3D2" w:rsidRPr="003F6F2A">
        <w:rPr>
          <w:rFonts w:ascii="Franklin Gothic Book" w:hAnsi="Franklin Gothic Book"/>
          <w:sz w:val="22"/>
        </w:rPr>
        <w:t>that</w:t>
      </w:r>
      <w:r w:rsidR="0140CDF8" w:rsidRPr="003F6F2A">
        <w:rPr>
          <w:rFonts w:ascii="Franklin Gothic Book" w:hAnsi="Franklin Gothic Book"/>
          <w:sz w:val="22"/>
        </w:rPr>
        <w:t xml:space="preserve"> </w:t>
      </w:r>
      <w:r w:rsidRPr="003F6F2A">
        <w:rPr>
          <w:rFonts w:ascii="Franklin Gothic Book" w:hAnsi="Franklin Gothic Book"/>
          <w:sz w:val="22"/>
        </w:rPr>
        <w:t xml:space="preserve">the </w:t>
      </w:r>
      <w:r w:rsidR="00523151" w:rsidRPr="003F6F2A">
        <w:rPr>
          <w:rFonts w:ascii="Franklin Gothic Book" w:hAnsi="Franklin Gothic Book"/>
          <w:sz w:val="22"/>
        </w:rPr>
        <w:t xml:space="preserve">submission’s proposed </w:t>
      </w:r>
      <w:r w:rsidRPr="003F6F2A">
        <w:rPr>
          <w:rFonts w:ascii="Franklin Gothic Book" w:hAnsi="Franklin Gothic Book"/>
          <w:sz w:val="22"/>
        </w:rPr>
        <w:t>MBS item descriptor was broader than the testing population in the ratified PICO confirmation (p25, 1766 Ratified PICO Confirmation, April 2024 PASC Meeting):</w:t>
      </w:r>
    </w:p>
    <w:p w14:paraId="57D1D58A" w14:textId="0F8C9B21" w:rsidR="005D6D39" w:rsidRPr="003F6F2A" w:rsidRDefault="005D6D39" w:rsidP="003C46AA">
      <w:pPr>
        <w:spacing w:before="0" w:after="0"/>
        <w:ind w:left="720"/>
        <w:rPr>
          <w:rFonts w:ascii="Franklin Gothic Book" w:hAnsi="Franklin Gothic Book"/>
          <w:sz w:val="22"/>
        </w:rPr>
      </w:pPr>
      <w:r w:rsidRPr="003F6F2A">
        <w:rPr>
          <w:rFonts w:ascii="Franklin Gothic Book" w:hAnsi="Franklin Gothic Book"/>
          <w:sz w:val="22"/>
        </w:rPr>
        <w:t>“A test of tumour tissue for full characterisation of tier 1</w:t>
      </w:r>
      <w:r w:rsidRPr="003F6F2A">
        <w:rPr>
          <w:rFonts w:ascii="Franklin Gothic Book" w:hAnsi="Franklin Gothic Book"/>
          <w:i/>
          <w:iCs/>
          <w:sz w:val="22"/>
        </w:rPr>
        <w:t xml:space="preserve"> PIK3CA, AKT1 and PTEN </w:t>
      </w:r>
      <w:r w:rsidRPr="003F6F2A">
        <w:rPr>
          <w:rFonts w:ascii="Franklin Gothic Book" w:hAnsi="Franklin Gothic Book"/>
          <w:sz w:val="22"/>
        </w:rPr>
        <w:t xml:space="preserve">gene variants including PTEN copy number variants, associated with abrogation of the </w:t>
      </w:r>
      <w:r w:rsidRPr="003F6F2A" w:rsidDel="006F41D3">
        <w:rPr>
          <w:rFonts w:ascii="Franklin Gothic Book" w:hAnsi="Franklin Gothic Book"/>
          <w:sz w:val="22"/>
        </w:rPr>
        <w:t>AKT</w:t>
      </w:r>
      <w:r w:rsidR="006F41D3" w:rsidRPr="003F6F2A">
        <w:rPr>
          <w:rFonts w:ascii="Franklin Gothic Book" w:hAnsi="Franklin Gothic Book"/>
          <w:sz w:val="22"/>
        </w:rPr>
        <w:t xml:space="preserve"> pathway</w:t>
      </w:r>
      <w:r w:rsidRPr="003F6F2A">
        <w:rPr>
          <w:rFonts w:ascii="Franklin Gothic Book" w:hAnsi="Franklin Gothic Book"/>
          <w:sz w:val="22"/>
        </w:rPr>
        <w:t>, in a patient with:</w:t>
      </w:r>
    </w:p>
    <w:p w14:paraId="27F9F7A9" w14:textId="77777777" w:rsidR="005D6D39" w:rsidRPr="003F6F2A" w:rsidRDefault="005D6D39" w:rsidP="0045462B">
      <w:pPr>
        <w:pStyle w:val="ListParagraph"/>
        <w:numPr>
          <w:ilvl w:val="0"/>
          <w:numId w:val="16"/>
        </w:numPr>
        <w:spacing w:before="0"/>
        <w:ind w:left="1434" w:hanging="357"/>
        <w:contextualSpacing/>
        <w:rPr>
          <w:rFonts w:ascii="Franklin Gothic Book" w:hAnsi="Franklin Gothic Book"/>
          <w:sz w:val="22"/>
        </w:rPr>
      </w:pPr>
      <w:r w:rsidRPr="003F6F2A">
        <w:rPr>
          <w:rFonts w:ascii="Franklin Gothic Book" w:hAnsi="Franklin Gothic Book"/>
          <w:sz w:val="22"/>
        </w:rPr>
        <w:t xml:space="preserve">locally advanced (inoperable) or metastatic hormone receptor positive, HER2- breast cancer; </w:t>
      </w:r>
      <w:r w:rsidRPr="003F6F2A">
        <w:rPr>
          <w:rFonts w:ascii="Franklin Gothic Book" w:hAnsi="Franklin Gothic Book"/>
          <w:sz w:val="22"/>
          <w:u w:val="single"/>
        </w:rPr>
        <w:t>AND</w:t>
      </w:r>
    </w:p>
    <w:p w14:paraId="3B9ED0C8" w14:textId="77777777" w:rsidR="005D6D39" w:rsidRPr="003F6F2A" w:rsidRDefault="005D6D39" w:rsidP="0045462B">
      <w:pPr>
        <w:pStyle w:val="ListParagraph"/>
        <w:numPr>
          <w:ilvl w:val="0"/>
          <w:numId w:val="16"/>
        </w:numPr>
        <w:spacing w:after="40"/>
        <w:ind w:left="1434" w:hanging="357"/>
        <w:rPr>
          <w:rFonts w:ascii="Franklin Gothic Book" w:hAnsi="Franklin Gothic Book"/>
          <w:sz w:val="22"/>
        </w:rPr>
      </w:pPr>
      <w:r w:rsidRPr="003F6F2A">
        <w:rPr>
          <w:rFonts w:ascii="Franklin Gothic Book" w:hAnsi="Franklin Gothic Book"/>
          <w:sz w:val="22"/>
        </w:rPr>
        <w:t xml:space="preserve">following recurrence or progression on or after </w:t>
      </w:r>
      <w:r w:rsidRPr="003F6F2A">
        <w:rPr>
          <w:rFonts w:ascii="Franklin Gothic Book" w:hAnsi="Franklin Gothic Book"/>
          <w:sz w:val="22"/>
          <w:u w:val="single"/>
        </w:rPr>
        <w:t>aromatase inhibitor therapy</w:t>
      </w:r>
      <w:r w:rsidRPr="003F6F2A">
        <w:rPr>
          <w:rFonts w:ascii="Franklin Gothic Book" w:hAnsi="Franklin Gothic Book"/>
          <w:sz w:val="22"/>
        </w:rPr>
        <w:t>, with or without a CDK4/6 inhibitor.</w:t>
      </w:r>
    </w:p>
    <w:p w14:paraId="56BC5FF2" w14:textId="77777777" w:rsidR="005D6D39" w:rsidRPr="003F6F2A" w:rsidRDefault="005D6D39" w:rsidP="00630D9A">
      <w:pPr>
        <w:spacing w:before="40" w:after="40"/>
        <w:ind w:left="720"/>
        <w:rPr>
          <w:rFonts w:ascii="Franklin Gothic Book" w:hAnsi="Franklin Gothic Book"/>
          <w:sz w:val="22"/>
        </w:rPr>
      </w:pPr>
      <w:r w:rsidRPr="003F6F2A">
        <w:rPr>
          <w:rFonts w:ascii="Franklin Gothic Book" w:hAnsi="Franklin Gothic Book"/>
          <w:sz w:val="22"/>
        </w:rPr>
        <w:t>As requested by a specialist or consultant physician, to determine eligibility for a treatment listed on the Pharmaceutical Benefits Scheme (PBS) for this context.</w:t>
      </w:r>
    </w:p>
    <w:p w14:paraId="13B9B835" w14:textId="77777777" w:rsidR="005D6D39" w:rsidRPr="003F6F2A" w:rsidRDefault="005D6D39" w:rsidP="00630D9A">
      <w:pPr>
        <w:spacing w:before="40"/>
        <w:ind w:left="720"/>
        <w:rPr>
          <w:rFonts w:ascii="Franklin Gothic Book" w:hAnsi="Franklin Gothic Book"/>
          <w:sz w:val="22"/>
        </w:rPr>
      </w:pPr>
      <w:r w:rsidRPr="003F6F2A">
        <w:rPr>
          <w:rFonts w:ascii="Franklin Gothic Book" w:hAnsi="Franklin Gothic Book"/>
          <w:sz w:val="22"/>
        </w:rPr>
        <w:t>Once per primary tumour diagnosis.”</w:t>
      </w:r>
    </w:p>
    <w:p w14:paraId="56DC954E" w14:textId="3AF0C757" w:rsidR="005D6D39" w:rsidRPr="003F6F2A" w:rsidRDefault="005D6D39" w:rsidP="001C2F8C">
      <w:pPr>
        <w:spacing w:after="0"/>
        <w:rPr>
          <w:rFonts w:ascii="Franklin Gothic Book" w:hAnsi="Franklin Gothic Book"/>
          <w:sz w:val="22"/>
        </w:rPr>
      </w:pPr>
      <w:r w:rsidRPr="003F6F2A">
        <w:rPr>
          <w:rFonts w:ascii="Franklin Gothic Book" w:hAnsi="Franklin Gothic Book"/>
          <w:sz w:val="22"/>
        </w:rPr>
        <w:t xml:space="preserve">The commentary noted that </w:t>
      </w:r>
      <w:r w:rsidR="5D81706B" w:rsidRPr="003F6F2A">
        <w:rPr>
          <w:rFonts w:ascii="Franklin Gothic Book" w:hAnsi="Franklin Gothic Book"/>
          <w:sz w:val="22"/>
        </w:rPr>
        <w:t xml:space="preserve">the </w:t>
      </w:r>
      <w:r w:rsidRPr="003F6F2A">
        <w:rPr>
          <w:rFonts w:ascii="Franklin Gothic Book" w:hAnsi="Franklin Gothic Book"/>
          <w:sz w:val="22"/>
        </w:rPr>
        <w:t xml:space="preserve">PICO </w:t>
      </w:r>
      <w:r w:rsidR="00585EEE" w:rsidRPr="003F6F2A">
        <w:rPr>
          <w:rFonts w:ascii="Franklin Gothic Book" w:hAnsi="Franklin Gothic Book"/>
          <w:sz w:val="22"/>
        </w:rPr>
        <w:t>c</w:t>
      </w:r>
      <w:r w:rsidRPr="003F6F2A">
        <w:rPr>
          <w:rFonts w:ascii="Franklin Gothic Book" w:hAnsi="Franklin Gothic Book"/>
          <w:sz w:val="22"/>
        </w:rPr>
        <w:t>onfirmation stated (p26, 1766 Ratified PICO Confirmation, April 2024 PASC Meeting) that</w:t>
      </w:r>
      <w:r w:rsidR="63414D79" w:rsidRPr="003F6F2A">
        <w:rPr>
          <w:rFonts w:ascii="Franklin Gothic Book" w:hAnsi="Franklin Gothic Book"/>
          <w:sz w:val="22"/>
        </w:rPr>
        <w:t>:</w:t>
      </w:r>
    </w:p>
    <w:p w14:paraId="6758B92F" w14:textId="77777777" w:rsidR="005D6D39" w:rsidRPr="003F6F2A" w:rsidRDefault="005D6D39" w:rsidP="001C2F8C">
      <w:pPr>
        <w:spacing w:before="0"/>
        <w:ind w:left="720"/>
        <w:rPr>
          <w:rFonts w:ascii="Franklin Gothic Book" w:hAnsi="Franklin Gothic Book"/>
          <w:sz w:val="22"/>
        </w:rPr>
      </w:pPr>
      <w:r w:rsidRPr="003F6F2A">
        <w:rPr>
          <w:rFonts w:ascii="Franklin Gothic Book" w:hAnsi="Franklin Gothic Book"/>
          <w:sz w:val="22"/>
        </w:rPr>
        <w:t xml:space="preserve">“The applicant proposed MBS item descriptor was amended to include “AND following recurrence or progression on or after aromatase inhibitor therapy, with or without a CDK4/6 inhibitor”, </w:t>
      </w:r>
      <w:proofErr w:type="gramStart"/>
      <w:r w:rsidRPr="003F6F2A">
        <w:rPr>
          <w:rFonts w:ascii="Franklin Gothic Book" w:hAnsi="Franklin Gothic Book"/>
          <w:sz w:val="22"/>
        </w:rPr>
        <w:t>so as to</w:t>
      </w:r>
      <w:proofErr w:type="gramEnd"/>
      <w:r w:rsidRPr="003F6F2A">
        <w:rPr>
          <w:rFonts w:ascii="Franklin Gothic Book" w:hAnsi="Franklin Gothic Book"/>
          <w:sz w:val="22"/>
        </w:rPr>
        <w:t xml:space="preserve"> be consistent with the target test population as well as the study population in the CAPitello-291 trial.”</w:t>
      </w:r>
    </w:p>
    <w:p w14:paraId="49D10697" w14:textId="48DBF16E" w:rsidR="000D1A10" w:rsidRPr="003F6F2A" w:rsidRDefault="005D6D39" w:rsidP="005D6D39">
      <w:pPr>
        <w:rPr>
          <w:rFonts w:ascii="Franklin Gothic Book" w:hAnsi="Franklin Gothic Book"/>
          <w:sz w:val="22"/>
        </w:rPr>
      </w:pPr>
      <w:r w:rsidRPr="003F6F2A">
        <w:rPr>
          <w:rFonts w:ascii="Franklin Gothic Book" w:hAnsi="Franklin Gothic Book"/>
          <w:sz w:val="22"/>
        </w:rPr>
        <w:lastRenderedPageBreak/>
        <w:t xml:space="preserve">The commentary considered </w:t>
      </w:r>
      <w:r w:rsidR="241212CA" w:rsidRPr="003F6F2A">
        <w:rPr>
          <w:rFonts w:ascii="Franklin Gothic Book" w:hAnsi="Franklin Gothic Book"/>
          <w:sz w:val="22"/>
        </w:rPr>
        <w:t xml:space="preserve">that </w:t>
      </w:r>
      <w:r w:rsidRPr="003F6F2A">
        <w:rPr>
          <w:rFonts w:ascii="Franklin Gothic Book" w:hAnsi="Franklin Gothic Book"/>
          <w:sz w:val="22"/>
        </w:rPr>
        <w:t xml:space="preserve">the MBS item descriptor in the submission, </w:t>
      </w:r>
      <w:r w:rsidR="423020AE" w:rsidRPr="003F6F2A">
        <w:rPr>
          <w:rFonts w:ascii="Franklin Gothic Book" w:hAnsi="Franklin Gothic Book"/>
          <w:sz w:val="22"/>
        </w:rPr>
        <w:t>which</w:t>
      </w:r>
      <w:r w:rsidR="008176B1" w:rsidRPr="003F6F2A">
        <w:rPr>
          <w:rFonts w:ascii="Franklin Gothic Book" w:hAnsi="Franklin Gothic Book"/>
          <w:sz w:val="22"/>
        </w:rPr>
        <w:t xml:space="preserve"> </w:t>
      </w:r>
      <w:r w:rsidRPr="003F6F2A">
        <w:rPr>
          <w:rFonts w:ascii="Franklin Gothic Book" w:hAnsi="Franklin Gothic Book"/>
          <w:sz w:val="22"/>
        </w:rPr>
        <w:t>includ</w:t>
      </w:r>
      <w:r w:rsidR="008176B1" w:rsidRPr="003F6F2A">
        <w:rPr>
          <w:rFonts w:ascii="Franklin Gothic Book" w:hAnsi="Franklin Gothic Book"/>
          <w:sz w:val="22"/>
        </w:rPr>
        <w:t xml:space="preserve">ed </w:t>
      </w:r>
      <w:r w:rsidRPr="003F6F2A">
        <w:rPr>
          <w:rFonts w:ascii="Franklin Gothic Book" w:hAnsi="Franklin Gothic Book"/>
          <w:sz w:val="22"/>
        </w:rPr>
        <w:t xml:space="preserve">‘OR’ rather than ‘AND’, implied that some patients could be tested without progression from a prior endocrine therapy (ET) (i.e., patients with </w:t>
      </w:r>
      <w:r w:rsidRPr="003F6F2A">
        <w:rPr>
          <w:rFonts w:ascii="Franklin Gothic Book" w:hAnsi="Franklin Gothic Book"/>
          <w:i/>
          <w:sz w:val="22"/>
        </w:rPr>
        <w:t>de novo</w:t>
      </w:r>
      <w:r w:rsidRPr="003F6F2A">
        <w:rPr>
          <w:rFonts w:ascii="Franklin Gothic Book" w:hAnsi="Franklin Gothic Book"/>
          <w:sz w:val="22"/>
        </w:rPr>
        <w:t xml:space="preserve"> advanced or metastatic breast cancer). </w:t>
      </w:r>
    </w:p>
    <w:p w14:paraId="51C536D6" w14:textId="1E980A54" w:rsidR="005D6D39" w:rsidRPr="003F6F2A" w:rsidRDefault="005D6D39" w:rsidP="005D6D39">
      <w:pPr>
        <w:rPr>
          <w:rFonts w:ascii="Franklin Gothic Book" w:hAnsi="Franklin Gothic Book"/>
          <w:i/>
          <w:iCs/>
          <w:sz w:val="22"/>
        </w:rPr>
      </w:pPr>
      <w:r w:rsidRPr="003F6F2A">
        <w:rPr>
          <w:rFonts w:ascii="Franklin Gothic Book" w:hAnsi="Franklin Gothic Book"/>
          <w:sz w:val="22"/>
        </w:rPr>
        <w:t xml:space="preserve">Additionally, the commentary considered progression on an ‘endocrine-based regimen’ was broader than progression on an ‘aromatase inhibitory (AI) therapy’ as noted in the PICO confirmation. Furthermore, the commentary considered the submission’s MBS item descriptor was broader than the requested PBS restriction which only allows for treatment with CAPI+FULV following disease progression or recurrence on or after an ET with or without a CDK4/6 inhibitor. </w:t>
      </w:r>
    </w:p>
    <w:p w14:paraId="15D585C3" w14:textId="421C193D"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commentary noted that ETs are used in multiple lines of treatment for HR+/HER2- breast cancer, including early and advanced stages, thus the current wording of the MBS item descriptor also allows testing in patients who have progressed to the </w:t>
      </w:r>
      <w:proofErr w:type="gramStart"/>
      <w:r w:rsidRPr="003F6F2A">
        <w:rPr>
          <w:rFonts w:ascii="Franklin Gothic Book" w:hAnsi="Franklin Gothic Book"/>
          <w:sz w:val="22"/>
        </w:rPr>
        <w:t>first-line</w:t>
      </w:r>
      <w:proofErr w:type="gramEnd"/>
      <w:r w:rsidRPr="003F6F2A">
        <w:rPr>
          <w:rFonts w:ascii="Franklin Gothic Book" w:hAnsi="Franklin Gothic Book"/>
          <w:sz w:val="22"/>
        </w:rPr>
        <w:t xml:space="preserve"> (1L), second-line (2L), and third-line (3L) settings. The commentary considered there is a lack of clarity in the time at which patients are tested (and treated)</w:t>
      </w:r>
      <w:r w:rsidR="00680C1D" w:rsidRPr="003F6F2A">
        <w:rPr>
          <w:rFonts w:ascii="Franklin Gothic Book" w:hAnsi="Franklin Gothic Book"/>
          <w:sz w:val="22"/>
        </w:rPr>
        <w:t>.</w:t>
      </w:r>
      <w:r w:rsidRPr="003F6F2A">
        <w:rPr>
          <w:rFonts w:ascii="Franklin Gothic Book" w:hAnsi="Franklin Gothic Book"/>
          <w:sz w:val="22"/>
        </w:rPr>
        <w:t xml:space="preserve"> </w:t>
      </w:r>
      <w:r w:rsidR="00680C1D" w:rsidRPr="003F6F2A">
        <w:rPr>
          <w:rFonts w:ascii="Franklin Gothic Book" w:hAnsi="Franklin Gothic Book"/>
          <w:sz w:val="22"/>
        </w:rPr>
        <w:t>Notably</w:t>
      </w:r>
      <w:r w:rsidRPr="003F6F2A">
        <w:rPr>
          <w:rFonts w:ascii="Franklin Gothic Book" w:hAnsi="Franklin Gothic Book"/>
          <w:sz w:val="22"/>
        </w:rPr>
        <w:t>:</w:t>
      </w:r>
      <w:r w:rsidR="049DEC97" w:rsidRPr="003F6F2A">
        <w:rPr>
          <w:rFonts w:ascii="Franklin Gothic Book" w:hAnsi="Franklin Gothic Book"/>
          <w:sz w:val="22"/>
        </w:rPr>
        <w:t xml:space="preserve"> </w:t>
      </w:r>
    </w:p>
    <w:p w14:paraId="53F844A2" w14:textId="52DB6B79" w:rsidR="00680C1D" w:rsidRPr="003F6F2A" w:rsidRDefault="00680C1D" w:rsidP="005D6D39">
      <w:pPr>
        <w:pStyle w:val="MainBodyBulletPoint"/>
        <w:rPr>
          <w:rFonts w:ascii="Franklin Gothic Book" w:hAnsi="Franklin Gothic Book"/>
          <w:sz w:val="22"/>
        </w:rPr>
      </w:pPr>
      <w:r w:rsidRPr="003F6F2A">
        <w:rPr>
          <w:rFonts w:ascii="Franklin Gothic Book" w:hAnsi="Franklin Gothic Book"/>
          <w:sz w:val="22"/>
        </w:rPr>
        <w:t>In the 1766 Ratified PICO</w:t>
      </w:r>
      <w:r w:rsidR="00585EEE" w:rsidRPr="003F6F2A">
        <w:rPr>
          <w:rFonts w:ascii="Franklin Gothic Book" w:hAnsi="Franklin Gothic Book"/>
          <w:sz w:val="22"/>
        </w:rPr>
        <w:t xml:space="preserve"> Confirmation</w:t>
      </w:r>
      <w:r w:rsidRPr="003F6F2A">
        <w:rPr>
          <w:rFonts w:ascii="Franklin Gothic Book" w:hAnsi="Franklin Gothic Book"/>
          <w:sz w:val="22"/>
        </w:rPr>
        <w:t xml:space="preserve">, the PASC noted that AKT pathway testing is mainly for determining eligibility for 2L treatment with CAPI+FULV and considered CAPI+FULV against comparator therapies in the 2L setting. </w:t>
      </w:r>
    </w:p>
    <w:p w14:paraId="3B795166" w14:textId="1F9C8A72" w:rsidR="005D6D39" w:rsidRPr="003F6F2A" w:rsidRDefault="00680C1D" w:rsidP="005D6D39">
      <w:pPr>
        <w:pStyle w:val="MainBodyBulletPoint"/>
        <w:rPr>
          <w:rFonts w:ascii="Franklin Gothic Book" w:hAnsi="Franklin Gothic Book"/>
          <w:sz w:val="22"/>
        </w:rPr>
      </w:pPr>
      <w:r w:rsidRPr="003F6F2A">
        <w:rPr>
          <w:rFonts w:ascii="Franklin Gothic Book" w:hAnsi="Franklin Gothic Book"/>
          <w:sz w:val="22"/>
        </w:rPr>
        <w:t>T</w:t>
      </w:r>
      <w:r w:rsidR="005D6D39" w:rsidRPr="003F6F2A">
        <w:rPr>
          <w:rFonts w:ascii="Franklin Gothic Book" w:hAnsi="Franklin Gothic Book"/>
          <w:sz w:val="22"/>
        </w:rPr>
        <w:t>he National Comprehensive Cancer Network (NCCN) 2024 guidelines</w:t>
      </w:r>
      <w:r w:rsidRPr="003F6F2A">
        <w:rPr>
          <w:rFonts w:ascii="Franklin Gothic Book" w:hAnsi="Franklin Gothic Book"/>
          <w:sz w:val="22"/>
        </w:rPr>
        <w:t xml:space="preserve"> also recommend CAPI+FULV in the 2L setting</w:t>
      </w:r>
      <w:r w:rsidR="4F5A9DA8" w:rsidRPr="003F6F2A">
        <w:rPr>
          <w:rFonts w:ascii="Franklin Gothic Book" w:hAnsi="Franklin Gothic Book"/>
          <w:sz w:val="22"/>
        </w:rPr>
        <w:t>.</w:t>
      </w:r>
      <w:r w:rsidR="005D6D39" w:rsidRPr="003F6F2A">
        <w:rPr>
          <w:rFonts w:ascii="Franklin Gothic Book" w:hAnsi="Franklin Gothic Book"/>
          <w:sz w:val="22"/>
        </w:rPr>
        <w:t xml:space="preserve"> </w:t>
      </w:r>
    </w:p>
    <w:p w14:paraId="38347B70" w14:textId="0CC7F0EB" w:rsidR="005D6D39" w:rsidRPr="003F6F2A" w:rsidRDefault="005D6D39" w:rsidP="005D6D39">
      <w:pPr>
        <w:pStyle w:val="MainBodyBulletPoint"/>
        <w:rPr>
          <w:rFonts w:ascii="Franklin Gothic Book" w:hAnsi="Franklin Gothic Book"/>
          <w:sz w:val="22"/>
        </w:rPr>
      </w:pPr>
      <w:r w:rsidRPr="003F6F2A">
        <w:rPr>
          <w:rFonts w:ascii="Franklin Gothic Book" w:hAnsi="Franklin Gothic Book"/>
          <w:sz w:val="22"/>
        </w:rPr>
        <w:t xml:space="preserve">The pivotal trial CAPItello-291 mostly supported testing and treatment in the 2L setting as it included primarily patients </w:t>
      </w:r>
      <w:r w:rsidR="006F4874" w:rsidRPr="003F6F2A">
        <w:rPr>
          <w:rFonts w:ascii="Franklin Gothic Book" w:hAnsi="Franklin Gothic Book"/>
          <w:sz w:val="22"/>
        </w:rPr>
        <w:t>who had</w:t>
      </w:r>
      <w:r w:rsidRPr="003F6F2A">
        <w:rPr>
          <w:rFonts w:ascii="Franklin Gothic Book" w:hAnsi="Franklin Gothic Book"/>
          <w:sz w:val="22"/>
        </w:rPr>
        <w:t xml:space="preserve"> one prior line of ET for the locally advanced or metastatic disease (76% [539/708</w:t>
      </w:r>
      <w:r w:rsidR="0038C535" w:rsidRPr="003F6F2A">
        <w:rPr>
          <w:rFonts w:ascii="Franklin Gothic Book" w:hAnsi="Franklin Gothic Book"/>
          <w:sz w:val="22"/>
        </w:rPr>
        <w:t>])</w:t>
      </w:r>
      <w:r w:rsidR="47281317" w:rsidRPr="003F6F2A">
        <w:rPr>
          <w:rFonts w:ascii="Franklin Gothic Book" w:hAnsi="Franklin Gothic Book"/>
          <w:sz w:val="22"/>
        </w:rPr>
        <w:t>.</w:t>
      </w:r>
      <w:r w:rsidRPr="003F6F2A">
        <w:rPr>
          <w:rFonts w:ascii="Franklin Gothic Book" w:hAnsi="Franklin Gothic Book"/>
          <w:sz w:val="22"/>
        </w:rPr>
        <w:t xml:space="preserve"> </w:t>
      </w:r>
    </w:p>
    <w:p w14:paraId="0119AC87" w14:textId="013D014E"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submission’s proposed cost for AKT pathway testing </w:t>
      </w:r>
      <w:r w:rsidRPr="00684DE6">
        <w:rPr>
          <w:rFonts w:ascii="Franklin Gothic Book" w:hAnsi="Franklin Gothic Book"/>
          <w:sz w:val="22"/>
        </w:rPr>
        <w:t>using the Roche AVENIO CGP was</w:t>
      </w:r>
      <w:r w:rsidRPr="003F6F2A">
        <w:rPr>
          <w:rFonts w:ascii="Franklin Gothic Book" w:hAnsi="Franklin Gothic Book"/>
          <w:sz w:val="22"/>
        </w:rPr>
        <w:t xml:space="preserve"> </w:t>
      </w:r>
      <w:r w:rsidRPr="00C946D9">
        <w:rPr>
          <w:rFonts w:ascii="Franklin Gothic Book" w:hAnsi="Franklin Gothic Book"/>
          <w:sz w:val="22"/>
        </w:rPr>
        <w:t>$2,200</w:t>
      </w:r>
      <w:r w:rsidRPr="003F6F2A">
        <w:rPr>
          <w:rFonts w:ascii="Franklin Gothic Book" w:hAnsi="Franklin Gothic Book"/>
          <w:sz w:val="22"/>
        </w:rPr>
        <w:t xml:space="preserve">. </w:t>
      </w:r>
      <w:r w:rsidR="0038C535" w:rsidRPr="003F6F2A">
        <w:rPr>
          <w:rFonts w:ascii="Franklin Gothic Book" w:hAnsi="Franklin Gothic Book"/>
          <w:sz w:val="22"/>
        </w:rPr>
        <w:t xml:space="preserve">The submission </w:t>
      </w:r>
      <w:r w:rsidR="71F2E318" w:rsidRPr="003F6F2A">
        <w:rPr>
          <w:rFonts w:ascii="Franklin Gothic Book" w:hAnsi="Franklin Gothic Book"/>
          <w:sz w:val="22"/>
        </w:rPr>
        <w:t xml:space="preserve">also presented the costs for the Illumina TSO500 ($2,000) and the </w:t>
      </w:r>
      <w:proofErr w:type="spellStart"/>
      <w:r w:rsidR="71F2E318" w:rsidRPr="003F6F2A">
        <w:rPr>
          <w:rFonts w:ascii="Franklin Gothic Book" w:hAnsi="Franklin Gothic Book"/>
          <w:sz w:val="22"/>
        </w:rPr>
        <w:t>FoundationOneCDx</w:t>
      </w:r>
      <w:proofErr w:type="spellEnd"/>
      <w:r w:rsidR="71F2E318" w:rsidRPr="003F6F2A">
        <w:rPr>
          <w:rFonts w:ascii="Franklin Gothic Book" w:hAnsi="Franklin Gothic Book"/>
          <w:sz w:val="22"/>
        </w:rPr>
        <w:t xml:space="preserve"> (USD$3,000), along with </w:t>
      </w:r>
      <w:r w:rsidR="0038C535" w:rsidRPr="003F6F2A">
        <w:rPr>
          <w:rFonts w:ascii="Franklin Gothic Book" w:hAnsi="Franklin Gothic Book"/>
          <w:sz w:val="22"/>
        </w:rPr>
        <w:t>MBS fees from ‘similar’ tests:</w:t>
      </w:r>
    </w:p>
    <w:p w14:paraId="50FC6BB8" w14:textId="0F905A51" w:rsidR="005D6D39" w:rsidRPr="003F6F2A" w:rsidRDefault="005D6D39" w:rsidP="005D6D39">
      <w:pPr>
        <w:pStyle w:val="MainBodyBulletPoint"/>
        <w:rPr>
          <w:rFonts w:ascii="Franklin Gothic Book" w:hAnsi="Franklin Gothic Book"/>
          <w:sz w:val="22"/>
        </w:rPr>
      </w:pPr>
      <w:r w:rsidRPr="003F6F2A">
        <w:rPr>
          <w:rFonts w:ascii="Franklin Gothic Book" w:hAnsi="Franklin Gothic Book"/>
          <w:sz w:val="22"/>
        </w:rPr>
        <w:t xml:space="preserve">MBS item 73433 NGS test for </w:t>
      </w:r>
      <w:r w:rsidRPr="003F6F2A">
        <w:rPr>
          <w:rFonts w:ascii="Franklin Gothic Book" w:hAnsi="Franklin Gothic Book"/>
          <w:i/>
          <w:iCs/>
          <w:sz w:val="22"/>
        </w:rPr>
        <w:t>NTRK1, NTRK2, NTRK3</w:t>
      </w:r>
      <w:r w:rsidRPr="003F6F2A">
        <w:rPr>
          <w:rFonts w:ascii="Franklin Gothic Book" w:hAnsi="Franklin Gothic Book"/>
          <w:sz w:val="22"/>
        </w:rPr>
        <w:t xml:space="preserve"> in tumour tissue, fee $1,000</w:t>
      </w:r>
      <w:r w:rsidR="467A29A3" w:rsidRPr="003F6F2A">
        <w:rPr>
          <w:rFonts w:ascii="Franklin Gothic Book" w:hAnsi="Franklin Gothic Book"/>
          <w:sz w:val="22"/>
        </w:rPr>
        <w:t>.</w:t>
      </w:r>
    </w:p>
    <w:p w14:paraId="7EBD3FEB" w14:textId="59074D6A" w:rsidR="005D6D39" w:rsidRPr="003F6F2A" w:rsidRDefault="005D6D39" w:rsidP="005D6D39">
      <w:pPr>
        <w:pStyle w:val="MainBodyBulletPoint"/>
        <w:rPr>
          <w:rFonts w:ascii="Franklin Gothic Book" w:hAnsi="Franklin Gothic Book"/>
          <w:sz w:val="22"/>
        </w:rPr>
      </w:pPr>
      <w:r w:rsidRPr="003F6F2A">
        <w:rPr>
          <w:rFonts w:ascii="Franklin Gothic Book" w:hAnsi="Franklin Gothic Book"/>
          <w:sz w:val="22"/>
        </w:rPr>
        <w:t xml:space="preserve">MBS item 73337 test for </w:t>
      </w:r>
      <w:r w:rsidRPr="003F6F2A">
        <w:rPr>
          <w:rFonts w:ascii="Franklin Gothic Book" w:hAnsi="Franklin Gothic Book"/>
          <w:i/>
          <w:iCs/>
          <w:sz w:val="22"/>
        </w:rPr>
        <w:t>EGFR</w:t>
      </w:r>
      <w:r w:rsidRPr="003F6F2A">
        <w:rPr>
          <w:rFonts w:ascii="Franklin Gothic Book" w:hAnsi="Franklin Gothic Book"/>
          <w:sz w:val="22"/>
        </w:rPr>
        <w:t xml:space="preserve"> gene in tumour tissue, fee $397.35</w:t>
      </w:r>
      <w:r w:rsidR="149747FD" w:rsidRPr="003F6F2A">
        <w:rPr>
          <w:rFonts w:ascii="Franklin Gothic Book" w:hAnsi="Franklin Gothic Book"/>
          <w:sz w:val="22"/>
        </w:rPr>
        <w:t>.</w:t>
      </w:r>
    </w:p>
    <w:p w14:paraId="3D4A0A04" w14:textId="603C12EA" w:rsidR="005D6D39" w:rsidRPr="003F6F2A" w:rsidRDefault="005D6D39" w:rsidP="005D6D39">
      <w:pPr>
        <w:pStyle w:val="MainBodyBulletPoint"/>
        <w:rPr>
          <w:rFonts w:ascii="Franklin Gothic Book" w:hAnsi="Franklin Gothic Book"/>
          <w:sz w:val="22"/>
        </w:rPr>
      </w:pPr>
      <w:r w:rsidRPr="003F6F2A">
        <w:rPr>
          <w:rFonts w:ascii="Franklin Gothic Book" w:hAnsi="Franklin Gothic Book"/>
          <w:sz w:val="22"/>
        </w:rPr>
        <w:t>MBS item 73307, test for Homologous recombination deficiency status, fee $3,000</w:t>
      </w:r>
      <w:r w:rsidR="68380684" w:rsidRPr="003F6F2A">
        <w:rPr>
          <w:rFonts w:ascii="Franklin Gothic Book" w:hAnsi="Franklin Gothic Book"/>
          <w:sz w:val="22"/>
        </w:rPr>
        <w:t>.</w:t>
      </w:r>
      <w:r w:rsidRPr="003F6F2A">
        <w:rPr>
          <w:rFonts w:ascii="Franklin Gothic Book" w:hAnsi="Franklin Gothic Book"/>
          <w:sz w:val="22"/>
        </w:rPr>
        <w:t xml:space="preserve"> </w:t>
      </w:r>
    </w:p>
    <w:p w14:paraId="5C6F07CE" w14:textId="04F9F5A6" w:rsidR="005D6D39" w:rsidRPr="003F6F2A" w:rsidRDefault="005D6D39" w:rsidP="005D6D39">
      <w:pPr>
        <w:pStyle w:val="MainBodyBulletPoint"/>
        <w:rPr>
          <w:rFonts w:ascii="Franklin Gothic Book" w:hAnsi="Franklin Gothic Book"/>
          <w:sz w:val="22"/>
        </w:rPr>
      </w:pPr>
      <w:r w:rsidRPr="003F6F2A">
        <w:rPr>
          <w:rFonts w:ascii="Franklin Gothic Book" w:hAnsi="Franklin Gothic Book"/>
          <w:sz w:val="22"/>
        </w:rPr>
        <w:t xml:space="preserve">MBS item 73296 test for various germline gene variants, including </w:t>
      </w:r>
      <w:r w:rsidRPr="003F6F2A">
        <w:rPr>
          <w:rFonts w:ascii="Franklin Gothic Book" w:hAnsi="Franklin Gothic Book"/>
          <w:i/>
          <w:iCs/>
          <w:sz w:val="22"/>
        </w:rPr>
        <w:t>BRCA1/2</w:t>
      </w:r>
      <w:r w:rsidRPr="003F6F2A">
        <w:rPr>
          <w:rFonts w:ascii="Franklin Gothic Book" w:hAnsi="Franklin Gothic Book"/>
          <w:sz w:val="22"/>
        </w:rPr>
        <w:t xml:space="preserve"> genes, fee $1,200</w:t>
      </w:r>
      <w:r w:rsidR="12327F8B" w:rsidRPr="003F6F2A">
        <w:rPr>
          <w:rFonts w:ascii="Franklin Gothic Book" w:hAnsi="Franklin Gothic Book"/>
          <w:sz w:val="22"/>
        </w:rPr>
        <w:t>.</w:t>
      </w:r>
      <w:r w:rsidRPr="003F6F2A">
        <w:rPr>
          <w:rFonts w:ascii="Franklin Gothic Book" w:hAnsi="Franklin Gothic Book"/>
          <w:sz w:val="22"/>
        </w:rPr>
        <w:t xml:space="preserve"> </w:t>
      </w:r>
    </w:p>
    <w:p w14:paraId="3C372F71" w14:textId="342342B8" w:rsidR="005D6D39" w:rsidRPr="003F6F2A" w:rsidRDefault="005D6D39" w:rsidP="005D6D39">
      <w:pPr>
        <w:autoSpaceDE w:val="0"/>
        <w:autoSpaceDN w:val="0"/>
        <w:adjustRightInd w:val="0"/>
        <w:rPr>
          <w:rFonts w:ascii="Franklin Gothic Book" w:hAnsi="Franklin Gothic Book"/>
          <w:sz w:val="22"/>
        </w:rPr>
      </w:pPr>
      <w:r w:rsidRPr="003F6F2A">
        <w:rPr>
          <w:rFonts w:ascii="Franklin Gothic Book" w:hAnsi="Franklin Gothic Book"/>
          <w:sz w:val="22"/>
        </w:rPr>
        <w:t xml:space="preserve">The commentary noted that PASC noted that </w:t>
      </w:r>
      <w:r w:rsidRPr="2C973C4D">
        <w:rPr>
          <w:rFonts w:ascii="Franklin Gothic Book" w:hAnsi="Franklin Gothic Book"/>
          <w:sz w:val="22"/>
        </w:rPr>
        <w:t xml:space="preserve">while there was no consensus on cost or market price, it was believed that testing cost will eventually reduce (p26, 1766 Ratified PICO Confirmation, April 2024 PASC Meeting). The commentary also noted that the 1783 MSAC Application for </w:t>
      </w:r>
      <w:proofErr w:type="spellStart"/>
      <w:r w:rsidRPr="2C973C4D">
        <w:rPr>
          <w:rFonts w:ascii="Franklin Gothic Book" w:hAnsi="Franklin Gothic Book"/>
          <w:sz w:val="22"/>
        </w:rPr>
        <w:t>inavol</w:t>
      </w:r>
      <w:r w:rsidR="0098568A" w:rsidRPr="2C973C4D">
        <w:rPr>
          <w:rFonts w:ascii="Franklin Gothic Book" w:hAnsi="Franklin Gothic Book"/>
          <w:sz w:val="22"/>
        </w:rPr>
        <w:t>i</w:t>
      </w:r>
      <w:r w:rsidRPr="2C973C4D">
        <w:rPr>
          <w:rFonts w:ascii="Franklin Gothic Book" w:hAnsi="Franklin Gothic Book"/>
          <w:sz w:val="22"/>
        </w:rPr>
        <w:t>sib</w:t>
      </w:r>
      <w:proofErr w:type="spellEnd"/>
      <w:r w:rsidRPr="2C973C4D">
        <w:rPr>
          <w:rFonts w:ascii="Franklin Gothic Book" w:hAnsi="Franklin Gothic Book"/>
          <w:sz w:val="22"/>
        </w:rPr>
        <w:t xml:space="preserve"> in </w:t>
      </w:r>
      <w:r w:rsidRPr="2C973C4D">
        <w:rPr>
          <w:rFonts w:ascii="Franklin Gothic Book" w:hAnsi="Franklin Gothic Book"/>
          <w:i/>
          <w:sz w:val="22"/>
        </w:rPr>
        <w:t>PIK3CA</w:t>
      </w:r>
      <w:r w:rsidRPr="2C973C4D">
        <w:rPr>
          <w:rFonts w:ascii="Franklin Gothic Book" w:hAnsi="Franklin Gothic Book"/>
          <w:sz w:val="22"/>
        </w:rPr>
        <w:t xml:space="preserve">-altered patients proposed a $400 fee for NGS testing for the detection of </w:t>
      </w:r>
      <w:r w:rsidRPr="2C973C4D">
        <w:rPr>
          <w:rFonts w:ascii="Franklin Gothic Book" w:hAnsi="Franklin Gothic Book"/>
          <w:i/>
          <w:sz w:val="22"/>
        </w:rPr>
        <w:t>PIK3CA</w:t>
      </w:r>
      <w:r w:rsidRPr="2C973C4D">
        <w:rPr>
          <w:rFonts w:ascii="Franklin Gothic Book" w:hAnsi="Franklin Gothic Book"/>
          <w:sz w:val="22"/>
        </w:rPr>
        <w:t xml:space="preserve"> alterations and the indicative cost for NGS testing was $350 to $400.</w:t>
      </w:r>
      <w:r w:rsidR="00346B4D" w:rsidRPr="2C973C4D">
        <w:rPr>
          <w:rFonts w:ascii="Franklin Gothic Book" w:hAnsi="Franklin Gothic Book"/>
          <w:sz w:val="22"/>
        </w:rPr>
        <w:t xml:space="preserve"> </w:t>
      </w:r>
      <w:r w:rsidR="00F96A38" w:rsidRPr="2C973C4D">
        <w:rPr>
          <w:rFonts w:ascii="Franklin Gothic Book" w:hAnsi="Franklin Gothic Book"/>
          <w:sz w:val="22"/>
        </w:rPr>
        <w:t xml:space="preserve">Note that </w:t>
      </w:r>
      <w:r w:rsidR="00346B4D" w:rsidRPr="2C973C4D">
        <w:rPr>
          <w:rFonts w:ascii="Franklin Gothic Book" w:hAnsi="Franklin Gothic Book"/>
          <w:sz w:val="22"/>
        </w:rPr>
        <w:t xml:space="preserve">MSAC application 1783 </w:t>
      </w:r>
      <w:r w:rsidR="00B2570C" w:rsidRPr="2C973C4D">
        <w:rPr>
          <w:rFonts w:ascii="Franklin Gothic Book" w:hAnsi="Franklin Gothic Book"/>
          <w:sz w:val="22"/>
        </w:rPr>
        <w:t xml:space="preserve">was considered by </w:t>
      </w:r>
      <w:r w:rsidR="00E66D4D" w:rsidRPr="2C973C4D">
        <w:rPr>
          <w:rFonts w:ascii="Franklin Gothic Book" w:hAnsi="Franklin Gothic Book"/>
          <w:sz w:val="22"/>
        </w:rPr>
        <w:t xml:space="preserve">PASC in August </w:t>
      </w:r>
      <w:r w:rsidR="006060BF" w:rsidRPr="2C973C4D">
        <w:rPr>
          <w:rFonts w:ascii="Franklin Gothic Book" w:hAnsi="Franklin Gothic Book"/>
          <w:sz w:val="22"/>
        </w:rPr>
        <w:t xml:space="preserve">2024 and </w:t>
      </w:r>
      <w:r w:rsidR="00346B4D" w:rsidRPr="2C973C4D">
        <w:rPr>
          <w:rFonts w:ascii="Franklin Gothic Book" w:hAnsi="Franklin Gothic Book"/>
          <w:sz w:val="22"/>
        </w:rPr>
        <w:t xml:space="preserve">has </w:t>
      </w:r>
      <w:r w:rsidR="006060BF" w:rsidRPr="2C973C4D">
        <w:rPr>
          <w:rFonts w:ascii="Franklin Gothic Book" w:hAnsi="Franklin Gothic Book"/>
          <w:sz w:val="22"/>
        </w:rPr>
        <w:t>yet to be</w:t>
      </w:r>
      <w:r w:rsidR="00F96A38" w:rsidRPr="2C973C4D">
        <w:rPr>
          <w:rFonts w:ascii="Franklin Gothic Book" w:hAnsi="Franklin Gothic Book"/>
          <w:sz w:val="22"/>
        </w:rPr>
        <w:t xml:space="preserve"> considered by MSAC. </w:t>
      </w:r>
    </w:p>
    <w:p w14:paraId="2C23D992" w14:textId="2A041BE1"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commentary considered the submission’s application of an 85% MBS benefit of </w:t>
      </w:r>
      <w:r w:rsidRPr="00C946D9">
        <w:rPr>
          <w:rFonts w:ascii="Franklin Gothic Book" w:hAnsi="Franklin Gothic Book"/>
          <w:sz w:val="22"/>
        </w:rPr>
        <w:t xml:space="preserve">$1,870 (i.e., $330 </w:t>
      </w:r>
      <w:r w:rsidRPr="003F6F2A">
        <w:rPr>
          <w:rFonts w:ascii="Franklin Gothic Book" w:hAnsi="Franklin Gothic Book"/>
          <w:sz w:val="22"/>
        </w:rPr>
        <w:t xml:space="preserve">out-of-pocket cost to the patient) was not reasonable given the Greatest Permissible Gap (GPG) would apply such that the MBS benefit to the patient </w:t>
      </w:r>
      <w:r w:rsidR="7662F113" w:rsidRPr="003F6F2A">
        <w:rPr>
          <w:rFonts w:ascii="Franklin Gothic Book" w:hAnsi="Franklin Gothic Book"/>
          <w:sz w:val="22"/>
        </w:rPr>
        <w:t xml:space="preserve">would </w:t>
      </w:r>
      <w:r w:rsidR="7662F113" w:rsidRPr="00C946D9">
        <w:rPr>
          <w:rFonts w:ascii="Franklin Gothic Book" w:hAnsi="Franklin Gothic Book"/>
          <w:sz w:val="22"/>
        </w:rPr>
        <w:t xml:space="preserve">be </w:t>
      </w:r>
      <w:r w:rsidRPr="00C946D9">
        <w:rPr>
          <w:rFonts w:ascii="Franklin Gothic Book" w:hAnsi="Franklin Gothic Book"/>
          <w:sz w:val="22"/>
        </w:rPr>
        <w:t>$2,101.30 (GPG</w:t>
      </w:r>
      <w:r w:rsidRPr="003F6F2A">
        <w:rPr>
          <w:rFonts w:ascii="Franklin Gothic Book" w:hAnsi="Franklin Gothic Book"/>
          <w:sz w:val="22"/>
        </w:rPr>
        <w:t xml:space="preserve"> of $98.70 as of 1 November 2023).  </w:t>
      </w:r>
    </w:p>
    <w:p w14:paraId="765E6F82" w14:textId="18AED046"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commentary also noted the submission did not describe how patients whose tumour tissue sample fails testing would be managed in practice. Additionally, given AKT pathway alterations are a somatic mutation, </w:t>
      </w:r>
      <w:r w:rsidR="79157939" w:rsidRPr="003F6F2A">
        <w:rPr>
          <w:rFonts w:ascii="Franklin Gothic Book" w:hAnsi="Franklin Gothic Book"/>
          <w:sz w:val="22"/>
        </w:rPr>
        <w:t xml:space="preserve">some </w:t>
      </w:r>
      <w:r w:rsidRPr="003F6F2A">
        <w:rPr>
          <w:rFonts w:ascii="Franklin Gothic Book" w:hAnsi="Franklin Gothic Book"/>
          <w:sz w:val="22"/>
        </w:rPr>
        <w:t xml:space="preserve">patients whose initial test result is non-positive </w:t>
      </w:r>
      <w:r w:rsidR="008E2FBB" w:rsidRPr="003F6F2A">
        <w:rPr>
          <w:rFonts w:ascii="Franklin Gothic Book" w:hAnsi="Franklin Gothic Book"/>
          <w:sz w:val="22"/>
        </w:rPr>
        <w:t xml:space="preserve">may </w:t>
      </w:r>
      <w:r w:rsidRPr="003F6F2A">
        <w:rPr>
          <w:rFonts w:ascii="Franklin Gothic Book" w:hAnsi="Franklin Gothic Book"/>
          <w:sz w:val="22"/>
        </w:rPr>
        <w:t>develop an AKT pathway alteration</w:t>
      </w:r>
      <w:r w:rsidR="326FC13A" w:rsidRPr="003F6F2A">
        <w:rPr>
          <w:rFonts w:ascii="Franklin Gothic Book" w:hAnsi="Franklin Gothic Book"/>
          <w:sz w:val="22"/>
        </w:rPr>
        <w:t xml:space="preserve"> after disease progression</w:t>
      </w:r>
      <w:r w:rsidR="32AC2F55" w:rsidRPr="003F6F2A">
        <w:rPr>
          <w:rFonts w:ascii="Franklin Gothic Book" w:hAnsi="Franklin Gothic Book"/>
          <w:sz w:val="22"/>
        </w:rPr>
        <w:t xml:space="preserve">. The commentary considered it unclear if these patients </w:t>
      </w:r>
      <w:r w:rsidRPr="003F6F2A">
        <w:rPr>
          <w:rFonts w:ascii="Franklin Gothic Book" w:hAnsi="Franklin Gothic Book"/>
          <w:sz w:val="22"/>
        </w:rPr>
        <w:t>would be eligible for a subsequent test. The MBS item descriptor testing is only ‘once per primary tumour diagnosis’, and the commentary considered this may present an equity issue for patients who pay out-of-pocket for subsequent testing.</w:t>
      </w:r>
    </w:p>
    <w:p w14:paraId="1FE8B448" w14:textId="77777777" w:rsidR="005D6D39" w:rsidRPr="003F6F2A" w:rsidRDefault="005D6D39"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12" w:name="_Toc93044759"/>
      <w:bookmarkStart w:id="13" w:name="_Toc93322893"/>
      <w:bookmarkStart w:id="14" w:name="_Toc177560709"/>
      <w:bookmarkEnd w:id="12"/>
      <w:bookmarkEnd w:id="13"/>
      <w:r w:rsidRPr="003F6F2A">
        <w:rPr>
          <w:rFonts w:ascii="Franklin Gothic Medium" w:hAnsi="Franklin Gothic Medium"/>
          <w:b w:val="0"/>
          <w:i w:val="0"/>
          <w:snapToGrid/>
          <w:color w:val="000000" w:themeColor="text1"/>
          <w:sz w:val="32"/>
          <w:szCs w:val="26"/>
        </w:rPr>
        <w:lastRenderedPageBreak/>
        <w:t>Population</w:t>
      </w:r>
      <w:bookmarkEnd w:id="14"/>
    </w:p>
    <w:p w14:paraId="3D58F0EB" w14:textId="79410184" w:rsidR="005D6D39" w:rsidRPr="003F6F2A" w:rsidRDefault="005D6D39" w:rsidP="005D6D39">
      <w:pPr>
        <w:rPr>
          <w:rFonts w:ascii="Franklin Gothic Book" w:hAnsi="Franklin Gothic Book"/>
          <w:sz w:val="22"/>
        </w:rPr>
      </w:pPr>
      <w:r w:rsidRPr="003F6F2A">
        <w:rPr>
          <w:rFonts w:ascii="Franklin Gothic Book" w:hAnsi="Franklin Gothic Book"/>
          <w:sz w:val="22"/>
        </w:rPr>
        <w:t>In 202</w:t>
      </w:r>
      <w:r w:rsidR="00185126" w:rsidRPr="003F6F2A">
        <w:rPr>
          <w:rFonts w:ascii="Franklin Gothic Book" w:hAnsi="Franklin Gothic Book"/>
          <w:sz w:val="22"/>
        </w:rPr>
        <w:t>3</w:t>
      </w:r>
      <w:r w:rsidRPr="003F6F2A">
        <w:rPr>
          <w:rFonts w:ascii="Franklin Gothic Book" w:hAnsi="Franklin Gothic Book"/>
          <w:sz w:val="22"/>
        </w:rPr>
        <w:t>, it was estimated that 20,</w:t>
      </w:r>
      <w:r w:rsidR="00185126" w:rsidRPr="003F6F2A">
        <w:rPr>
          <w:rFonts w:ascii="Franklin Gothic Book" w:hAnsi="Franklin Gothic Book"/>
          <w:sz w:val="22"/>
        </w:rPr>
        <w:t xml:space="preserve">672 </w:t>
      </w:r>
      <w:r w:rsidRPr="003F6F2A">
        <w:rPr>
          <w:rFonts w:ascii="Franklin Gothic Book" w:hAnsi="Franklin Gothic Book"/>
          <w:sz w:val="22"/>
        </w:rPr>
        <w:t>new cases of breast cancer were diagnosed in Australia,</w:t>
      </w:r>
      <w:r w:rsidRPr="003F6F2A">
        <w:rPr>
          <w:rStyle w:val="FootnoteReference"/>
          <w:rFonts w:ascii="Franklin Gothic Book" w:hAnsi="Franklin Gothic Book"/>
          <w:sz w:val="22"/>
        </w:rPr>
        <w:footnoteReference w:id="6"/>
      </w:r>
      <w:r w:rsidRPr="003F6F2A">
        <w:rPr>
          <w:rFonts w:ascii="Franklin Gothic Book" w:hAnsi="Franklin Gothic Book"/>
          <w:sz w:val="22"/>
        </w:rPr>
        <w:t xml:space="preserve"> approximately 70% of which were likely to be HR+/HER2-. HR+ breast cancer is characterised by cancer cells that have receptors for oestrogen and/or progesterone.</w:t>
      </w:r>
      <w:r w:rsidRPr="003F6F2A">
        <w:rPr>
          <w:rStyle w:val="FootnoteReference"/>
          <w:rFonts w:ascii="Franklin Gothic Book" w:hAnsi="Franklin Gothic Book"/>
          <w:sz w:val="22"/>
        </w:rPr>
        <w:footnoteReference w:id="7"/>
      </w:r>
      <w:r w:rsidRPr="003F6F2A">
        <w:rPr>
          <w:rFonts w:ascii="Franklin Gothic Book" w:hAnsi="Franklin Gothic Book"/>
          <w:sz w:val="22"/>
        </w:rPr>
        <w:t xml:space="preserve"> </w:t>
      </w:r>
    </w:p>
    <w:p w14:paraId="57F29AAA" w14:textId="5F290F84" w:rsidR="00F71B1B" w:rsidRPr="003F6F2A" w:rsidRDefault="005D6D39" w:rsidP="005D6D39">
      <w:pPr>
        <w:rPr>
          <w:rFonts w:ascii="Franklin Gothic Book" w:hAnsi="Franklin Gothic Book"/>
          <w:sz w:val="22"/>
        </w:rPr>
      </w:pPr>
      <w:r w:rsidRPr="003F6F2A">
        <w:rPr>
          <w:rFonts w:ascii="Franklin Gothic Book" w:hAnsi="Franklin Gothic Book"/>
          <w:sz w:val="22"/>
        </w:rPr>
        <w:t xml:space="preserve">The biomarkers addressed in this submission are the </w:t>
      </w:r>
      <w:r w:rsidRPr="003F6F2A">
        <w:rPr>
          <w:rFonts w:ascii="Franklin Gothic Book" w:hAnsi="Franklin Gothic Book"/>
          <w:i/>
          <w:iCs/>
          <w:sz w:val="22"/>
        </w:rPr>
        <w:t xml:space="preserve">PIK3CA, AKT1, </w:t>
      </w:r>
      <w:r w:rsidRPr="003F6F2A">
        <w:rPr>
          <w:rFonts w:ascii="Franklin Gothic Book" w:hAnsi="Franklin Gothic Book"/>
          <w:sz w:val="22"/>
        </w:rPr>
        <w:t xml:space="preserve">and </w:t>
      </w:r>
      <w:r w:rsidRPr="003F6F2A">
        <w:rPr>
          <w:rFonts w:ascii="Franklin Gothic Book" w:hAnsi="Franklin Gothic Book"/>
          <w:i/>
          <w:iCs/>
          <w:sz w:val="22"/>
        </w:rPr>
        <w:t>PTEN</w:t>
      </w:r>
      <w:r w:rsidRPr="003F6F2A">
        <w:rPr>
          <w:rFonts w:ascii="Franklin Gothic Book" w:hAnsi="Franklin Gothic Book"/>
          <w:sz w:val="22"/>
        </w:rPr>
        <w:t xml:space="preserve"> gene variants on the AKT signalling pathway. AKT pathway alterations (</w:t>
      </w:r>
      <w:r w:rsidRPr="003F6F2A">
        <w:rPr>
          <w:rFonts w:ascii="Franklin Gothic Book" w:hAnsi="Franklin Gothic Book"/>
          <w:i/>
          <w:iCs/>
          <w:sz w:val="22"/>
        </w:rPr>
        <w:t xml:space="preserve">PIK3CA, AKT1, </w:t>
      </w:r>
      <w:r w:rsidRPr="003F6F2A">
        <w:rPr>
          <w:rFonts w:ascii="Franklin Gothic Book" w:hAnsi="Franklin Gothic Book"/>
          <w:sz w:val="22"/>
        </w:rPr>
        <w:t>or</w:t>
      </w:r>
      <w:r w:rsidRPr="003F6F2A">
        <w:rPr>
          <w:rFonts w:ascii="Franklin Gothic Book" w:hAnsi="Franklin Gothic Book"/>
          <w:i/>
          <w:iCs/>
          <w:sz w:val="22"/>
        </w:rPr>
        <w:t xml:space="preserve"> PTEN</w:t>
      </w:r>
      <w:r w:rsidRPr="003F6F2A">
        <w:rPr>
          <w:rFonts w:ascii="Franklin Gothic Book" w:hAnsi="Franklin Gothic Book"/>
          <w:sz w:val="22"/>
        </w:rPr>
        <w:t xml:space="preserve">) are somatic variants that are common in patients with the HR+/HER2- subtype. The submission noted that up to 50% of patients may have an alteration, mainly caused by alterations in </w:t>
      </w:r>
      <w:r w:rsidRPr="003F6F2A">
        <w:rPr>
          <w:rFonts w:ascii="Franklin Gothic Book" w:hAnsi="Franklin Gothic Book"/>
          <w:i/>
          <w:iCs/>
          <w:sz w:val="22"/>
        </w:rPr>
        <w:t>PIK3CA</w:t>
      </w:r>
      <w:r w:rsidRPr="003F6F2A">
        <w:rPr>
          <w:rFonts w:ascii="Franklin Gothic Book" w:hAnsi="Franklin Gothic Book"/>
          <w:sz w:val="22"/>
        </w:rPr>
        <w:t xml:space="preserve"> (~35%) followed by </w:t>
      </w:r>
      <w:r w:rsidRPr="003F6F2A">
        <w:rPr>
          <w:rFonts w:ascii="Franklin Gothic Book" w:hAnsi="Franklin Gothic Book"/>
          <w:i/>
          <w:iCs/>
          <w:sz w:val="22"/>
        </w:rPr>
        <w:t>AKT1</w:t>
      </w:r>
      <w:r w:rsidRPr="003F6F2A">
        <w:rPr>
          <w:rFonts w:ascii="Franklin Gothic Book" w:hAnsi="Franklin Gothic Book"/>
          <w:sz w:val="22"/>
        </w:rPr>
        <w:t xml:space="preserve"> (~10%) and </w:t>
      </w:r>
      <w:r w:rsidRPr="003F6F2A">
        <w:rPr>
          <w:rFonts w:ascii="Franklin Gothic Book" w:hAnsi="Franklin Gothic Book"/>
          <w:i/>
          <w:iCs/>
          <w:sz w:val="22"/>
        </w:rPr>
        <w:t>PTEN</w:t>
      </w:r>
      <w:r w:rsidRPr="003F6F2A">
        <w:rPr>
          <w:rFonts w:ascii="Franklin Gothic Book" w:hAnsi="Franklin Gothic Book"/>
          <w:sz w:val="22"/>
        </w:rPr>
        <w:t xml:space="preserve"> (~5%).</w:t>
      </w:r>
      <w:r w:rsidR="005A2043" w:rsidRPr="003F6F2A">
        <w:rPr>
          <w:rFonts w:ascii="Franklin Gothic Book" w:hAnsi="Franklin Gothic Book"/>
          <w:sz w:val="22"/>
        </w:rPr>
        <w:t xml:space="preserve"> </w:t>
      </w:r>
      <w:r w:rsidR="00F71B1B" w:rsidRPr="003F6F2A">
        <w:rPr>
          <w:rFonts w:ascii="Franklin Gothic Book" w:hAnsi="Franklin Gothic Book"/>
          <w:sz w:val="22"/>
        </w:rPr>
        <w:t>This informed the prevalence in the economic model and financial estimates. However, the prevalence of AKT pathway alterations in the literature is variable (CAPItello-291 reported 40.8% [289/708] AKT pathway altered patients and Park 2024 reported ~60% AKT pathway altered patients) and Australian-specific rates are not known.</w:t>
      </w:r>
      <w:r w:rsidR="00F71B1B" w:rsidRPr="003F6F2A">
        <w:rPr>
          <w:rStyle w:val="FootnoteReference"/>
          <w:rFonts w:ascii="Franklin Gothic Book" w:hAnsi="Franklin Gothic Book"/>
          <w:sz w:val="22"/>
        </w:rPr>
        <w:footnoteReference w:id="8"/>
      </w:r>
    </w:p>
    <w:p w14:paraId="181F3B25" w14:textId="4D9AB4AF"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Pathogenic variations in the </w:t>
      </w:r>
      <w:r w:rsidRPr="003F6F2A">
        <w:rPr>
          <w:rFonts w:ascii="Franklin Gothic Book" w:hAnsi="Franklin Gothic Book"/>
          <w:i/>
          <w:iCs/>
          <w:sz w:val="22"/>
        </w:rPr>
        <w:t>PIK3CA</w:t>
      </w:r>
      <w:r w:rsidRPr="003F6F2A">
        <w:rPr>
          <w:rFonts w:ascii="Franklin Gothic Book" w:hAnsi="Franklin Gothic Book"/>
          <w:sz w:val="22"/>
        </w:rPr>
        <w:t xml:space="preserve">, </w:t>
      </w:r>
      <w:r w:rsidRPr="003F6F2A">
        <w:rPr>
          <w:rFonts w:ascii="Franklin Gothic Book" w:hAnsi="Franklin Gothic Book"/>
          <w:i/>
          <w:iCs/>
          <w:sz w:val="22"/>
        </w:rPr>
        <w:t>AKT</w:t>
      </w:r>
      <w:r w:rsidRPr="003F6F2A">
        <w:rPr>
          <w:rFonts w:ascii="Franklin Gothic Book" w:hAnsi="Franklin Gothic Book"/>
          <w:sz w:val="22"/>
        </w:rPr>
        <w:t xml:space="preserve">, or </w:t>
      </w:r>
      <w:r w:rsidRPr="003F6F2A">
        <w:rPr>
          <w:rFonts w:ascii="Franklin Gothic Book" w:hAnsi="Franklin Gothic Book"/>
          <w:i/>
          <w:iCs/>
          <w:sz w:val="22"/>
        </w:rPr>
        <w:t>PTEN</w:t>
      </w:r>
      <w:r w:rsidRPr="003F6F2A">
        <w:rPr>
          <w:rFonts w:ascii="Franklin Gothic Book" w:hAnsi="Franklin Gothic Book"/>
          <w:sz w:val="22"/>
        </w:rPr>
        <w:t xml:space="preserve"> (including </w:t>
      </w:r>
      <w:r w:rsidRPr="003F6F2A">
        <w:rPr>
          <w:rFonts w:ascii="Franklin Gothic Book" w:hAnsi="Franklin Gothic Book"/>
          <w:i/>
          <w:iCs/>
          <w:sz w:val="22"/>
        </w:rPr>
        <w:t>PTEN</w:t>
      </w:r>
      <w:r w:rsidRPr="003F6F2A">
        <w:rPr>
          <w:rFonts w:ascii="Franklin Gothic Book" w:hAnsi="Franklin Gothic Book"/>
          <w:sz w:val="22"/>
        </w:rPr>
        <w:t xml:space="preserve"> loss of function) </w:t>
      </w:r>
      <w:r w:rsidR="00970BB4" w:rsidRPr="003F6F2A">
        <w:rPr>
          <w:rFonts w:ascii="Franklin Gothic Book" w:hAnsi="Franklin Gothic Book"/>
          <w:sz w:val="22"/>
        </w:rPr>
        <w:t xml:space="preserve">genes </w:t>
      </w:r>
      <w:r w:rsidRPr="003F6F2A">
        <w:rPr>
          <w:rFonts w:ascii="Franklin Gothic Book" w:hAnsi="Franklin Gothic Book"/>
          <w:sz w:val="22"/>
        </w:rPr>
        <w:t>can lead to hyperactivation of the AKT signalling cascade resulting in proliferation and tumour progression. The AKT node in the signalling pathway has three isoforms (</w:t>
      </w:r>
      <w:r w:rsidRPr="003F6F2A">
        <w:rPr>
          <w:rFonts w:ascii="Franklin Gothic Book" w:hAnsi="Franklin Gothic Book"/>
          <w:i/>
          <w:iCs/>
          <w:sz w:val="22"/>
        </w:rPr>
        <w:t>AKT1</w:t>
      </w:r>
      <w:r w:rsidRPr="003F6F2A">
        <w:rPr>
          <w:rFonts w:ascii="Franklin Gothic Book" w:hAnsi="Franklin Gothic Book"/>
          <w:sz w:val="22"/>
        </w:rPr>
        <w:t xml:space="preserve">, </w:t>
      </w:r>
      <w:r w:rsidRPr="003F6F2A">
        <w:rPr>
          <w:rFonts w:ascii="Franklin Gothic Book" w:hAnsi="Franklin Gothic Book"/>
          <w:i/>
          <w:iCs/>
          <w:sz w:val="22"/>
        </w:rPr>
        <w:t>AKT2</w:t>
      </w:r>
      <w:r w:rsidRPr="003F6F2A">
        <w:rPr>
          <w:rFonts w:ascii="Franklin Gothic Book" w:hAnsi="Franklin Gothic Book"/>
          <w:sz w:val="22"/>
        </w:rPr>
        <w:t xml:space="preserve">, and </w:t>
      </w:r>
      <w:r w:rsidRPr="003F6F2A">
        <w:rPr>
          <w:rFonts w:ascii="Franklin Gothic Book" w:hAnsi="Franklin Gothic Book"/>
          <w:i/>
          <w:iCs/>
          <w:sz w:val="22"/>
        </w:rPr>
        <w:t>AKT3</w:t>
      </w:r>
      <w:r w:rsidRPr="003F6F2A">
        <w:rPr>
          <w:rFonts w:ascii="Franklin Gothic Book" w:hAnsi="Franklin Gothic Book"/>
          <w:sz w:val="22"/>
        </w:rPr>
        <w:t>) that are key downstream effectors that mediate cell proliferation and resistance to apoptosis. Alterations may present at the time of cancer recurrence and</w:t>
      </w:r>
      <w:r w:rsidR="5AC10227" w:rsidRPr="003F6F2A">
        <w:rPr>
          <w:rFonts w:ascii="Franklin Gothic Book" w:hAnsi="Franklin Gothic Book"/>
          <w:sz w:val="22"/>
        </w:rPr>
        <w:t>/</w:t>
      </w:r>
      <w:r w:rsidR="0038C535" w:rsidRPr="003F6F2A">
        <w:rPr>
          <w:rFonts w:ascii="Franklin Gothic Book" w:hAnsi="Franklin Gothic Book"/>
          <w:sz w:val="22"/>
        </w:rPr>
        <w:t>or</w:t>
      </w:r>
      <w:r w:rsidR="43CDEC55" w:rsidRPr="003F6F2A">
        <w:rPr>
          <w:rFonts w:ascii="Franklin Gothic Book" w:hAnsi="Franklin Gothic Book"/>
          <w:sz w:val="22"/>
        </w:rPr>
        <w:t xml:space="preserve"> may be</w:t>
      </w:r>
      <w:r w:rsidRPr="003F6F2A">
        <w:rPr>
          <w:rFonts w:ascii="Franklin Gothic Book" w:hAnsi="Franklin Gothic Book"/>
          <w:sz w:val="22"/>
        </w:rPr>
        <w:t xml:space="preserve"> acquired by means of previous treatment.</w:t>
      </w:r>
      <w:r w:rsidRPr="003F6F2A">
        <w:rPr>
          <w:rStyle w:val="FootnoteReference"/>
          <w:rFonts w:ascii="Franklin Gothic Book" w:hAnsi="Franklin Gothic Book"/>
          <w:sz w:val="22"/>
        </w:rPr>
        <w:footnoteReference w:id="9"/>
      </w:r>
    </w:p>
    <w:p w14:paraId="012CB0C5" w14:textId="62CBE0FD"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CAPI is a novel </w:t>
      </w:r>
      <w:proofErr w:type="spellStart"/>
      <w:r w:rsidRPr="003F6F2A">
        <w:rPr>
          <w:rFonts w:ascii="Franklin Gothic Book" w:hAnsi="Franklin Gothic Book"/>
          <w:sz w:val="22"/>
        </w:rPr>
        <w:t>pyrrolopyrimidine</w:t>
      </w:r>
      <w:proofErr w:type="spellEnd"/>
      <w:r w:rsidRPr="003F6F2A">
        <w:rPr>
          <w:rFonts w:ascii="Franklin Gothic Book" w:hAnsi="Franklin Gothic Book"/>
          <w:sz w:val="22"/>
        </w:rPr>
        <w:t>-derived compound, and is a potent, selective ATP-competitive inhibitor of all three AKT isoforms (</w:t>
      </w:r>
      <w:r w:rsidRPr="003F6F2A">
        <w:rPr>
          <w:rFonts w:ascii="Franklin Gothic Book" w:hAnsi="Franklin Gothic Book"/>
          <w:i/>
          <w:iCs/>
          <w:sz w:val="22"/>
        </w:rPr>
        <w:t>AKT 1/2/3</w:t>
      </w:r>
      <w:r w:rsidRPr="003F6F2A">
        <w:rPr>
          <w:rFonts w:ascii="Franklin Gothic Book" w:hAnsi="Franklin Gothic Book"/>
          <w:sz w:val="22"/>
        </w:rPr>
        <w:t>). FULV is an oestrogen receptor down-regulator. CAPI+FULV combination therapy concurrently targets the AKT pathway and oestrogen receptor signalling</w:t>
      </w:r>
      <w:r w:rsidR="1CCCE152" w:rsidRPr="003F6F2A">
        <w:rPr>
          <w:rFonts w:ascii="Franklin Gothic Book" w:hAnsi="Franklin Gothic Book"/>
          <w:sz w:val="22"/>
        </w:rPr>
        <w:t>,</w:t>
      </w:r>
      <w:r w:rsidRPr="003F6F2A">
        <w:rPr>
          <w:rFonts w:ascii="Franklin Gothic Book" w:hAnsi="Franklin Gothic Book"/>
          <w:sz w:val="22"/>
        </w:rPr>
        <w:t xml:space="preserve"> resulting in antiproliferative activity in breast cancer cells</w:t>
      </w:r>
      <w:r w:rsidR="6179EA97" w:rsidRPr="003F6F2A">
        <w:rPr>
          <w:rFonts w:ascii="Franklin Gothic Book" w:hAnsi="Franklin Gothic Book"/>
          <w:sz w:val="22"/>
        </w:rPr>
        <w:t>,</w:t>
      </w:r>
      <w:r w:rsidRPr="003F6F2A">
        <w:rPr>
          <w:rFonts w:ascii="Franklin Gothic Book" w:hAnsi="Franklin Gothic Book"/>
          <w:sz w:val="22"/>
        </w:rPr>
        <w:t xml:space="preserve"> and may restore the cancer cells’ sensitivity to ET.</w:t>
      </w:r>
      <w:r w:rsidR="001B7AA5" w:rsidRPr="003F6F2A">
        <w:rPr>
          <w:rStyle w:val="FootnoteReference"/>
          <w:rFonts w:ascii="Franklin Gothic Book" w:hAnsi="Franklin Gothic Book"/>
          <w:sz w:val="22"/>
        </w:rPr>
        <w:footnoteReference w:id="10"/>
      </w:r>
    </w:p>
    <w:p w14:paraId="2A861D21" w14:textId="790F0C42" w:rsidR="005D6D39" w:rsidRPr="003F6F2A" w:rsidRDefault="005D6D39" w:rsidP="005D6D39">
      <w:pPr>
        <w:rPr>
          <w:rFonts w:ascii="Franklin Gothic Book" w:hAnsi="Franklin Gothic Book" w:cs="Arial"/>
          <w:i/>
          <w:iCs/>
          <w:sz w:val="22"/>
        </w:rPr>
      </w:pPr>
      <w:r w:rsidRPr="003F6F2A">
        <w:rPr>
          <w:rFonts w:ascii="Franklin Gothic Book" w:hAnsi="Franklin Gothic Book"/>
          <w:sz w:val="22"/>
        </w:rPr>
        <w:t>The submission proposed that patients whose test result</w:t>
      </w:r>
      <w:r w:rsidR="008E0F5F" w:rsidRPr="003F6F2A">
        <w:rPr>
          <w:rFonts w:ascii="Franklin Gothic Book" w:hAnsi="Franklin Gothic Book"/>
          <w:sz w:val="22"/>
        </w:rPr>
        <w:t>s</w:t>
      </w:r>
      <w:r w:rsidRPr="003F6F2A">
        <w:rPr>
          <w:rFonts w:ascii="Franklin Gothic Book" w:hAnsi="Franklin Gothic Book"/>
          <w:sz w:val="22"/>
        </w:rPr>
        <w:t xml:space="preserve"> are positive to at least one of </w:t>
      </w:r>
      <w:r w:rsidRPr="003F6F2A">
        <w:rPr>
          <w:rFonts w:ascii="Franklin Gothic Book" w:hAnsi="Franklin Gothic Book"/>
          <w:i/>
          <w:iCs/>
          <w:sz w:val="22"/>
        </w:rPr>
        <w:t xml:space="preserve">PIK3CA, AKT1, </w:t>
      </w:r>
      <w:r w:rsidRPr="003F6F2A">
        <w:rPr>
          <w:rFonts w:ascii="Franklin Gothic Book" w:hAnsi="Franklin Gothic Book"/>
          <w:sz w:val="22"/>
        </w:rPr>
        <w:t>or</w:t>
      </w:r>
      <w:r w:rsidRPr="003F6F2A">
        <w:rPr>
          <w:rFonts w:ascii="Franklin Gothic Book" w:hAnsi="Franklin Gothic Book"/>
          <w:i/>
          <w:iCs/>
          <w:sz w:val="22"/>
        </w:rPr>
        <w:t xml:space="preserve"> PTEN</w:t>
      </w:r>
      <w:r w:rsidRPr="003F6F2A">
        <w:rPr>
          <w:rFonts w:ascii="Franklin Gothic Book" w:hAnsi="Franklin Gothic Book"/>
          <w:sz w:val="22"/>
        </w:rPr>
        <w:t xml:space="preserve"> alteration are eligible for treatment with CAPI+FULV</w:t>
      </w:r>
      <w:r w:rsidR="7C910D1C" w:rsidRPr="003F6F2A">
        <w:rPr>
          <w:rFonts w:ascii="Franklin Gothic Book" w:hAnsi="Franklin Gothic Book"/>
          <w:sz w:val="22"/>
        </w:rPr>
        <w:t>,</w:t>
      </w:r>
      <w:r w:rsidRPr="003F6F2A">
        <w:rPr>
          <w:rFonts w:ascii="Franklin Gothic Book" w:hAnsi="Franklin Gothic Book"/>
          <w:sz w:val="22"/>
        </w:rPr>
        <w:t xml:space="preserve"> </w:t>
      </w:r>
      <w:r w:rsidR="5862691C" w:rsidRPr="003F6F2A">
        <w:rPr>
          <w:rFonts w:ascii="Franklin Gothic Book" w:hAnsi="Franklin Gothic Book"/>
          <w:sz w:val="22"/>
        </w:rPr>
        <w:t>while</w:t>
      </w:r>
      <w:r w:rsidRPr="003F6F2A">
        <w:rPr>
          <w:rFonts w:ascii="Franklin Gothic Book" w:hAnsi="Franklin Gothic Book"/>
          <w:sz w:val="22"/>
        </w:rPr>
        <w:t xml:space="preserve"> patients whose test results are non-positive (i.e., a negative or unknown test result) are not eligible. </w:t>
      </w:r>
      <w:r w:rsidR="00256DF8" w:rsidRPr="003F6F2A">
        <w:rPr>
          <w:rFonts w:ascii="Franklin Gothic Book" w:hAnsi="Franklin Gothic Book"/>
          <w:sz w:val="22"/>
        </w:rPr>
        <w:t xml:space="preserve">In the CAPItello-291 trial, reasons for an unknown test result were due to pre-analytical failure (i.e., testing not performed </w:t>
      </w:r>
      <w:r w:rsidR="0047240F" w:rsidRPr="003F6F2A">
        <w:rPr>
          <w:rFonts w:ascii="Franklin Gothic Book" w:hAnsi="Franklin Gothic Book"/>
          <w:sz w:val="22"/>
        </w:rPr>
        <w:t xml:space="preserve">as </w:t>
      </w:r>
      <w:r w:rsidR="00256DF8" w:rsidRPr="003F6F2A">
        <w:rPr>
          <w:rFonts w:ascii="Franklin Gothic Book" w:hAnsi="Franklin Gothic Book"/>
          <w:sz w:val="22"/>
        </w:rPr>
        <w:t xml:space="preserve">the sample </w:t>
      </w:r>
      <w:r w:rsidR="0047240F" w:rsidRPr="003F6F2A">
        <w:rPr>
          <w:rFonts w:ascii="Franklin Gothic Book" w:hAnsi="Franklin Gothic Book"/>
          <w:sz w:val="22"/>
        </w:rPr>
        <w:t xml:space="preserve">did </w:t>
      </w:r>
      <w:r w:rsidR="00256DF8" w:rsidRPr="003F6F2A">
        <w:rPr>
          <w:rFonts w:ascii="Franklin Gothic Book" w:hAnsi="Franklin Gothic Book"/>
          <w:sz w:val="22"/>
        </w:rPr>
        <w:t xml:space="preserve">not </w:t>
      </w:r>
      <w:r w:rsidR="0047240F" w:rsidRPr="003F6F2A">
        <w:rPr>
          <w:rFonts w:ascii="Franklin Gothic Book" w:hAnsi="Franklin Gothic Book"/>
          <w:sz w:val="22"/>
        </w:rPr>
        <w:t xml:space="preserve">meet </w:t>
      </w:r>
      <w:r w:rsidR="00256DF8" w:rsidRPr="003F6F2A">
        <w:rPr>
          <w:rFonts w:ascii="Franklin Gothic Book" w:hAnsi="Franklin Gothic Book"/>
          <w:sz w:val="22"/>
        </w:rPr>
        <w:t xml:space="preserve">sample quality metrics at pathology review or did not meet wet lab processing quality metrics; 10.3% [73/708]), post-analytical failure (i.e., tumour tissue sample was not evaluable </w:t>
      </w:r>
      <w:r w:rsidR="0047240F" w:rsidRPr="003F6F2A">
        <w:rPr>
          <w:rFonts w:ascii="Franklin Gothic Book" w:hAnsi="Franklin Gothic Book"/>
          <w:sz w:val="22"/>
        </w:rPr>
        <w:t>as the</w:t>
      </w:r>
      <w:r w:rsidR="00256DF8" w:rsidRPr="003F6F2A">
        <w:rPr>
          <w:rFonts w:ascii="Franklin Gothic Book" w:hAnsi="Franklin Gothic Book"/>
          <w:sz w:val="22"/>
        </w:rPr>
        <w:t xml:space="preserve"> sample </w:t>
      </w:r>
      <w:r w:rsidR="0047240F" w:rsidRPr="003F6F2A">
        <w:rPr>
          <w:rFonts w:ascii="Franklin Gothic Book" w:hAnsi="Franklin Gothic Book"/>
          <w:sz w:val="22"/>
        </w:rPr>
        <w:t xml:space="preserve">did </w:t>
      </w:r>
      <w:r w:rsidR="00256DF8" w:rsidRPr="003F6F2A">
        <w:rPr>
          <w:rFonts w:ascii="Franklin Gothic Book" w:hAnsi="Franklin Gothic Book"/>
          <w:sz w:val="22"/>
        </w:rPr>
        <w:t>not</w:t>
      </w:r>
      <w:r w:rsidR="0047240F" w:rsidRPr="003F6F2A">
        <w:rPr>
          <w:rFonts w:ascii="Franklin Gothic Book" w:hAnsi="Franklin Gothic Book"/>
          <w:sz w:val="22"/>
        </w:rPr>
        <w:t xml:space="preserve"> meet </w:t>
      </w:r>
      <w:r w:rsidR="00256DF8" w:rsidRPr="003F6F2A">
        <w:rPr>
          <w:rFonts w:ascii="Franklin Gothic Book" w:hAnsi="Franklin Gothic Book"/>
          <w:sz w:val="22"/>
        </w:rPr>
        <w:t xml:space="preserve">bioinformatic quality metrics; 2.7% [19/708]) </w:t>
      </w:r>
      <w:r w:rsidR="000657C3" w:rsidRPr="003F6F2A">
        <w:rPr>
          <w:rFonts w:ascii="Franklin Gothic Book" w:hAnsi="Franklin Gothic Book"/>
          <w:sz w:val="22"/>
        </w:rPr>
        <w:t>or the tissue sample was not provided (2% [14/708])</w:t>
      </w:r>
      <w:r w:rsidR="00687287" w:rsidRPr="003F6F2A">
        <w:rPr>
          <w:rFonts w:ascii="Franklin Gothic Book" w:hAnsi="Franklin Gothic Book"/>
          <w:sz w:val="22"/>
        </w:rPr>
        <w:t>.</w:t>
      </w:r>
    </w:p>
    <w:p w14:paraId="7618513B" w14:textId="16657E3A"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commentary noted that PASC confirmed the test population should include patients with </w:t>
      </w:r>
      <w:r w:rsidR="2556CE36" w:rsidRPr="003F6F2A">
        <w:rPr>
          <w:rFonts w:ascii="Franklin Gothic Book" w:hAnsi="Franklin Gothic Book"/>
          <w:sz w:val="22"/>
        </w:rPr>
        <w:t xml:space="preserve">the </w:t>
      </w:r>
      <w:r w:rsidRPr="003F6F2A">
        <w:rPr>
          <w:rFonts w:ascii="Franklin Gothic Book" w:hAnsi="Franklin Gothic Book"/>
          <w:sz w:val="22"/>
        </w:rPr>
        <w:t xml:space="preserve">HER2- </w:t>
      </w:r>
      <w:r w:rsidR="688F02EA" w:rsidRPr="003F6F2A">
        <w:rPr>
          <w:rFonts w:ascii="Franklin Gothic Book" w:hAnsi="Franklin Gothic Book"/>
          <w:sz w:val="22"/>
        </w:rPr>
        <w:t>subtype</w:t>
      </w:r>
      <w:r w:rsidR="0038C535" w:rsidRPr="003F6F2A">
        <w:rPr>
          <w:rFonts w:ascii="Franklin Gothic Book" w:hAnsi="Franklin Gothic Book"/>
          <w:sz w:val="22"/>
        </w:rPr>
        <w:t xml:space="preserve"> </w:t>
      </w:r>
      <w:r w:rsidR="004E6C70" w:rsidRPr="003F6F2A">
        <w:rPr>
          <w:rFonts w:ascii="Franklin Gothic Book" w:hAnsi="Franklin Gothic Book"/>
          <w:sz w:val="22"/>
        </w:rPr>
        <w:t>(which includes</w:t>
      </w:r>
      <w:r w:rsidR="709A096A" w:rsidRPr="003F6F2A">
        <w:rPr>
          <w:rFonts w:ascii="Franklin Gothic Book" w:hAnsi="Franklin Gothic Book"/>
          <w:sz w:val="22"/>
        </w:rPr>
        <w:t xml:space="preserve"> the</w:t>
      </w:r>
      <w:r w:rsidRPr="003F6F2A">
        <w:rPr>
          <w:rFonts w:ascii="Franklin Gothic Book" w:hAnsi="Franklin Gothic Book"/>
          <w:sz w:val="22"/>
        </w:rPr>
        <w:t xml:space="preserve"> HER2-low subtype </w:t>
      </w:r>
      <w:r w:rsidR="00170330" w:rsidRPr="003F6F2A">
        <w:rPr>
          <w:rFonts w:ascii="Franklin Gothic Book" w:hAnsi="Franklin Gothic Book"/>
          <w:sz w:val="22"/>
        </w:rPr>
        <w:t>[</w:t>
      </w:r>
      <w:r w:rsidRPr="003F6F2A">
        <w:rPr>
          <w:rFonts w:ascii="Franklin Gothic Book" w:hAnsi="Franklin Gothic Book"/>
          <w:sz w:val="22"/>
        </w:rPr>
        <w:t>defined as IHC 2+ and ISH-</w:t>
      </w:r>
      <w:r w:rsidR="00170330" w:rsidRPr="003F6F2A">
        <w:rPr>
          <w:rFonts w:ascii="Franklin Gothic Book" w:hAnsi="Franklin Gothic Book"/>
          <w:sz w:val="22"/>
        </w:rPr>
        <w:t>]</w:t>
      </w:r>
      <w:r w:rsidR="004E6C70" w:rsidRPr="003F6F2A">
        <w:rPr>
          <w:rFonts w:ascii="Franklin Gothic Book" w:hAnsi="Franklin Gothic Book"/>
          <w:sz w:val="22"/>
        </w:rPr>
        <w:t>)</w:t>
      </w:r>
      <w:r w:rsidRPr="003F6F2A">
        <w:rPr>
          <w:rFonts w:ascii="Franklin Gothic Book" w:hAnsi="Franklin Gothic Book"/>
          <w:sz w:val="22"/>
        </w:rPr>
        <w:t>, who are currently not eligible for HER2 inhibitors (pp5-6, 1766 Ratified PICO Confirmation, April 2024 PASC Meeting).</w:t>
      </w:r>
      <w:r w:rsidRPr="003F6F2A" w:rsidDel="00B86F26">
        <w:rPr>
          <w:rFonts w:ascii="Franklin Gothic Book" w:hAnsi="Franklin Gothic Book"/>
          <w:sz w:val="22"/>
        </w:rPr>
        <w:t xml:space="preserve"> </w:t>
      </w:r>
      <w:r w:rsidRPr="003F6F2A">
        <w:rPr>
          <w:rFonts w:ascii="Franklin Gothic Book" w:hAnsi="Franklin Gothic Book"/>
          <w:sz w:val="22"/>
        </w:rPr>
        <w:t xml:space="preserve">The commentary also noted that the PBAC recommended the listing of trastuzumab </w:t>
      </w:r>
      <w:proofErr w:type="spellStart"/>
      <w:r w:rsidRPr="003F6F2A">
        <w:rPr>
          <w:rFonts w:ascii="Franklin Gothic Book" w:hAnsi="Franklin Gothic Book"/>
          <w:sz w:val="22"/>
        </w:rPr>
        <w:t>deruxtecan</w:t>
      </w:r>
      <w:proofErr w:type="spellEnd"/>
      <w:r w:rsidRPr="003F6F2A">
        <w:rPr>
          <w:rFonts w:ascii="Franklin Gothic Book" w:hAnsi="Franklin Gothic Book"/>
          <w:sz w:val="22"/>
        </w:rPr>
        <w:t xml:space="preserve"> (T-</w:t>
      </w:r>
      <w:proofErr w:type="spellStart"/>
      <w:r w:rsidRPr="003F6F2A">
        <w:rPr>
          <w:rFonts w:ascii="Franklin Gothic Book" w:hAnsi="Franklin Gothic Book"/>
          <w:sz w:val="22"/>
        </w:rPr>
        <w:t>DXd</w:t>
      </w:r>
      <w:proofErr w:type="spellEnd"/>
      <w:r w:rsidRPr="003F6F2A">
        <w:rPr>
          <w:rFonts w:ascii="Franklin Gothic Book" w:hAnsi="Franklin Gothic Book"/>
          <w:sz w:val="22"/>
        </w:rPr>
        <w:t>) for the treatment of patients with HER2-low unresectable or metastatic breast cancer at the March 2024 PBAC meeting</w:t>
      </w:r>
      <w:r w:rsidR="67953F45" w:rsidRPr="003F6F2A">
        <w:rPr>
          <w:rFonts w:ascii="Franklin Gothic Book" w:hAnsi="Franklin Gothic Book"/>
          <w:sz w:val="22"/>
        </w:rPr>
        <w:t>. Therefore</w:t>
      </w:r>
      <w:r w:rsidRPr="003F6F2A">
        <w:rPr>
          <w:rFonts w:ascii="Franklin Gothic Book" w:hAnsi="Franklin Gothic Book"/>
          <w:sz w:val="22"/>
        </w:rPr>
        <w:t xml:space="preserve"> T-</w:t>
      </w:r>
      <w:proofErr w:type="spellStart"/>
      <w:r w:rsidRPr="003F6F2A">
        <w:rPr>
          <w:rFonts w:ascii="Franklin Gothic Book" w:hAnsi="Franklin Gothic Book"/>
          <w:sz w:val="22"/>
        </w:rPr>
        <w:t>DXd</w:t>
      </w:r>
      <w:proofErr w:type="spellEnd"/>
      <w:r w:rsidRPr="003F6F2A">
        <w:rPr>
          <w:rFonts w:ascii="Franklin Gothic Book" w:hAnsi="Franklin Gothic Book"/>
          <w:sz w:val="22"/>
        </w:rPr>
        <w:t xml:space="preserve"> may be a comparator for a proportion of patients (see Section </w:t>
      </w:r>
      <w:r w:rsidR="00125801">
        <w:rPr>
          <w:rFonts w:ascii="Franklin Gothic Book" w:hAnsi="Franklin Gothic Book"/>
          <w:sz w:val="22"/>
        </w:rPr>
        <w:t>8</w:t>
      </w:r>
      <w:r w:rsidRPr="003F6F2A">
        <w:rPr>
          <w:rFonts w:ascii="Franklin Gothic Book" w:hAnsi="Franklin Gothic Book"/>
          <w:sz w:val="22"/>
        </w:rPr>
        <w:t>).</w:t>
      </w:r>
    </w:p>
    <w:p w14:paraId="1DF12C66" w14:textId="68915892"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clinical utility standard is the </w:t>
      </w:r>
      <w:proofErr w:type="spellStart"/>
      <w:r w:rsidRPr="003F6F2A">
        <w:rPr>
          <w:rFonts w:ascii="Franklin Gothic Book" w:hAnsi="Franklin Gothic Book"/>
          <w:sz w:val="22"/>
        </w:rPr>
        <w:t>FoundationOneCDx</w:t>
      </w:r>
      <w:proofErr w:type="spellEnd"/>
      <w:r w:rsidRPr="003F6F2A">
        <w:rPr>
          <w:rFonts w:ascii="Franklin Gothic Book" w:hAnsi="Franklin Gothic Book"/>
          <w:sz w:val="22"/>
        </w:rPr>
        <w:t xml:space="preserve"> </w:t>
      </w:r>
      <w:r w:rsidR="672E14F7" w:rsidRPr="003F6F2A">
        <w:rPr>
          <w:rFonts w:ascii="Franklin Gothic Book" w:hAnsi="Franklin Gothic Book"/>
          <w:sz w:val="22"/>
        </w:rPr>
        <w:t>assay</w:t>
      </w:r>
      <w:r w:rsidR="5912EE08" w:rsidRPr="003F6F2A">
        <w:rPr>
          <w:rFonts w:ascii="Franklin Gothic Book" w:hAnsi="Franklin Gothic Book"/>
          <w:sz w:val="22"/>
        </w:rPr>
        <w:t>, which</w:t>
      </w:r>
      <w:r w:rsidRPr="003F6F2A">
        <w:rPr>
          <w:rFonts w:ascii="Franklin Gothic Book" w:hAnsi="Franklin Gothic Book"/>
          <w:sz w:val="22"/>
        </w:rPr>
        <w:t xml:space="preserve"> was used in the pivotal trial, CAPItello-291</w:t>
      </w:r>
      <w:r w:rsidR="396C408E" w:rsidRPr="003F6F2A">
        <w:rPr>
          <w:rFonts w:ascii="Franklin Gothic Book" w:hAnsi="Franklin Gothic Book"/>
          <w:sz w:val="22"/>
        </w:rPr>
        <w:t>,</w:t>
      </w:r>
      <w:r w:rsidRPr="003F6F2A">
        <w:rPr>
          <w:rFonts w:ascii="Franklin Gothic Book" w:hAnsi="Franklin Gothic Book"/>
          <w:sz w:val="22"/>
        </w:rPr>
        <w:t xml:space="preserve"> for the detection of </w:t>
      </w:r>
      <w:r w:rsidRPr="003F6F2A">
        <w:rPr>
          <w:rFonts w:ascii="Franklin Gothic Book" w:hAnsi="Franklin Gothic Book"/>
          <w:i/>
          <w:iCs/>
          <w:sz w:val="22"/>
        </w:rPr>
        <w:t>PIK3CA</w:t>
      </w:r>
      <w:r w:rsidRPr="003F6F2A">
        <w:rPr>
          <w:rFonts w:ascii="Franklin Gothic Book" w:hAnsi="Franklin Gothic Book"/>
          <w:sz w:val="22"/>
        </w:rPr>
        <w:t xml:space="preserve">, </w:t>
      </w:r>
      <w:r w:rsidRPr="003F6F2A">
        <w:rPr>
          <w:rFonts w:ascii="Franklin Gothic Book" w:hAnsi="Franklin Gothic Book"/>
          <w:i/>
          <w:iCs/>
          <w:sz w:val="22"/>
        </w:rPr>
        <w:t>AKT1</w:t>
      </w:r>
      <w:r w:rsidRPr="003F6F2A">
        <w:rPr>
          <w:rFonts w:ascii="Franklin Gothic Book" w:hAnsi="Franklin Gothic Book"/>
          <w:sz w:val="22"/>
        </w:rPr>
        <w:t xml:space="preserve">, and </w:t>
      </w:r>
      <w:r w:rsidRPr="003F6F2A">
        <w:rPr>
          <w:rFonts w:ascii="Franklin Gothic Book" w:hAnsi="Franklin Gothic Book"/>
          <w:i/>
          <w:iCs/>
          <w:sz w:val="22"/>
        </w:rPr>
        <w:t>PTEN</w:t>
      </w:r>
      <w:r w:rsidRPr="003F6F2A">
        <w:rPr>
          <w:rFonts w:ascii="Franklin Gothic Book" w:hAnsi="Franklin Gothic Book"/>
          <w:sz w:val="22"/>
        </w:rPr>
        <w:t xml:space="preserve"> alterations. </w:t>
      </w:r>
      <w:proofErr w:type="spellStart"/>
      <w:r w:rsidRPr="003F6F2A">
        <w:rPr>
          <w:rFonts w:ascii="Franklin Gothic Book" w:hAnsi="Franklin Gothic Book"/>
          <w:sz w:val="22"/>
        </w:rPr>
        <w:t>FoundationOneCDx</w:t>
      </w:r>
      <w:proofErr w:type="spellEnd"/>
      <w:r w:rsidRPr="003F6F2A">
        <w:rPr>
          <w:rFonts w:ascii="Franklin Gothic Book" w:hAnsi="Franklin Gothic Book"/>
          <w:sz w:val="22"/>
        </w:rPr>
        <w:t xml:space="preserve"> is an </w:t>
      </w:r>
      <w:r w:rsidRPr="003F6F2A">
        <w:rPr>
          <w:rFonts w:ascii="Franklin Gothic Book" w:hAnsi="Franklin Gothic Book"/>
          <w:sz w:val="22"/>
        </w:rPr>
        <w:lastRenderedPageBreak/>
        <w:t xml:space="preserve">NGS-based IVD device for the detection of substitutions, insertion and deletion alterations (indels) and copy number alterations in 324 genes and select gene rearrangements, as well as genomic signatures including microsatellite instability, homologous recombination deficiency, and tumour mutational burden using DNA isolated from FFPE tumour tissue specimens. </w:t>
      </w:r>
    </w:p>
    <w:p w14:paraId="48410CC3" w14:textId="59B64BA1"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commentary noted that it is not clear how the </w:t>
      </w:r>
      <w:proofErr w:type="spellStart"/>
      <w:r w:rsidRPr="003F6F2A">
        <w:rPr>
          <w:rFonts w:ascii="Franklin Gothic Book" w:hAnsi="Franklin Gothic Book"/>
          <w:sz w:val="22"/>
        </w:rPr>
        <w:t>FoundationOneCDx</w:t>
      </w:r>
      <w:proofErr w:type="spellEnd"/>
      <w:r w:rsidRPr="003F6F2A">
        <w:rPr>
          <w:rFonts w:ascii="Franklin Gothic Book" w:hAnsi="Franklin Gothic Book"/>
          <w:sz w:val="22"/>
        </w:rPr>
        <w:t xml:space="preserve"> test compares with other commercial or in-house developed test</w:t>
      </w:r>
      <w:r w:rsidR="00444B66" w:rsidRPr="003F6F2A">
        <w:rPr>
          <w:rFonts w:ascii="Franklin Gothic Book" w:hAnsi="Franklin Gothic Book"/>
          <w:sz w:val="22"/>
        </w:rPr>
        <w:t>s</w:t>
      </w:r>
      <w:r w:rsidRPr="003F6F2A">
        <w:rPr>
          <w:rFonts w:ascii="Franklin Gothic Book" w:hAnsi="Franklin Gothic Book"/>
          <w:sz w:val="22"/>
        </w:rPr>
        <w:t xml:space="preserve">. The 1766 Ratified PICO Confirmation (p17) highlighted that it was uncertain whether </w:t>
      </w:r>
      <w:proofErr w:type="spellStart"/>
      <w:r w:rsidRPr="003F6F2A">
        <w:rPr>
          <w:rFonts w:ascii="Franklin Gothic Book" w:hAnsi="Franklin Gothic Book"/>
          <w:sz w:val="22"/>
        </w:rPr>
        <w:t>FoundationOneCDx</w:t>
      </w:r>
      <w:proofErr w:type="spellEnd"/>
      <w:r w:rsidRPr="003F6F2A">
        <w:rPr>
          <w:rFonts w:ascii="Franklin Gothic Book" w:hAnsi="Franklin Gothic Book"/>
          <w:sz w:val="22"/>
        </w:rPr>
        <w:t xml:space="preserve"> would be a suitable clinical utility standard, due to </w:t>
      </w:r>
      <w:r w:rsidR="6900EFB1" w:rsidRPr="003F6F2A">
        <w:rPr>
          <w:rFonts w:ascii="Franklin Gothic Book" w:hAnsi="Franklin Gothic Book"/>
          <w:sz w:val="22"/>
        </w:rPr>
        <w:t xml:space="preserve">its </w:t>
      </w:r>
      <w:r w:rsidRPr="003F6F2A">
        <w:rPr>
          <w:rFonts w:ascii="Franklin Gothic Book" w:hAnsi="Franklin Gothic Book"/>
          <w:sz w:val="22"/>
        </w:rPr>
        <w:t>uncertain concordance</w:t>
      </w:r>
      <w:r w:rsidR="2C889CA4" w:rsidRPr="003F6F2A">
        <w:rPr>
          <w:rFonts w:ascii="Franklin Gothic Book" w:hAnsi="Franklin Gothic Book"/>
          <w:sz w:val="22"/>
        </w:rPr>
        <w:t xml:space="preserve"> with such tests</w:t>
      </w:r>
      <w:r w:rsidR="0140CDF8" w:rsidRPr="003F6F2A">
        <w:rPr>
          <w:rFonts w:ascii="Franklin Gothic Book" w:hAnsi="Franklin Gothic Book"/>
          <w:sz w:val="22"/>
        </w:rPr>
        <w:t>.</w:t>
      </w:r>
      <w:r w:rsidRPr="003F6F2A">
        <w:rPr>
          <w:rFonts w:ascii="Franklin Gothic Book" w:hAnsi="Franklin Gothic Book"/>
          <w:sz w:val="22"/>
        </w:rPr>
        <w:t xml:space="preserve"> The FDA 2019</w:t>
      </w:r>
      <w:r w:rsidR="00170330" w:rsidRPr="003F6F2A">
        <w:rPr>
          <w:rStyle w:val="FootnoteReference"/>
          <w:rFonts w:ascii="Franklin Gothic Book" w:hAnsi="Franklin Gothic Book"/>
          <w:sz w:val="22"/>
        </w:rPr>
        <w:footnoteReference w:id="11"/>
      </w:r>
      <w:r w:rsidRPr="003F6F2A">
        <w:rPr>
          <w:rFonts w:ascii="Franklin Gothic Book" w:hAnsi="Franklin Gothic Book"/>
          <w:sz w:val="22"/>
        </w:rPr>
        <w:t xml:space="preserve"> and FDA 2023</w:t>
      </w:r>
      <w:r w:rsidR="00170330" w:rsidRPr="003F6F2A">
        <w:rPr>
          <w:rStyle w:val="FootnoteReference"/>
          <w:rFonts w:ascii="Franklin Gothic Book" w:hAnsi="Franklin Gothic Book"/>
          <w:sz w:val="22"/>
        </w:rPr>
        <w:footnoteReference w:id="12"/>
      </w:r>
      <w:r w:rsidRPr="003F6F2A">
        <w:rPr>
          <w:rFonts w:ascii="Franklin Gothic Book" w:hAnsi="Franklin Gothic Book"/>
          <w:sz w:val="22"/>
        </w:rPr>
        <w:t xml:space="preserve"> reported high concordance from the </w:t>
      </w:r>
      <w:proofErr w:type="spellStart"/>
      <w:r w:rsidRPr="003F6F2A">
        <w:rPr>
          <w:rFonts w:ascii="Franklin Gothic Book" w:hAnsi="Franklin Gothic Book"/>
          <w:sz w:val="22"/>
        </w:rPr>
        <w:t>FoundationOneCDx</w:t>
      </w:r>
      <w:proofErr w:type="spellEnd"/>
      <w:r w:rsidRPr="003F6F2A">
        <w:rPr>
          <w:rFonts w:ascii="Franklin Gothic Book" w:hAnsi="Franklin Gothic Book"/>
          <w:sz w:val="22"/>
        </w:rPr>
        <w:t xml:space="preserve"> against an ‘externally validated NGS’ (FDA 2019: 100% sensitivity/specificity; FDA 2023: 96% sensitivity, 99% specificity</w:t>
      </w:r>
      <w:r w:rsidR="0140CDF8" w:rsidRPr="003F6F2A">
        <w:rPr>
          <w:rFonts w:ascii="Franklin Gothic Book" w:hAnsi="Franklin Gothic Book"/>
          <w:sz w:val="22"/>
        </w:rPr>
        <w:t>)</w:t>
      </w:r>
      <w:r w:rsidR="4D97854F" w:rsidRPr="003F6F2A">
        <w:rPr>
          <w:rFonts w:ascii="Franklin Gothic Book" w:hAnsi="Franklin Gothic Book"/>
          <w:sz w:val="22"/>
        </w:rPr>
        <w:t>;</w:t>
      </w:r>
      <w:r w:rsidRPr="003F6F2A">
        <w:rPr>
          <w:rFonts w:ascii="Franklin Gothic Book" w:hAnsi="Franklin Gothic Book"/>
          <w:sz w:val="22"/>
        </w:rPr>
        <w:t xml:space="preserve"> however, the </w:t>
      </w:r>
      <w:r w:rsidR="79ED34F5" w:rsidRPr="003F6F2A">
        <w:rPr>
          <w:rFonts w:ascii="Franklin Gothic Book" w:hAnsi="Franklin Gothic Book"/>
          <w:sz w:val="22"/>
        </w:rPr>
        <w:t>broader</w:t>
      </w:r>
      <w:r w:rsidR="0140CDF8" w:rsidRPr="003F6F2A">
        <w:rPr>
          <w:rFonts w:ascii="Franklin Gothic Book" w:hAnsi="Franklin Gothic Book"/>
          <w:sz w:val="22"/>
        </w:rPr>
        <w:t xml:space="preserve"> </w:t>
      </w:r>
      <w:r w:rsidRPr="003F6F2A">
        <w:rPr>
          <w:rFonts w:ascii="Franklin Gothic Book" w:hAnsi="Franklin Gothic Book"/>
          <w:sz w:val="22"/>
        </w:rPr>
        <w:t xml:space="preserve">applicability of </w:t>
      </w:r>
      <w:r w:rsidR="5DEFEF29" w:rsidRPr="003F6F2A">
        <w:rPr>
          <w:rFonts w:ascii="Franklin Gothic Book" w:hAnsi="Franklin Gothic Book"/>
          <w:sz w:val="22"/>
        </w:rPr>
        <w:t xml:space="preserve">these </w:t>
      </w:r>
      <w:r w:rsidRPr="003F6F2A">
        <w:rPr>
          <w:rFonts w:ascii="Franklin Gothic Book" w:hAnsi="Franklin Gothic Book"/>
          <w:sz w:val="22"/>
        </w:rPr>
        <w:t>results was unclear</w:t>
      </w:r>
      <w:r w:rsidR="0020509D" w:rsidRPr="003F6F2A">
        <w:rPr>
          <w:rFonts w:ascii="Franklin Gothic Book" w:hAnsi="Franklin Gothic Book"/>
          <w:sz w:val="22"/>
        </w:rPr>
        <w:t xml:space="preserve"> due to the ‘externally validated NGS’ test not being identified</w:t>
      </w:r>
      <w:r w:rsidRPr="003F6F2A">
        <w:rPr>
          <w:rFonts w:ascii="Franklin Gothic Book" w:hAnsi="Franklin Gothic Book"/>
          <w:sz w:val="22"/>
        </w:rPr>
        <w:t xml:space="preserve"> (</w:t>
      </w:r>
      <w:r w:rsidR="003B180A">
        <w:rPr>
          <w:rFonts w:ascii="Franklin Gothic Book" w:hAnsi="Franklin Gothic Book"/>
          <w:sz w:val="22"/>
        </w:rPr>
        <w:t>see Section 12</w:t>
      </w:r>
      <w:r w:rsidRPr="003F6F2A">
        <w:rPr>
          <w:rFonts w:ascii="Franklin Gothic Book" w:hAnsi="Franklin Gothic Book"/>
          <w:sz w:val="22"/>
        </w:rPr>
        <w:t xml:space="preserve">). </w:t>
      </w:r>
    </w:p>
    <w:p w14:paraId="0293682A" w14:textId="4E034C9E"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As discussed in Section </w:t>
      </w:r>
      <w:r w:rsidR="00AF1CD9">
        <w:rPr>
          <w:rFonts w:ascii="Franklin Gothic Book" w:hAnsi="Franklin Gothic Book"/>
          <w:sz w:val="22"/>
        </w:rPr>
        <w:t>6</w:t>
      </w:r>
      <w:r w:rsidRPr="003F6F2A">
        <w:rPr>
          <w:rFonts w:ascii="Franklin Gothic Book" w:hAnsi="Franklin Gothic Book"/>
          <w:sz w:val="22"/>
        </w:rPr>
        <w:t xml:space="preserve">, the commentary considered the </w:t>
      </w:r>
      <w:r w:rsidR="76285527" w:rsidRPr="003F6F2A">
        <w:rPr>
          <w:rFonts w:ascii="Franklin Gothic Book" w:hAnsi="Franklin Gothic Book"/>
          <w:sz w:val="22"/>
        </w:rPr>
        <w:t xml:space="preserve">submission’s </w:t>
      </w:r>
      <w:r w:rsidRPr="003F6F2A">
        <w:rPr>
          <w:rFonts w:ascii="Franklin Gothic Book" w:hAnsi="Franklin Gothic Book"/>
          <w:sz w:val="22"/>
        </w:rPr>
        <w:t>test population was ambiguous</w:t>
      </w:r>
      <w:r w:rsidR="6F0CDF02" w:rsidRPr="003F6F2A">
        <w:rPr>
          <w:rFonts w:ascii="Franklin Gothic Book" w:hAnsi="Franklin Gothic Book"/>
          <w:sz w:val="22"/>
        </w:rPr>
        <w:t>,</w:t>
      </w:r>
      <w:r w:rsidR="0140CDF8" w:rsidRPr="003F6F2A">
        <w:rPr>
          <w:rFonts w:ascii="Franklin Gothic Book" w:hAnsi="Franklin Gothic Book"/>
          <w:sz w:val="22"/>
        </w:rPr>
        <w:t xml:space="preserve"> given the</w:t>
      </w:r>
      <w:r w:rsidR="7E7FF6FD" w:rsidRPr="003F6F2A">
        <w:rPr>
          <w:rFonts w:ascii="Franklin Gothic Book" w:hAnsi="Franklin Gothic Book"/>
          <w:sz w:val="22"/>
        </w:rPr>
        <w:t xml:space="preserve"> broader </w:t>
      </w:r>
      <w:r w:rsidR="0E911050" w:rsidRPr="003F6F2A">
        <w:rPr>
          <w:rFonts w:ascii="Franklin Gothic Book" w:hAnsi="Franklin Gothic Book"/>
          <w:sz w:val="22"/>
        </w:rPr>
        <w:t>scope of</w:t>
      </w:r>
      <w:r w:rsidRPr="003F6F2A">
        <w:rPr>
          <w:rFonts w:ascii="Franklin Gothic Book" w:hAnsi="Franklin Gothic Book"/>
          <w:sz w:val="22"/>
        </w:rPr>
        <w:t xml:space="preserve"> the criterion of “following disease progression or recurrence on or after an ET with or without a CDK4/6 inhibitor” </w:t>
      </w:r>
      <w:r w:rsidR="03CB816C" w:rsidRPr="003F6F2A">
        <w:rPr>
          <w:rFonts w:ascii="Franklin Gothic Book" w:hAnsi="Franklin Gothic Book"/>
          <w:sz w:val="22"/>
        </w:rPr>
        <w:t>compared to that proposed in the PICO</w:t>
      </w:r>
      <w:r w:rsidR="1CDBF135" w:rsidRPr="003F6F2A">
        <w:rPr>
          <w:rFonts w:ascii="Franklin Gothic Book" w:hAnsi="Franklin Gothic Book"/>
          <w:sz w:val="22"/>
        </w:rPr>
        <w:t xml:space="preserve"> confirmation</w:t>
      </w:r>
      <w:r w:rsidR="3CFDCACC" w:rsidRPr="003F6F2A">
        <w:rPr>
          <w:rFonts w:ascii="Franklin Gothic Book" w:hAnsi="Franklin Gothic Book"/>
          <w:sz w:val="22"/>
        </w:rPr>
        <w:t>,</w:t>
      </w:r>
      <w:r w:rsidR="0140CDF8" w:rsidRPr="003F6F2A">
        <w:rPr>
          <w:rFonts w:ascii="Franklin Gothic Book" w:hAnsi="Franklin Gothic Book"/>
          <w:sz w:val="22"/>
        </w:rPr>
        <w:t xml:space="preserve"> and </w:t>
      </w:r>
      <w:r w:rsidR="54170B50" w:rsidRPr="003F6F2A">
        <w:rPr>
          <w:rFonts w:ascii="Franklin Gothic Book" w:hAnsi="Franklin Gothic Book"/>
          <w:sz w:val="22"/>
        </w:rPr>
        <w:t xml:space="preserve">also </w:t>
      </w:r>
      <w:r w:rsidR="21D13E11" w:rsidRPr="003F6F2A">
        <w:rPr>
          <w:rFonts w:ascii="Franklin Gothic Book" w:hAnsi="Franklin Gothic Book"/>
          <w:sz w:val="22"/>
        </w:rPr>
        <w:t>because</w:t>
      </w:r>
      <w:r w:rsidRPr="003F6F2A">
        <w:rPr>
          <w:rFonts w:ascii="Franklin Gothic Book" w:hAnsi="Franklin Gothic Book"/>
          <w:sz w:val="22"/>
        </w:rPr>
        <w:t xml:space="preserve"> the proposed positioning of AKT pathway testing in the clinical management algorithm for </w:t>
      </w:r>
      <w:r w:rsidR="24E62DC1" w:rsidRPr="003F6F2A">
        <w:rPr>
          <w:rFonts w:ascii="Franklin Gothic Book" w:hAnsi="Franklin Gothic Book"/>
          <w:sz w:val="22"/>
        </w:rPr>
        <w:t xml:space="preserve">patients with </w:t>
      </w:r>
      <w:r w:rsidRPr="003F6F2A">
        <w:rPr>
          <w:rFonts w:ascii="Franklin Gothic Book" w:hAnsi="Franklin Gothic Book"/>
          <w:sz w:val="22"/>
        </w:rPr>
        <w:t>HR+/HER2- advanced or metastatic breast cancer was unclear.</w:t>
      </w:r>
    </w:p>
    <w:p w14:paraId="6C0FC622" w14:textId="77777777" w:rsidR="005D6D39" w:rsidRPr="003F6F2A" w:rsidRDefault="005D6D39"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15" w:name="_Toc177560710"/>
      <w:r w:rsidRPr="003F6F2A">
        <w:rPr>
          <w:rFonts w:ascii="Franklin Gothic Medium" w:hAnsi="Franklin Gothic Medium"/>
          <w:b w:val="0"/>
          <w:i w:val="0"/>
          <w:snapToGrid/>
          <w:color w:val="000000" w:themeColor="text1"/>
          <w:sz w:val="32"/>
          <w:szCs w:val="26"/>
        </w:rPr>
        <w:t>Comparator</w:t>
      </w:r>
      <w:bookmarkEnd w:id="15"/>
    </w:p>
    <w:p w14:paraId="3430ED02" w14:textId="0215AA28" w:rsidR="005D6D39" w:rsidRPr="003F6F2A" w:rsidRDefault="005D6D39" w:rsidP="005D6D39">
      <w:pPr>
        <w:rPr>
          <w:rFonts w:ascii="Franklin Gothic Book" w:hAnsi="Franklin Gothic Book"/>
          <w:i/>
          <w:sz w:val="22"/>
        </w:rPr>
      </w:pPr>
      <w:r w:rsidRPr="003F6F2A">
        <w:rPr>
          <w:rFonts w:ascii="Franklin Gothic Book" w:hAnsi="Franklin Gothic Book"/>
          <w:sz w:val="22"/>
        </w:rPr>
        <w:t xml:space="preserve">The comparator test was ‘no testing’. The commentary considered this </w:t>
      </w:r>
      <w:r w:rsidR="00995E3A" w:rsidRPr="003F6F2A">
        <w:rPr>
          <w:rFonts w:ascii="Franklin Gothic Book" w:hAnsi="Franklin Gothic Book"/>
          <w:sz w:val="22"/>
        </w:rPr>
        <w:t xml:space="preserve">was </w:t>
      </w:r>
      <w:r w:rsidRPr="003F6F2A">
        <w:rPr>
          <w:rFonts w:ascii="Franklin Gothic Book" w:hAnsi="Franklin Gothic Book"/>
          <w:sz w:val="22"/>
        </w:rPr>
        <w:t>reasonable and consistent with the ratified PICO confirmation</w:t>
      </w:r>
      <w:r w:rsidR="4E0E5699" w:rsidRPr="003F6F2A">
        <w:rPr>
          <w:rFonts w:ascii="Franklin Gothic Book" w:hAnsi="Franklin Gothic Book"/>
          <w:sz w:val="22"/>
        </w:rPr>
        <w:t>, in which</w:t>
      </w:r>
      <w:r w:rsidRPr="003F6F2A">
        <w:rPr>
          <w:rFonts w:ascii="Franklin Gothic Book" w:hAnsi="Franklin Gothic Book"/>
          <w:sz w:val="22"/>
        </w:rPr>
        <w:t xml:space="preserve"> PASC agreed that the test comparator was no tumour testing for AKT pathway alterations</w:t>
      </w:r>
      <w:r w:rsidR="3897C83E" w:rsidRPr="003F6F2A">
        <w:rPr>
          <w:rFonts w:ascii="Franklin Gothic Book" w:hAnsi="Franklin Gothic Book"/>
          <w:sz w:val="22"/>
        </w:rPr>
        <w:t>,</w:t>
      </w:r>
      <w:r w:rsidRPr="003F6F2A">
        <w:rPr>
          <w:rFonts w:ascii="Franklin Gothic Book" w:hAnsi="Franklin Gothic Book"/>
          <w:sz w:val="22"/>
        </w:rPr>
        <w:t xml:space="preserve"> and </w:t>
      </w:r>
      <w:r w:rsidR="7EE7A07D" w:rsidRPr="003F6F2A">
        <w:rPr>
          <w:rFonts w:ascii="Franklin Gothic Book" w:hAnsi="Franklin Gothic Book"/>
          <w:sz w:val="22"/>
        </w:rPr>
        <w:t xml:space="preserve">advised </w:t>
      </w:r>
      <w:r w:rsidR="0140CDF8" w:rsidRPr="003F6F2A">
        <w:rPr>
          <w:rFonts w:ascii="Franklin Gothic Book" w:hAnsi="Franklin Gothic Book"/>
          <w:sz w:val="22"/>
        </w:rPr>
        <w:t>that</w:t>
      </w:r>
      <w:r w:rsidRPr="003F6F2A">
        <w:rPr>
          <w:rFonts w:ascii="Franklin Gothic Book" w:hAnsi="Franklin Gothic Book"/>
          <w:sz w:val="22"/>
        </w:rPr>
        <w:t xml:space="preserve"> there was no subsidised test available to determine </w:t>
      </w:r>
      <w:r w:rsidRPr="003F6F2A" w:rsidDel="006F41D3">
        <w:rPr>
          <w:rFonts w:ascii="Franklin Gothic Book" w:hAnsi="Franklin Gothic Book"/>
          <w:sz w:val="22"/>
        </w:rPr>
        <w:t>AKT</w:t>
      </w:r>
      <w:r w:rsidR="006F41D3" w:rsidRPr="003F6F2A">
        <w:rPr>
          <w:rFonts w:ascii="Franklin Gothic Book" w:hAnsi="Franklin Gothic Book"/>
          <w:sz w:val="22"/>
        </w:rPr>
        <w:t xml:space="preserve"> pathway</w:t>
      </w:r>
      <w:r w:rsidRPr="003F6F2A">
        <w:rPr>
          <w:rFonts w:ascii="Franklin Gothic Book" w:hAnsi="Franklin Gothic Book"/>
          <w:sz w:val="22"/>
        </w:rPr>
        <w:t xml:space="preserve"> alteration status or to guide targeted treatment for </w:t>
      </w:r>
      <w:r w:rsidR="04868BF9" w:rsidRPr="003F6F2A">
        <w:rPr>
          <w:rFonts w:ascii="Franklin Gothic Book" w:hAnsi="Franklin Gothic Book"/>
          <w:sz w:val="22"/>
        </w:rPr>
        <w:t xml:space="preserve">patients with </w:t>
      </w:r>
      <w:r w:rsidRPr="003F6F2A">
        <w:rPr>
          <w:rFonts w:ascii="Franklin Gothic Book" w:hAnsi="Franklin Gothic Book"/>
          <w:sz w:val="22"/>
        </w:rPr>
        <w:t>HR+/HER2- advanced breast cancer (p15, 1766 Ratified PICO Confirmation, April 2024 PASC Meeting).</w:t>
      </w:r>
    </w:p>
    <w:p w14:paraId="54012A6F" w14:textId="77777777" w:rsidR="005D6D39" w:rsidRPr="003F6F2A" w:rsidRDefault="005D6D39" w:rsidP="005D6D39">
      <w:pPr>
        <w:rPr>
          <w:rFonts w:ascii="Franklin Gothic Book" w:hAnsi="Franklin Gothic Book"/>
          <w:sz w:val="22"/>
        </w:rPr>
      </w:pPr>
      <w:r w:rsidRPr="003F6F2A">
        <w:rPr>
          <w:rFonts w:ascii="Franklin Gothic Book" w:hAnsi="Franklin Gothic Book"/>
          <w:sz w:val="22"/>
        </w:rPr>
        <w:t xml:space="preserve">The comparator treatment was 2L standard of care (SOC), which the submission nominated to be FULV monotherapy. </w:t>
      </w:r>
    </w:p>
    <w:p w14:paraId="638AF4A7" w14:textId="33250D9B" w:rsidR="005D6D39" w:rsidRPr="003F6F2A" w:rsidRDefault="005D6D39" w:rsidP="003F6F2A">
      <w:pPr>
        <w:rPr>
          <w:rFonts w:ascii="Franklin Gothic Book" w:hAnsi="Franklin Gothic Book"/>
          <w:i/>
          <w:iCs/>
          <w:sz w:val="22"/>
        </w:rPr>
      </w:pPr>
      <w:r w:rsidRPr="003F6F2A">
        <w:rPr>
          <w:rFonts w:ascii="Franklin Gothic Book" w:hAnsi="Franklin Gothic Book"/>
          <w:sz w:val="22"/>
        </w:rPr>
        <w:t>The commentary considered the submission’s nomination of FULV monotherapy as the only comparator over other 2L SOC therapies was not adequately justified. The commentary noted the choice of comparator is complex, and there are subgroups of patients for whom a different therapy could be the appropriate comparator depending on the previous treatments or other biomarkers.</w:t>
      </w:r>
      <w:r w:rsidRPr="003F6F2A">
        <w:rPr>
          <w:rFonts w:ascii="Franklin Gothic Book" w:hAnsi="Franklin Gothic Book"/>
          <w:i/>
          <w:iCs/>
          <w:sz w:val="22"/>
        </w:rPr>
        <w:t xml:space="preserve"> </w:t>
      </w:r>
      <w:r w:rsidRPr="003F6F2A">
        <w:rPr>
          <w:rFonts w:ascii="Franklin Gothic Book" w:hAnsi="Franklin Gothic Book"/>
          <w:sz w:val="22"/>
        </w:rPr>
        <w:t>The commentary acknowledged that FULV monotherapy was aligned with the comparator in the pivotal trial</w:t>
      </w:r>
      <w:r w:rsidR="716AF09E" w:rsidRPr="003F6F2A">
        <w:rPr>
          <w:rFonts w:ascii="Franklin Gothic Book" w:hAnsi="Franklin Gothic Book"/>
          <w:sz w:val="22"/>
        </w:rPr>
        <w:t>;</w:t>
      </w:r>
      <w:r w:rsidRPr="003F6F2A">
        <w:rPr>
          <w:rFonts w:ascii="Franklin Gothic Book" w:hAnsi="Franklin Gothic Book"/>
          <w:sz w:val="22"/>
        </w:rPr>
        <w:t xml:space="preserve"> however, no clinical evidence against other comparators (beyond FULV monotherapy) was presented in the submission.</w:t>
      </w:r>
      <w:r w:rsidR="00D1249F">
        <w:rPr>
          <w:rFonts w:ascii="Franklin Gothic Book" w:hAnsi="Franklin Gothic Book"/>
          <w:sz w:val="22"/>
        </w:rPr>
        <w:t xml:space="preserve"> The commentary noted that there </w:t>
      </w:r>
      <w:r w:rsidR="00E1746B">
        <w:rPr>
          <w:rFonts w:ascii="Franklin Gothic Book" w:hAnsi="Franklin Gothic Book"/>
          <w:sz w:val="22"/>
        </w:rPr>
        <w:t>was</w:t>
      </w:r>
      <w:r w:rsidR="00D1249F">
        <w:rPr>
          <w:rFonts w:ascii="Franklin Gothic Book" w:hAnsi="Franklin Gothic Book"/>
          <w:sz w:val="22"/>
        </w:rPr>
        <w:t xml:space="preserve"> a range of p</w:t>
      </w:r>
      <w:r w:rsidRPr="003F6F2A">
        <w:rPr>
          <w:rFonts w:ascii="Franklin Gothic Book" w:hAnsi="Franklin Gothic Book"/>
          <w:sz w:val="22"/>
        </w:rPr>
        <w:t>otential comparators beyond FULV monotherapy</w:t>
      </w:r>
      <w:r w:rsidR="00D1249F">
        <w:rPr>
          <w:rFonts w:ascii="Franklin Gothic Book" w:hAnsi="Franklin Gothic Book"/>
          <w:sz w:val="22"/>
        </w:rPr>
        <w:t xml:space="preserve"> in the </w:t>
      </w:r>
      <w:r w:rsidR="00D1249F" w:rsidRPr="003F6F2A">
        <w:rPr>
          <w:rFonts w:ascii="Franklin Gothic Book" w:hAnsi="Franklin Gothic Book"/>
          <w:sz w:val="22"/>
        </w:rPr>
        <w:t>1L, 2L, and 3L</w:t>
      </w:r>
      <w:r w:rsidR="00D1249F">
        <w:rPr>
          <w:rFonts w:ascii="Franklin Gothic Book" w:hAnsi="Franklin Gothic Book"/>
          <w:sz w:val="22"/>
        </w:rPr>
        <w:t xml:space="preserve"> settings that may be relevant </w:t>
      </w:r>
      <w:r w:rsidR="00652B2D">
        <w:rPr>
          <w:rFonts w:ascii="Franklin Gothic Book" w:hAnsi="Franklin Gothic Book"/>
          <w:sz w:val="22"/>
        </w:rPr>
        <w:t xml:space="preserve">given that </w:t>
      </w:r>
      <w:r w:rsidRPr="003F6F2A">
        <w:rPr>
          <w:rFonts w:ascii="Franklin Gothic Book" w:hAnsi="Franklin Gothic Book"/>
          <w:sz w:val="22"/>
        </w:rPr>
        <w:t>the requested restriction would allow for treatment in the 1L advanced or metastatic setting and beyond.</w:t>
      </w:r>
      <w:r w:rsidRPr="003F6F2A">
        <w:rPr>
          <w:rFonts w:ascii="Franklin Gothic Book" w:hAnsi="Franklin Gothic Book"/>
          <w:i/>
          <w:iCs/>
          <w:sz w:val="22"/>
        </w:rPr>
        <w:t xml:space="preserve"> </w:t>
      </w:r>
    </w:p>
    <w:p w14:paraId="61C8552D" w14:textId="48941B2F" w:rsidR="005D6D39" w:rsidRDefault="009059E5" w:rsidP="009059E5">
      <w:pPr>
        <w:rPr>
          <w:rStyle w:val="InstructionalTextChar"/>
          <w:rFonts w:ascii="Franklin Gothic Book" w:hAnsi="Franklin Gothic Book"/>
          <w:color w:val="auto"/>
          <w:sz w:val="22"/>
        </w:rPr>
      </w:pPr>
      <w:r w:rsidRPr="003F6F2A">
        <w:rPr>
          <w:rFonts w:ascii="Franklin Gothic Book" w:hAnsi="Franklin Gothic Book"/>
          <w:sz w:val="22"/>
        </w:rPr>
        <w:t>W</w:t>
      </w:r>
      <w:r w:rsidR="005D6D39" w:rsidRPr="003F6F2A">
        <w:rPr>
          <w:rFonts w:ascii="Franklin Gothic Book" w:hAnsi="Franklin Gothic Book"/>
          <w:sz w:val="22"/>
        </w:rPr>
        <w:t xml:space="preserve">hile the nominated comparator of FULV monotherapy is a relevant 2L therapy, the commentary considered the appropriateness for FULV monotherapy </w:t>
      </w:r>
      <w:r w:rsidRPr="003F6F2A">
        <w:rPr>
          <w:rFonts w:ascii="Franklin Gothic Book" w:hAnsi="Franklin Gothic Book"/>
          <w:sz w:val="22"/>
        </w:rPr>
        <w:t>as</w:t>
      </w:r>
      <w:r w:rsidR="005D6D39" w:rsidRPr="003F6F2A">
        <w:rPr>
          <w:rFonts w:ascii="Franklin Gothic Book" w:hAnsi="Franklin Gothic Book"/>
          <w:sz w:val="22"/>
        </w:rPr>
        <w:t xml:space="preserve"> the main comparator is unclear</w:t>
      </w:r>
      <w:r w:rsidRPr="003F6F2A">
        <w:rPr>
          <w:rFonts w:ascii="Franklin Gothic Book" w:hAnsi="Franklin Gothic Book"/>
          <w:sz w:val="22"/>
        </w:rPr>
        <w:t xml:space="preserve">. The commentary noted that consideration should be given as to whether </w:t>
      </w:r>
      <w:r w:rsidRPr="003F6F2A">
        <w:rPr>
          <w:rStyle w:val="InstructionalTextChar"/>
          <w:rFonts w:ascii="Franklin Gothic Book" w:hAnsi="Franklin Gothic Book"/>
          <w:color w:val="auto"/>
          <w:sz w:val="22"/>
        </w:rPr>
        <w:t>other 2L SOC therapies, including ET+CDK4 inhibitor, EVE+EXE, olaparib and T-</w:t>
      </w:r>
      <w:proofErr w:type="spellStart"/>
      <w:r w:rsidRPr="003F6F2A">
        <w:rPr>
          <w:rStyle w:val="InstructionalTextChar"/>
          <w:rFonts w:ascii="Franklin Gothic Book" w:hAnsi="Franklin Gothic Book"/>
          <w:color w:val="auto"/>
          <w:sz w:val="22"/>
        </w:rPr>
        <w:t>DXd</w:t>
      </w:r>
      <w:proofErr w:type="spellEnd"/>
      <w:r w:rsidRPr="003F6F2A">
        <w:rPr>
          <w:rStyle w:val="InstructionalTextChar"/>
          <w:rFonts w:ascii="Franklin Gothic Book" w:hAnsi="Franklin Gothic Book"/>
          <w:color w:val="auto"/>
          <w:sz w:val="22"/>
        </w:rPr>
        <w:t xml:space="preserve"> should be considered as part of the comparator given that these therapies would be available as alternatives in some or </w:t>
      </w:r>
      <w:proofErr w:type="gramStart"/>
      <w:r w:rsidRPr="003F6F2A">
        <w:rPr>
          <w:rStyle w:val="InstructionalTextChar"/>
          <w:rFonts w:ascii="Franklin Gothic Book" w:hAnsi="Franklin Gothic Book"/>
          <w:color w:val="auto"/>
          <w:sz w:val="22"/>
        </w:rPr>
        <w:t>all of</w:t>
      </w:r>
      <w:proofErr w:type="gramEnd"/>
      <w:r w:rsidRPr="003F6F2A">
        <w:rPr>
          <w:rStyle w:val="InstructionalTextChar"/>
          <w:rFonts w:ascii="Franklin Gothic Book" w:hAnsi="Franklin Gothic Book"/>
          <w:color w:val="auto"/>
          <w:sz w:val="22"/>
        </w:rPr>
        <w:t xml:space="preserve"> the proposed CAPI+FULV patient population. </w:t>
      </w:r>
    </w:p>
    <w:p w14:paraId="2C14E15B" w14:textId="3FBE94D4" w:rsidR="003F6F2A" w:rsidRPr="003F6F2A" w:rsidRDefault="003F6F2A" w:rsidP="0045462B">
      <w:pPr>
        <w:pStyle w:val="Heading2"/>
        <w:numPr>
          <w:ilvl w:val="0"/>
          <w:numId w:val="18"/>
        </w:numPr>
        <w:spacing w:after="240"/>
        <w:ind w:hanging="720"/>
        <w:rPr>
          <w:rFonts w:ascii="Franklin Gothic Medium" w:hAnsi="Franklin Gothic Medium"/>
          <w:b w:val="0"/>
          <w:i w:val="0"/>
          <w:snapToGrid/>
          <w:color w:val="000000" w:themeColor="text1"/>
          <w:sz w:val="32"/>
          <w:szCs w:val="26"/>
        </w:rPr>
      </w:pPr>
      <w:bookmarkStart w:id="16" w:name="_Toc69491421"/>
      <w:r w:rsidRPr="003F6F2A">
        <w:rPr>
          <w:rFonts w:ascii="Franklin Gothic Medium" w:hAnsi="Franklin Gothic Medium"/>
          <w:b w:val="0"/>
          <w:i w:val="0"/>
          <w:snapToGrid/>
          <w:color w:val="000000" w:themeColor="text1"/>
          <w:sz w:val="32"/>
          <w:szCs w:val="26"/>
        </w:rPr>
        <w:lastRenderedPageBreak/>
        <w:t>Summary of public consultation input</w:t>
      </w:r>
      <w:bookmarkEnd w:id="16"/>
    </w:p>
    <w:p w14:paraId="4E39306A" w14:textId="22DD5EE0" w:rsidR="00722A23" w:rsidRPr="000C25E5" w:rsidRDefault="00136544" w:rsidP="000C25E5">
      <w:pPr>
        <w:rPr>
          <w:rFonts w:ascii="Franklin Gothic Book" w:hAnsi="Franklin Gothic Book"/>
          <w:sz w:val="22"/>
        </w:rPr>
      </w:pPr>
      <w:bookmarkStart w:id="17" w:name="_Hlk184719790"/>
      <w:r>
        <w:rPr>
          <w:rFonts w:ascii="Franklin Gothic Book" w:hAnsi="Franklin Gothic Book"/>
          <w:sz w:val="22"/>
        </w:rPr>
        <w:t>MSAC welcomed consultation input received for this application and noted the period for public consultation</w:t>
      </w:r>
      <w:r w:rsidR="008C4EDD">
        <w:rPr>
          <w:rFonts w:ascii="Franklin Gothic Book" w:hAnsi="Franklin Gothic Book"/>
          <w:sz w:val="22"/>
        </w:rPr>
        <w:t xml:space="preserve"> closed on 11 October 2024. </w:t>
      </w:r>
      <w:r w:rsidR="002F4C00">
        <w:rPr>
          <w:rFonts w:ascii="Franklin Gothic Book" w:hAnsi="Franklin Gothic Book"/>
          <w:sz w:val="22"/>
        </w:rPr>
        <w:t>Noting this was a codependent application, c</w:t>
      </w:r>
      <w:r w:rsidR="008C4EDD">
        <w:rPr>
          <w:rFonts w:ascii="Franklin Gothic Book" w:hAnsi="Franklin Gothic Book"/>
          <w:sz w:val="22"/>
        </w:rPr>
        <w:t xml:space="preserve">onsultation input had also been submitted </w:t>
      </w:r>
      <w:r w:rsidR="00587A6E">
        <w:rPr>
          <w:rFonts w:ascii="Franklin Gothic Book" w:hAnsi="Franklin Gothic Book"/>
          <w:sz w:val="22"/>
        </w:rPr>
        <w:t xml:space="preserve">relating </w:t>
      </w:r>
      <w:r w:rsidR="0073585E">
        <w:rPr>
          <w:rFonts w:ascii="Franklin Gothic Book" w:hAnsi="Franklin Gothic Book"/>
          <w:sz w:val="22"/>
        </w:rPr>
        <w:t>to</w:t>
      </w:r>
      <w:r w:rsidR="008C4EDD">
        <w:rPr>
          <w:rFonts w:ascii="Franklin Gothic Book" w:hAnsi="Franklin Gothic Book"/>
          <w:sz w:val="22"/>
        </w:rPr>
        <w:t xml:space="preserve"> the PBAC </w:t>
      </w:r>
      <w:r w:rsidR="0073585E">
        <w:rPr>
          <w:rFonts w:ascii="Franklin Gothic Book" w:hAnsi="Franklin Gothic Book"/>
          <w:sz w:val="22"/>
        </w:rPr>
        <w:t>submission</w:t>
      </w:r>
      <w:r w:rsidR="00367B53">
        <w:rPr>
          <w:rFonts w:ascii="Franklin Gothic Book" w:hAnsi="Franklin Gothic Book"/>
          <w:sz w:val="22"/>
        </w:rPr>
        <w:t>,</w:t>
      </w:r>
      <w:r w:rsidR="0073585E">
        <w:rPr>
          <w:rFonts w:ascii="Franklin Gothic Book" w:hAnsi="Franklin Gothic Book"/>
          <w:sz w:val="22"/>
        </w:rPr>
        <w:t xml:space="preserve"> </w:t>
      </w:r>
      <w:r w:rsidR="00A73F5A">
        <w:rPr>
          <w:rFonts w:ascii="Franklin Gothic Book" w:hAnsi="Franklin Gothic Book"/>
          <w:sz w:val="22"/>
        </w:rPr>
        <w:t>which can be referred to in the PBAC Public Summary Document (PSD)</w:t>
      </w:r>
      <w:r w:rsidR="00892B0B">
        <w:rPr>
          <w:rFonts w:ascii="Franklin Gothic Book" w:hAnsi="Franklin Gothic Book"/>
          <w:sz w:val="22"/>
        </w:rPr>
        <w:t xml:space="preserve"> for </w:t>
      </w:r>
      <w:r w:rsidR="00367B53">
        <w:rPr>
          <w:rFonts w:ascii="Franklin Gothic Book" w:hAnsi="Franklin Gothic Book"/>
          <w:sz w:val="22"/>
        </w:rPr>
        <w:t>CAPI</w:t>
      </w:r>
      <w:r w:rsidR="00892B0B">
        <w:rPr>
          <w:rFonts w:ascii="Franklin Gothic Book" w:hAnsi="Franklin Gothic Book"/>
          <w:sz w:val="22"/>
        </w:rPr>
        <w:t xml:space="preserve"> following the November 2024 PBAC meeting</w:t>
      </w:r>
      <w:r w:rsidR="00A73F5A">
        <w:rPr>
          <w:rFonts w:ascii="Franklin Gothic Book" w:hAnsi="Franklin Gothic Book"/>
          <w:sz w:val="22"/>
        </w:rPr>
        <w:t>.</w:t>
      </w:r>
      <w:r>
        <w:rPr>
          <w:rFonts w:ascii="Franklin Gothic Book" w:hAnsi="Franklin Gothic Book"/>
          <w:sz w:val="22"/>
        </w:rPr>
        <w:t xml:space="preserve"> </w:t>
      </w:r>
      <w:r w:rsidR="00722A23" w:rsidRPr="000C25E5">
        <w:rPr>
          <w:rFonts w:ascii="Franklin Gothic Book" w:hAnsi="Franklin Gothic Book"/>
          <w:sz w:val="22"/>
        </w:rPr>
        <w:t xml:space="preserve">Consultation input </w:t>
      </w:r>
      <w:r w:rsidR="00892B0B">
        <w:rPr>
          <w:rFonts w:ascii="Franklin Gothic Book" w:hAnsi="Franklin Gothic Book"/>
          <w:sz w:val="22"/>
        </w:rPr>
        <w:t xml:space="preserve">to MSAC </w:t>
      </w:r>
      <w:r w:rsidR="00722A23" w:rsidRPr="000C25E5">
        <w:rPr>
          <w:rFonts w:ascii="Franklin Gothic Book" w:hAnsi="Franklin Gothic Book"/>
          <w:sz w:val="22"/>
        </w:rPr>
        <w:t>was welcomed from two professional organisations</w:t>
      </w:r>
      <w:r w:rsidR="00722A23" w:rsidRPr="00A85426">
        <w:rPr>
          <w:rFonts w:ascii="Franklin Gothic Book" w:hAnsi="Franklin Gothic Book"/>
          <w:sz w:val="22"/>
        </w:rPr>
        <w:t xml:space="preserve"> and one consumer group organisation</w:t>
      </w:r>
      <w:r w:rsidR="00722A23" w:rsidRPr="000C25E5">
        <w:rPr>
          <w:rFonts w:ascii="Franklin Gothic Book" w:hAnsi="Franklin Gothic Book"/>
          <w:sz w:val="22"/>
        </w:rPr>
        <w:t>: </w:t>
      </w:r>
      <w:bookmarkEnd w:id="17"/>
    </w:p>
    <w:p w14:paraId="427BF02E" w14:textId="77777777" w:rsidR="00C631A4" w:rsidRDefault="00722A23" w:rsidP="000C25E5">
      <w:pPr>
        <w:pStyle w:val="ListParagraph"/>
        <w:numPr>
          <w:ilvl w:val="0"/>
          <w:numId w:val="13"/>
        </w:numPr>
        <w:rPr>
          <w:rFonts w:ascii="Franklin Gothic Book" w:hAnsi="Franklin Gothic Book"/>
          <w:sz w:val="22"/>
        </w:rPr>
      </w:pPr>
      <w:r w:rsidRPr="00267008">
        <w:rPr>
          <w:rFonts w:ascii="Franklin Gothic Book" w:hAnsi="Franklin Gothic Book"/>
          <w:sz w:val="22"/>
        </w:rPr>
        <w:t>Australian Pathology  </w:t>
      </w:r>
    </w:p>
    <w:p w14:paraId="0682E35B" w14:textId="3961229B" w:rsidR="00892B0B" w:rsidRDefault="00722A23" w:rsidP="000C25E5">
      <w:pPr>
        <w:pStyle w:val="ListParagraph"/>
        <w:numPr>
          <w:ilvl w:val="0"/>
          <w:numId w:val="13"/>
        </w:numPr>
        <w:rPr>
          <w:rFonts w:ascii="Franklin Gothic Book" w:hAnsi="Franklin Gothic Book"/>
          <w:sz w:val="22"/>
        </w:rPr>
      </w:pPr>
      <w:r w:rsidRPr="00C631A4">
        <w:rPr>
          <w:rFonts w:ascii="Franklin Gothic Book" w:hAnsi="Franklin Gothic Book"/>
          <w:sz w:val="22"/>
        </w:rPr>
        <w:t>Breast Cancer Network Australia </w:t>
      </w:r>
      <w:r w:rsidR="00C06026">
        <w:rPr>
          <w:rFonts w:ascii="Franklin Gothic Book" w:hAnsi="Franklin Gothic Book"/>
          <w:sz w:val="22"/>
        </w:rPr>
        <w:t>(BCNA)</w:t>
      </w:r>
    </w:p>
    <w:p w14:paraId="2D4DD58E" w14:textId="293505D6" w:rsidR="00722A23" w:rsidRPr="00A85426" w:rsidRDefault="00892B0B" w:rsidP="000C25E5">
      <w:pPr>
        <w:pStyle w:val="ListParagraph"/>
        <w:numPr>
          <w:ilvl w:val="0"/>
          <w:numId w:val="13"/>
        </w:numPr>
        <w:rPr>
          <w:rFonts w:ascii="Franklin Gothic Book" w:hAnsi="Franklin Gothic Book"/>
          <w:sz w:val="22"/>
        </w:rPr>
      </w:pPr>
      <w:r w:rsidRPr="00A85426">
        <w:rPr>
          <w:rFonts w:ascii="Franklin Gothic Book" w:hAnsi="Franklin Gothic Book"/>
          <w:sz w:val="22"/>
        </w:rPr>
        <w:t>Lung Foundation Australia</w:t>
      </w:r>
      <w:r w:rsidR="00722A23" w:rsidRPr="00A85426">
        <w:rPr>
          <w:rFonts w:ascii="Franklin Gothic Book" w:hAnsi="Franklin Gothic Book"/>
          <w:sz w:val="22"/>
        </w:rPr>
        <w:t> </w:t>
      </w:r>
      <w:r w:rsidR="00FC0D7B" w:rsidRPr="00A85426">
        <w:rPr>
          <w:rFonts w:ascii="Franklin Gothic Book" w:hAnsi="Franklin Gothic Book"/>
          <w:sz w:val="22"/>
        </w:rPr>
        <w:t>(LFA)</w:t>
      </w:r>
    </w:p>
    <w:p w14:paraId="1E067624" w14:textId="77777777" w:rsidR="00722A23" w:rsidRPr="00C631A4" w:rsidRDefault="00722A23" w:rsidP="000C25E5">
      <w:pPr>
        <w:rPr>
          <w:rFonts w:ascii="Franklin Gothic Book" w:hAnsi="Franklin Gothic Book"/>
          <w:b/>
          <w:bCs/>
          <w:sz w:val="22"/>
        </w:rPr>
      </w:pPr>
      <w:r w:rsidRPr="00C631A4">
        <w:rPr>
          <w:rFonts w:ascii="Franklin Gothic Book" w:hAnsi="Franklin Gothic Book"/>
          <w:b/>
          <w:bCs/>
          <w:sz w:val="22"/>
        </w:rPr>
        <w:t>Benefits  </w:t>
      </w:r>
    </w:p>
    <w:p w14:paraId="0534FB95" w14:textId="5821FC61" w:rsidR="00746AEE" w:rsidRDefault="00746AEE" w:rsidP="000C25E5">
      <w:pPr>
        <w:rPr>
          <w:rFonts w:ascii="Franklin Gothic Book" w:hAnsi="Franklin Gothic Book"/>
          <w:sz w:val="22"/>
        </w:rPr>
      </w:pPr>
      <w:r w:rsidRPr="00746AEE">
        <w:rPr>
          <w:rFonts w:ascii="Franklin Gothic Book" w:hAnsi="Franklin Gothic Book"/>
          <w:sz w:val="22"/>
        </w:rPr>
        <w:t xml:space="preserve">The main benefits of public funding </w:t>
      </w:r>
      <w:r w:rsidR="001C618B">
        <w:rPr>
          <w:rFonts w:ascii="Franklin Gothic Book" w:hAnsi="Franklin Gothic Book"/>
          <w:sz w:val="22"/>
        </w:rPr>
        <w:t xml:space="preserve">provided through </w:t>
      </w:r>
      <w:r w:rsidRPr="00746AEE">
        <w:rPr>
          <w:rFonts w:ascii="Franklin Gothic Book" w:hAnsi="Franklin Gothic Book"/>
          <w:sz w:val="22"/>
        </w:rPr>
        <w:t xml:space="preserve">the consultation feedback included equitable access to the test. </w:t>
      </w:r>
      <w:r>
        <w:rPr>
          <w:rFonts w:ascii="Franklin Gothic Book" w:hAnsi="Franklin Gothic Book"/>
          <w:sz w:val="22"/>
        </w:rPr>
        <w:t xml:space="preserve">It was noted that </w:t>
      </w:r>
      <w:r w:rsidRPr="000C25E5">
        <w:rPr>
          <w:rFonts w:ascii="Franklin Gothic Book" w:hAnsi="Franklin Gothic Book"/>
          <w:sz w:val="22"/>
        </w:rPr>
        <w:t>current out of pocket cost</w:t>
      </w:r>
      <w:r>
        <w:rPr>
          <w:rFonts w:ascii="Franklin Gothic Book" w:hAnsi="Franklin Gothic Book"/>
          <w:sz w:val="22"/>
        </w:rPr>
        <w:t>s</w:t>
      </w:r>
      <w:r w:rsidRPr="000C25E5">
        <w:rPr>
          <w:rFonts w:ascii="Franklin Gothic Book" w:hAnsi="Franklin Gothic Book"/>
          <w:sz w:val="22"/>
        </w:rPr>
        <w:t xml:space="preserve"> of this test is between $3,000-$5</w:t>
      </w:r>
      <w:r w:rsidR="00367B53">
        <w:rPr>
          <w:rFonts w:ascii="Franklin Gothic Book" w:hAnsi="Franklin Gothic Book"/>
          <w:sz w:val="22"/>
        </w:rPr>
        <w:t>,</w:t>
      </w:r>
      <w:r w:rsidRPr="000C25E5">
        <w:rPr>
          <w:rFonts w:ascii="Franklin Gothic Book" w:hAnsi="Franklin Gothic Book"/>
          <w:sz w:val="22"/>
        </w:rPr>
        <w:t>000 </w:t>
      </w:r>
      <w:r>
        <w:rPr>
          <w:rFonts w:ascii="Franklin Gothic Book" w:hAnsi="Franklin Gothic Book"/>
          <w:sz w:val="22"/>
        </w:rPr>
        <w:t xml:space="preserve">for individuals. </w:t>
      </w:r>
    </w:p>
    <w:p w14:paraId="3082CA97" w14:textId="469A587D" w:rsidR="00722A23" w:rsidRPr="000C25E5" w:rsidRDefault="00C60848" w:rsidP="000C25E5">
      <w:pPr>
        <w:rPr>
          <w:rFonts w:ascii="Franklin Gothic Book" w:hAnsi="Franklin Gothic Book"/>
          <w:sz w:val="22"/>
        </w:rPr>
      </w:pPr>
      <w:r>
        <w:rPr>
          <w:rFonts w:ascii="Franklin Gothic Book" w:hAnsi="Franklin Gothic Book"/>
          <w:sz w:val="22"/>
        </w:rPr>
        <w:t xml:space="preserve">Respondents </w:t>
      </w:r>
      <w:r w:rsidR="00A362B3">
        <w:rPr>
          <w:rFonts w:ascii="Franklin Gothic Book" w:hAnsi="Franklin Gothic Book"/>
          <w:sz w:val="22"/>
        </w:rPr>
        <w:t>agreed on</w:t>
      </w:r>
      <w:r>
        <w:rPr>
          <w:rFonts w:ascii="Franklin Gothic Book" w:hAnsi="Franklin Gothic Book"/>
          <w:sz w:val="22"/>
        </w:rPr>
        <w:t xml:space="preserve"> the importance of ensuring treatments are </w:t>
      </w:r>
      <w:r w:rsidR="009326CD">
        <w:rPr>
          <w:rFonts w:ascii="Franklin Gothic Book" w:hAnsi="Franklin Gothic Book"/>
          <w:sz w:val="22"/>
        </w:rPr>
        <w:t xml:space="preserve">delivered when clinically </w:t>
      </w:r>
      <w:proofErr w:type="gramStart"/>
      <w:r w:rsidR="009326CD">
        <w:rPr>
          <w:rFonts w:ascii="Franklin Gothic Book" w:hAnsi="Franklin Gothic Book"/>
          <w:sz w:val="22"/>
        </w:rPr>
        <w:t>appropriate</w:t>
      </w:r>
      <w:r w:rsidR="00E3352A">
        <w:rPr>
          <w:rFonts w:ascii="Franklin Gothic Book" w:hAnsi="Franklin Gothic Book"/>
          <w:sz w:val="22"/>
        </w:rPr>
        <w:t>,</w:t>
      </w:r>
      <w:r w:rsidR="009326CD">
        <w:rPr>
          <w:rFonts w:ascii="Franklin Gothic Book" w:hAnsi="Franklin Gothic Book"/>
          <w:sz w:val="22"/>
        </w:rPr>
        <w:t xml:space="preserve"> and</w:t>
      </w:r>
      <w:proofErr w:type="gramEnd"/>
      <w:r w:rsidR="009326CD">
        <w:rPr>
          <w:rFonts w:ascii="Franklin Gothic Book" w:hAnsi="Franklin Gothic Book"/>
          <w:sz w:val="22"/>
        </w:rPr>
        <w:t xml:space="preserve"> considered that this test ensures </w:t>
      </w:r>
      <w:r w:rsidR="00367B53">
        <w:rPr>
          <w:rFonts w:ascii="Franklin Gothic Book" w:hAnsi="Franklin Gothic Book"/>
          <w:sz w:val="22"/>
        </w:rPr>
        <w:t>CAPI</w:t>
      </w:r>
      <w:r w:rsidR="009326CD">
        <w:rPr>
          <w:rFonts w:ascii="Franklin Gothic Book" w:hAnsi="Franklin Gothic Book"/>
          <w:sz w:val="22"/>
        </w:rPr>
        <w:t xml:space="preserve"> </w:t>
      </w:r>
      <w:r w:rsidR="001C618B">
        <w:rPr>
          <w:rFonts w:ascii="Franklin Gothic Book" w:hAnsi="Franklin Gothic Book"/>
          <w:sz w:val="22"/>
        </w:rPr>
        <w:t>would be</w:t>
      </w:r>
      <w:r w:rsidR="009326CD">
        <w:rPr>
          <w:rFonts w:ascii="Franklin Gothic Book" w:hAnsi="Franklin Gothic Book"/>
          <w:sz w:val="22"/>
        </w:rPr>
        <w:t xml:space="preserve"> offered </w:t>
      </w:r>
      <w:r w:rsidR="00130F11">
        <w:rPr>
          <w:rFonts w:ascii="Franklin Gothic Book" w:hAnsi="Franklin Gothic Book"/>
          <w:sz w:val="22"/>
        </w:rPr>
        <w:t xml:space="preserve">to </w:t>
      </w:r>
      <w:r w:rsidR="001C618B">
        <w:rPr>
          <w:rFonts w:ascii="Franklin Gothic Book" w:hAnsi="Franklin Gothic Book"/>
          <w:sz w:val="22"/>
        </w:rPr>
        <w:t>patients</w:t>
      </w:r>
      <w:r w:rsidR="00130F11">
        <w:rPr>
          <w:rFonts w:ascii="Franklin Gothic Book" w:hAnsi="Franklin Gothic Book"/>
          <w:sz w:val="22"/>
        </w:rPr>
        <w:t xml:space="preserve"> </w:t>
      </w:r>
      <w:r w:rsidR="00527C39">
        <w:rPr>
          <w:rFonts w:ascii="Franklin Gothic Book" w:hAnsi="Franklin Gothic Book"/>
          <w:sz w:val="22"/>
        </w:rPr>
        <w:t xml:space="preserve">as a targeted treatment, </w:t>
      </w:r>
      <w:r w:rsidR="00E3352A">
        <w:rPr>
          <w:rFonts w:ascii="Franklin Gothic Book" w:hAnsi="Franklin Gothic Book"/>
          <w:sz w:val="22"/>
        </w:rPr>
        <w:t xml:space="preserve">which would result in </w:t>
      </w:r>
      <w:r w:rsidR="009E36CB">
        <w:rPr>
          <w:rFonts w:ascii="Franklin Gothic Book" w:hAnsi="Franklin Gothic Book"/>
          <w:sz w:val="22"/>
        </w:rPr>
        <w:t>treating those who</w:t>
      </w:r>
      <w:r w:rsidR="00130F11">
        <w:rPr>
          <w:rFonts w:ascii="Franklin Gothic Book" w:hAnsi="Franklin Gothic Book"/>
          <w:sz w:val="22"/>
        </w:rPr>
        <w:t xml:space="preserve"> </w:t>
      </w:r>
      <w:r w:rsidR="009E36CB">
        <w:rPr>
          <w:rFonts w:ascii="Franklin Gothic Book" w:hAnsi="Franklin Gothic Book"/>
          <w:sz w:val="22"/>
        </w:rPr>
        <w:t>are likely to</w:t>
      </w:r>
      <w:r w:rsidR="001C618B">
        <w:rPr>
          <w:rFonts w:ascii="Franklin Gothic Book" w:hAnsi="Franklin Gothic Book"/>
          <w:sz w:val="22"/>
        </w:rPr>
        <w:t xml:space="preserve"> </w:t>
      </w:r>
      <w:r w:rsidR="00130F11">
        <w:rPr>
          <w:rFonts w:ascii="Franklin Gothic Book" w:hAnsi="Franklin Gothic Book"/>
          <w:sz w:val="22"/>
        </w:rPr>
        <w:t>receive the most benefit</w:t>
      </w:r>
      <w:r w:rsidR="009E36CB">
        <w:rPr>
          <w:rFonts w:ascii="Franklin Gothic Book" w:hAnsi="Franklin Gothic Book"/>
          <w:sz w:val="22"/>
        </w:rPr>
        <w:t>,</w:t>
      </w:r>
      <w:r w:rsidR="00255FC0">
        <w:rPr>
          <w:rFonts w:ascii="Franklin Gothic Book" w:hAnsi="Franklin Gothic Book"/>
          <w:sz w:val="22"/>
        </w:rPr>
        <w:t xml:space="preserve"> </w:t>
      </w:r>
      <w:r w:rsidR="00130F11">
        <w:rPr>
          <w:rFonts w:ascii="Franklin Gothic Book" w:hAnsi="Franklin Gothic Book"/>
          <w:sz w:val="22"/>
        </w:rPr>
        <w:t>lead</w:t>
      </w:r>
      <w:r w:rsidR="009E36CB">
        <w:rPr>
          <w:rFonts w:ascii="Franklin Gothic Book" w:hAnsi="Franklin Gothic Book"/>
          <w:sz w:val="22"/>
        </w:rPr>
        <w:t>ing</w:t>
      </w:r>
      <w:r w:rsidR="00130F11">
        <w:rPr>
          <w:rFonts w:ascii="Franklin Gothic Book" w:hAnsi="Franklin Gothic Book"/>
          <w:sz w:val="22"/>
        </w:rPr>
        <w:t xml:space="preserve"> to clinically superior outcomes. </w:t>
      </w:r>
      <w:r w:rsidR="00722A23" w:rsidRPr="000C25E5">
        <w:rPr>
          <w:rFonts w:ascii="Franklin Gothic Book" w:hAnsi="Franklin Gothic Book"/>
          <w:sz w:val="22"/>
        </w:rPr>
        <w:t> </w:t>
      </w:r>
    </w:p>
    <w:p w14:paraId="24A2D2F5" w14:textId="77777777" w:rsidR="00722A23" w:rsidRPr="00C631A4" w:rsidRDefault="00722A23" w:rsidP="000C25E5">
      <w:pPr>
        <w:rPr>
          <w:rFonts w:ascii="Franklin Gothic Book" w:hAnsi="Franklin Gothic Book"/>
          <w:b/>
          <w:bCs/>
          <w:sz w:val="22"/>
        </w:rPr>
      </w:pPr>
      <w:r w:rsidRPr="00C631A4">
        <w:rPr>
          <w:rFonts w:ascii="Franklin Gothic Book" w:hAnsi="Franklin Gothic Book"/>
          <w:b/>
          <w:bCs/>
          <w:sz w:val="22"/>
        </w:rPr>
        <w:t>Disadvantages  </w:t>
      </w:r>
    </w:p>
    <w:p w14:paraId="1583BB27" w14:textId="2BB92F12" w:rsidR="00722A23" w:rsidRPr="000C25E5" w:rsidRDefault="00AD72BE" w:rsidP="000C25E5">
      <w:pPr>
        <w:rPr>
          <w:rFonts w:ascii="Franklin Gothic Book" w:hAnsi="Franklin Gothic Book"/>
          <w:sz w:val="22"/>
        </w:rPr>
      </w:pPr>
      <w:r>
        <w:rPr>
          <w:rFonts w:ascii="Franklin Gothic Book" w:hAnsi="Franklin Gothic Book"/>
          <w:sz w:val="22"/>
        </w:rPr>
        <w:t xml:space="preserve">The consultation input received did not point out any disadvantages with listing this test. </w:t>
      </w:r>
      <w:r w:rsidR="00722A23" w:rsidRPr="000C25E5">
        <w:rPr>
          <w:rFonts w:ascii="Franklin Gothic Book" w:hAnsi="Franklin Gothic Book"/>
          <w:sz w:val="22"/>
        </w:rPr>
        <w:t> </w:t>
      </w:r>
    </w:p>
    <w:p w14:paraId="5BBBE0B7" w14:textId="2AFE4F02" w:rsidR="00722A23" w:rsidRPr="00C631A4" w:rsidRDefault="00722A23" w:rsidP="000C25E5">
      <w:pPr>
        <w:rPr>
          <w:rFonts w:ascii="Franklin Gothic Book" w:hAnsi="Franklin Gothic Book"/>
          <w:b/>
          <w:bCs/>
          <w:sz w:val="22"/>
        </w:rPr>
      </w:pPr>
      <w:r w:rsidRPr="00C631A4">
        <w:rPr>
          <w:rFonts w:ascii="Franklin Gothic Book" w:hAnsi="Franklin Gothic Book"/>
          <w:b/>
          <w:bCs/>
          <w:sz w:val="22"/>
        </w:rPr>
        <w:t>Additional Comments  </w:t>
      </w:r>
    </w:p>
    <w:p w14:paraId="5B48334A" w14:textId="58559718" w:rsidR="00C06026" w:rsidRPr="000C25E5" w:rsidRDefault="00C06026" w:rsidP="00C06026">
      <w:pPr>
        <w:rPr>
          <w:rFonts w:ascii="Franklin Gothic Book" w:hAnsi="Franklin Gothic Book"/>
          <w:sz w:val="22"/>
        </w:rPr>
      </w:pPr>
      <w:r>
        <w:rPr>
          <w:rFonts w:ascii="Franklin Gothic Book" w:hAnsi="Franklin Gothic Book"/>
          <w:sz w:val="22"/>
        </w:rPr>
        <w:t>BCNA noted there are l</w:t>
      </w:r>
      <w:r w:rsidRPr="000C25E5">
        <w:rPr>
          <w:rFonts w:ascii="Franklin Gothic Book" w:hAnsi="Franklin Gothic Book"/>
          <w:sz w:val="22"/>
        </w:rPr>
        <w:t>imited treatment options for patients with locally advanced or metastatic HR</w:t>
      </w:r>
      <w:r w:rsidR="009E36CB">
        <w:rPr>
          <w:rFonts w:ascii="Franklin Gothic Book" w:hAnsi="Franklin Gothic Book"/>
          <w:sz w:val="22"/>
        </w:rPr>
        <w:t>+/</w:t>
      </w:r>
      <w:r w:rsidRPr="000C25E5">
        <w:rPr>
          <w:rFonts w:ascii="Franklin Gothic Book" w:hAnsi="Franklin Gothic Book"/>
          <w:sz w:val="22"/>
        </w:rPr>
        <w:t>HER2</w:t>
      </w:r>
      <w:r w:rsidR="009E36CB">
        <w:rPr>
          <w:rFonts w:ascii="Franklin Gothic Book" w:hAnsi="Franklin Gothic Book"/>
          <w:sz w:val="22"/>
        </w:rPr>
        <w:t>-</w:t>
      </w:r>
      <w:r w:rsidR="00255FC0">
        <w:rPr>
          <w:rFonts w:ascii="Franklin Gothic Book" w:hAnsi="Franklin Gothic Book"/>
          <w:sz w:val="22"/>
        </w:rPr>
        <w:t xml:space="preserve"> </w:t>
      </w:r>
      <w:r w:rsidRPr="000C25E5">
        <w:rPr>
          <w:rFonts w:ascii="Franklin Gothic Book" w:hAnsi="Franklin Gothic Book"/>
          <w:sz w:val="22"/>
        </w:rPr>
        <w:t>breast cancer who have developed resistance to endocrine therapies.  </w:t>
      </w:r>
    </w:p>
    <w:p w14:paraId="51A8BC33" w14:textId="66925520" w:rsidR="00722A23" w:rsidRDefault="00722A23" w:rsidP="000C25E5">
      <w:pPr>
        <w:rPr>
          <w:rFonts w:ascii="Franklin Gothic Book" w:hAnsi="Franklin Gothic Book"/>
          <w:sz w:val="22"/>
        </w:rPr>
      </w:pPr>
      <w:r w:rsidRPr="000C25E5">
        <w:rPr>
          <w:rFonts w:ascii="Franklin Gothic Book" w:hAnsi="Franklin Gothic Book"/>
          <w:sz w:val="22"/>
        </w:rPr>
        <w:t xml:space="preserve">Australian Pathology </w:t>
      </w:r>
      <w:r w:rsidR="00E85E20">
        <w:rPr>
          <w:rFonts w:ascii="Franklin Gothic Book" w:hAnsi="Franklin Gothic Book"/>
          <w:sz w:val="22"/>
        </w:rPr>
        <w:t>stated</w:t>
      </w:r>
      <w:r w:rsidRPr="000C25E5">
        <w:rPr>
          <w:rFonts w:ascii="Franklin Gothic Book" w:hAnsi="Franklin Gothic Book"/>
          <w:sz w:val="22"/>
        </w:rPr>
        <w:t xml:space="preserve"> </w:t>
      </w:r>
      <w:r w:rsidR="00E85E20">
        <w:rPr>
          <w:rFonts w:ascii="Franklin Gothic Book" w:hAnsi="Franklin Gothic Book"/>
          <w:sz w:val="22"/>
        </w:rPr>
        <w:t xml:space="preserve">that, </w:t>
      </w:r>
      <w:r w:rsidR="00204F92">
        <w:rPr>
          <w:rFonts w:ascii="Franklin Gothic Book" w:hAnsi="Franklin Gothic Book"/>
          <w:sz w:val="22"/>
        </w:rPr>
        <w:t>where a</w:t>
      </w:r>
      <w:r w:rsidRPr="000C25E5">
        <w:rPr>
          <w:rFonts w:ascii="Franklin Gothic Book" w:hAnsi="Franklin Gothic Book"/>
          <w:sz w:val="22"/>
        </w:rPr>
        <w:t xml:space="preserve"> medication </w:t>
      </w:r>
      <w:r w:rsidR="00F80199">
        <w:rPr>
          <w:rFonts w:ascii="Franklin Gothic Book" w:hAnsi="Franklin Gothic Book"/>
          <w:sz w:val="22"/>
        </w:rPr>
        <w:t>may</w:t>
      </w:r>
      <w:r w:rsidRPr="000C25E5">
        <w:rPr>
          <w:rFonts w:ascii="Franklin Gothic Book" w:hAnsi="Franklin Gothic Book"/>
          <w:sz w:val="22"/>
        </w:rPr>
        <w:t xml:space="preserve"> </w:t>
      </w:r>
      <w:r w:rsidR="00F80199">
        <w:rPr>
          <w:rFonts w:ascii="Franklin Gothic Book" w:hAnsi="Franklin Gothic Book"/>
          <w:sz w:val="22"/>
        </w:rPr>
        <w:t>be</w:t>
      </w:r>
      <w:r w:rsidRPr="000C25E5">
        <w:rPr>
          <w:rFonts w:ascii="Franklin Gothic Book" w:hAnsi="Franklin Gothic Book"/>
          <w:sz w:val="22"/>
        </w:rPr>
        <w:t xml:space="preserve"> listed under the PBS</w:t>
      </w:r>
      <w:r w:rsidR="00204F92">
        <w:rPr>
          <w:rFonts w:ascii="Franklin Gothic Book" w:hAnsi="Franklin Gothic Book"/>
          <w:sz w:val="22"/>
        </w:rPr>
        <w:t>,</w:t>
      </w:r>
      <w:r w:rsidRPr="000C25E5">
        <w:rPr>
          <w:rFonts w:ascii="Franklin Gothic Book" w:hAnsi="Franklin Gothic Book"/>
          <w:sz w:val="22"/>
        </w:rPr>
        <w:t xml:space="preserve"> the related genetic test </w:t>
      </w:r>
      <w:r w:rsidR="0030732D">
        <w:rPr>
          <w:rFonts w:ascii="Franklin Gothic Book" w:hAnsi="Franklin Gothic Book"/>
          <w:sz w:val="22"/>
        </w:rPr>
        <w:t xml:space="preserve">to qualify a patient for that treatment </w:t>
      </w:r>
      <w:r w:rsidRPr="000C25E5">
        <w:rPr>
          <w:rFonts w:ascii="Franklin Gothic Book" w:hAnsi="Franklin Gothic Book"/>
          <w:sz w:val="22"/>
        </w:rPr>
        <w:t>should also be publicly funded. </w:t>
      </w:r>
    </w:p>
    <w:p w14:paraId="150F16CD" w14:textId="0C6ECC1D" w:rsidR="001C618B" w:rsidRPr="00A85426" w:rsidRDefault="00FC0D7B" w:rsidP="000C25E5">
      <w:pPr>
        <w:rPr>
          <w:rFonts w:ascii="Franklin Gothic Book" w:hAnsi="Franklin Gothic Book"/>
          <w:sz w:val="22"/>
        </w:rPr>
      </w:pPr>
      <w:r w:rsidRPr="00A85426">
        <w:rPr>
          <w:rFonts w:ascii="Franklin Gothic Book" w:hAnsi="Franklin Gothic Book"/>
          <w:sz w:val="22"/>
        </w:rPr>
        <w:t xml:space="preserve">LFA </w:t>
      </w:r>
      <w:r w:rsidR="00527C39" w:rsidRPr="00A85426">
        <w:rPr>
          <w:rFonts w:ascii="Franklin Gothic Book" w:hAnsi="Franklin Gothic Book"/>
          <w:sz w:val="22"/>
        </w:rPr>
        <w:t>supported the listing of this test for the</w:t>
      </w:r>
      <w:r w:rsidR="00E85E20" w:rsidRPr="00A85426">
        <w:rPr>
          <w:rFonts w:ascii="Franklin Gothic Book" w:hAnsi="Franklin Gothic Book"/>
          <w:sz w:val="22"/>
        </w:rPr>
        <w:t xml:space="preserve"> proposed</w:t>
      </w:r>
      <w:r w:rsidR="00527C39" w:rsidRPr="00A85426">
        <w:rPr>
          <w:rFonts w:ascii="Franklin Gothic Book" w:hAnsi="Franklin Gothic Book"/>
          <w:sz w:val="22"/>
        </w:rPr>
        <w:t xml:space="preserve"> breast cancer population</w:t>
      </w:r>
      <w:r w:rsidR="00367B53" w:rsidRPr="00A85426">
        <w:rPr>
          <w:rFonts w:ascii="Franklin Gothic Book" w:hAnsi="Franklin Gothic Book"/>
          <w:sz w:val="22"/>
        </w:rPr>
        <w:t>;</w:t>
      </w:r>
      <w:r w:rsidR="00527C39" w:rsidRPr="00A85426">
        <w:rPr>
          <w:rFonts w:ascii="Franklin Gothic Book" w:hAnsi="Franklin Gothic Book"/>
          <w:sz w:val="22"/>
        </w:rPr>
        <w:t xml:space="preserve"> however, </w:t>
      </w:r>
      <w:r w:rsidR="00367B53" w:rsidRPr="00A85426">
        <w:rPr>
          <w:rFonts w:ascii="Franklin Gothic Book" w:hAnsi="Franklin Gothic Book"/>
          <w:sz w:val="22"/>
        </w:rPr>
        <w:t>it</w:t>
      </w:r>
      <w:r w:rsidR="00527C39" w:rsidRPr="00A85426">
        <w:rPr>
          <w:rFonts w:ascii="Franklin Gothic Book" w:hAnsi="Franklin Gothic Book"/>
          <w:sz w:val="22"/>
        </w:rPr>
        <w:t xml:space="preserve"> </w:t>
      </w:r>
      <w:r w:rsidRPr="00A85426">
        <w:rPr>
          <w:rFonts w:ascii="Franklin Gothic Book" w:hAnsi="Franklin Gothic Book"/>
          <w:sz w:val="22"/>
        </w:rPr>
        <w:t xml:space="preserve">considered </w:t>
      </w:r>
      <w:r w:rsidR="001C516A" w:rsidRPr="00A85426">
        <w:rPr>
          <w:rFonts w:ascii="Franklin Gothic Book" w:hAnsi="Franklin Gothic Book"/>
          <w:sz w:val="22"/>
        </w:rPr>
        <w:t xml:space="preserve">that a publicly funded test should also </w:t>
      </w:r>
      <w:r w:rsidR="00510EAA" w:rsidRPr="00A85426">
        <w:rPr>
          <w:rFonts w:ascii="Franklin Gothic Book" w:hAnsi="Franklin Gothic Book"/>
          <w:sz w:val="22"/>
        </w:rPr>
        <w:t>expand the population to include</w:t>
      </w:r>
      <w:r w:rsidR="001C516A" w:rsidRPr="00A85426">
        <w:rPr>
          <w:rFonts w:ascii="Franklin Gothic Book" w:hAnsi="Franklin Gothic Book"/>
          <w:sz w:val="22"/>
        </w:rPr>
        <w:t xml:space="preserve"> </w:t>
      </w:r>
      <w:r w:rsidR="00510EAA" w:rsidRPr="00A85426">
        <w:rPr>
          <w:rFonts w:ascii="Franklin Gothic Book" w:hAnsi="Franklin Gothic Book"/>
          <w:sz w:val="22"/>
        </w:rPr>
        <w:t xml:space="preserve">people with non-small cell lung cancer of whom they estimate 3-5% </w:t>
      </w:r>
      <w:r w:rsidR="00193875" w:rsidRPr="00A85426">
        <w:rPr>
          <w:rFonts w:ascii="Franklin Gothic Book" w:hAnsi="Franklin Gothic Book"/>
          <w:sz w:val="22"/>
        </w:rPr>
        <w:t>to also have alteration of the HER2 gene.</w:t>
      </w:r>
      <w:r w:rsidR="009B5857" w:rsidRPr="00A85426">
        <w:rPr>
          <w:rFonts w:ascii="Franklin Gothic Book" w:hAnsi="Franklin Gothic Book"/>
          <w:sz w:val="22"/>
        </w:rPr>
        <w:t xml:space="preserve"> </w:t>
      </w:r>
      <w:r w:rsidR="00E85E20" w:rsidRPr="00A85426">
        <w:rPr>
          <w:rFonts w:ascii="Franklin Gothic Book" w:hAnsi="Franklin Gothic Book"/>
          <w:sz w:val="22"/>
        </w:rPr>
        <w:t>It</w:t>
      </w:r>
      <w:r w:rsidR="009B5857" w:rsidRPr="00A85426">
        <w:rPr>
          <w:rFonts w:ascii="Franklin Gothic Book" w:hAnsi="Franklin Gothic Book"/>
          <w:sz w:val="22"/>
        </w:rPr>
        <w:t xml:space="preserve"> advocated that comprehensive genomic profiling (CGP) of patients with lung cancer will improve </w:t>
      </w:r>
      <w:r w:rsidR="00120B1D" w:rsidRPr="00A85426">
        <w:rPr>
          <w:rFonts w:ascii="Franklin Gothic Book" w:hAnsi="Franklin Gothic Book"/>
          <w:sz w:val="22"/>
        </w:rPr>
        <w:t xml:space="preserve">survival and quality of life for patients. </w:t>
      </w:r>
    </w:p>
    <w:p w14:paraId="3DD28CD7" w14:textId="4633709A" w:rsidR="005D6D39" w:rsidRDefault="0000303A" w:rsidP="00527C39">
      <w:pPr>
        <w:rPr>
          <w:rFonts w:ascii="Franklin Gothic Medium" w:hAnsi="Franklin Gothic Medium"/>
          <w:b/>
          <w:i/>
          <w:color w:val="000000" w:themeColor="text1"/>
          <w:sz w:val="32"/>
          <w:szCs w:val="26"/>
        </w:rPr>
      </w:pPr>
      <w:bookmarkStart w:id="18" w:name="_Toc177560711"/>
      <w:r>
        <w:rPr>
          <w:rFonts w:ascii="Franklin Gothic Medium" w:hAnsi="Franklin Gothic Medium"/>
          <w:color w:val="000000" w:themeColor="text1"/>
          <w:sz w:val="32"/>
          <w:szCs w:val="26"/>
        </w:rPr>
        <w:t xml:space="preserve">10 </w:t>
      </w:r>
      <w:r w:rsidR="005D6D39" w:rsidRPr="003F6F2A">
        <w:rPr>
          <w:rFonts w:ascii="Franklin Gothic Medium" w:hAnsi="Franklin Gothic Medium"/>
          <w:color w:val="000000" w:themeColor="text1"/>
          <w:sz w:val="32"/>
          <w:szCs w:val="26"/>
        </w:rPr>
        <w:t>Characteristics of the evidence base</w:t>
      </w:r>
      <w:bookmarkEnd w:id="18"/>
    </w:p>
    <w:p w14:paraId="2370A87D" w14:textId="60F74D9B" w:rsidR="00C92BD3" w:rsidRPr="003D6AD4" w:rsidRDefault="003F6F2A" w:rsidP="003D6AD4">
      <w:pPr>
        <w:pStyle w:val="Caption"/>
        <w:keepNext w:val="0"/>
        <w:keepLines w:val="0"/>
        <w:rPr>
          <w:rFonts w:ascii="Franklin Gothic Book" w:hAnsi="Franklin Gothic Book" w:cstheme="minorHAnsi"/>
          <w:b w:val="0"/>
          <w:sz w:val="22"/>
          <w:szCs w:val="22"/>
        </w:rPr>
      </w:pPr>
      <w:r w:rsidRPr="003F6F2A">
        <w:rPr>
          <w:rStyle w:val="InstructionalTextChar"/>
          <w:rFonts w:ascii="Franklin Gothic Book" w:hAnsi="Franklin Gothic Book"/>
          <w:b w:val="0"/>
          <w:color w:val="auto"/>
          <w:sz w:val="22"/>
          <w:szCs w:val="22"/>
        </w:rPr>
        <w:t xml:space="preserve">The summary of trials/studies informing the linked evidence approach are presented </w:t>
      </w:r>
      <w:r w:rsidRPr="00C24C30">
        <w:rPr>
          <w:rStyle w:val="InstructionalTextChar"/>
          <w:rFonts w:ascii="Franklin Gothic Book" w:hAnsi="Franklin Gothic Book"/>
          <w:b w:val="0"/>
          <w:color w:val="auto"/>
          <w:sz w:val="22"/>
          <w:szCs w:val="22"/>
        </w:rPr>
        <w:t xml:space="preserve">in </w:t>
      </w:r>
      <w:r w:rsidRPr="00C24C30">
        <w:rPr>
          <w:rFonts w:ascii="Franklin Gothic Book" w:hAnsi="Franklin Gothic Book"/>
          <w:b w:val="0"/>
          <w:sz w:val="22"/>
          <w:szCs w:val="22"/>
        </w:rPr>
        <w:t xml:space="preserve">Table </w:t>
      </w:r>
      <w:r w:rsidRPr="00C24C30">
        <w:rPr>
          <w:rFonts w:ascii="Franklin Gothic Book" w:hAnsi="Franklin Gothic Book"/>
          <w:b w:val="0"/>
          <w:sz w:val="22"/>
          <w:szCs w:val="22"/>
        </w:rPr>
        <w:fldChar w:fldCharType="begin"/>
      </w:r>
      <w:r w:rsidRPr="00C24C30">
        <w:rPr>
          <w:rFonts w:ascii="Franklin Gothic Book" w:hAnsi="Franklin Gothic Book"/>
          <w:b w:val="0"/>
          <w:sz w:val="22"/>
          <w:szCs w:val="22"/>
        </w:rPr>
        <w:instrText xml:space="preserve"> SEQ Table_MSAC. \* ARABIC </w:instrText>
      </w:r>
      <w:r w:rsidRPr="00C24C30">
        <w:rPr>
          <w:rFonts w:ascii="Franklin Gothic Book" w:hAnsi="Franklin Gothic Book"/>
          <w:b w:val="0"/>
          <w:sz w:val="22"/>
          <w:szCs w:val="22"/>
        </w:rPr>
        <w:fldChar w:fldCharType="separate"/>
      </w:r>
      <w:r w:rsidRPr="00C24C30">
        <w:rPr>
          <w:rFonts w:ascii="Franklin Gothic Book" w:hAnsi="Franklin Gothic Book"/>
          <w:b w:val="0"/>
          <w:noProof/>
          <w:sz w:val="22"/>
          <w:szCs w:val="22"/>
        </w:rPr>
        <w:t>5</w:t>
      </w:r>
      <w:r w:rsidRPr="00C24C30">
        <w:rPr>
          <w:rFonts w:ascii="Franklin Gothic Book" w:hAnsi="Franklin Gothic Book"/>
          <w:b w:val="0"/>
          <w:noProof/>
          <w:sz w:val="22"/>
          <w:szCs w:val="22"/>
        </w:rPr>
        <w:fldChar w:fldCharType="end"/>
      </w:r>
      <w:r w:rsidRPr="00C24C30">
        <w:rPr>
          <w:rStyle w:val="InstructionalTextChar"/>
          <w:rFonts w:ascii="Franklin Gothic Book" w:hAnsi="Franklin Gothic Book"/>
          <w:b w:val="0"/>
          <w:color w:val="auto"/>
          <w:sz w:val="22"/>
          <w:szCs w:val="22"/>
        </w:rPr>
        <w:t>.</w:t>
      </w:r>
    </w:p>
    <w:p w14:paraId="19C539F8" w14:textId="1949B2C8" w:rsidR="005D6D39" w:rsidRPr="003F6F2A" w:rsidRDefault="00A76519" w:rsidP="003F6F2A">
      <w:pPr>
        <w:pStyle w:val="Caption"/>
      </w:pPr>
      <w:r w:rsidRPr="003F6F2A">
        <w:lastRenderedPageBreak/>
        <w:t>Table</w:t>
      </w:r>
      <w:r w:rsidR="0016064D">
        <w:fldChar w:fldCharType="begin"/>
      </w:r>
      <w:r w:rsidR="0016064D">
        <w:instrText xml:space="preserve"> SEQ Table_MSAC. \* ARABIC </w:instrText>
      </w:r>
      <w:r w:rsidR="0016064D">
        <w:fldChar w:fldCharType="separate"/>
      </w:r>
      <w:r w:rsidR="0016064D" w:rsidRPr="003F6F2A">
        <w:rPr>
          <w:noProof/>
        </w:rPr>
        <w:t>5</w:t>
      </w:r>
      <w:r w:rsidR="0016064D">
        <w:rPr>
          <w:noProof/>
        </w:rPr>
        <w:fldChar w:fldCharType="end"/>
      </w:r>
      <w:r w:rsidR="005D6D39" w:rsidRPr="003F6F2A">
        <w:t>:</w:t>
      </w:r>
      <w:r w:rsidR="001042CD" w:rsidRPr="003F6F2A">
        <w:t xml:space="preserve"> </w:t>
      </w:r>
      <w:r w:rsidR="005D6D39" w:rsidRPr="003F6F2A">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272"/>
        <w:gridCol w:w="425"/>
        <w:gridCol w:w="851"/>
        <w:gridCol w:w="2690"/>
        <w:gridCol w:w="1013"/>
        <w:gridCol w:w="1013"/>
        <w:gridCol w:w="939"/>
        <w:gridCol w:w="813"/>
      </w:tblGrid>
      <w:tr w:rsidR="005D6D39" w:rsidRPr="00102634" w14:paraId="011FA291" w14:textId="77777777">
        <w:trPr>
          <w:tblHeader/>
        </w:trPr>
        <w:tc>
          <w:tcPr>
            <w:tcW w:w="705" w:type="pct"/>
            <w:shd w:val="clear" w:color="auto" w:fill="auto"/>
            <w:vAlign w:val="center"/>
          </w:tcPr>
          <w:p w14:paraId="43865F7C" w14:textId="77777777" w:rsidR="005D6D39" w:rsidRPr="00102634" w:rsidRDefault="005D6D39" w:rsidP="003F6F2A">
            <w:pPr>
              <w:pStyle w:val="In-tableHeading"/>
              <w:keepLines/>
              <w:rPr>
                <w:lang w:val="en-AU"/>
              </w:rPr>
            </w:pPr>
            <w:bookmarkStart w:id="19" w:name="ColumnTitle_Table4"/>
            <w:bookmarkEnd w:id="19"/>
            <w:r w:rsidRPr="00102634">
              <w:rPr>
                <w:lang w:val="en-AU"/>
              </w:rPr>
              <w:t>Trial/Study</w:t>
            </w:r>
          </w:p>
        </w:tc>
        <w:tc>
          <w:tcPr>
            <w:tcW w:w="235" w:type="pct"/>
            <w:shd w:val="clear" w:color="auto" w:fill="auto"/>
            <w:vAlign w:val="center"/>
          </w:tcPr>
          <w:p w14:paraId="1509E6CD" w14:textId="77777777" w:rsidR="005D6D39" w:rsidRPr="00102634" w:rsidRDefault="005D6D39" w:rsidP="003F6F2A">
            <w:pPr>
              <w:pStyle w:val="In-tableHeading"/>
              <w:keepLines/>
              <w:rPr>
                <w:lang w:val="en-AU"/>
              </w:rPr>
            </w:pPr>
            <w:r w:rsidRPr="00102634">
              <w:rPr>
                <w:lang w:val="en-AU"/>
              </w:rPr>
              <w:t>N</w:t>
            </w:r>
          </w:p>
        </w:tc>
        <w:tc>
          <w:tcPr>
            <w:tcW w:w="472" w:type="pct"/>
            <w:shd w:val="clear" w:color="auto" w:fill="auto"/>
            <w:vAlign w:val="center"/>
          </w:tcPr>
          <w:p w14:paraId="37E7F647" w14:textId="77777777" w:rsidR="005D6D39" w:rsidRPr="00102634" w:rsidRDefault="005D6D39" w:rsidP="003F6F2A">
            <w:pPr>
              <w:pStyle w:val="In-tableHeading"/>
              <w:keepLines/>
              <w:rPr>
                <w:lang w:val="en-AU"/>
              </w:rPr>
            </w:pPr>
            <w:r w:rsidRPr="00102634">
              <w:rPr>
                <w:lang w:val="en-AU"/>
              </w:rPr>
              <w:t>Study design</w:t>
            </w:r>
          </w:p>
          <w:p w14:paraId="58DFD749" w14:textId="77777777" w:rsidR="005D6D39" w:rsidRPr="00102634" w:rsidRDefault="005D6D39" w:rsidP="003F6F2A">
            <w:pPr>
              <w:pStyle w:val="In-tableHeading"/>
              <w:keepLines/>
              <w:rPr>
                <w:lang w:val="en-AU"/>
              </w:rPr>
            </w:pPr>
          </w:p>
          <w:p w14:paraId="1E52EF07" w14:textId="77777777" w:rsidR="005D6D39" w:rsidRPr="00102634" w:rsidRDefault="005D6D39" w:rsidP="003F6F2A">
            <w:pPr>
              <w:pStyle w:val="In-tableHeading"/>
              <w:keepLines/>
              <w:rPr>
                <w:lang w:val="en-AU"/>
              </w:rPr>
            </w:pPr>
            <w:r w:rsidRPr="00102634">
              <w:rPr>
                <w:lang w:val="en-AU"/>
              </w:rPr>
              <w:t>Risk of bias</w:t>
            </w:r>
          </w:p>
        </w:tc>
        <w:tc>
          <w:tcPr>
            <w:tcW w:w="1492" w:type="pct"/>
            <w:vAlign w:val="center"/>
          </w:tcPr>
          <w:p w14:paraId="6EA89B68" w14:textId="77777777" w:rsidR="005D6D39" w:rsidRPr="00102634" w:rsidRDefault="005D6D39" w:rsidP="003F6F2A">
            <w:pPr>
              <w:pStyle w:val="In-tableHeading"/>
              <w:keepLines/>
              <w:rPr>
                <w:lang w:val="en-AU"/>
              </w:rPr>
            </w:pPr>
            <w:r w:rsidRPr="00102634">
              <w:rPr>
                <w:lang w:val="en-AU"/>
              </w:rPr>
              <w:t xml:space="preserve">Population (biomarker) </w:t>
            </w:r>
          </w:p>
        </w:tc>
        <w:tc>
          <w:tcPr>
            <w:tcW w:w="562" w:type="pct"/>
            <w:vAlign w:val="center"/>
          </w:tcPr>
          <w:p w14:paraId="555EEA01" w14:textId="77777777" w:rsidR="005D6D39" w:rsidRPr="00102634" w:rsidRDefault="005D6D39" w:rsidP="003F6F2A">
            <w:pPr>
              <w:pStyle w:val="In-tableHeading"/>
              <w:keepLines/>
              <w:rPr>
                <w:lang w:val="en-AU"/>
              </w:rPr>
            </w:pPr>
            <w:r w:rsidRPr="00102634">
              <w:rPr>
                <w:lang w:val="en-AU"/>
              </w:rPr>
              <w:t>Intervention/Test</w:t>
            </w:r>
          </w:p>
        </w:tc>
        <w:tc>
          <w:tcPr>
            <w:tcW w:w="562" w:type="pct"/>
            <w:shd w:val="clear" w:color="auto" w:fill="auto"/>
            <w:vAlign w:val="center"/>
          </w:tcPr>
          <w:p w14:paraId="354400B4" w14:textId="77777777" w:rsidR="005D6D39" w:rsidRPr="00102634" w:rsidRDefault="005D6D39" w:rsidP="003F6F2A">
            <w:pPr>
              <w:pStyle w:val="In-tableHeading"/>
              <w:keepLines/>
              <w:rPr>
                <w:lang w:val="en-AU"/>
              </w:rPr>
            </w:pPr>
            <w:r w:rsidRPr="00102634">
              <w:rPr>
                <w:lang w:val="en-AU"/>
              </w:rPr>
              <w:t xml:space="preserve">Comparator/ Clinical utility standard </w:t>
            </w:r>
          </w:p>
        </w:tc>
        <w:tc>
          <w:tcPr>
            <w:tcW w:w="521" w:type="pct"/>
            <w:shd w:val="clear" w:color="auto" w:fill="auto"/>
            <w:vAlign w:val="center"/>
          </w:tcPr>
          <w:p w14:paraId="0CDBD927" w14:textId="77777777" w:rsidR="005D6D39" w:rsidRPr="00102634" w:rsidRDefault="005D6D39" w:rsidP="003F6F2A">
            <w:pPr>
              <w:pStyle w:val="In-tableHeading"/>
              <w:keepLines/>
              <w:rPr>
                <w:lang w:val="en-AU"/>
              </w:rPr>
            </w:pPr>
            <w:r w:rsidRPr="00102634">
              <w:rPr>
                <w:lang w:val="en-AU"/>
              </w:rPr>
              <w:t>Key outcomes</w:t>
            </w:r>
          </w:p>
        </w:tc>
        <w:tc>
          <w:tcPr>
            <w:tcW w:w="451" w:type="pct"/>
            <w:vAlign w:val="center"/>
          </w:tcPr>
          <w:p w14:paraId="692665E3" w14:textId="77777777" w:rsidR="005D6D39" w:rsidRPr="00102634" w:rsidRDefault="005D6D39" w:rsidP="003F6F2A">
            <w:pPr>
              <w:pStyle w:val="In-tableHeading"/>
              <w:keepLines/>
              <w:rPr>
                <w:lang w:val="en-AU"/>
              </w:rPr>
            </w:pPr>
            <w:r w:rsidRPr="00102634">
              <w:rPr>
                <w:lang w:val="en-AU"/>
              </w:rPr>
              <w:t>Result used in economic model</w:t>
            </w:r>
          </w:p>
        </w:tc>
      </w:tr>
      <w:tr w:rsidR="005D6D39" w:rsidRPr="00102634" w14:paraId="2A4AF505" w14:textId="77777777">
        <w:trPr>
          <w:tblHeader/>
        </w:trPr>
        <w:tc>
          <w:tcPr>
            <w:tcW w:w="5000" w:type="pct"/>
            <w:gridSpan w:val="8"/>
            <w:shd w:val="clear" w:color="auto" w:fill="auto"/>
            <w:vAlign w:val="center"/>
          </w:tcPr>
          <w:p w14:paraId="35AC33C6" w14:textId="77777777" w:rsidR="005D6D39" w:rsidRPr="00102634" w:rsidRDefault="005D6D39" w:rsidP="003F6F2A">
            <w:pPr>
              <w:pStyle w:val="In-tableHeading"/>
              <w:keepLines/>
              <w:rPr>
                <w:lang w:val="en-AU"/>
              </w:rPr>
            </w:pPr>
            <w:r w:rsidRPr="00102634">
              <w:rPr>
                <w:lang w:val="en-AU"/>
              </w:rPr>
              <w:t xml:space="preserve">Diagnostic accuracy (cross sectional) evidence </w:t>
            </w:r>
          </w:p>
        </w:tc>
      </w:tr>
      <w:tr w:rsidR="005D6D39" w:rsidRPr="00102634" w14:paraId="4BC73B30" w14:textId="77777777">
        <w:trPr>
          <w:tblHeader/>
        </w:trPr>
        <w:tc>
          <w:tcPr>
            <w:tcW w:w="705" w:type="pct"/>
            <w:shd w:val="clear" w:color="auto" w:fill="auto"/>
            <w:vAlign w:val="center"/>
          </w:tcPr>
          <w:p w14:paraId="18A687B4" w14:textId="04A71482" w:rsidR="005D6D39" w:rsidRPr="00684DE6" w:rsidRDefault="005D6D39" w:rsidP="003F6F2A">
            <w:pPr>
              <w:pStyle w:val="TableText"/>
              <w:keepNext/>
              <w:keepLines/>
            </w:pPr>
            <w:r w:rsidRPr="00684DE6">
              <w:t xml:space="preserve">Monash </w:t>
            </w:r>
            <w:r w:rsidR="007255BF" w:rsidRPr="00684DE6">
              <w:t xml:space="preserve">Health </w:t>
            </w:r>
            <w:r w:rsidR="00097EFB" w:rsidRPr="00684DE6">
              <w:t>Pathology</w:t>
            </w:r>
            <w:r w:rsidRPr="00684DE6">
              <w:t xml:space="preserve"> 2024</w:t>
            </w:r>
          </w:p>
        </w:tc>
        <w:tc>
          <w:tcPr>
            <w:tcW w:w="235" w:type="pct"/>
            <w:shd w:val="clear" w:color="auto" w:fill="auto"/>
            <w:vAlign w:val="center"/>
          </w:tcPr>
          <w:p w14:paraId="47B0B16C" w14:textId="77777777" w:rsidR="005D6D39" w:rsidRPr="00684DE6" w:rsidRDefault="005D6D39" w:rsidP="003F6F2A">
            <w:pPr>
              <w:pStyle w:val="TableText"/>
              <w:keepNext/>
              <w:keepLines/>
            </w:pPr>
            <w:r w:rsidRPr="00684DE6">
              <w:t>21</w:t>
            </w:r>
          </w:p>
        </w:tc>
        <w:tc>
          <w:tcPr>
            <w:tcW w:w="472" w:type="pct"/>
            <w:shd w:val="clear" w:color="auto" w:fill="auto"/>
            <w:vAlign w:val="center"/>
          </w:tcPr>
          <w:p w14:paraId="60935C71" w14:textId="77777777" w:rsidR="005D6D39" w:rsidRPr="00684DE6" w:rsidRDefault="005D6D39" w:rsidP="003F6F2A">
            <w:pPr>
              <w:pStyle w:val="TableText"/>
              <w:keepNext/>
              <w:keepLines/>
            </w:pPr>
            <w:r w:rsidRPr="00684DE6">
              <w:t>CA</w:t>
            </w:r>
          </w:p>
          <w:p w14:paraId="104E3D96" w14:textId="77777777" w:rsidR="005D6D39" w:rsidRPr="00684DE6" w:rsidRDefault="005D6D39" w:rsidP="003F6F2A">
            <w:pPr>
              <w:pStyle w:val="TableText"/>
              <w:keepNext/>
              <w:keepLines/>
            </w:pPr>
          </w:p>
          <w:p w14:paraId="249D5180" w14:textId="77777777" w:rsidR="005D6D39" w:rsidRPr="00684DE6" w:rsidRDefault="005D6D39" w:rsidP="003F6F2A">
            <w:pPr>
              <w:pStyle w:val="TableText"/>
              <w:keepNext/>
              <w:keepLines/>
            </w:pPr>
            <w:r w:rsidRPr="00684DE6">
              <w:t>High</w:t>
            </w:r>
          </w:p>
        </w:tc>
        <w:tc>
          <w:tcPr>
            <w:tcW w:w="1492" w:type="pct"/>
            <w:vAlign w:val="center"/>
          </w:tcPr>
          <w:p w14:paraId="424C6335" w14:textId="77777777" w:rsidR="005D6D39" w:rsidRPr="00684DE6" w:rsidRDefault="005D6D39" w:rsidP="003F6F2A">
            <w:pPr>
              <w:pStyle w:val="TableText"/>
              <w:keepNext/>
              <w:keepLines/>
            </w:pPr>
            <w:r w:rsidRPr="00684DE6">
              <w:t>BC (</w:t>
            </w:r>
            <w:r w:rsidRPr="00684DE6">
              <w:rPr>
                <w:i/>
                <w:iCs/>
              </w:rPr>
              <w:t xml:space="preserve">PIK3CA/ AKT1/ PTEN </w:t>
            </w:r>
            <w:r w:rsidRPr="00684DE6">
              <w:t>positive only)</w:t>
            </w:r>
          </w:p>
        </w:tc>
        <w:tc>
          <w:tcPr>
            <w:tcW w:w="562" w:type="pct"/>
            <w:vAlign w:val="center"/>
          </w:tcPr>
          <w:p w14:paraId="0786BB94" w14:textId="77777777" w:rsidR="005D6D39" w:rsidRPr="00684DE6" w:rsidRDefault="005D6D39" w:rsidP="003F6F2A">
            <w:pPr>
              <w:pStyle w:val="TableText"/>
              <w:keepNext/>
              <w:keepLines/>
            </w:pPr>
            <w:r w:rsidRPr="00684DE6">
              <w:t>Roche AVENIO CGP</w:t>
            </w:r>
          </w:p>
        </w:tc>
        <w:tc>
          <w:tcPr>
            <w:tcW w:w="562" w:type="pct"/>
            <w:shd w:val="clear" w:color="auto" w:fill="auto"/>
            <w:vAlign w:val="center"/>
          </w:tcPr>
          <w:p w14:paraId="56D6CFA4" w14:textId="77777777" w:rsidR="005D6D39" w:rsidRPr="00684DE6" w:rsidRDefault="005D6D39" w:rsidP="003F6F2A">
            <w:pPr>
              <w:pStyle w:val="TableText"/>
              <w:keepNext/>
              <w:keepLines/>
            </w:pPr>
            <w:r w:rsidRPr="00684DE6">
              <w:t>F1CDx</w:t>
            </w:r>
          </w:p>
        </w:tc>
        <w:tc>
          <w:tcPr>
            <w:tcW w:w="521" w:type="pct"/>
            <w:shd w:val="clear" w:color="auto" w:fill="auto"/>
            <w:vAlign w:val="center"/>
          </w:tcPr>
          <w:p w14:paraId="09E8AD3C" w14:textId="77777777" w:rsidR="005D6D39" w:rsidRPr="00684DE6" w:rsidRDefault="005D6D39" w:rsidP="003F6F2A">
            <w:pPr>
              <w:pStyle w:val="TableText"/>
              <w:keepNext/>
              <w:keepLines/>
            </w:pPr>
            <w:r w:rsidRPr="00684DE6">
              <w:t>PPA, NPA</w:t>
            </w:r>
          </w:p>
        </w:tc>
        <w:tc>
          <w:tcPr>
            <w:tcW w:w="451" w:type="pct"/>
            <w:vAlign w:val="center"/>
          </w:tcPr>
          <w:p w14:paraId="3E4A846E" w14:textId="77777777" w:rsidR="005D6D39" w:rsidRPr="00684DE6" w:rsidRDefault="005D6D39" w:rsidP="003F6F2A">
            <w:pPr>
              <w:pStyle w:val="TableText"/>
              <w:keepNext/>
              <w:keepLines/>
            </w:pPr>
            <w:r w:rsidRPr="00684DE6">
              <w:t>Not used</w:t>
            </w:r>
          </w:p>
        </w:tc>
      </w:tr>
      <w:tr w:rsidR="005D6D39" w:rsidRPr="00102634" w14:paraId="5D3D9E97" w14:textId="77777777">
        <w:trPr>
          <w:tblHeader/>
        </w:trPr>
        <w:tc>
          <w:tcPr>
            <w:tcW w:w="705" w:type="pct"/>
            <w:shd w:val="clear" w:color="auto" w:fill="auto"/>
            <w:vAlign w:val="center"/>
          </w:tcPr>
          <w:p w14:paraId="3536885D" w14:textId="77777777" w:rsidR="005D6D39" w:rsidRPr="00102634" w:rsidRDefault="005D6D39" w:rsidP="003F6F2A">
            <w:pPr>
              <w:pStyle w:val="TableText"/>
              <w:keepNext/>
              <w:keepLines/>
            </w:pPr>
            <w:r w:rsidRPr="00102634">
              <w:t>FDA 2019</w:t>
            </w:r>
          </w:p>
        </w:tc>
        <w:tc>
          <w:tcPr>
            <w:tcW w:w="235" w:type="pct"/>
            <w:shd w:val="clear" w:color="auto" w:fill="auto"/>
            <w:vAlign w:val="center"/>
          </w:tcPr>
          <w:p w14:paraId="081A2F28" w14:textId="77777777" w:rsidR="005D6D39" w:rsidRPr="00102634" w:rsidRDefault="005D6D39" w:rsidP="003F6F2A">
            <w:pPr>
              <w:pStyle w:val="TableText"/>
              <w:keepNext/>
              <w:keepLines/>
            </w:pPr>
            <w:r w:rsidRPr="00102634">
              <w:t>101</w:t>
            </w:r>
          </w:p>
        </w:tc>
        <w:tc>
          <w:tcPr>
            <w:tcW w:w="472" w:type="pct"/>
            <w:shd w:val="clear" w:color="auto" w:fill="auto"/>
            <w:vAlign w:val="center"/>
          </w:tcPr>
          <w:p w14:paraId="6F8FBD10" w14:textId="77777777" w:rsidR="005D6D39" w:rsidRPr="00102634" w:rsidRDefault="005D6D39" w:rsidP="003F6F2A">
            <w:pPr>
              <w:pStyle w:val="TableText"/>
              <w:keepNext/>
              <w:keepLines/>
            </w:pPr>
            <w:r w:rsidRPr="00102634">
              <w:t>CA</w:t>
            </w:r>
          </w:p>
          <w:p w14:paraId="7854FD1B" w14:textId="77777777" w:rsidR="005D6D39" w:rsidRPr="00102634" w:rsidRDefault="005D6D39" w:rsidP="003F6F2A">
            <w:pPr>
              <w:pStyle w:val="TableText"/>
              <w:keepNext/>
              <w:keepLines/>
            </w:pPr>
          </w:p>
          <w:p w14:paraId="6F7EDD08" w14:textId="77777777" w:rsidR="005D6D39" w:rsidRPr="00102634" w:rsidRDefault="005D6D39" w:rsidP="003F6F2A">
            <w:pPr>
              <w:pStyle w:val="TableText"/>
              <w:keepNext/>
              <w:keepLines/>
            </w:pPr>
            <w:r w:rsidRPr="00102634">
              <w:t>High</w:t>
            </w:r>
          </w:p>
        </w:tc>
        <w:tc>
          <w:tcPr>
            <w:tcW w:w="1492" w:type="pct"/>
            <w:vAlign w:val="center"/>
          </w:tcPr>
          <w:p w14:paraId="70F26F38" w14:textId="77777777" w:rsidR="005D6D39" w:rsidRPr="00102634" w:rsidRDefault="005D6D39" w:rsidP="003F6F2A">
            <w:pPr>
              <w:pStyle w:val="TableText"/>
              <w:keepNext/>
              <w:keepLines/>
            </w:pPr>
            <w:r w:rsidRPr="00102634">
              <w:t>HR+/HER2- LA/M BC (</w:t>
            </w:r>
            <w:r w:rsidRPr="00102634">
              <w:rPr>
                <w:i/>
                <w:iCs/>
              </w:rPr>
              <w:t>PIK3CA</w:t>
            </w:r>
            <w:r w:rsidRPr="00102634">
              <w:t>)</w:t>
            </w:r>
          </w:p>
        </w:tc>
        <w:tc>
          <w:tcPr>
            <w:tcW w:w="562" w:type="pct"/>
            <w:vAlign w:val="center"/>
          </w:tcPr>
          <w:p w14:paraId="1FA1A62A" w14:textId="77777777" w:rsidR="005D6D39" w:rsidRPr="00102634" w:rsidRDefault="005D6D39" w:rsidP="003F6F2A">
            <w:pPr>
              <w:pStyle w:val="TableText"/>
              <w:keepNext/>
              <w:keepLines/>
            </w:pPr>
            <w:r w:rsidRPr="00102634">
              <w:t>F1CDx</w:t>
            </w:r>
          </w:p>
        </w:tc>
        <w:tc>
          <w:tcPr>
            <w:tcW w:w="562" w:type="pct"/>
            <w:shd w:val="clear" w:color="auto" w:fill="auto"/>
            <w:vAlign w:val="center"/>
          </w:tcPr>
          <w:p w14:paraId="1770659D" w14:textId="77777777" w:rsidR="005D6D39" w:rsidRPr="00102634" w:rsidRDefault="005D6D39" w:rsidP="003F6F2A">
            <w:pPr>
              <w:pStyle w:val="TableText"/>
              <w:keepNext/>
              <w:keepLines/>
            </w:pPr>
            <w:r w:rsidRPr="00102634">
              <w:t>Externally validated NGS</w:t>
            </w:r>
          </w:p>
        </w:tc>
        <w:tc>
          <w:tcPr>
            <w:tcW w:w="521" w:type="pct"/>
            <w:shd w:val="clear" w:color="auto" w:fill="auto"/>
            <w:vAlign w:val="center"/>
          </w:tcPr>
          <w:p w14:paraId="4DF6EF08" w14:textId="77777777" w:rsidR="005D6D39" w:rsidRPr="00102634" w:rsidRDefault="005D6D39" w:rsidP="003F6F2A">
            <w:pPr>
              <w:pStyle w:val="TableText"/>
              <w:keepNext/>
              <w:keepLines/>
            </w:pPr>
            <w:r w:rsidRPr="00102634">
              <w:t>PPA, NPA</w:t>
            </w:r>
          </w:p>
        </w:tc>
        <w:tc>
          <w:tcPr>
            <w:tcW w:w="451" w:type="pct"/>
            <w:vAlign w:val="center"/>
          </w:tcPr>
          <w:p w14:paraId="153CEC30" w14:textId="77777777" w:rsidR="005D6D39" w:rsidRPr="00102634" w:rsidRDefault="005D6D39" w:rsidP="003F6F2A">
            <w:pPr>
              <w:pStyle w:val="TableText"/>
              <w:keepNext/>
              <w:keepLines/>
            </w:pPr>
            <w:r w:rsidRPr="00102634">
              <w:t>Not used</w:t>
            </w:r>
          </w:p>
        </w:tc>
      </w:tr>
      <w:tr w:rsidR="005D6D39" w:rsidRPr="00102634" w14:paraId="5DE40E63" w14:textId="77777777">
        <w:trPr>
          <w:tblHeader/>
        </w:trPr>
        <w:tc>
          <w:tcPr>
            <w:tcW w:w="705" w:type="pct"/>
            <w:shd w:val="clear" w:color="auto" w:fill="auto"/>
            <w:vAlign w:val="center"/>
          </w:tcPr>
          <w:p w14:paraId="1FF9E6B1" w14:textId="77777777" w:rsidR="005D6D39" w:rsidRPr="00102634" w:rsidRDefault="005D6D39">
            <w:pPr>
              <w:pStyle w:val="TableText"/>
            </w:pPr>
            <w:r w:rsidRPr="00102634">
              <w:t>FDA 2023 *</w:t>
            </w:r>
          </w:p>
        </w:tc>
        <w:tc>
          <w:tcPr>
            <w:tcW w:w="235" w:type="pct"/>
            <w:shd w:val="clear" w:color="auto" w:fill="auto"/>
            <w:vAlign w:val="center"/>
          </w:tcPr>
          <w:p w14:paraId="5113D3FD" w14:textId="77777777" w:rsidR="005D6D39" w:rsidRPr="00102634" w:rsidRDefault="005D6D39">
            <w:pPr>
              <w:pStyle w:val="TableText"/>
            </w:pPr>
            <w:r w:rsidRPr="00102634">
              <w:t>236</w:t>
            </w:r>
          </w:p>
        </w:tc>
        <w:tc>
          <w:tcPr>
            <w:tcW w:w="472" w:type="pct"/>
            <w:shd w:val="clear" w:color="auto" w:fill="auto"/>
            <w:vAlign w:val="center"/>
          </w:tcPr>
          <w:p w14:paraId="00B879E4" w14:textId="77777777" w:rsidR="005D6D39" w:rsidRPr="00102634" w:rsidRDefault="005D6D39">
            <w:pPr>
              <w:pStyle w:val="TableText"/>
            </w:pPr>
            <w:r w:rsidRPr="00102634">
              <w:t>CA</w:t>
            </w:r>
          </w:p>
          <w:p w14:paraId="4028BF4C" w14:textId="77777777" w:rsidR="005D6D39" w:rsidRPr="00102634" w:rsidRDefault="005D6D39">
            <w:pPr>
              <w:pStyle w:val="TableText"/>
            </w:pPr>
          </w:p>
          <w:p w14:paraId="763FAB89" w14:textId="77777777" w:rsidR="005D6D39" w:rsidRPr="00102634" w:rsidRDefault="005D6D39">
            <w:pPr>
              <w:pStyle w:val="TableText"/>
            </w:pPr>
            <w:r w:rsidRPr="00102634">
              <w:t>Unclear</w:t>
            </w:r>
          </w:p>
        </w:tc>
        <w:tc>
          <w:tcPr>
            <w:tcW w:w="1492" w:type="pct"/>
            <w:vAlign w:val="center"/>
          </w:tcPr>
          <w:p w14:paraId="03A4A5C7" w14:textId="77777777" w:rsidR="005D6D39" w:rsidRPr="00102634" w:rsidRDefault="005D6D39">
            <w:pPr>
              <w:pStyle w:val="TableText"/>
            </w:pPr>
            <w:r w:rsidRPr="00102634">
              <w:t>HR+/HER2- LA/M BC (</w:t>
            </w:r>
            <w:r w:rsidRPr="00102634">
              <w:rPr>
                <w:i/>
                <w:iCs/>
              </w:rPr>
              <w:t>PIK3CA/ AKT1/ PTEN</w:t>
            </w:r>
            <w:r w:rsidRPr="00102634">
              <w:t>)</w:t>
            </w:r>
          </w:p>
        </w:tc>
        <w:tc>
          <w:tcPr>
            <w:tcW w:w="562" w:type="pct"/>
            <w:vAlign w:val="center"/>
          </w:tcPr>
          <w:p w14:paraId="5E787245" w14:textId="77777777" w:rsidR="005D6D39" w:rsidRPr="00102634" w:rsidRDefault="005D6D39">
            <w:pPr>
              <w:pStyle w:val="TableText"/>
            </w:pPr>
            <w:r w:rsidRPr="00102634">
              <w:t>F1CDx</w:t>
            </w:r>
          </w:p>
        </w:tc>
        <w:tc>
          <w:tcPr>
            <w:tcW w:w="562" w:type="pct"/>
            <w:shd w:val="clear" w:color="auto" w:fill="auto"/>
            <w:vAlign w:val="center"/>
          </w:tcPr>
          <w:p w14:paraId="4DC4BCFF" w14:textId="77777777" w:rsidR="005D6D39" w:rsidRPr="00102634" w:rsidRDefault="005D6D39">
            <w:pPr>
              <w:pStyle w:val="TableText"/>
            </w:pPr>
            <w:r w:rsidRPr="00102634">
              <w:t>Externally validated NGS</w:t>
            </w:r>
          </w:p>
        </w:tc>
        <w:tc>
          <w:tcPr>
            <w:tcW w:w="521" w:type="pct"/>
            <w:shd w:val="clear" w:color="auto" w:fill="auto"/>
            <w:vAlign w:val="center"/>
          </w:tcPr>
          <w:p w14:paraId="0F936D1D" w14:textId="77777777" w:rsidR="005D6D39" w:rsidRPr="00102634" w:rsidRDefault="005D6D39">
            <w:pPr>
              <w:pStyle w:val="TableText"/>
            </w:pPr>
            <w:r w:rsidRPr="00102634">
              <w:t>PPV, NPV, PPA, NPA</w:t>
            </w:r>
          </w:p>
        </w:tc>
        <w:tc>
          <w:tcPr>
            <w:tcW w:w="451" w:type="pct"/>
            <w:vAlign w:val="center"/>
          </w:tcPr>
          <w:p w14:paraId="25CDA949" w14:textId="77777777" w:rsidR="005D6D39" w:rsidRPr="00102634" w:rsidRDefault="005D6D39">
            <w:pPr>
              <w:pStyle w:val="TableText"/>
            </w:pPr>
            <w:r w:rsidRPr="00102634">
              <w:t>Not used</w:t>
            </w:r>
          </w:p>
        </w:tc>
      </w:tr>
      <w:tr w:rsidR="005D6D39" w:rsidRPr="00102634" w14:paraId="1D92A838" w14:textId="77777777">
        <w:trPr>
          <w:tblHeader/>
        </w:trPr>
        <w:tc>
          <w:tcPr>
            <w:tcW w:w="5000" w:type="pct"/>
            <w:gridSpan w:val="8"/>
            <w:shd w:val="clear" w:color="auto" w:fill="auto"/>
            <w:vAlign w:val="center"/>
          </w:tcPr>
          <w:p w14:paraId="1108E700" w14:textId="4B3586FE" w:rsidR="005D6D39" w:rsidRPr="00102634" w:rsidRDefault="005D6D39">
            <w:pPr>
              <w:pStyle w:val="TableText"/>
              <w:rPr>
                <w:b/>
                <w:bCs/>
              </w:rPr>
            </w:pPr>
            <w:r w:rsidRPr="00102634">
              <w:rPr>
                <w:b/>
                <w:bCs/>
              </w:rPr>
              <w:t>Prognostic and predictive validity of the biomarker evidence</w:t>
            </w:r>
          </w:p>
        </w:tc>
      </w:tr>
      <w:tr w:rsidR="005D6D39" w:rsidRPr="00102634" w14:paraId="04130E3C" w14:textId="77777777">
        <w:trPr>
          <w:tblHeader/>
        </w:trPr>
        <w:tc>
          <w:tcPr>
            <w:tcW w:w="705" w:type="pct"/>
            <w:shd w:val="clear" w:color="auto" w:fill="auto"/>
            <w:vAlign w:val="center"/>
          </w:tcPr>
          <w:p w14:paraId="1E4C2F2F" w14:textId="77777777" w:rsidR="005D6D39" w:rsidRPr="00102634" w:rsidRDefault="005D6D39">
            <w:pPr>
              <w:pStyle w:val="TableText"/>
              <w:rPr>
                <w:vertAlign w:val="superscript"/>
              </w:rPr>
            </w:pPr>
            <w:r w:rsidRPr="00102634">
              <w:t xml:space="preserve">CAPItello-291 </w:t>
            </w:r>
            <w:r w:rsidRPr="00102634">
              <w:rPr>
                <w:vertAlign w:val="superscript"/>
              </w:rPr>
              <w:t>a</w:t>
            </w:r>
          </w:p>
        </w:tc>
        <w:tc>
          <w:tcPr>
            <w:tcW w:w="235" w:type="pct"/>
            <w:shd w:val="clear" w:color="auto" w:fill="auto"/>
            <w:vAlign w:val="center"/>
          </w:tcPr>
          <w:p w14:paraId="6BBAD272" w14:textId="77777777" w:rsidR="005D6D39" w:rsidRPr="00102634" w:rsidRDefault="005D6D39">
            <w:pPr>
              <w:pStyle w:val="TableText"/>
            </w:pPr>
            <w:r w:rsidRPr="00102634">
              <w:t>708</w:t>
            </w:r>
          </w:p>
        </w:tc>
        <w:tc>
          <w:tcPr>
            <w:tcW w:w="472" w:type="pct"/>
            <w:shd w:val="clear" w:color="auto" w:fill="auto"/>
            <w:vAlign w:val="center"/>
          </w:tcPr>
          <w:p w14:paraId="79285E57" w14:textId="77777777" w:rsidR="005D6D39" w:rsidRPr="00102634" w:rsidRDefault="005D6D39">
            <w:pPr>
              <w:pStyle w:val="TableText"/>
            </w:pPr>
            <w:r w:rsidRPr="00102634">
              <w:t>P3, R, DB, PC, MC</w:t>
            </w:r>
          </w:p>
          <w:p w14:paraId="1CB8246C" w14:textId="77777777" w:rsidR="005D6D39" w:rsidRPr="00102634" w:rsidRDefault="005D6D39">
            <w:pPr>
              <w:pStyle w:val="TableText"/>
            </w:pPr>
          </w:p>
          <w:p w14:paraId="5F59FD9A" w14:textId="77777777" w:rsidR="005D6D39" w:rsidRPr="00102634" w:rsidRDefault="005D6D39">
            <w:pPr>
              <w:pStyle w:val="TableText"/>
              <w:rPr>
                <w:vertAlign w:val="superscript"/>
              </w:rPr>
            </w:pPr>
            <w:r w:rsidRPr="00102634">
              <w:t xml:space="preserve">Low </w:t>
            </w:r>
            <w:r w:rsidRPr="00102634">
              <w:rPr>
                <w:vertAlign w:val="superscript"/>
              </w:rPr>
              <w:t>b</w:t>
            </w:r>
          </w:p>
        </w:tc>
        <w:tc>
          <w:tcPr>
            <w:tcW w:w="1492" w:type="pct"/>
            <w:vAlign w:val="center"/>
          </w:tcPr>
          <w:p w14:paraId="1A62E9E5" w14:textId="77777777" w:rsidR="005D6D39" w:rsidRPr="00102634" w:rsidRDefault="005D6D39">
            <w:pPr>
              <w:pStyle w:val="TableText"/>
            </w:pPr>
            <w:r w:rsidRPr="00102634">
              <w:t>HR+/HER2- LA/M BC after progression or after AI +/- CDK4/6 inhibitor (</w:t>
            </w:r>
            <w:r w:rsidRPr="00102634">
              <w:rPr>
                <w:i/>
                <w:iCs/>
              </w:rPr>
              <w:t>PIK3CA, AKT1, PTEN</w:t>
            </w:r>
            <w:r w:rsidRPr="00102634">
              <w:t>)</w:t>
            </w:r>
          </w:p>
        </w:tc>
        <w:tc>
          <w:tcPr>
            <w:tcW w:w="562" w:type="pct"/>
            <w:vAlign w:val="center"/>
          </w:tcPr>
          <w:p w14:paraId="5FB3ADB6" w14:textId="77777777" w:rsidR="005D6D39" w:rsidRPr="00102634" w:rsidRDefault="005D6D39">
            <w:pPr>
              <w:pStyle w:val="TableText"/>
            </w:pPr>
            <w:r w:rsidRPr="00102634">
              <w:t>CAPI + FULV</w:t>
            </w:r>
          </w:p>
        </w:tc>
        <w:tc>
          <w:tcPr>
            <w:tcW w:w="562" w:type="pct"/>
            <w:shd w:val="clear" w:color="auto" w:fill="auto"/>
            <w:vAlign w:val="center"/>
          </w:tcPr>
          <w:p w14:paraId="0B1C0FD0" w14:textId="77777777" w:rsidR="005D6D39" w:rsidRPr="00102634" w:rsidRDefault="005D6D39">
            <w:pPr>
              <w:pStyle w:val="TableText"/>
            </w:pPr>
            <w:r w:rsidRPr="00102634">
              <w:t>Placebo + FULV</w:t>
            </w:r>
          </w:p>
        </w:tc>
        <w:tc>
          <w:tcPr>
            <w:tcW w:w="521" w:type="pct"/>
            <w:shd w:val="clear" w:color="auto" w:fill="auto"/>
            <w:vAlign w:val="center"/>
          </w:tcPr>
          <w:p w14:paraId="4E97593B" w14:textId="6EB68CC7" w:rsidR="005D6D39" w:rsidRPr="00102634" w:rsidRDefault="005D6D39">
            <w:pPr>
              <w:pStyle w:val="TableText"/>
            </w:pPr>
            <w:r w:rsidRPr="00102634">
              <w:t xml:space="preserve">PFS, OS, </w:t>
            </w:r>
            <w:proofErr w:type="spellStart"/>
            <w:r w:rsidRPr="00102634">
              <w:t>HRQoL</w:t>
            </w:r>
            <w:proofErr w:type="spellEnd"/>
            <w:r w:rsidRPr="00102634">
              <w:t xml:space="preserve">, </w:t>
            </w:r>
            <w:proofErr w:type="spellStart"/>
            <w:r w:rsidRPr="00102634">
              <w:t>DoR</w:t>
            </w:r>
            <w:proofErr w:type="spellEnd"/>
            <w:r w:rsidRPr="00102634">
              <w:t>, safety</w:t>
            </w:r>
          </w:p>
        </w:tc>
        <w:tc>
          <w:tcPr>
            <w:tcW w:w="451" w:type="pct"/>
            <w:vAlign w:val="center"/>
          </w:tcPr>
          <w:p w14:paraId="1F470EE4" w14:textId="4F81AE2B" w:rsidR="005D6D39" w:rsidRPr="00102634" w:rsidRDefault="005D6D39">
            <w:pPr>
              <w:pStyle w:val="TableText"/>
            </w:pPr>
            <w:r w:rsidRPr="00102634">
              <w:t xml:space="preserve">PFS, OS, </w:t>
            </w:r>
            <w:proofErr w:type="spellStart"/>
            <w:r w:rsidRPr="00102634">
              <w:t>HRQoL</w:t>
            </w:r>
            <w:proofErr w:type="spellEnd"/>
            <w:r w:rsidRPr="00102634">
              <w:t>, safety</w:t>
            </w:r>
            <w:r w:rsidR="00191B11">
              <w:t xml:space="preserve"> in Altered population</w:t>
            </w:r>
          </w:p>
        </w:tc>
      </w:tr>
      <w:tr w:rsidR="005D6D39" w:rsidRPr="00102634" w14:paraId="32CC2C03" w14:textId="77777777">
        <w:trPr>
          <w:tblHeader/>
        </w:trPr>
        <w:tc>
          <w:tcPr>
            <w:tcW w:w="705" w:type="pct"/>
            <w:shd w:val="clear" w:color="auto" w:fill="auto"/>
            <w:vAlign w:val="center"/>
          </w:tcPr>
          <w:p w14:paraId="6A15B942" w14:textId="77777777" w:rsidR="005D6D39" w:rsidRPr="00102634" w:rsidRDefault="005D6D39">
            <w:pPr>
              <w:pStyle w:val="TableText"/>
              <w:rPr>
                <w:vertAlign w:val="superscript"/>
              </w:rPr>
            </w:pPr>
            <w:r w:rsidRPr="00102634">
              <w:t xml:space="preserve">FAKTION </w:t>
            </w:r>
            <w:r w:rsidRPr="00102634">
              <w:rPr>
                <w:vertAlign w:val="superscript"/>
              </w:rPr>
              <w:t>c</w:t>
            </w:r>
          </w:p>
        </w:tc>
        <w:tc>
          <w:tcPr>
            <w:tcW w:w="235" w:type="pct"/>
            <w:shd w:val="clear" w:color="auto" w:fill="auto"/>
            <w:vAlign w:val="center"/>
          </w:tcPr>
          <w:p w14:paraId="5E711249" w14:textId="77777777" w:rsidR="005D6D39" w:rsidRPr="00102634" w:rsidRDefault="005D6D39">
            <w:pPr>
              <w:pStyle w:val="TableText"/>
            </w:pPr>
            <w:r w:rsidRPr="00102634">
              <w:t>140</w:t>
            </w:r>
          </w:p>
        </w:tc>
        <w:tc>
          <w:tcPr>
            <w:tcW w:w="472" w:type="pct"/>
            <w:shd w:val="clear" w:color="auto" w:fill="auto"/>
            <w:vAlign w:val="center"/>
          </w:tcPr>
          <w:p w14:paraId="32D75748" w14:textId="77777777" w:rsidR="005D6D39" w:rsidRPr="00102634" w:rsidRDefault="005D6D39">
            <w:pPr>
              <w:pStyle w:val="TableText"/>
            </w:pPr>
            <w:r w:rsidRPr="00102634">
              <w:t>P2, R, DB, PC, MC</w:t>
            </w:r>
          </w:p>
          <w:p w14:paraId="0A3C3A0E" w14:textId="77777777" w:rsidR="005D6D39" w:rsidRPr="00102634" w:rsidRDefault="005D6D39">
            <w:pPr>
              <w:pStyle w:val="TableText"/>
            </w:pPr>
          </w:p>
          <w:p w14:paraId="438BD6D8" w14:textId="77777777" w:rsidR="005D6D39" w:rsidRPr="00102634" w:rsidRDefault="005D6D39">
            <w:pPr>
              <w:pStyle w:val="TableText"/>
              <w:rPr>
                <w:vertAlign w:val="superscript"/>
              </w:rPr>
            </w:pPr>
            <w:r w:rsidRPr="00102634">
              <w:t>Low (ITT)</w:t>
            </w:r>
            <w:r w:rsidRPr="00102634">
              <w:rPr>
                <w:vertAlign w:val="superscript"/>
              </w:rPr>
              <w:t xml:space="preserve"> d</w:t>
            </w:r>
          </w:p>
          <w:p w14:paraId="66BDF94E" w14:textId="77777777" w:rsidR="005D6D39" w:rsidRPr="00102634" w:rsidRDefault="005D6D39">
            <w:pPr>
              <w:pStyle w:val="TableText"/>
            </w:pPr>
            <w:r w:rsidRPr="00102634">
              <w:t>High (AKT)</w:t>
            </w:r>
          </w:p>
        </w:tc>
        <w:tc>
          <w:tcPr>
            <w:tcW w:w="1492" w:type="pct"/>
            <w:vAlign w:val="center"/>
          </w:tcPr>
          <w:p w14:paraId="21120133" w14:textId="77777777" w:rsidR="005D6D39" w:rsidRPr="00102634" w:rsidRDefault="005D6D39">
            <w:pPr>
              <w:pStyle w:val="TableText"/>
            </w:pPr>
            <w:r w:rsidRPr="00102634">
              <w:t>Post-menopausal ER+/HER2- LA/M BC after progression or after AI; CDK4/6 inhibitor-naïve (</w:t>
            </w:r>
            <w:r w:rsidRPr="00102634">
              <w:rPr>
                <w:i/>
                <w:iCs/>
              </w:rPr>
              <w:t>PIK3CA, AKT</w:t>
            </w:r>
            <w:proofErr w:type="gramStart"/>
            <w:r w:rsidRPr="00102634">
              <w:rPr>
                <w:i/>
                <w:iCs/>
              </w:rPr>
              <w:t>1,</w:t>
            </w:r>
            <w:r w:rsidRPr="00102634">
              <w:rPr>
                <w:i/>
                <w:iCs/>
                <w:vertAlign w:val="superscript"/>
              </w:rPr>
              <w:t>e</w:t>
            </w:r>
            <w:proofErr w:type="gramEnd"/>
            <w:r w:rsidRPr="00102634">
              <w:rPr>
                <w:i/>
                <w:iCs/>
              </w:rPr>
              <w:t xml:space="preserve"> PTEN</w:t>
            </w:r>
            <w:r w:rsidRPr="00102634">
              <w:t>)</w:t>
            </w:r>
          </w:p>
        </w:tc>
        <w:tc>
          <w:tcPr>
            <w:tcW w:w="562" w:type="pct"/>
            <w:vAlign w:val="center"/>
          </w:tcPr>
          <w:p w14:paraId="4AC4CF87" w14:textId="77777777" w:rsidR="005D6D39" w:rsidRPr="00102634" w:rsidRDefault="005D6D39">
            <w:pPr>
              <w:pStyle w:val="TableText"/>
            </w:pPr>
            <w:r w:rsidRPr="00102634">
              <w:t>CAPI + FULV</w:t>
            </w:r>
          </w:p>
        </w:tc>
        <w:tc>
          <w:tcPr>
            <w:tcW w:w="562" w:type="pct"/>
            <w:shd w:val="clear" w:color="auto" w:fill="auto"/>
            <w:vAlign w:val="center"/>
          </w:tcPr>
          <w:p w14:paraId="7B5A4B40" w14:textId="77777777" w:rsidR="005D6D39" w:rsidRPr="00102634" w:rsidRDefault="005D6D39">
            <w:pPr>
              <w:pStyle w:val="TableText"/>
            </w:pPr>
            <w:r w:rsidRPr="00102634">
              <w:t>Placebo + FULV</w:t>
            </w:r>
          </w:p>
        </w:tc>
        <w:tc>
          <w:tcPr>
            <w:tcW w:w="521" w:type="pct"/>
            <w:shd w:val="clear" w:color="auto" w:fill="auto"/>
            <w:vAlign w:val="center"/>
          </w:tcPr>
          <w:p w14:paraId="5205D4F4" w14:textId="77777777" w:rsidR="005D6D39" w:rsidRPr="00102634" w:rsidRDefault="005D6D39">
            <w:pPr>
              <w:pStyle w:val="TableText"/>
            </w:pPr>
            <w:r w:rsidRPr="00102634">
              <w:t>PFS, OS, safety</w:t>
            </w:r>
          </w:p>
        </w:tc>
        <w:tc>
          <w:tcPr>
            <w:tcW w:w="451" w:type="pct"/>
            <w:vAlign w:val="center"/>
          </w:tcPr>
          <w:p w14:paraId="44C77479" w14:textId="77777777" w:rsidR="005D6D39" w:rsidRPr="00102634" w:rsidRDefault="005D6D39">
            <w:pPr>
              <w:pStyle w:val="TableText"/>
            </w:pPr>
            <w:r w:rsidRPr="00102634">
              <w:t>Not used</w:t>
            </w:r>
          </w:p>
        </w:tc>
      </w:tr>
      <w:tr w:rsidR="005D6D39" w:rsidRPr="00102634" w14:paraId="08AC9976" w14:textId="77777777">
        <w:trPr>
          <w:tblHeader/>
        </w:trPr>
        <w:tc>
          <w:tcPr>
            <w:tcW w:w="705" w:type="pct"/>
            <w:shd w:val="clear" w:color="auto" w:fill="auto"/>
            <w:vAlign w:val="center"/>
          </w:tcPr>
          <w:p w14:paraId="5DC131B3" w14:textId="77777777" w:rsidR="005D6D39" w:rsidRPr="00102634" w:rsidRDefault="005D6D39">
            <w:pPr>
              <w:pStyle w:val="TableText"/>
              <w:rPr>
                <w:vertAlign w:val="superscript"/>
              </w:rPr>
            </w:pPr>
            <w:r w:rsidRPr="00102634">
              <w:t xml:space="preserve">SOLAR-1 </w:t>
            </w:r>
            <w:r w:rsidRPr="00102634">
              <w:rPr>
                <w:vertAlign w:val="superscript"/>
              </w:rPr>
              <w:t>f</w:t>
            </w:r>
          </w:p>
        </w:tc>
        <w:tc>
          <w:tcPr>
            <w:tcW w:w="235" w:type="pct"/>
            <w:tcBorders>
              <w:top w:val="single" w:sz="4" w:space="0" w:color="auto"/>
            </w:tcBorders>
            <w:shd w:val="clear" w:color="auto" w:fill="auto"/>
            <w:vAlign w:val="center"/>
          </w:tcPr>
          <w:p w14:paraId="579C8C39" w14:textId="77777777" w:rsidR="005D6D39" w:rsidRPr="00102634" w:rsidRDefault="005D6D39">
            <w:pPr>
              <w:pStyle w:val="TableText"/>
            </w:pPr>
            <w:r w:rsidRPr="00102634">
              <w:t>572</w:t>
            </w:r>
          </w:p>
        </w:tc>
        <w:tc>
          <w:tcPr>
            <w:tcW w:w="472" w:type="pct"/>
            <w:tcBorders>
              <w:top w:val="single" w:sz="4" w:space="0" w:color="auto"/>
            </w:tcBorders>
            <w:shd w:val="clear" w:color="auto" w:fill="auto"/>
            <w:vAlign w:val="center"/>
          </w:tcPr>
          <w:p w14:paraId="2BBC4BA3" w14:textId="77777777" w:rsidR="005D6D39" w:rsidRPr="00102634" w:rsidRDefault="005D6D39">
            <w:pPr>
              <w:pStyle w:val="TableText"/>
            </w:pPr>
            <w:r w:rsidRPr="00102634">
              <w:t>P3, R, DC, PC, MC</w:t>
            </w:r>
          </w:p>
          <w:p w14:paraId="71AE7963" w14:textId="77777777" w:rsidR="005D6D39" w:rsidRPr="00102634" w:rsidRDefault="005D6D39">
            <w:pPr>
              <w:pStyle w:val="TableText"/>
            </w:pPr>
          </w:p>
          <w:p w14:paraId="4D73CE9D" w14:textId="77777777" w:rsidR="005D6D39" w:rsidRPr="00102634" w:rsidRDefault="005D6D39">
            <w:pPr>
              <w:pStyle w:val="TableText"/>
            </w:pPr>
            <w:r w:rsidRPr="00102634">
              <w:t>Low</w:t>
            </w:r>
          </w:p>
        </w:tc>
        <w:tc>
          <w:tcPr>
            <w:tcW w:w="1492" w:type="pct"/>
            <w:tcBorders>
              <w:top w:val="single" w:sz="4" w:space="0" w:color="auto"/>
            </w:tcBorders>
            <w:vAlign w:val="center"/>
          </w:tcPr>
          <w:p w14:paraId="6ECA3C6B" w14:textId="77777777" w:rsidR="005D6D39" w:rsidRPr="00102634" w:rsidRDefault="005D6D39">
            <w:pPr>
              <w:pStyle w:val="TableText"/>
            </w:pPr>
            <w:r w:rsidRPr="00102634">
              <w:t>Post-menopausal HR+/HER2- LA/M BC before or after progression on ET +/- CDK4/6 inhibitor (</w:t>
            </w:r>
            <w:r w:rsidRPr="00102634">
              <w:rPr>
                <w:i/>
                <w:iCs/>
              </w:rPr>
              <w:t>PIK3CA</w:t>
            </w:r>
            <w:r w:rsidRPr="00102634">
              <w:t>)</w:t>
            </w:r>
          </w:p>
        </w:tc>
        <w:tc>
          <w:tcPr>
            <w:tcW w:w="562" w:type="pct"/>
            <w:tcBorders>
              <w:top w:val="single" w:sz="4" w:space="0" w:color="auto"/>
            </w:tcBorders>
            <w:vAlign w:val="center"/>
          </w:tcPr>
          <w:p w14:paraId="5F7CB77A" w14:textId="77777777" w:rsidR="005D6D39" w:rsidRPr="00102634" w:rsidRDefault="005D6D39">
            <w:pPr>
              <w:pStyle w:val="TableText"/>
            </w:pPr>
            <w:proofErr w:type="spellStart"/>
            <w:r w:rsidRPr="00102634">
              <w:t>Alpelisib</w:t>
            </w:r>
            <w:proofErr w:type="spellEnd"/>
            <w:r w:rsidRPr="00102634">
              <w:t xml:space="preserve"> + FULV</w:t>
            </w:r>
          </w:p>
        </w:tc>
        <w:tc>
          <w:tcPr>
            <w:tcW w:w="562" w:type="pct"/>
            <w:tcBorders>
              <w:top w:val="single" w:sz="4" w:space="0" w:color="auto"/>
            </w:tcBorders>
            <w:shd w:val="clear" w:color="auto" w:fill="auto"/>
            <w:vAlign w:val="center"/>
          </w:tcPr>
          <w:p w14:paraId="4E979EA8" w14:textId="77777777" w:rsidR="005D6D39" w:rsidRPr="00102634" w:rsidRDefault="005D6D39">
            <w:pPr>
              <w:pStyle w:val="TableText"/>
            </w:pPr>
            <w:r w:rsidRPr="00102634">
              <w:t>Placebo + FULV</w:t>
            </w:r>
          </w:p>
        </w:tc>
        <w:tc>
          <w:tcPr>
            <w:tcW w:w="521" w:type="pct"/>
            <w:tcBorders>
              <w:top w:val="single" w:sz="4" w:space="0" w:color="auto"/>
            </w:tcBorders>
            <w:shd w:val="clear" w:color="auto" w:fill="auto"/>
            <w:vAlign w:val="center"/>
          </w:tcPr>
          <w:p w14:paraId="29AE7CFB" w14:textId="77777777" w:rsidR="005D6D39" w:rsidRPr="00102634" w:rsidRDefault="005D6D39">
            <w:pPr>
              <w:pStyle w:val="TableText"/>
            </w:pPr>
            <w:r w:rsidRPr="00102634">
              <w:t>PFS, OS, ORR, safety</w:t>
            </w:r>
          </w:p>
        </w:tc>
        <w:tc>
          <w:tcPr>
            <w:tcW w:w="451" w:type="pct"/>
            <w:tcBorders>
              <w:top w:val="single" w:sz="4" w:space="0" w:color="auto"/>
            </w:tcBorders>
            <w:vAlign w:val="center"/>
          </w:tcPr>
          <w:p w14:paraId="25FD7CE1" w14:textId="77777777" w:rsidR="005D6D39" w:rsidRPr="00102634" w:rsidRDefault="005D6D39">
            <w:pPr>
              <w:pStyle w:val="TableText"/>
            </w:pPr>
            <w:r w:rsidRPr="00102634">
              <w:t>Not used</w:t>
            </w:r>
          </w:p>
        </w:tc>
      </w:tr>
      <w:tr w:rsidR="005D6D39" w:rsidRPr="00102634" w14:paraId="5B942AED" w14:textId="77777777">
        <w:trPr>
          <w:tblHeader/>
        </w:trPr>
        <w:tc>
          <w:tcPr>
            <w:tcW w:w="705" w:type="pct"/>
            <w:shd w:val="clear" w:color="auto" w:fill="auto"/>
            <w:vAlign w:val="center"/>
          </w:tcPr>
          <w:p w14:paraId="6087EF8C" w14:textId="77777777" w:rsidR="005D6D39" w:rsidRPr="00102634" w:rsidRDefault="005D6D39">
            <w:pPr>
              <w:pStyle w:val="TableText"/>
              <w:rPr>
                <w:vertAlign w:val="superscript"/>
              </w:rPr>
            </w:pPr>
            <w:r w:rsidRPr="00102634">
              <w:t xml:space="preserve">BELLE-3 </w:t>
            </w:r>
            <w:r w:rsidRPr="00102634">
              <w:rPr>
                <w:vertAlign w:val="superscript"/>
              </w:rPr>
              <w:t>f</w:t>
            </w:r>
          </w:p>
        </w:tc>
        <w:tc>
          <w:tcPr>
            <w:tcW w:w="235" w:type="pct"/>
            <w:shd w:val="clear" w:color="auto" w:fill="auto"/>
            <w:vAlign w:val="center"/>
          </w:tcPr>
          <w:p w14:paraId="59FDCA17" w14:textId="77777777" w:rsidR="005D6D39" w:rsidRPr="00102634" w:rsidRDefault="005D6D39">
            <w:pPr>
              <w:pStyle w:val="TableText"/>
            </w:pPr>
            <w:r w:rsidRPr="00102634">
              <w:t>432</w:t>
            </w:r>
          </w:p>
        </w:tc>
        <w:tc>
          <w:tcPr>
            <w:tcW w:w="472" w:type="pct"/>
            <w:shd w:val="clear" w:color="auto" w:fill="auto"/>
            <w:vAlign w:val="center"/>
          </w:tcPr>
          <w:p w14:paraId="783EB456" w14:textId="77777777" w:rsidR="005D6D39" w:rsidRPr="00102634" w:rsidRDefault="005D6D39">
            <w:pPr>
              <w:pStyle w:val="TableText"/>
            </w:pPr>
            <w:r w:rsidRPr="00102634">
              <w:t>P3, R, DB, PC, MC</w:t>
            </w:r>
          </w:p>
          <w:p w14:paraId="18993B3C" w14:textId="77777777" w:rsidR="005D6D39" w:rsidRPr="00102634" w:rsidRDefault="005D6D39">
            <w:pPr>
              <w:pStyle w:val="TableText"/>
            </w:pPr>
          </w:p>
          <w:p w14:paraId="4982272A" w14:textId="77777777" w:rsidR="005D6D39" w:rsidRPr="00102634" w:rsidRDefault="005D6D39">
            <w:pPr>
              <w:pStyle w:val="TableText"/>
            </w:pPr>
            <w:r w:rsidRPr="00102634">
              <w:t>Low</w:t>
            </w:r>
          </w:p>
        </w:tc>
        <w:tc>
          <w:tcPr>
            <w:tcW w:w="1492" w:type="pct"/>
            <w:vAlign w:val="center"/>
          </w:tcPr>
          <w:p w14:paraId="21256335" w14:textId="77777777" w:rsidR="005D6D39" w:rsidRPr="00102634" w:rsidRDefault="005D6D39">
            <w:pPr>
              <w:pStyle w:val="TableText"/>
            </w:pPr>
            <w:r w:rsidRPr="00102634">
              <w:t>Post-menopausal HR+/HER2- LA/M BC before or after progression on or after ET + mTOR inhibitor; CDK4/6 inhibitor-naïve (</w:t>
            </w:r>
            <w:r w:rsidRPr="00102634">
              <w:rPr>
                <w:i/>
                <w:iCs/>
              </w:rPr>
              <w:t>PIK3CA</w:t>
            </w:r>
            <w:r w:rsidRPr="00102634">
              <w:t>)</w:t>
            </w:r>
          </w:p>
        </w:tc>
        <w:tc>
          <w:tcPr>
            <w:tcW w:w="562" w:type="pct"/>
            <w:vAlign w:val="center"/>
          </w:tcPr>
          <w:p w14:paraId="325B9FC7" w14:textId="77777777" w:rsidR="005D6D39" w:rsidRPr="00102634" w:rsidRDefault="005D6D39">
            <w:pPr>
              <w:pStyle w:val="TableText"/>
            </w:pPr>
            <w:r w:rsidRPr="00102634">
              <w:t>Buparlisib + FULV</w:t>
            </w:r>
          </w:p>
        </w:tc>
        <w:tc>
          <w:tcPr>
            <w:tcW w:w="562" w:type="pct"/>
            <w:shd w:val="clear" w:color="auto" w:fill="auto"/>
            <w:vAlign w:val="center"/>
          </w:tcPr>
          <w:p w14:paraId="000D5FA0" w14:textId="77777777" w:rsidR="005D6D39" w:rsidRPr="00102634" w:rsidRDefault="005D6D39">
            <w:pPr>
              <w:pStyle w:val="TableText"/>
            </w:pPr>
            <w:r w:rsidRPr="00102634">
              <w:t>Placebo + FULV</w:t>
            </w:r>
          </w:p>
        </w:tc>
        <w:tc>
          <w:tcPr>
            <w:tcW w:w="521" w:type="pct"/>
            <w:shd w:val="clear" w:color="auto" w:fill="auto"/>
            <w:vAlign w:val="center"/>
          </w:tcPr>
          <w:p w14:paraId="1C1A37CC" w14:textId="77777777" w:rsidR="005D6D39" w:rsidRPr="00102634" w:rsidRDefault="005D6D39">
            <w:pPr>
              <w:pStyle w:val="TableText"/>
            </w:pPr>
            <w:r w:rsidRPr="00102634">
              <w:t>PFS, OS, ORR, safety</w:t>
            </w:r>
          </w:p>
        </w:tc>
        <w:tc>
          <w:tcPr>
            <w:tcW w:w="451" w:type="pct"/>
            <w:vAlign w:val="center"/>
          </w:tcPr>
          <w:p w14:paraId="34DB4934" w14:textId="77777777" w:rsidR="005D6D39" w:rsidRPr="00102634" w:rsidRDefault="005D6D39">
            <w:pPr>
              <w:pStyle w:val="TableText"/>
            </w:pPr>
            <w:r w:rsidRPr="00102634">
              <w:t>Not used</w:t>
            </w:r>
          </w:p>
        </w:tc>
      </w:tr>
    </w:tbl>
    <w:p w14:paraId="5E3FBA89" w14:textId="7946F93F" w:rsidR="005D6D39" w:rsidRPr="00102634" w:rsidRDefault="005D6D39" w:rsidP="005D6D39">
      <w:pPr>
        <w:pStyle w:val="TableFigureFooter"/>
      </w:pPr>
      <w:r w:rsidRPr="00102634">
        <w:t>Source</w:t>
      </w:r>
      <w:r w:rsidRPr="00684DE6">
        <w:t xml:space="preserve">: Monash </w:t>
      </w:r>
      <w:r w:rsidR="007255BF" w:rsidRPr="00684DE6">
        <w:t xml:space="preserve">Health </w:t>
      </w:r>
      <w:r w:rsidR="00097EFB" w:rsidRPr="00684DE6">
        <w:t>Pathology</w:t>
      </w:r>
      <w:r w:rsidRPr="00684DE6">
        <w:t xml:space="preserve"> 2024;</w:t>
      </w:r>
      <w:r w:rsidRPr="00102634">
        <w:t xml:space="preserve"> FDA 2019 report; CAPItello-291, FAKTION, SOLAR-1, BELLE-3; FDA 2023 report</w:t>
      </w:r>
    </w:p>
    <w:p w14:paraId="4DE3FDF3" w14:textId="1F21830F" w:rsidR="005D6D39" w:rsidRPr="00102634" w:rsidRDefault="005D6D39" w:rsidP="005D6D39">
      <w:pPr>
        <w:pStyle w:val="TableFigureFooter"/>
      </w:pPr>
      <w:r w:rsidRPr="00102634">
        <w:t>AI = aromatase inhibitor; AKT = serine/threonine kinase; BC = breast cancer; CA = concordance analysis; CAPI = capivasertib; CDK4/6 =</w:t>
      </w:r>
      <w:r w:rsidRPr="2C973C4D">
        <w:rPr>
          <w:color w:val="000000" w:themeColor="text1"/>
        </w:rPr>
        <w:t xml:space="preserve"> cyclin dependent kinase 4 and 6</w:t>
      </w:r>
      <w:r w:rsidRPr="00102634">
        <w:t xml:space="preserve">; CGP = comprehensive genomic profiling; DAS = diagnostic accuracy study; DB = double blinded; </w:t>
      </w:r>
      <w:proofErr w:type="spellStart"/>
      <w:r w:rsidR="00191B11">
        <w:t>DoR</w:t>
      </w:r>
      <w:proofErr w:type="spellEnd"/>
      <w:r w:rsidR="00191B11">
        <w:t xml:space="preserve"> = duration of response; </w:t>
      </w:r>
      <w:r w:rsidRPr="00102634">
        <w:t xml:space="preserve">ET  =  endocrine therapy; F1CDx = </w:t>
      </w:r>
      <w:proofErr w:type="spellStart"/>
      <w:r w:rsidRPr="00102634">
        <w:t>FoundationOneCDx</w:t>
      </w:r>
      <w:proofErr w:type="spellEnd"/>
      <w:r w:rsidRPr="00102634">
        <w:t xml:space="preserve">; FDA = Food and Drug Administration; FULV = </w:t>
      </w:r>
      <w:proofErr w:type="spellStart"/>
      <w:r w:rsidRPr="00102634">
        <w:t>fulvestrant</w:t>
      </w:r>
      <w:proofErr w:type="spellEnd"/>
      <w:r w:rsidRPr="00102634">
        <w:t xml:space="preserve">; HR+ = hormone receptor positive; HER2- = human epidermal growth factor receptor 2 negative; </w:t>
      </w:r>
      <w:proofErr w:type="spellStart"/>
      <w:r w:rsidRPr="00102634">
        <w:t>HRQoL</w:t>
      </w:r>
      <w:proofErr w:type="spellEnd"/>
      <w:r w:rsidRPr="00102634">
        <w:t xml:space="preserve"> = health related quality of life; ITT = intention to treat; LA/M = locally advanced/metastatic; MC = multicentre; mTOR = </w:t>
      </w:r>
      <w:r w:rsidRPr="2C973C4D">
        <w:rPr>
          <w:color w:val="000000" w:themeColor="text1"/>
        </w:rPr>
        <w:t>mammalian target of rapamycin</w:t>
      </w:r>
      <w:r w:rsidRPr="00102634">
        <w:t>; NGS = next-generation sequencing; NPA = negative percent agreement; ORR = objective response rate; OS = overall survival; PC = placebo controlled; PFS = progression free survival; PPA = positive percent agreement; P2 = phase 2; P3 = phase 3; R = randomised</w:t>
      </w:r>
    </w:p>
    <w:p w14:paraId="3E92277F" w14:textId="77777777" w:rsidR="005D6D39" w:rsidRPr="00102634" w:rsidRDefault="005D6D39" w:rsidP="005D6D39">
      <w:pPr>
        <w:pStyle w:val="TableFigureFooter"/>
      </w:pPr>
      <w:r w:rsidRPr="00102634">
        <w:t>*</w:t>
      </w:r>
      <w:r w:rsidRPr="00102634">
        <w:rPr>
          <w:vertAlign w:val="superscript"/>
        </w:rPr>
        <w:t xml:space="preserve"> </w:t>
      </w:r>
      <w:proofErr w:type="gramStart"/>
      <w:r w:rsidRPr="00102634">
        <w:t>identified</w:t>
      </w:r>
      <w:proofErr w:type="gramEnd"/>
      <w:r w:rsidRPr="00102634">
        <w:t xml:space="preserve"> during the evaluation</w:t>
      </w:r>
    </w:p>
    <w:p w14:paraId="08021346" w14:textId="77777777" w:rsidR="005D6D39" w:rsidRPr="00102634" w:rsidRDefault="005D6D39" w:rsidP="005D6D39">
      <w:pPr>
        <w:pStyle w:val="TableFigureFooter"/>
      </w:pPr>
      <w:r w:rsidRPr="00102634">
        <w:rPr>
          <w:vertAlign w:val="superscript"/>
        </w:rPr>
        <w:t>a</w:t>
      </w:r>
      <w:r w:rsidRPr="00102634">
        <w:t xml:space="preserve"> CAPItello-291 informed both the prognostic and predictive validity of AKT pathway alterations. </w:t>
      </w:r>
    </w:p>
    <w:p w14:paraId="52AA19A1" w14:textId="77777777" w:rsidR="005D6D39" w:rsidRPr="00102634" w:rsidRDefault="005D6D39" w:rsidP="005D6D39">
      <w:pPr>
        <w:pStyle w:val="TableFigureFooter"/>
      </w:pPr>
      <w:r w:rsidRPr="00102634">
        <w:rPr>
          <w:vertAlign w:val="superscript"/>
        </w:rPr>
        <w:t xml:space="preserve">b </w:t>
      </w:r>
      <w:r w:rsidRPr="00102634">
        <w:t xml:space="preserve">CAPItello-291 was considered low risk of bias overall, but there was potential for reporting bias given the high proportion of patients with unknown AKT status. </w:t>
      </w:r>
    </w:p>
    <w:p w14:paraId="62A60DFA" w14:textId="77777777" w:rsidR="005D6D39" w:rsidRPr="00102634" w:rsidRDefault="005D6D39" w:rsidP="005D6D39">
      <w:pPr>
        <w:pStyle w:val="TableFigureFooter"/>
      </w:pPr>
      <w:r w:rsidRPr="00102634">
        <w:rPr>
          <w:vertAlign w:val="superscript"/>
        </w:rPr>
        <w:t>c</w:t>
      </w:r>
      <w:r w:rsidRPr="00102634">
        <w:t xml:space="preserve"> FAKTION informed both the prognostic and predictive validity of AKT pathway alterations. </w:t>
      </w:r>
    </w:p>
    <w:p w14:paraId="17731D85" w14:textId="77777777" w:rsidR="005D6D39" w:rsidRPr="00102634" w:rsidRDefault="005D6D39" w:rsidP="005D6D39">
      <w:pPr>
        <w:pStyle w:val="TableFigureFooter"/>
      </w:pPr>
      <w:r w:rsidRPr="00102634">
        <w:rPr>
          <w:vertAlign w:val="superscript"/>
        </w:rPr>
        <w:t xml:space="preserve">d </w:t>
      </w:r>
      <w:r w:rsidRPr="00102634">
        <w:t xml:space="preserve">The ITT cohort in FAKTION was considered low risk, however, the AKT subgroup results were considered to have a high risk of bias given the exploratory </w:t>
      </w:r>
      <w:r w:rsidRPr="00102634">
        <w:rPr>
          <w:i/>
          <w:iCs/>
        </w:rPr>
        <w:t>post hoc</w:t>
      </w:r>
      <w:r w:rsidRPr="00102634">
        <w:t xml:space="preserve"> nature of these groups</w:t>
      </w:r>
    </w:p>
    <w:p w14:paraId="364027CC" w14:textId="77777777" w:rsidR="005D6D39" w:rsidRPr="00102634" w:rsidRDefault="005D6D39" w:rsidP="005D6D39">
      <w:pPr>
        <w:pStyle w:val="TableFigureFooter"/>
      </w:pPr>
      <w:r w:rsidRPr="00102634">
        <w:rPr>
          <w:vertAlign w:val="superscript"/>
        </w:rPr>
        <w:t>e</w:t>
      </w:r>
      <w:r w:rsidRPr="00102634">
        <w:t xml:space="preserve"> </w:t>
      </w:r>
      <w:r w:rsidRPr="00102634">
        <w:rPr>
          <w:i/>
          <w:iCs/>
        </w:rPr>
        <w:t>AKT1</w:t>
      </w:r>
      <w:r w:rsidRPr="00102634">
        <w:t xml:space="preserve"> was not analysed in the original study design. </w:t>
      </w:r>
      <w:r w:rsidRPr="00102634">
        <w:rPr>
          <w:i/>
          <w:iCs/>
        </w:rPr>
        <w:t>AKT1</w:t>
      </w:r>
      <w:r w:rsidRPr="00102634">
        <w:t xml:space="preserve"> testing was conducted </w:t>
      </w:r>
      <w:proofErr w:type="gramStart"/>
      <w:r w:rsidRPr="00102634">
        <w:t>at a later date</w:t>
      </w:r>
      <w:proofErr w:type="gramEnd"/>
      <w:r w:rsidRPr="00102634">
        <w:t xml:space="preserve"> and assessed under the “Expanded” population </w:t>
      </w:r>
    </w:p>
    <w:p w14:paraId="56438497" w14:textId="77777777" w:rsidR="005D6D39" w:rsidRPr="00102634" w:rsidRDefault="005D6D39" w:rsidP="005D6D39">
      <w:pPr>
        <w:pStyle w:val="TableFigureFooter"/>
      </w:pPr>
      <w:r w:rsidRPr="00102634">
        <w:rPr>
          <w:vertAlign w:val="superscript"/>
        </w:rPr>
        <w:t>f</w:t>
      </w:r>
      <w:r w:rsidRPr="00102634">
        <w:t xml:space="preserve"> SOLAR-1 and BELLE-3 informed the prognostic validity of AKT pathway alterations</w:t>
      </w:r>
    </w:p>
    <w:p w14:paraId="452FC716" w14:textId="77777777" w:rsidR="007E3AA1" w:rsidRPr="00102634" w:rsidRDefault="007E3AA1" w:rsidP="007E3AA1">
      <w:pPr>
        <w:pStyle w:val="TableFigureFooter"/>
        <w:rPr>
          <w:u w:val="single"/>
        </w:rPr>
      </w:pPr>
      <w:r w:rsidRPr="00102634">
        <w:rPr>
          <w:u w:val="single"/>
        </w:rPr>
        <w:t>Note:</w:t>
      </w:r>
    </w:p>
    <w:p w14:paraId="54F57F37" w14:textId="77777777" w:rsidR="007E3AA1" w:rsidRPr="00102634" w:rsidRDefault="007E3AA1" w:rsidP="007E3AA1">
      <w:pPr>
        <w:pStyle w:val="TableFigureFooter"/>
      </w:pPr>
      <w:r w:rsidRPr="00102634">
        <w:t>Risk of bias assessment of diagnostic accuracy studies performing using the QUADAS-2 tool; and for randomised controlled trial using the Cochrane risk of bias tool.</w:t>
      </w:r>
    </w:p>
    <w:p w14:paraId="43EBB948" w14:textId="7C927580" w:rsidR="007E3AA1" w:rsidRPr="00102634" w:rsidRDefault="007E3AA1" w:rsidP="005D6D39">
      <w:pPr>
        <w:pStyle w:val="TableFigureFooter"/>
      </w:pPr>
      <w:r w:rsidRPr="00102634">
        <w:t>The submission did not present formal evidence to demonstrate the change in management given a positive or negative result for AKT pathway alterations.</w:t>
      </w:r>
    </w:p>
    <w:p w14:paraId="774279A2" w14:textId="0DCACB37"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The submission </w:t>
      </w:r>
      <w:r w:rsidRPr="00684DE6">
        <w:rPr>
          <w:rFonts w:ascii="Franklin Gothic Book" w:hAnsi="Franklin Gothic Book"/>
          <w:sz w:val="22"/>
        </w:rPr>
        <w:t xml:space="preserve">presented two concordance analyses to inform the diagnostic accuracy of AKT pathway testing: Monash </w:t>
      </w:r>
      <w:r w:rsidR="009C404F" w:rsidRPr="00684DE6">
        <w:rPr>
          <w:rFonts w:ascii="Franklin Gothic Book" w:hAnsi="Franklin Gothic Book"/>
          <w:sz w:val="22"/>
        </w:rPr>
        <w:t xml:space="preserve">Health </w:t>
      </w:r>
      <w:r w:rsidR="00D81B85" w:rsidRPr="00684DE6">
        <w:rPr>
          <w:rFonts w:ascii="Franklin Gothic Book" w:hAnsi="Franklin Gothic Book"/>
          <w:sz w:val="22"/>
        </w:rPr>
        <w:t xml:space="preserve">Pathology </w:t>
      </w:r>
      <w:r w:rsidRPr="00684DE6">
        <w:rPr>
          <w:rFonts w:ascii="Franklin Gothic Book" w:hAnsi="Franklin Gothic Book"/>
          <w:sz w:val="22"/>
        </w:rPr>
        <w:t xml:space="preserve">2024 (N=21; Roche AVENIO vs </w:t>
      </w:r>
      <w:proofErr w:type="spellStart"/>
      <w:r w:rsidRPr="00684DE6">
        <w:rPr>
          <w:rFonts w:ascii="Franklin Gothic Book" w:hAnsi="Franklin Gothic Book"/>
          <w:sz w:val="22"/>
        </w:rPr>
        <w:t>Foundati</w:t>
      </w:r>
      <w:r w:rsidR="000D26E3" w:rsidRPr="00684DE6">
        <w:rPr>
          <w:rFonts w:ascii="Franklin Gothic Book" w:hAnsi="Franklin Gothic Book"/>
          <w:sz w:val="22"/>
        </w:rPr>
        <w:t>o</w:t>
      </w:r>
      <w:r w:rsidRPr="00684DE6">
        <w:rPr>
          <w:rFonts w:ascii="Franklin Gothic Book" w:hAnsi="Franklin Gothic Book"/>
          <w:sz w:val="22"/>
        </w:rPr>
        <w:t>n</w:t>
      </w:r>
      <w:r w:rsidR="000D26E3" w:rsidRPr="00684DE6">
        <w:rPr>
          <w:rFonts w:ascii="Franklin Gothic Book" w:hAnsi="Franklin Gothic Book"/>
          <w:sz w:val="22"/>
        </w:rPr>
        <w:t>On</w:t>
      </w:r>
      <w:r w:rsidRPr="00684DE6">
        <w:rPr>
          <w:rFonts w:ascii="Franklin Gothic Book" w:hAnsi="Franklin Gothic Book"/>
          <w:sz w:val="22"/>
        </w:rPr>
        <w:t>eCDx</w:t>
      </w:r>
      <w:proofErr w:type="spellEnd"/>
      <w:r w:rsidRPr="00C24C30">
        <w:rPr>
          <w:rFonts w:ascii="Franklin Gothic Book" w:hAnsi="Franklin Gothic Book"/>
          <w:sz w:val="22"/>
        </w:rPr>
        <w:t xml:space="preserve">) and FDA 2019 (N=101; </w:t>
      </w:r>
      <w:proofErr w:type="spellStart"/>
      <w:r w:rsidRPr="00C24C30">
        <w:rPr>
          <w:rFonts w:ascii="Franklin Gothic Book" w:hAnsi="Franklin Gothic Book"/>
          <w:sz w:val="22"/>
        </w:rPr>
        <w:t>Foundation</w:t>
      </w:r>
      <w:r w:rsidR="000D26E3" w:rsidRPr="00C24C30">
        <w:rPr>
          <w:rFonts w:ascii="Franklin Gothic Book" w:hAnsi="Franklin Gothic Book"/>
          <w:sz w:val="22"/>
        </w:rPr>
        <w:t>On</w:t>
      </w:r>
      <w:r w:rsidRPr="00C24C30">
        <w:rPr>
          <w:rFonts w:ascii="Franklin Gothic Book" w:hAnsi="Franklin Gothic Book"/>
          <w:sz w:val="22"/>
        </w:rPr>
        <w:t>eCDx</w:t>
      </w:r>
      <w:proofErr w:type="spellEnd"/>
      <w:r w:rsidRPr="00C24C30">
        <w:rPr>
          <w:rFonts w:ascii="Franklin Gothic Book" w:hAnsi="Franklin Gothic Book"/>
          <w:sz w:val="22"/>
        </w:rPr>
        <w:t xml:space="preserve"> vs ‘Externally validated NGS’). The FDA 2023 (N=236; </w:t>
      </w:r>
      <w:proofErr w:type="spellStart"/>
      <w:r w:rsidRPr="00C24C30">
        <w:rPr>
          <w:rFonts w:ascii="Franklin Gothic Book" w:hAnsi="Franklin Gothic Book"/>
          <w:sz w:val="22"/>
        </w:rPr>
        <w:lastRenderedPageBreak/>
        <w:t>Foundation</w:t>
      </w:r>
      <w:r w:rsidR="000D26E3" w:rsidRPr="00C24C30">
        <w:rPr>
          <w:rFonts w:ascii="Franklin Gothic Book" w:hAnsi="Franklin Gothic Book"/>
          <w:sz w:val="22"/>
        </w:rPr>
        <w:t>On</w:t>
      </w:r>
      <w:r w:rsidRPr="00C24C30">
        <w:rPr>
          <w:rFonts w:ascii="Franklin Gothic Book" w:hAnsi="Franklin Gothic Book"/>
          <w:sz w:val="22"/>
        </w:rPr>
        <w:t>eCDx</w:t>
      </w:r>
      <w:proofErr w:type="spellEnd"/>
      <w:r w:rsidRPr="00C24C30">
        <w:rPr>
          <w:rFonts w:ascii="Franklin Gothic Book" w:hAnsi="Franklin Gothic Book"/>
          <w:sz w:val="22"/>
        </w:rPr>
        <w:t xml:space="preserve"> vs ‘Externally validated NGS’) report was identified and included during the evaluation. </w:t>
      </w:r>
    </w:p>
    <w:p w14:paraId="4C412174" w14:textId="4642B705" w:rsidR="005D6D39" w:rsidRPr="00C24C30" w:rsidRDefault="005D6D39" w:rsidP="005D6D39">
      <w:pPr>
        <w:rPr>
          <w:rFonts w:ascii="Franklin Gothic Book" w:hAnsi="Franklin Gothic Book"/>
          <w:i/>
          <w:iCs/>
          <w:sz w:val="22"/>
        </w:rPr>
      </w:pPr>
      <w:r w:rsidRPr="00C24C30">
        <w:rPr>
          <w:rFonts w:ascii="Franklin Gothic Book" w:hAnsi="Franklin Gothic Book"/>
          <w:sz w:val="22"/>
        </w:rPr>
        <w:t>Four randomised controlled trials (RCTs) were presented to inform the prognostic effect of AKT pathway alterations based on treatment with placebo + FULV: CAPItello-291 (N=708), FAKTION (N=140), SOLAR-1 (N=572), and BELLE-3 (N=432</w:t>
      </w:r>
      <w:r w:rsidR="0038C535" w:rsidRPr="00C24C30">
        <w:rPr>
          <w:rFonts w:ascii="Franklin Gothic Book" w:hAnsi="Franklin Gothic Book"/>
          <w:sz w:val="22"/>
        </w:rPr>
        <w:t>)</w:t>
      </w:r>
      <w:r w:rsidR="474A2CE7" w:rsidRPr="00C24C30">
        <w:rPr>
          <w:rFonts w:ascii="Franklin Gothic Book" w:hAnsi="Franklin Gothic Book"/>
          <w:sz w:val="22"/>
        </w:rPr>
        <w:t>.</w:t>
      </w:r>
      <w:r w:rsidRPr="00C24C30">
        <w:rPr>
          <w:rFonts w:ascii="Franklin Gothic Book" w:hAnsi="Franklin Gothic Book"/>
          <w:sz w:val="22"/>
        </w:rPr>
        <w:t xml:space="preserve"> CAPItello-291 and FAKTION also informed the predictive effect of AKT pathway alterations based on treatment with CAPI+FULV compared to placebo + FULV. </w:t>
      </w:r>
    </w:p>
    <w:p w14:paraId="79AD44AA" w14:textId="77777777" w:rsidR="005D6D39" w:rsidRPr="00684DE6" w:rsidRDefault="005D6D39" w:rsidP="005D6D39">
      <w:pPr>
        <w:rPr>
          <w:rFonts w:ascii="Franklin Gothic Book" w:hAnsi="Franklin Gothic Book"/>
          <w:i/>
          <w:iCs/>
          <w:sz w:val="22"/>
        </w:rPr>
      </w:pPr>
      <w:r w:rsidRPr="00C24C30">
        <w:rPr>
          <w:rFonts w:ascii="Franklin Gothic Book" w:hAnsi="Franklin Gothic Book"/>
          <w:sz w:val="22"/>
        </w:rPr>
        <w:t xml:space="preserve">The submission did not provide formal evidence to demonstrate the change in management given a positive or negative result for AKT </w:t>
      </w:r>
      <w:r w:rsidRPr="00684DE6">
        <w:rPr>
          <w:rFonts w:ascii="Franklin Gothic Book" w:hAnsi="Franklin Gothic Book"/>
          <w:sz w:val="22"/>
        </w:rPr>
        <w:t>pathway alteration.</w:t>
      </w:r>
    </w:p>
    <w:p w14:paraId="073032AF" w14:textId="7A80F264" w:rsidR="005D6D39" w:rsidRPr="00C24C30" w:rsidRDefault="005D6D39" w:rsidP="005D6D39">
      <w:pPr>
        <w:rPr>
          <w:rFonts w:ascii="Franklin Gothic Book" w:hAnsi="Franklin Gothic Book"/>
          <w:sz w:val="22"/>
        </w:rPr>
      </w:pPr>
      <w:r w:rsidRPr="00684DE6">
        <w:rPr>
          <w:rFonts w:ascii="Franklin Gothic Book" w:hAnsi="Franklin Gothic Book"/>
          <w:sz w:val="22"/>
        </w:rPr>
        <w:t>The commentary considered the diagnostic evidence presented was at high risk of bias and</w:t>
      </w:r>
      <w:r w:rsidR="78F83020" w:rsidRPr="00684DE6">
        <w:rPr>
          <w:rFonts w:ascii="Franklin Gothic Book" w:hAnsi="Franklin Gothic Book"/>
          <w:sz w:val="22"/>
        </w:rPr>
        <w:t>/</w:t>
      </w:r>
      <w:r w:rsidRPr="00684DE6">
        <w:rPr>
          <w:rFonts w:ascii="Franklin Gothic Book" w:hAnsi="Franklin Gothic Book"/>
          <w:sz w:val="22"/>
        </w:rPr>
        <w:t>or had limited applicability to the proposed test setting</w:t>
      </w:r>
      <w:r w:rsidR="61DC865F" w:rsidRPr="00684DE6">
        <w:rPr>
          <w:rFonts w:ascii="Franklin Gothic Book" w:hAnsi="Franklin Gothic Book"/>
          <w:sz w:val="22"/>
        </w:rPr>
        <w:t>.</w:t>
      </w:r>
      <w:r w:rsidR="0038C535" w:rsidRPr="00684DE6">
        <w:rPr>
          <w:rFonts w:ascii="Franklin Gothic Book" w:hAnsi="Franklin Gothic Book"/>
          <w:sz w:val="22"/>
        </w:rPr>
        <w:t xml:space="preserve"> </w:t>
      </w:r>
      <w:r w:rsidR="5F119F02" w:rsidRPr="00684DE6">
        <w:rPr>
          <w:rFonts w:ascii="Franklin Gothic Book" w:hAnsi="Franklin Gothic Book"/>
          <w:sz w:val="22"/>
        </w:rPr>
        <w:t>T</w:t>
      </w:r>
      <w:r w:rsidRPr="00684DE6">
        <w:rPr>
          <w:rFonts w:ascii="Franklin Gothic Book" w:hAnsi="Franklin Gothic Book"/>
          <w:sz w:val="22"/>
        </w:rPr>
        <w:t xml:space="preserve">he Monash </w:t>
      </w:r>
      <w:r w:rsidR="009C404F" w:rsidRPr="00684DE6">
        <w:rPr>
          <w:rFonts w:ascii="Franklin Gothic Book" w:hAnsi="Franklin Gothic Book"/>
          <w:sz w:val="22"/>
        </w:rPr>
        <w:t xml:space="preserve">Health </w:t>
      </w:r>
      <w:r w:rsidR="00D81B85" w:rsidRPr="00684DE6">
        <w:rPr>
          <w:rFonts w:ascii="Franklin Gothic Book" w:hAnsi="Franklin Gothic Book"/>
          <w:sz w:val="22"/>
        </w:rPr>
        <w:t xml:space="preserve">Pathology </w:t>
      </w:r>
      <w:r w:rsidRPr="00684DE6">
        <w:rPr>
          <w:rFonts w:ascii="Franklin Gothic Book" w:hAnsi="Franklin Gothic Book"/>
          <w:sz w:val="22"/>
        </w:rPr>
        <w:t xml:space="preserve">2024 concordance analysis between Roche AVENIO CGP and </w:t>
      </w:r>
      <w:proofErr w:type="spellStart"/>
      <w:r w:rsidRPr="00684DE6">
        <w:rPr>
          <w:rFonts w:ascii="Franklin Gothic Book" w:hAnsi="Franklin Gothic Book"/>
          <w:sz w:val="22"/>
        </w:rPr>
        <w:t>FoundationOneCD</w:t>
      </w:r>
      <w:r w:rsidR="000D26E3" w:rsidRPr="00684DE6">
        <w:rPr>
          <w:rFonts w:ascii="Franklin Gothic Book" w:hAnsi="Franklin Gothic Book"/>
          <w:sz w:val="22"/>
        </w:rPr>
        <w:t>x</w:t>
      </w:r>
      <w:proofErr w:type="spellEnd"/>
      <w:r w:rsidRPr="00684DE6">
        <w:rPr>
          <w:rFonts w:ascii="Franklin Gothic Book" w:hAnsi="Franklin Gothic Book"/>
          <w:sz w:val="22"/>
        </w:rPr>
        <w:t xml:space="preserve"> was based on 16/21 tissue samples, where 24% (5/21) were unsuccessful </w:t>
      </w:r>
      <w:r w:rsidR="00B44112" w:rsidRPr="00684DE6">
        <w:rPr>
          <w:rFonts w:ascii="Franklin Gothic Book" w:hAnsi="Franklin Gothic Book"/>
          <w:sz w:val="22"/>
        </w:rPr>
        <w:t xml:space="preserve">(mainly due to insufficient DNA yield) </w:t>
      </w:r>
      <w:r w:rsidRPr="00684DE6">
        <w:rPr>
          <w:rFonts w:ascii="Franklin Gothic Book" w:hAnsi="Franklin Gothic Book"/>
          <w:sz w:val="22"/>
        </w:rPr>
        <w:t xml:space="preserve">on the </w:t>
      </w:r>
      <w:proofErr w:type="spellStart"/>
      <w:r w:rsidRPr="00684DE6">
        <w:rPr>
          <w:rFonts w:ascii="Franklin Gothic Book" w:hAnsi="Franklin Gothic Book"/>
          <w:sz w:val="22"/>
        </w:rPr>
        <w:t>FoundationOneCDx</w:t>
      </w:r>
      <w:proofErr w:type="spellEnd"/>
      <w:r w:rsidRPr="00684DE6">
        <w:rPr>
          <w:rFonts w:ascii="Franklin Gothic Book" w:hAnsi="Franklin Gothic Book"/>
          <w:sz w:val="22"/>
        </w:rPr>
        <w:t xml:space="preserve">; </w:t>
      </w:r>
      <w:r w:rsidR="6A68E3F6" w:rsidRPr="00684DE6">
        <w:rPr>
          <w:rFonts w:ascii="Franklin Gothic Book" w:hAnsi="Franklin Gothic Book"/>
          <w:sz w:val="22"/>
        </w:rPr>
        <w:t>however,</w:t>
      </w:r>
      <w:r w:rsidR="0038C535" w:rsidRPr="00684DE6">
        <w:rPr>
          <w:rFonts w:ascii="Franklin Gothic Book" w:hAnsi="Franklin Gothic Book"/>
          <w:sz w:val="22"/>
        </w:rPr>
        <w:t xml:space="preserve"> </w:t>
      </w:r>
      <w:r w:rsidRPr="00684DE6">
        <w:rPr>
          <w:rFonts w:ascii="Franklin Gothic Book" w:hAnsi="Franklin Gothic Book"/>
          <w:sz w:val="22"/>
        </w:rPr>
        <w:t xml:space="preserve">all samples were known positive for </w:t>
      </w:r>
      <w:r w:rsidRPr="00684DE6">
        <w:rPr>
          <w:rFonts w:ascii="Franklin Gothic Book" w:hAnsi="Franklin Gothic Book"/>
          <w:i/>
          <w:iCs/>
          <w:sz w:val="22"/>
        </w:rPr>
        <w:t>PIK3CA, AKT1, or PTEN</w:t>
      </w:r>
      <w:r w:rsidRPr="00684DE6">
        <w:rPr>
          <w:rFonts w:ascii="Franklin Gothic Book" w:hAnsi="Franklin Gothic Book"/>
          <w:sz w:val="22"/>
        </w:rPr>
        <w:t xml:space="preserve"> variants and thus the interpretation of negative concordance was uncertain. PASC previously considered the results from </w:t>
      </w:r>
      <w:r w:rsidR="12BFABD9" w:rsidRPr="00684DE6">
        <w:rPr>
          <w:rFonts w:ascii="Franklin Gothic Book" w:hAnsi="Franklin Gothic Book"/>
          <w:sz w:val="22"/>
        </w:rPr>
        <w:t xml:space="preserve">the </w:t>
      </w:r>
      <w:r w:rsidRPr="00684DE6">
        <w:rPr>
          <w:rFonts w:ascii="Franklin Gothic Book" w:hAnsi="Franklin Gothic Book"/>
          <w:sz w:val="22"/>
        </w:rPr>
        <w:t xml:space="preserve">Monash </w:t>
      </w:r>
      <w:r w:rsidR="009C404F" w:rsidRPr="00684DE6">
        <w:rPr>
          <w:rFonts w:ascii="Franklin Gothic Book" w:hAnsi="Franklin Gothic Book"/>
          <w:sz w:val="22"/>
        </w:rPr>
        <w:t xml:space="preserve">Health </w:t>
      </w:r>
      <w:r w:rsidR="00585C6B" w:rsidRPr="00684DE6">
        <w:rPr>
          <w:rFonts w:ascii="Franklin Gothic Book" w:hAnsi="Franklin Gothic Book"/>
          <w:sz w:val="22"/>
        </w:rPr>
        <w:t xml:space="preserve">Pathology </w:t>
      </w:r>
      <w:r w:rsidRPr="00684DE6">
        <w:rPr>
          <w:rFonts w:ascii="Franklin Gothic Book" w:hAnsi="Franklin Gothic Book"/>
          <w:sz w:val="22"/>
        </w:rPr>
        <w:t xml:space="preserve">2024 report to be uncertain, noting that tumour enrichment data of samples were not provided, </w:t>
      </w:r>
      <w:r w:rsidRPr="00684DE6">
        <w:rPr>
          <w:rFonts w:ascii="Franklin Gothic Book" w:hAnsi="Franklin Gothic Book"/>
          <w:i/>
          <w:iCs/>
          <w:sz w:val="22"/>
        </w:rPr>
        <w:t>PTEN</w:t>
      </w:r>
      <w:r w:rsidRPr="00684DE6">
        <w:rPr>
          <w:rFonts w:ascii="Franklin Gothic Book" w:hAnsi="Franklin Gothic Book"/>
          <w:sz w:val="22"/>
        </w:rPr>
        <w:t xml:space="preserve"> deletions were not detected by either test, </w:t>
      </w:r>
      <w:proofErr w:type="gramStart"/>
      <w:r w:rsidRPr="00684DE6">
        <w:rPr>
          <w:rFonts w:ascii="Franklin Gothic Book" w:hAnsi="Franklin Gothic Book"/>
          <w:sz w:val="22"/>
        </w:rPr>
        <w:t>and</w:t>
      </w:r>
      <w:proofErr w:type="gramEnd"/>
      <w:r w:rsidRPr="00684DE6">
        <w:rPr>
          <w:rFonts w:ascii="Franklin Gothic Book" w:hAnsi="Franklin Gothic Book"/>
          <w:sz w:val="22"/>
        </w:rPr>
        <w:t xml:space="preserve"> </w:t>
      </w:r>
      <w:proofErr w:type="spellStart"/>
      <w:r w:rsidRPr="00684DE6">
        <w:rPr>
          <w:rFonts w:ascii="Franklin Gothic Book" w:hAnsi="Franklin Gothic Book"/>
          <w:sz w:val="22"/>
        </w:rPr>
        <w:t>FoundationOneCDx</w:t>
      </w:r>
      <w:proofErr w:type="spellEnd"/>
      <w:r w:rsidRPr="00684DE6">
        <w:rPr>
          <w:rFonts w:ascii="Franklin Gothic Book" w:hAnsi="Franklin Gothic Book"/>
          <w:sz w:val="22"/>
        </w:rPr>
        <w:t xml:space="preserve"> did not identify a </w:t>
      </w:r>
      <w:r w:rsidRPr="00684DE6">
        <w:rPr>
          <w:rFonts w:ascii="Franklin Gothic Book" w:hAnsi="Franklin Gothic Book"/>
          <w:i/>
          <w:iCs/>
          <w:sz w:val="22"/>
        </w:rPr>
        <w:t>PTEN</w:t>
      </w:r>
      <w:r w:rsidRPr="00684DE6">
        <w:rPr>
          <w:rFonts w:ascii="Franklin Gothic Book" w:hAnsi="Franklin Gothic Book"/>
          <w:sz w:val="22"/>
        </w:rPr>
        <w:t xml:space="preserve"> point variation (p.D268E; p17, 1766 Ratified PICO Confirmation, April 2024 PASC Meeting). Additionally, the commentary considered</w:t>
      </w:r>
      <w:r w:rsidRPr="00C24C30">
        <w:rPr>
          <w:rFonts w:ascii="Franklin Gothic Book" w:hAnsi="Franklin Gothic Book"/>
          <w:sz w:val="22"/>
        </w:rPr>
        <w:t xml:space="preserve"> that both the FDA 2019 (n=101) and FDA 2023 (N=236) reports had reduced applicability to the proposed test setting since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was compared against an ‘externally validated NGS’ that was not specified; FDA 2019 only detected </w:t>
      </w:r>
      <w:r w:rsidRPr="00C24C30">
        <w:rPr>
          <w:rFonts w:ascii="Franklin Gothic Book" w:hAnsi="Franklin Gothic Book"/>
          <w:i/>
          <w:iCs/>
          <w:sz w:val="22"/>
        </w:rPr>
        <w:t>PIK3CA</w:t>
      </w:r>
      <w:r w:rsidRPr="00C24C30">
        <w:rPr>
          <w:rFonts w:ascii="Franklin Gothic Book" w:hAnsi="Franklin Gothic Book"/>
          <w:sz w:val="22"/>
        </w:rPr>
        <w:t xml:space="preserve"> alterations; and the FDA 2023 report included tumour tissue samples from metastatic triple negative breast cancer (TNBC) patients.</w:t>
      </w:r>
    </w:p>
    <w:p w14:paraId="5F15200A" w14:textId="395F46B3"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An overview of the testing characteristics and mutation cohorts in the prognostic and predictive evidence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_Ref174961485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Table</w:t>
      </w:r>
      <w:r w:rsidR="0016064D" w:rsidRPr="00C24C30">
        <w:rPr>
          <w:rFonts w:ascii="Franklin Gothic Book" w:hAnsi="Franklin Gothic Book"/>
          <w:noProof/>
          <w:sz w:val="22"/>
        </w:rPr>
        <w:t>6</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w:t>
      </w:r>
    </w:p>
    <w:p w14:paraId="487B0FE0" w14:textId="324F25C2" w:rsidR="005D6D39" w:rsidRPr="00102634" w:rsidRDefault="005D6D39" w:rsidP="003F6F2A">
      <w:pPr>
        <w:pStyle w:val="Caption"/>
      </w:pPr>
      <w:bookmarkStart w:id="20" w:name="_Ref174961485"/>
      <w:r w:rsidRPr="00102634">
        <w:lastRenderedPageBreak/>
        <w:t xml:space="preserve">Table </w:t>
      </w:r>
      <w:r>
        <w:rPr>
          <w:color w:val="2B579A"/>
          <w:shd w:val="clear" w:color="auto" w:fill="E6E6E6"/>
        </w:rPr>
        <w:fldChar w:fldCharType="begin"/>
      </w:r>
      <w:r w:rsidRPr="00102634">
        <w:instrText xml:space="preserve"> SEQ Table_MSAC. \* ARABIC </w:instrText>
      </w:r>
      <w:r>
        <w:rPr>
          <w:color w:val="2B579A"/>
          <w:shd w:val="clear" w:color="auto" w:fill="E6E6E6"/>
        </w:rPr>
        <w:fldChar w:fldCharType="separate"/>
      </w:r>
      <w:r w:rsidR="0016064D">
        <w:rPr>
          <w:noProof/>
        </w:rPr>
        <w:t>6</w:t>
      </w:r>
      <w:r>
        <w:rPr>
          <w:color w:val="2B579A"/>
          <w:shd w:val="clear" w:color="auto" w:fill="E6E6E6"/>
        </w:rPr>
        <w:fldChar w:fldCharType="end"/>
      </w:r>
      <w:bookmarkEnd w:id="20"/>
      <w:r w:rsidRPr="00102634">
        <w:t xml:space="preserve">: Overview of testing characteristics and mutation cohorts in CAPItello-291, FAKTION, SOLAR-1, and BELLE-3 </w:t>
      </w:r>
    </w:p>
    <w:tbl>
      <w:tblPr>
        <w:tblStyle w:val="HTATableshaded"/>
        <w:tblW w:w="0" w:type="auto"/>
        <w:tblLook w:val="04A0" w:firstRow="1" w:lastRow="0" w:firstColumn="1" w:lastColumn="0" w:noHBand="0" w:noVBand="1"/>
      </w:tblPr>
      <w:tblGrid>
        <w:gridCol w:w="982"/>
        <w:gridCol w:w="1509"/>
        <w:gridCol w:w="2320"/>
        <w:gridCol w:w="1928"/>
        <w:gridCol w:w="2277"/>
      </w:tblGrid>
      <w:tr w:rsidR="005D6D39" w:rsidRPr="00102634" w14:paraId="73A6E2FC" w14:textId="77777777">
        <w:trPr>
          <w:cnfStyle w:val="100000000000" w:firstRow="1" w:lastRow="0" w:firstColumn="0" w:lastColumn="0" w:oddVBand="0" w:evenVBand="0" w:oddHBand="0" w:evenHBand="0" w:firstRowFirstColumn="0" w:firstRowLastColumn="0" w:lastRowFirstColumn="0" w:lastRowLastColumn="0"/>
        </w:trPr>
        <w:tc>
          <w:tcPr>
            <w:tcW w:w="982" w:type="dxa"/>
          </w:tcPr>
          <w:p w14:paraId="341CE1F6" w14:textId="77777777" w:rsidR="005D6D39" w:rsidRPr="00102634" w:rsidRDefault="005D6D39">
            <w:pPr>
              <w:pStyle w:val="TableText"/>
              <w:keepNext/>
              <w:keepLines/>
            </w:pPr>
          </w:p>
        </w:tc>
        <w:tc>
          <w:tcPr>
            <w:tcW w:w="1509" w:type="dxa"/>
          </w:tcPr>
          <w:p w14:paraId="53156F2F" w14:textId="77777777" w:rsidR="005D6D39" w:rsidRPr="00102634" w:rsidRDefault="005D6D39">
            <w:pPr>
              <w:pStyle w:val="TableText"/>
              <w:keepNext/>
              <w:keepLines/>
              <w:jc w:val="center"/>
              <w:rPr>
                <w:b/>
                <w:bCs/>
              </w:rPr>
            </w:pPr>
            <w:r w:rsidRPr="00102634">
              <w:rPr>
                <w:b/>
                <w:bCs/>
              </w:rPr>
              <w:t>CAPItello-291</w:t>
            </w:r>
          </w:p>
        </w:tc>
        <w:tc>
          <w:tcPr>
            <w:tcW w:w="2320" w:type="dxa"/>
          </w:tcPr>
          <w:p w14:paraId="78574F96" w14:textId="77777777" w:rsidR="005D6D39" w:rsidRPr="00102634" w:rsidRDefault="005D6D39">
            <w:pPr>
              <w:pStyle w:val="TableText"/>
              <w:keepNext/>
              <w:keepLines/>
              <w:jc w:val="center"/>
              <w:rPr>
                <w:b/>
                <w:bCs/>
              </w:rPr>
            </w:pPr>
            <w:r w:rsidRPr="00102634">
              <w:rPr>
                <w:b/>
                <w:bCs/>
              </w:rPr>
              <w:t>FAKTION</w:t>
            </w:r>
          </w:p>
        </w:tc>
        <w:tc>
          <w:tcPr>
            <w:tcW w:w="1928" w:type="dxa"/>
          </w:tcPr>
          <w:p w14:paraId="489534D0" w14:textId="77777777" w:rsidR="005D6D39" w:rsidRPr="00102634" w:rsidRDefault="005D6D39">
            <w:pPr>
              <w:pStyle w:val="TableText"/>
              <w:keepNext/>
              <w:keepLines/>
              <w:jc w:val="center"/>
              <w:rPr>
                <w:b/>
                <w:bCs/>
              </w:rPr>
            </w:pPr>
            <w:r w:rsidRPr="00102634">
              <w:rPr>
                <w:b/>
                <w:bCs/>
              </w:rPr>
              <w:t>SOLAR-1</w:t>
            </w:r>
          </w:p>
        </w:tc>
        <w:tc>
          <w:tcPr>
            <w:tcW w:w="2277" w:type="dxa"/>
          </w:tcPr>
          <w:p w14:paraId="1F17EB34" w14:textId="77777777" w:rsidR="005D6D39" w:rsidRPr="00102634" w:rsidRDefault="005D6D39">
            <w:pPr>
              <w:pStyle w:val="TableText"/>
              <w:keepNext/>
              <w:keepLines/>
              <w:jc w:val="center"/>
              <w:rPr>
                <w:b/>
                <w:bCs/>
              </w:rPr>
            </w:pPr>
            <w:r w:rsidRPr="00102634">
              <w:rPr>
                <w:b/>
                <w:bCs/>
              </w:rPr>
              <w:t>BELLE-3</w:t>
            </w:r>
          </w:p>
        </w:tc>
      </w:tr>
      <w:tr w:rsidR="005D6D39" w:rsidRPr="00102634" w14:paraId="7E06D026" w14:textId="77777777">
        <w:tc>
          <w:tcPr>
            <w:tcW w:w="982" w:type="dxa"/>
            <w:vAlign w:val="center"/>
          </w:tcPr>
          <w:p w14:paraId="645EC71E" w14:textId="77777777" w:rsidR="005D6D39" w:rsidRPr="00102634" w:rsidRDefault="005D6D39">
            <w:pPr>
              <w:pStyle w:val="TableText"/>
              <w:keepNext/>
              <w:keepLines/>
            </w:pPr>
            <w:r w:rsidRPr="00102634">
              <w:t>Biomarker tested</w:t>
            </w:r>
          </w:p>
        </w:tc>
        <w:tc>
          <w:tcPr>
            <w:tcW w:w="1509" w:type="dxa"/>
            <w:vAlign w:val="center"/>
          </w:tcPr>
          <w:p w14:paraId="2309C78E" w14:textId="77777777" w:rsidR="005D6D39" w:rsidRPr="00102634" w:rsidRDefault="005D6D39">
            <w:pPr>
              <w:pStyle w:val="TableText"/>
              <w:keepNext/>
              <w:keepLines/>
              <w:jc w:val="center"/>
            </w:pPr>
            <w:r w:rsidRPr="00102634">
              <w:rPr>
                <w:i/>
                <w:iCs/>
              </w:rPr>
              <w:t xml:space="preserve">PIK3CA, AKT1, </w:t>
            </w:r>
            <w:r w:rsidRPr="00102634">
              <w:t>and</w:t>
            </w:r>
            <w:r w:rsidRPr="00102634">
              <w:rPr>
                <w:i/>
                <w:iCs/>
              </w:rPr>
              <w:t xml:space="preserve"> PTEN</w:t>
            </w:r>
          </w:p>
        </w:tc>
        <w:tc>
          <w:tcPr>
            <w:tcW w:w="2320" w:type="dxa"/>
            <w:vAlign w:val="center"/>
          </w:tcPr>
          <w:p w14:paraId="49395D84" w14:textId="77777777" w:rsidR="005D6D39" w:rsidRPr="00102634" w:rsidRDefault="005D6D39">
            <w:pPr>
              <w:pStyle w:val="TableText"/>
              <w:keepNext/>
              <w:keepLines/>
              <w:jc w:val="center"/>
            </w:pPr>
            <w:r w:rsidRPr="00102634">
              <w:rPr>
                <w:u w:val="single"/>
              </w:rPr>
              <w:t>Original protocol</w:t>
            </w:r>
            <w:r w:rsidRPr="00102634">
              <w:t>:</w:t>
            </w:r>
          </w:p>
          <w:p w14:paraId="38C55D02" w14:textId="77777777" w:rsidR="005D6D39" w:rsidRPr="00102634" w:rsidRDefault="005D6D39">
            <w:pPr>
              <w:pStyle w:val="TableText"/>
              <w:keepNext/>
              <w:keepLines/>
              <w:jc w:val="center"/>
              <w:rPr>
                <w:i/>
                <w:iCs/>
              </w:rPr>
            </w:pPr>
            <w:r w:rsidRPr="00102634">
              <w:rPr>
                <w:i/>
                <w:iCs/>
              </w:rPr>
              <w:t>PIK3CA</w:t>
            </w:r>
            <w:r w:rsidRPr="00102634">
              <w:t xml:space="preserve"> and </w:t>
            </w:r>
            <w:r w:rsidRPr="00102634">
              <w:rPr>
                <w:i/>
                <w:iCs/>
              </w:rPr>
              <w:t>PTEN</w:t>
            </w:r>
          </w:p>
          <w:p w14:paraId="068DD738" w14:textId="77777777" w:rsidR="005D6D39" w:rsidRPr="00102634" w:rsidRDefault="005D6D39">
            <w:pPr>
              <w:pStyle w:val="TableText"/>
              <w:keepNext/>
              <w:keepLines/>
              <w:jc w:val="center"/>
            </w:pPr>
            <w:r w:rsidRPr="00102634">
              <w:rPr>
                <w:u w:val="single"/>
              </w:rPr>
              <w:t>Updated protocol</w:t>
            </w:r>
            <w:r w:rsidRPr="00102634">
              <w:t>:</w:t>
            </w:r>
          </w:p>
          <w:p w14:paraId="0A862962" w14:textId="77777777" w:rsidR="005D6D39" w:rsidRPr="00102634" w:rsidRDefault="005D6D39">
            <w:pPr>
              <w:pStyle w:val="TableText"/>
              <w:keepNext/>
              <w:keepLines/>
              <w:jc w:val="center"/>
            </w:pPr>
            <w:r w:rsidRPr="00102634">
              <w:rPr>
                <w:i/>
                <w:iCs/>
              </w:rPr>
              <w:t>PIK3CA, AKT1</w:t>
            </w:r>
            <w:r w:rsidRPr="00102634">
              <w:t xml:space="preserve">, and </w:t>
            </w:r>
            <w:r w:rsidRPr="00102634">
              <w:rPr>
                <w:i/>
                <w:iCs/>
              </w:rPr>
              <w:t>PTEN</w:t>
            </w:r>
          </w:p>
        </w:tc>
        <w:tc>
          <w:tcPr>
            <w:tcW w:w="1928" w:type="dxa"/>
            <w:vAlign w:val="center"/>
          </w:tcPr>
          <w:p w14:paraId="57EE4441" w14:textId="77777777" w:rsidR="005D6D39" w:rsidRPr="00102634" w:rsidRDefault="005D6D39">
            <w:pPr>
              <w:pStyle w:val="TableText"/>
              <w:keepNext/>
              <w:keepLines/>
              <w:jc w:val="center"/>
            </w:pPr>
            <w:r w:rsidRPr="00102634">
              <w:rPr>
                <w:i/>
                <w:iCs/>
              </w:rPr>
              <w:t>PIK3CA</w:t>
            </w:r>
          </w:p>
        </w:tc>
        <w:tc>
          <w:tcPr>
            <w:tcW w:w="2277" w:type="dxa"/>
            <w:vAlign w:val="center"/>
          </w:tcPr>
          <w:p w14:paraId="6ABD5F88" w14:textId="77777777" w:rsidR="005D6D39" w:rsidRPr="00102634" w:rsidRDefault="005D6D39">
            <w:pPr>
              <w:pStyle w:val="TableText"/>
              <w:keepNext/>
              <w:keepLines/>
              <w:jc w:val="center"/>
            </w:pPr>
            <w:r w:rsidRPr="00102634">
              <w:rPr>
                <w:i/>
                <w:iCs/>
              </w:rPr>
              <w:t>PIK3CA</w:t>
            </w:r>
          </w:p>
        </w:tc>
      </w:tr>
      <w:tr w:rsidR="005D6D39" w:rsidRPr="00102634" w14:paraId="5F83DBE1" w14:textId="77777777">
        <w:tc>
          <w:tcPr>
            <w:tcW w:w="982" w:type="dxa"/>
            <w:vAlign w:val="center"/>
          </w:tcPr>
          <w:p w14:paraId="666C49A6" w14:textId="77777777" w:rsidR="005D6D39" w:rsidRPr="00102634" w:rsidRDefault="005D6D39">
            <w:pPr>
              <w:pStyle w:val="TableText"/>
              <w:keepNext/>
              <w:keepLines/>
            </w:pPr>
            <w:r w:rsidRPr="00102634">
              <w:t>Assay used</w:t>
            </w:r>
          </w:p>
        </w:tc>
        <w:tc>
          <w:tcPr>
            <w:tcW w:w="1509" w:type="dxa"/>
            <w:vAlign w:val="center"/>
          </w:tcPr>
          <w:p w14:paraId="63524B48" w14:textId="77777777" w:rsidR="005D6D39" w:rsidRPr="00102634" w:rsidRDefault="005D6D39">
            <w:pPr>
              <w:pStyle w:val="TableText"/>
              <w:keepNext/>
              <w:keepLines/>
              <w:jc w:val="center"/>
            </w:pPr>
            <w:r w:rsidRPr="00102634">
              <w:t>NGS (F1CDx)</w:t>
            </w:r>
          </w:p>
        </w:tc>
        <w:tc>
          <w:tcPr>
            <w:tcW w:w="2320" w:type="dxa"/>
            <w:vAlign w:val="center"/>
          </w:tcPr>
          <w:p w14:paraId="671EEB29" w14:textId="77777777" w:rsidR="005D6D39" w:rsidRPr="00102634" w:rsidRDefault="005D6D39">
            <w:pPr>
              <w:pStyle w:val="TableText"/>
              <w:keepNext/>
              <w:keepLines/>
              <w:jc w:val="center"/>
            </w:pPr>
            <w:r w:rsidRPr="00102634">
              <w:rPr>
                <w:u w:val="single"/>
              </w:rPr>
              <w:t>Original</w:t>
            </w:r>
            <w:r w:rsidRPr="00102634">
              <w:t xml:space="preserve">: </w:t>
            </w:r>
            <w:proofErr w:type="spellStart"/>
            <w:r w:rsidRPr="00102634">
              <w:t>ddPCR</w:t>
            </w:r>
            <w:proofErr w:type="spellEnd"/>
            <w:r w:rsidRPr="00102634">
              <w:t xml:space="preserve">, IHC, </w:t>
            </w:r>
          </w:p>
          <w:p w14:paraId="28307437" w14:textId="377D3DA2" w:rsidR="005D6D39" w:rsidRPr="00102634" w:rsidRDefault="005D6D39">
            <w:pPr>
              <w:pStyle w:val="TableText"/>
              <w:keepNext/>
              <w:keepLines/>
              <w:jc w:val="center"/>
            </w:pPr>
            <w:r w:rsidRPr="00102634">
              <w:rPr>
                <w:u w:val="single"/>
              </w:rPr>
              <w:t>Expanded</w:t>
            </w:r>
            <w:r w:rsidRPr="00102634">
              <w:t xml:space="preserve">: </w:t>
            </w:r>
            <w:proofErr w:type="spellStart"/>
            <w:r w:rsidRPr="00102634">
              <w:t>ddPCR</w:t>
            </w:r>
            <w:proofErr w:type="spellEnd"/>
            <w:r w:rsidRPr="00102634">
              <w:t xml:space="preserve">, NGS (F1CDx </w:t>
            </w:r>
            <w:proofErr w:type="spellStart"/>
            <w:r w:rsidRPr="00102634">
              <w:t>Guar</w:t>
            </w:r>
            <w:r w:rsidR="004A429E">
              <w:t>d</w:t>
            </w:r>
            <w:r w:rsidRPr="00102634">
              <w:t>antOMNI</w:t>
            </w:r>
            <w:proofErr w:type="spellEnd"/>
            <w:r w:rsidRPr="00102634">
              <w:t xml:space="preserve"> RUO)</w:t>
            </w:r>
          </w:p>
          <w:p w14:paraId="65E7202B" w14:textId="695E8EE7" w:rsidR="005D6D39" w:rsidRPr="00102634" w:rsidRDefault="005D6D39">
            <w:pPr>
              <w:pStyle w:val="TableText"/>
              <w:keepNext/>
              <w:keepLines/>
              <w:jc w:val="center"/>
            </w:pPr>
            <w:r w:rsidRPr="00102634">
              <w:rPr>
                <w:u w:val="single"/>
              </w:rPr>
              <w:t>NGS</w:t>
            </w:r>
            <w:r w:rsidRPr="00102634">
              <w:t xml:space="preserve">: NGS (F1CDx and </w:t>
            </w:r>
            <w:proofErr w:type="spellStart"/>
            <w:r w:rsidRPr="00102634">
              <w:t>Guar</w:t>
            </w:r>
            <w:r w:rsidR="004A429E">
              <w:t>d</w:t>
            </w:r>
            <w:r w:rsidRPr="00102634">
              <w:t>antOMNI</w:t>
            </w:r>
            <w:proofErr w:type="spellEnd"/>
            <w:r w:rsidRPr="00102634">
              <w:t xml:space="preserve"> RUO)</w:t>
            </w:r>
          </w:p>
        </w:tc>
        <w:tc>
          <w:tcPr>
            <w:tcW w:w="1928" w:type="dxa"/>
            <w:vAlign w:val="center"/>
          </w:tcPr>
          <w:p w14:paraId="6ECA08AE" w14:textId="77777777" w:rsidR="005D6D39" w:rsidRPr="00102634" w:rsidRDefault="005D6D39">
            <w:pPr>
              <w:pStyle w:val="TableText"/>
              <w:keepNext/>
              <w:keepLines/>
              <w:jc w:val="center"/>
            </w:pPr>
            <w:r w:rsidRPr="00102634">
              <w:t xml:space="preserve">PCR (clinical trial assay and </w:t>
            </w:r>
            <w:proofErr w:type="spellStart"/>
            <w:r w:rsidRPr="00102634">
              <w:t>therascreen</w:t>
            </w:r>
            <w:proofErr w:type="spellEnd"/>
            <w:r w:rsidRPr="00102634">
              <w:t xml:space="preserve"> </w:t>
            </w:r>
            <w:r w:rsidRPr="00102634">
              <w:rPr>
                <w:i/>
                <w:iCs/>
              </w:rPr>
              <w:t>PIK3CA</w:t>
            </w:r>
            <w:r w:rsidRPr="00102634">
              <w:t xml:space="preserve"> RGQ PCR Kit)</w:t>
            </w:r>
          </w:p>
        </w:tc>
        <w:tc>
          <w:tcPr>
            <w:tcW w:w="2277" w:type="dxa"/>
            <w:vAlign w:val="center"/>
          </w:tcPr>
          <w:p w14:paraId="57BBED1A" w14:textId="77777777" w:rsidR="005D6D39" w:rsidRPr="00102634" w:rsidRDefault="005D6D39">
            <w:pPr>
              <w:pStyle w:val="TableText"/>
              <w:keepNext/>
              <w:keepLines/>
              <w:jc w:val="center"/>
            </w:pPr>
            <w:proofErr w:type="spellStart"/>
            <w:r w:rsidRPr="00102634">
              <w:t>ctDNA</w:t>
            </w:r>
            <w:proofErr w:type="spellEnd"/>
            <w:r w:rsidRPr="00102634">
              <w:t xml:space="preserve"> (</w:t>
            </w:r>
            <w:proofErr w:type="spellStart"/>
            <w:r w:rsidRPr="00102634">
              <w:t>Inostics</w:t>
            </w:r>
            <w:proofErr w:type="spellEnd"/>
            <w:r w:rsidRPr="00102634">
              <w:t xml:space="preserve"> </w:t>
            </w:r>
            <w:proofErr w:type="spellStart"/>
            <w:r w:rsidRPr="00102634">
              <w:t>BEAMing</w:t>
            </w:r>
            <w:proofErr w:type="spellEnd"/>
            <w:r w:rsidRPr="00102634">
              <w:t xml:space="preserve"> assay), PCR (Roche </w:t>
            </w:r>
            <w:proofErr w:type="spellStart"/>
            <w:r w:rsidRPr="00102634">
              <w:t>cobas</w:t>
            </w:r>
            <w:proofErr w:type="spellEnd"/>
            <w:r w:rsidRPr="00102634">
              <w:t xml:space="preserve"> </w:t>
            </w:r>
            <w:r w:rsidRPr="00102634">
              <w:rPr>
                <w:i/>
                <w:iCs/>
              </w:rPr>
              <w:t>PIK3CA</w:t>
            </w:r>
            <w:r w:rsidRPr="00102634">
              <w:t xml:space="preserve"> assay)</w:t>
            </w:r>
          </w:p>
        </w:tc>
      </w:tr>
      <w:tr w:rsidR="005D6D39" w:rsidRPr="00102634" w14:paraId="3D3F95DE" w14:textId="77777777">
        <w:tc>
          <w:tcPr>
            <w:tcW w:w="982" w:type="dxa"/>
            <w:vAlign w:val="center"/>
          </w:tcPr>
          <w:p w14:paraId="609733FB" w14:textId="77777777" w:rsidR="005D6D39" w:rsidRPr="00102634" w:rsidRDefault="005D6D39">
            <w:pPr>
              <w:pStyle w:val="TableText"/>
              <w:keepNext/>
              <w:keepLines/>
            </w:pPr>
            <w:r w:rsidRPr="00102634">
              <w:t>Sample</w:t>
            </w:r>
          </w:p>
        </w:tc>
        <w:tc>
          <w:tcPr>
            <w:tcW w:w="1509" w:type="dxa"/>
            <w:vAlign w:val="center"/>
          </w:tcPr>
          <w:p w14:paraId="23B21DF2" w14:textId="77777777" w:rsidR="005D6D39" w:rsidRPr="00102634" w:rsidRDefault="005D6D39">
            <w:pPr>
              <w:pStyle w:val="TableText"/>
              <w:keepNext/>
              <w:keepLines/>
              <w:jc w:val="center"/>
            </w:pPr>
            <w:r w:rsidRPr="00102634">
              <w:t>Tissue</w:t>
            </w:r>
          </w:p>
        </w:tc>
        <w:tc>
          <w:tcPr>
            <w:tcW w:w="2320" w:type="dxa"/>
            <w:vAlign w:val="center"/>
          </w:tcPr>
          <w:p w14:paraId="033386C3" w14:textId="77777777" w:rsidR="005D6D39" w:rsidRPr="00102634" w:rsidRDefault="005D6D39">
            <w:pPr>
              <w:pStyle w:val="TableText"/>
              <w:keepNext/>
              <w:keepLines/>
              <w:jc w:val="center"/>
            </w:pPr>
            <w:r w:rsidRPr="00102634">
              <w:t>Tissue and plasma</w:t>
            </w:r>
          </w:p>
        </w:tc>
        <w:tc>
          <w:tcPr>
            <w:tcW w:w="1928" w:type="dxa"/>
            <w:vAlign w:val="center"/>
          </w:tcPr>
          <w:p w14:paraId="6AC5A301" w14:textId="77777777" w:rsidR="005D6D39" w:rsidRPr="00102634" w:rsidRDefault="005D6D39">
            <w:pPr>
              <w:pStyle w:val="TableText"/>
              <w:keepNext/>
              <w:keepLines/>
              <w:jc w:val="center"/>
            </w:pPr>
            <w:r w:rsidRPr="00102634">
              <w:t>Tissue</w:t>
            </w:r>
          </w:p>
        </w:tc>
        <w:tc>
          <w:tcPr>
            <w:tcW w:w="2277" w:type="dxa"/>
            <w:vAlign w:val="center"/>
          </w:tcPr>
          <w:p w14:paraId="3B0B5819" w14:textId="77777777" w:rsidR="005D6D39" w:rsidRPr="00102634" w:rsidRDefault="005D6D39">
            <w:pPr>
              <w:pStyle w:val="TableText"/>
              <w:keepNext/>
              <w:keepLines/>
              <w:jc w:val="center"/>
            </w:pPr>
            <w:r w:rsidRPr="00102634">
              <w:t>Tissue or plasma</w:t>
            </w:r>
          </w:p>
        </w:tc>
      </w:tr>
      <w:tr w:rsidR="005D6D39" w:rsidRPr="00102634" w14:paraId="0A02EF4A" w14:textId="77777777">
        <w:tc>
          <w:tcPr>
            <w:tcW w:w="982" w:type="dxa"/>
            <w:vAlign w:val="center"/>
          </w:tcPr>
          <w:p w14:paraId="4B6536DF" w14:textId="77777777" w:rsidR="005D6D39" w:rsidRPr="00102634" w:rsidRDefault="005D6D39">
            <w:pPr>
              <w:pStyle w:val="TableText"/>
              <w:keepNext/>
              <w:keepLines/>
            </w:pPr>
            <w:r w:rsidRPr="00102634">
              <w:t>Positive, n/N (%)</w:t>
            </w:r>
          </w:p>
        </w:tc>
        <w:tc>
          <w:tcPr>
            <w:tcW w:w="1509" w:type="dxa"/>
            <w:vAlign w:val="center"/>
          </w:tcPr>
          <w:p w14:paraId="04F6DEF5" w14:textId="77777777" w:rsidR="005D6D39" w:rsidRPr="00102634" w:rsidRDefault="005D6D39">
            <w:pPr>
              <w:pStyle w:val="TableText"/>
              <w:keepNext/>
              <w:keepLines/>
              <w:jc w:val="center"/>
            </w:pPr>
            <w:r w:rsidRPr="00102634">
              <w:t>289/708 (41)</w:t>
            </w:r>
          </w:p>
        </w:tc>
        <w:tc>
          <w:tcPr>
            <w:tcW w:w="2320" w:type="dxa"/>
            <w:vAlign w:val="center"/>
          </w:tcPr>
          <w:p w14:paraId="0DD41D98" w14:textId="77777777" w:rsidR="005D6D39" w:rsidRPr="00102634" w:rsidRDefault="005D6D39">
            <w:pPr>
              <w:pStyle w:val="TableText"/>
              <w:keepNext/>
              <w:keepLines/>
              <w:jc w:val="center"/>
            </w:pPr>
            <w:r w:rsidRPr="00102634">
              <w:rPr>
                <w:u w:val="single"/>
              </w:rPr>
              <w:t>Original</w:t>
            </w:r>
            <w:r w:rsidRPr="00102634">
              <w:t>: 59/140 (42)</w:t>
            </w:r>
          </w:p>
          <w:p w14:paraId="1D8019BA" w14:textId="77777777" w:rsidR="005D6D39" w:rsidRPr="00102634" w:rsidRDefault="005D6D39">
            <w:pPr>
              <w:pStyle w:val="TableText"/>
              <w:keepNext/>
              <w:keepLines/>
              <w:jc w:val="center"/>
            </w:pPr>
            <w:r w:rsidRPr="00102634">
              <w:rPr>
                <w:u w:val="single"/>
              </w:rPr>
              <w:t>Expanded</w:t>
            </w:r>
            <w:r w:rsidRPr="00102634">
              <w:t>: 76/140 (54)</w:t>
            </w:r>
          </w:p>
          <w:p w14:paraId="5667AF50" w14:textId="77777777" w:rsidR="005D6D39" w:rsidRPr="00102634" w:rsidRDefault="005D6D39">
            <w:pPr>
              <w:pStyle w:val="TableText"/>
              <w:keepNext/>
              <w:keepLines/>
              <w:jc w:val="center"/>
            </w:pPr>
            <w:r w:rsidRPr="00102634">
              <w:rPr>
                <w:u w:val="single"/>
              </w:rPr>
              <w:t>NGS</w:t>
            </w:r>
            <w:r w:rsidRPr="00102634">
              <w:t>: 63/140 (45)</w:t>
            </w:r>
          </w:p>
        </w:tc>
        <w:tc>
          <w:tcPr>
            <w:tcW w:w="1928" w:type="dxa"/>
            <w:vAlign w:val="center"/>
          </w:tcPr>
          <w:p w14:paraId="62BD797C" w14:textId="77777777" w:rsidR="005D6D39" w:rsidRPr="00102634" w:rsidRDefault="005D6D39">
            <w:pPr>
              <w:pStyle w:val="TableText"/>
              <w:keepNext/>
              <w:keepLines/>
              <w:jc w:val="center"/>
              <w:rPr>
                <w:vertAlign w:val="superscript"/>
              </w:rPr>
            </w:pPr>
            <w:r w:rsidRPr="00102634">
              <w:t>341/572 (60)</w:t>
            </w:r>
            <w:r w:rsidRPr="00102634">
              <w:rPr>
                <w:vertAlign w:val="superscript"/>
              </w:rPr>
              <w:t>a</w:t>
            </w:r>
          </w:p>
        </w:tc>
        <w:tc>
          <w:tcPr>
            <w:tcW w:w="2277" w:type="dxa"/>
            <w:vAlign w:val="center"/>
          </w:tcPr>
          <w:p w14:paraId="19EA79B1" w14:textId="77777777" w:rsidR="005D6D39" w:rsidRPr="00102634" w:rsidRDefault="005D6D39">
            <w:pPr>
              <w:pStyle w:val="TableText"/>
              <w:keepNext/>
              <w:keepLines/>
              <w:jc w:val="center"/>
              <w:rPr>
                <w:vertAlign w:val="superscript"/>
              </w:rPr>
            </w:pPr>
            <w:proofErr w:type="spellStart"/>
            <w:r w:rsidRPr="00102634">
              <w:t>ctDNA</w:t>
            </w:r>
            <w:proofErr w:type="spellEnd"/>
            <w:r w:rsidRPr="00102634">
              <w:t>: 135/348 (39)</w:t>
            </w:r>
            <w:r w:rsidRPr="00102634">
              <w:rPr>
                <w:vertAlign w:val="superscript"/>
              </w:rPr>
              <w:t>b</w:t>
            </w:r>
          </w:p>
          <w:p w14:paraId="534B4781" w14:textId="77777777" w:rsidR="005D6D39" w:rsidRPr="00102634" w:rsidRDefault="005D6D39">
            <w:pPr>
              <w:pStyle w:val="TableText"/>
              <w:keepNext/>
              <w:keepLines/>
              <w:jc w:val="center"/>
              <w:rPr>
                <w:vertAlign w:val="superscript"/>
              </w:rPr>
            </w:pPr>
            <w:r w:rsidRPr="00102634">
              <w:t>Tissue: 110/320 (34)</w:t>
            </w:r>
            <w:r w:rsidRPr="00102634">
              <w:rPr>
                <w:vertAlign w:val="superscript"/>
              </w:rPr>
              <w:t>c</w:t>
            </w:r>
          </w:p>
        </w:tc>
      </w:tr>
      <w:tr w:rsidR="005D6D39" w:rsidRPr="00102634" w14:paraId="4FC5EF44" w14:textId="77777777">
        <w:tc>
          <w:tcPr>
            <w:tcW w:w="982" w:type="dxa"/>
            <w:vAlign w:val="center"/>
          </w:tcPr>
          <w:p w14:paraId="2DA2B20A" w14:textId="77777777" w:rsidR="005D6D39" w:rsidRPr="00102634" w:rsidRDefault="005D6D39">
            <w:pPr>
              <w:pStyle w:val="TableText"/>
              <w:keepNext/>
              <w:keepLines/>
            </w:pPr>
            <w:r w:rsidRPr="00102634">
              <w:t>Negative, n/N (%)</w:t>
            </w:r>
          </w:p>
        </w:tc>
        <w:tc>
          <w:tcPr>
            <w:tcW w:w="1509" w:type="dxa"/>
            <w:vAlign w:val="center"/>
          </w:tcPr>
          <w:p w14:paraId="55950066" w14:textId="77777777" w:rsidR="005D6D39" w:rsidRPr="00102634" w:rsidRDefault="005D6D39">
            <w:pPr>
              <w:pStyle w:val="TableText"/>
              <w:keepNext/>
              <w:keepLines/>
              <w:jc w:val="center"/>
            </w:pPr>
            <w:r w:rsidRPr="00102634">
              <w:t>313/708 (44)</w:t>
            </w:r>
          </w:p>
        </w:tc>
        <w:tc>
          <w:tcPr>
            <w:tcW w:w="2320" w:type="dxa"/>
            <w:vAlign w:val="center"/>
          </w:tcPr>
          <w:p w14:paraId="503D2FEE" w14:textId="77777777" w:rsidR="005D6D39" w:rsidRPr="00102634" w:rsidRDefault="005D6D39">
            <w:pPr>
              <w:pStyle w:val="TableText"/>
              <w:keepNext/>
              <w:keepLines/>
              <w:jc w:val="center"/>
            </w:pPr>
            <w:r w:rsidRPr="00102634">
              <w:rPr>
                <w:u w:val="single"/>
              </w:rPr>
              <w:t>Original</w:t>
            </w:r>
            <w:r w:rsidRPr="00102634">
              <w:t>: 81/140 (58)</w:t>
            </w:r>
          </w:p>
          <w:p w14:paraId="5664A65C" w14:textId="77777777" w:rsidR="005D6D39" w:rsidRPr="00102634" w:rsidRDefault="005D6D39">
            <w:pPr>
              <w:pStyle w:val="TableText"/>
              <w:keepNext/>
              <w:keepLines/>
              <w:jc w:val="center"/>
            </w:pPr>
            <w:r w:rsidRPr="00102634">
              <w:rPr>
                <w:u w:val="single"/>
              </w:rPr>
              <w:t>Expanded</w:t>
            </w:r>
            <w:r w:rsidRPr="00102634">
              <w:t>: 64/140 (46)</w:t>
            </w:r>
          </w:p>
          <w:p w14:paraId="6E4EFCA6" w14:textId="77777777" w:rsidR="005D6D39" w:rsidRPr="00102634" w:rsidRDefault="005D6D39">
            <w:pPr>
              <w:pStyle w:val="TableText"/>
              <w:keepNext/>
              <w:keepLines/>
              <w:jc w:val="center"/>
            </w:pPr>
            <w:r w:rsidRPr="00102634">
              <w:rPr>
                <w:u w:val="single"/>
              </w:rPr>
              <w:t>NGS</w:t>
            </w:r>
            <w:r w:rsidRPr="00102634">
              <w:t>: 49/140 (35)</w:t>
            </w:r>
          </w:p>
        </w:tc>
        <w:tc>
          <w:tcPr>
            <w:tcW w:w="1928" w:type="dxa"/>
            <w:vAlign w:val="center"/>
          </w:tcPr>
          <w:p w14:paraId="673F555A" w14:textId="77777777" w:rsidR="005D6D39" w:rsidRPr="00102634" w:rsidRDefault="005D6D39">
            <w:pPr>
              <w:pStyle w:val="TableText"/>
              <w:keepNext/>
              <w:keepLines/>
              <w:jc w:val="center"/>
            </w:pPr>
            <w:r w:rsidRPr="00102634">
              <w:t>231/572 (40)</w:t>
            </w:r>
            <w:r w:rsidRPr="00102634">
              <w:rPr>
                <w:vertAlign w:val="superscript"/>
              </w:rPr>
              <w:t>a</w:t>
            </w:r>
          </w:p>
        </w:tc>
        <w:tc>
          <w:tcPr>
            <w:tcW w:w="2277" w:type="dxa"/>
            <w:vAlign w:val="center"/>
          </w:tcPr>
          <w:p w14:paraId="03BA5104" w14:textId="77777777" w:rsidR="005D6D39" w:rsidRPr="00102634" w:rsidRDefault="005D6D39">
            <w:pPr>
              <w:pStyle w:val="TableText"/>
              <w:keepNext/>
              <w:keepLines/>
              <w:jc w:val="center"/>
            </w:pPr>
            <w:r w:rsidRPr="00102634">
              <w:t>cDNA: 213/348 (61)</w:t>
            </w:r>
            <w:r w:rsidRPr="00102634">
              <w:rPr>
                <w:vertAlign w:val="superscript"/>
              </w:rPr>
              <w:t>b</w:t>
            </w:r>
          </w:p>
          <w:p w14:paraId="1DC2A879" w14:textId="77777777" w:rsidR="005D6D39" w:rsidRPr="00102634" w:rsidRDefault="005D6D39">
            <w:pPr>
              <w:pStyle w:val="TableText"/>
              <w:keepNext/>
              <w:keepLines/>
              <w:jc w:val="center"/>
              <w:rPr>
                <w:vertAlign w:val="superscript"/>
              </w:rPr>
            </w:pPr>
            <w:r w:rsidRPr="00102634">
              <w:t>Tissue: 204/320 (64)</w:t>
            </w:r>
            <w:r w:rsidRPr="00102634">
              <w:rPr>
                <w:vertAlign w:val="superscript"/>
              </w:rPr>
              <w:t>c</w:t>
            </w:r>
          </w:p>
        </w:tc>
      </w:tr>
      <w:tr w:rsidR="005D6D39" w:rsidRPr="00102634" w14:paraId="179836F1" w14:textId="77777777">
        <w:tc>
          <w:tcPr>
            <w:tcW w:w="982" w:type="dxa"/>
            <w:vAlign w:val="center"/>
          </w:tcPr>
          <w:p w14:paraId="7778DE37" w14:textId="77777777" w:rsidR="005D6D39" w:rsidRPr="00102634" w:rsidRDefault="005D6D39">
            <w:pPr>
              <w:pStyle w:val="TableText"/>
              <w:keepNext/>
              <w:keepLines/>
            </w:pPr>
            <w:r w:rsidRPr="00102634">
              <w:t>Unknown, n/N (%)</w:t>
            </w:r>
          </w:p>
        </w:tc>
        <w:tc>
          <w:tcPr>
            <w:tcW w:w="1509" w:type="dxa"/>
            <w:vAlign w:val="center"/>
          </w:tcPr>
          <w:p w14:paraId="72F1CE00" w14:textId="77777777" w:rsidR="005D6D39" w:rsidRPr="00102634" w:rsidRDefault="005D6D39">
            <w:pPr>
              <w:pStyle w:val="TableText"/>
              <w:keepNext/>
              <w:keepLines/>
              <w:jc w:val="center"/>
            </w:pPr>
            <w:r w:rsidRPr="00102634">
              <w:t>106/708 (15)</w:t>
            </w:r>
          </w:p>
        </w:tc>
        <w:tc>
          <w:tcPr>
            <w:tcW w:w="2320" w:type="dxa"/>
            <w:vAlign w:val="center"/>
          </w:tcPr>
          <w:p w14:paraId="4178D71A" w14:textId="10767B9D" w:rsidR="005D6D39" w:rsidRPr="00102634" w:rsidRDefault="005D6D39">
            <w:pPr>
              <w:pStyle w:val="TableText"/>
              <w:keepNext/>
              <w:keepLines/>
              <w:jc w:val="center"/>
            </w:pPr>
            <w:r w:rsidRPr="00102634">
              <w:t>-</w:t>
            </w:r>
          </w:p>
        </w:tc>
        <w:tc>
          <w:tcPr>
            <w:tcW w:w="1928" w:type="dxa"/>
            <w:vAlign w:val="center"/>
          </w:tcPr>
          <w:p w14:paraId="53E0D916" w14:textId="77777777" w:rsidR="005D6D39" w:rsidRPr="00102634" w:rsidRDefault="005D6D39">
            <w:pPr>
              <w:pStyle w:val="TableText"/>
              <w:keepNext/>
              <w:keepLines/>
              <w:jc w:val="center"/>
            </w:pPr>
            <w:r w:rsidRPr="00102634">
              <w:t>-</w:t>
            </w:r>
          </w:p>
        </w:tc>
        <w:tc>
          <w:tcPr>
            <w:tcW w:w="2277" w:type="dxa"/>
            <w:vAlign w:val="center"/>
          </w:tcPr>
          <w:p w14:paraId="73F4F642" w14:textId="77777777" w:rsidR="005D6D39" w:rsidRPr="00102634" w:rsidRDefault="005D6D39">
            <w:pPr>
              <w:pStyle w:val="TableText"/>
              <w:keepNext/>
              <w:keepLines/>
              <w:jc w:val="center"/>
            </w:pPr>
            <w:r w:rsidRPr="00102634">
              <w:t>Tissue: 7/320 (2)</w:t>
            </w:r>
          </w:p>
        </w:tc>
      </w:tr>
    </w:tbl>
    <w:p w14:paraId="458083DB" w14:textId="77777777" w:rsidR="005D6D39" w:rsidRPr="00102634" w:rsidRDefault="005D6D39" w:rsidP="005D6D39">
      <w:pPr>
        <w:pStyle w:val="TableFigureFooter"/>
        <w:keepNext/>
        <w:keepLines/>
      </w:pPr>
      <w:r w:rsidRPr="00102634">
        <w:t>Source: constructed during the evaluation from Table 2.4, p33; 2.8, p41; Table 2.12, p48; Table 2.13, p51 of the submission; Table 2, Howell 2022 (FAKTION); Table 1, Di Leo 2018 (BELLE-3); Table 1, Andre 2019 (SOLAR-1)</w:t>
      </w:r>
    </w:p>
    <w:p w14:paraId="6E4F4D42" w14:textId="564CDB4B" w:rsidR="005D6D39" w:rsidRPr="00102634" w:rsidRDefault="005D6D39" w:rsidP="005D6D39">
      <w:pPr>
        <w:pStyle w:val="TableFigureFooter"/>
        <w:keepNext/>
        <w:keepLines/>
      </w:pPr>
      <w:r w:rsidRPr="00102634">
        <w:t xml:space="preserve">AKT = </w:t>
      </w:r>
      <w:r w:rsidRPr="2C973C4D">
        <w:rPr>
          <w:color w:val="000000" w:themeColor="text1"/>
        </w:rPr>
        <w:t>serine/threonine kinase</w:t>
      </w:r>
      <w:r w:rsidRPr="00102634">
        <w:t xml:space="preserve">; </w:t>
      </w:r>
      <w:proofErr w:type="spellStart"/>
      <w:r w:rsidRPr="00102634">
        <w:t>ctDNA</w:t>
      </w:r>
      <w:proofErr w:type="spellEnd"/>
      <w:r w:rsidRPr="00102634">
        <w:t xml:space="preserve"> = </w:t>
      </w:r>
      <w:r w:rsidR="003573FD" w:rsidRPr="00102634">
        <w:t>circulating</w:t>
      </w:r>
      <w:r w:rsidRPr="00102634">
        <w:t xml:space="preserve"> tumour DNA; </w:t>
      </w:r>
      <w:proofErr w:type="spellStart"/>
      <w:r w:rsidRPr="00102634">
        <w:t>ddPCR</w:t>
      </w:r>
      <w:proofErr w:type="spellEnd"/>
      <w:r w:rsidRPr="00102634">
        <w:t xml:space="preserve"> = digital droplet polymerase chain reaction; F1CDx = </w:t>
      </w:r>
      <w:proofErr w:type="spellStart"/>
      <w:r w:rsidRPr="00102634">
        <w:t>FoundationOneCDx</w:t>
      </w:r>
      <w:proofErr w:type="spellEnd"/>
      <w:r w:rsidRPr="00102634">
        <w:t xml:space="preserve">; IHC = immunohistochemistry; n = number; </w:t>
      </w:r>
      <w:r w:rsidR="00B65B0E">
        <w:t xml:space="preserve">NA = not applicable; </w:t>
      </w:r>
      <w:r w:rsidRPr="00102634">
        <w:t xml:space="preserve">NGS = Next Generation Sequencing; </w:t>
      </w:r>
      <w:r w:rsidR="00B81F45">
        <w:t xml:space="preserve">PCR = polymerase chain reaction; </w:t>
      </w:r>
      <w:r w:rsidRPr="00102634">
        <w:t xml:space="preserve">PIK3CA = phosphatidylinositol-4,5-bisphosphate 3-kinase catalytic subunit alpha; PTEN = phosphatase and </w:t>
      </w:r>
      <w:proofErr w:type="spellStart"/>
      <w:r w:rsidRPr="00102634">
        <w:t>tensin</w:t>
      </w:r>
      <w:proofErr w:type="spellEnd"/>
      <w:r w:rsidRPr="00102634">
        <w:t xml:space="preserve"> homolog</w:t>
      </w:r>
    </w:p>
    <w:p w14:paraId="7353E1F9" w14:textId="509E6D80" w:rsidR="005D6D39" w:rsidRPr="00102634" w:rsidRDefault="005D6D39" w:rsidP="005D6D39">
      <w:pPr>
        <w:pStyle w:val="TableFigureFooter"/>
        <w:keepNext/>
        <w:keepLines/>
      </w:pPr>
      <w:proofErr w:type="spellStart"/>
      <w:r w:rsidRPr="00102634">
        <w:rPr>
          <w:vertAlign w:val="superscript"/>
        </w:rPr>
        <w:t>a</w:t>
      </w:r>
      <w:proofErr w:type="spellEnd"/>
      <w:r w:rsidRPr="00102634">
        <w:rPr>
          <w:vertAlign w:val="superscript"/>
        </w:rPr>
        <w:t xml:space="preserve"> </w:t>
      </w:r>
      <w:proofErr w:type="gramStart"/>
      <w:r w:rsidRPr="00102634">
        <w:t>In</w:t>
      </w:r>
      <w:proofErr w:type="gramEnd"/>
      <w:r w:rsidRPr="00102634">
        <w:t xml:space="preserve"> SOLAR-1 patients were grouped into </w:t>
      </w:r>
      <w:r w:rsidRPr="00102634">
        <w:rPr>
          <w:i/>
          <w:iCs/>
        </w:rPr>
        <w:t>PIK3CA</w:t>
      </w:r>
      <w:r w:rsidRPr="00102634">
        <w:t xml:space="preserve"> mutated (N=341) or non-</w:t>
      </w:r>
      <w:r w:rsidRPr="00102634">
        <w:rPr>
          <w:i/>
          <w:iCs/>
        </w:rPr>
        <w:t>PIK3CA</w:t>
      </w:r>
      <w:r w:rsidRPr="00102634">
        <w:t xml:space="preserve"> mutated cohorts (N=231) and then randomised to receive </w:t>
      </w:r>
      <w:proofErr w:type="spellStart"/>
      <w:r w:rsidRPr="00102634">
        <w:t>alpelisib</w:t>
      </w:r>
      <w:proofErr w:type="spellEnd"/>
      <w:r w:rsidRPr="00102634">
        <w:t xml:space="preserve"> + </w:t>
      </w:r>
      <w:proofErr w:type="spellStart"/>
      <w:r w:rsidR="00EE4718">
        <w:t>fulvestrant</w:t>
      </w:r>
      <w:proofErr w:type="spellEnd"/>
      <w:r w:rsidR="00EE4718">
        <w:t xml:space="preserve"> (</w:t>
      </w:r>
      <w:r w:rsidRPr="00102634">
        <w:t>FULV</w:t>
      </w:r>
      <w:r w:rsidR="00EE4718">
        <w:t>)</w:t>
      </w:r>
      <w:r w:rsidRPr="00102634">
        <w:t xml:space="preserve"> (</w:t>
      </w:r>
      <w:r w:rsidRPr="00102634">
        <w:rPr>
          <w:i/>
          <w:iCs/>
        </w:rPr>
        <w:t>PIK3CA</w:t>
      </w:r>
      <w:r w:rsidRPr="00102634">
        <w:t xml:space="preserve"> mutated = 169; non-</w:t>
      </w:r>
      <w:r w:rsidRPr="00102634">
        <w:rPr>
          <w:i/>
          <w:iCs/>
        </w:rPr>
        <w:t>PIK3CA</w:t>
      </w:r>
      <w:r w:rsidRPr="00102634">
        <w:t xml:space="preserve"> mutated = 115) or placebo + FULV (</w:t>
      </w:r>
      <w:r w:rsidRPr="00102634">
        <w:rPr>
          <w:i/>
          <w:iCs/>
        </w:rPr>
        <w:t>PIK3CA</w:t>
      </w:r>
      <w:r w:rsidRPr="00102634">
        <w:t xml:space="preserve"> mutated = 172; non-</w:t>
      </w:r>
      <w:r w:rsidRPr="00102634">
        <w:rPr>
          <w:i/>
          <w:iCs/>
        </w:rPr>
        <w:t>PIK3CA</w:t>
      </w:r>
      <w:r w:rsidRPr="00102634">
        <w:t xml:space="preserve"> mutated = 116)</w:t>
      </w:r>
    </w:p>
    <w:p w14:paraId="7410F72E" w14:textId="77777777" w:rsidR="005D6D39" w:rsidRPr="00102634" w:rsidRDefault="005D6D39" w:rsidP="005D6D39">
      <w:pPr>
        <w:pStyle w:val="TableFigureFooter"/>
        <w:keepNext/>
        <w:keepLines/>
      </w:pPr>
      <w:r w:rsidRPr="00102634">
        <w:rPr>
          <w:vertAlign w:val="superscript"/>
        </w:rPr>
        <w:t>b</w:t>
      </w:r>
      <w:r w:rsidRPr="00102634">
        <w:t xml:space="preserve"> the denominator is the available </w:t>
      </w:r>
      <w:proofErr w:type="spellStart"/>
      <w:r w:rsidRPr="00102634">
        <w:t>ctDNA</w:t>
      </w:r>
      <w:proofErr w:type="spellEnd"/>
      <w:r w:rsidRPr="00102634">
        <w:t xml:space="preserve"> samples collected </w:t>
      </w:r>
    </w:p>
    <w:p w14:paraId="49E784F0" w14:textId="77777777" w:rsidR="005D6D39" w:rsidRPr="00102634" w:rsidRDefault="005D6D39" w:rsidP="005D6D39">
      <w:pPr>
        <w:pStyle w:val="TableFigureFooter"/>
        <w:keepNext/>
        <w:keepLines/>
      </w:pPr>
      <w:r w:rsidRPr="00102634">
        <w:rPr>
          <w:vertAlign w:val="superscript"/>
        </w:rPr>
        <w:t xml:space="preserve">c </w:t>
      </w:r>
      <w:r w:rsidRPr="00102634">
        <w:t>the denominator is the available tumour tissue samples collected</w:t>
      </w:r>
    </w:p>
    <w:p w14:paraId="51E3D450" w14:textId="5CBBE5C1" w:rsidR="005D6D39" w:rsidRPr="00102634" w:rsidRDefault="005D6D39" w:rsidP="005D6D39">
      <w:pPr>
        <w:pStyle w:val="TableFigureFooter"/>
        <w:keepNext/>
        <w:keepLines/>
        <w:rPr>
          <w:u w:val="single"/>
        </w:rPr>
      </w:pPr>
      <w:r w:rsidRPr="00102634">
        <w:rPr>
          <w:u w:val="single"/>
        </w:rPr>
        <w:t xml:space="preserve">CAPItello-291: </w:t>
      </w:r>
      <w:r w:rsidRPr="00102634">
        <w:t xml:space="preserve">tested for </w:t>
      </w:r>
      <w:r w:rsidRPr="00102634">
        <w:rPr>
          <w:i/>
          <w:iCs/>
        </w:rPr>
        <w:t>PIK3CA</w:t>
      </w:r>
      <w:r w:rsidRPr="00102634">
        <w:t xml:space="preserve">, </w:t>
      </w:r>
      <w:r w:rsidRPr="00102634">
        <w:rPr>
          <w:i/>
          <w:iCs/>
        </w:rPr>
        <w:t>AKT1</w:t>
      </w:r>
      <w:r w:rsidRPr="00102634">
        <w:t xml:space="preserve">, and </w:t>
      </w:r>
      <w:r w:rsidRPr="00102634">
        <w:rPr>
          <w:i/>
          <w:iCs/>
        </w:rPr>
        <w:t>PTEN</w:t>
      </w:r>
      <w:r w:rsidRPr="00102634">
        <w:t xml:space="preserve"> using the NGS </w:t>
      </w:r>
      <w:proofErr w:type="spellStart"/>
      <w:r w:rsidRPr="00102634">
        <w:t>FoundationOneC</w:t>
      </w:r>
      <w:r w:rsidR="003573FD" w:rsidRPr="00102634">
        <w:t>D</w:t>
      </w:r>
      <w:r w:rsidRPr="00102634">
        <w:t>x</w:t>
      </w:r>
      <w:proofErr w:type="spellEnd"/>
    </w:p>
    <w:p w14:paraId="2C54D4D5" w14:textId="424E56B9" w:rsidR="005D6D39" w:rsidRPr="00102634" w:rsidRDefault="005D6D39" w:rsidP="005D6D39">
      <w:pPr>
        <w:pStyle w:val="TableFigureFooter"/>
        <w:keepNext/>
        <w:keepLines/>
      </w:pPr>
      <w:r w:rsidRPr="00102634">
        <w:rPr>
          <w:u w:val="single"/>
        </w:rPr>
        <w:t>FAKTION</w:t>
      </w:r>
      <w:r w:rsidRPr="00102634">
        <w:t>: tested for PIK3CA, AKT1, or PTEN using three testing protocols: ‘Original’ AKT pathway altered protocol: digital droplet polymerase chain reaction (</w:t>
      </w:r>
      <w:proofErr w:type="spellStart"/>
      <w:r w:rsidRPr="00102634">
        <w:t>ddPCR</w:t>
      </w:r>
      <w:proofErr w:type="spellEnd"/>
      <w:r w:rsidRPr="00102634">
        <w:t xml:space="preserve">)/ pyrosequencing and IHC for the detection of PIK3CA and loss of PTEN expression (tissue and blood samples); ‘Expanded AKT pathway altered protocol: </w:t>
      </w:r>
      <w:proofErr w:type="spellStart"/>
      <w:r w:rsidRPr="00102634">
        <w:t>ddPCR</w:t>
      </w:r>
      <w:proofErr w:type="spellEnd"/>
      <w:r w:rsidRPr="00102634">
        <w:t xml:space="preserve">/pyrosequencing and NGS (tissue via </w:t>
      </w:r>
      <w:proofErr w:type="spellStart"/>
      <w:r w:rsidRPr="00102634">
        <w:t>Foun</w:t>
      </w:r>
      <w:r w:rsidR="003573FD" w:rsidRPr="00102634">
        <w:t>d</w:t>
      </w:r>
      <w:r w:rsidRPr="00102634">
        <w:t>ationOneCDx</w:t>
      </w:r>
      <w:proofErr w:type="spellEnd"/>
      <w:r w:rsidRPr="00102634">
        <w:t xml:space="preserve"> and blood samples via </w:t>
      </w:r>
      <w:proofErr w:type="spellStart"/>
      <w:r w:rsidRPr="00102634">
        <w:t>Guar</w:t>
      </w:r>
      <w:r w:rsidR="004A429E">
        <w:t>d</w:t>
      </w:r>
      <w:r w:rsidRPr="00102634">
        <w:t>antOMNI</w:t>
      </w:r>
      <w:proofErr w:type="spellEnd"/>
      <w:r w:rsidRPr="00102634">
        <w:t xml:space="preserve"> RUO); and ‘NGS-identified AKT pathway altered protocol’: NGS (tissue </w:t>
      </w:r>
      <w:r w:rsidR="00D611F6" w:rsidRPr="00102634">
        <w:t xml:space="preserve">via </w:t>
      </w:r>
      <w:proofErr w:type="spellStart"/>
      <w:r w:rsidR="00D611F6" w:rsidRPr="00102634">
        <w:t>FoundationOneCDx</w:t>
      </w:r>
      <w:proofErr w:type="spellEnd"/>
      <w:r w:rsidR="00D611F6" w:rsidRPr="00102634">
        <w:t xml:space="preserve"> </w:t>
      </w:r>
      <w:r w:rsidRPr="00102634">
        <w:t>and blood samples</w:t>
      </w:r>
      <w:r w:rsidR="00D611F6" w:rsidRPr="00D611F6">
        <w:t xml:space="preserve"> </w:t>
      </w:r>
      <w:r w:rsidR="00D611F6" w:rsidRPr="00102634">
        <w:t xml:space="preserve">via </w:t>
      </w:r>
      <w:proofErr w:type="spellStart"/>
      <w:r w:rsidR="00D611F6" w:rsidRPr="00102634">
        <w:t>Guar</w:t>
      </w:r>
      <w:r w:rsidR="00D611F6">
        <w:t>d</w:t>
      </w:r>
      <w:r w:rsidR="00D611F6" w:rsidRPr="00102634">
        <w:t>antOMNI</w:t>
      </w:r>
      <w:proofErr w:type="spellEnd"/>
      <w:r w:rsidR="00D611F6" w:rsidRPr="00102634">
        <w:t xml:space="preserve"> RUO</w:t>
      </w:r>
      <w:r w:rsidRPr="00102634">
        <w:t>)</w:t>
      </w:r>
    </w:p>
    <w:p w14:paraId="4D75CC11" w14:textId="77777777" w:rsidR="005D6D39" w:rsidRPr="00102634" w:rsidRDefault="005D6D39" w:rsidP="005D6D39">
      <w:pPr>
        <w:pStyle w:val="TableFigureFooter"/>
        <w:keepNext/>
        <w:keepLines/>
      </w:pPr>
      <w:r w:rsidRPr="00102634">
        <w:rPr>
          <w:u w:val="single"/>
        </w:rPr>
        <w:t>SOLAR-1</w:t>
      </w:r>
      <w:r w:rsidRPr="00102634">
        <w:t xml:space="preserve">: tested for </w:t>
      </w:r>
      <w:r w:rsidRPr="00102634">
        <w:rPr>
          <w:i/>
          <w:iCs/>
        </w:rPr>
        <w:t>PIK3CA</w:t>
      </w:r>
      <w:r w:rsidRPr="00102634">
        <w:t xml:space="preserve"> alterations using polymerase chain reaction (PCR) of tumour tissue samples (clinical trial assay and </w:t>
      </w:r>
      <w:proofErr w:type="spellStart"/>
      <w:r w:rsidRPr="00102634">
        <w:t>therascreen</w:t>
      </w:r>
      <w:proofErr w:type="spellEnd"/>
      <w:r w:rsidRPr="00102634">
        <w:t xml:space="preserve"> </w:t>
      </w:r>
      <w:r w:rsidRPr="00102634">
        <w:rPr>
          <w:i/>
          <w:iCs/>
        </w:rPr>
        <w:t>PIK3CA</w:t>
      </w:r>
      <w:r w:rsidRPr="00102634">
        <w:t xml:space="preserve"> RGQ PCR Kit)</w:t>
      </w:r>
    </w:p>
    <w:p w14:paraId="3B22761A" w14:textId="77777777" w:rsidR="005D6D39" w:rsidRPr="00102634" w:rsidRDefault="005D6D39" w:rsidP="005D6D39">
      <w:pPr>
        <w:pStyle w:val="TableFigureFooter"/>
        <w:keepNext/>
        <w:keepLines/>
      </w:pPr>
      <w:r w:rsidRPr="00102634">
        <w:rPr>
          <w:u w:val="single"/>
        </w:rPr>
        <w:t>BELLE-3</w:t>
      </w:r>
      <w:r w:rsidRPr="00102634">
        <w:t xml:space="preserve">: tested for </w:t>
      </w:r>
      <w:r w:rsidRPr="00FC41A6">
        <w:rPr>
          <w:i/>
        </w:rPr>
        <w:t>PIK3CA</w:t>
      </w:r>
      <w:r w:rsidRPr="00102634">
        <w:t xml:space="preserve"> alterations was conducted in circulating tumour DNA (</w:t>
      </w:r>
      <w:proofErr w:type="spellStart"/>
      <w:r w:rsidRPr="00102634">
        <w:t>ctDNA</w:t>
      </w:r>
      <w:proofErr w:type="spellEnd"/>
      <w:r w:rsidRPr="00102634">
        <w:t xml:space="preserve">; </w:t>
      </w:r>
      <w:proofErr w:type="spellStart"/>
      <w:r w:rsidRPr="00102634">
        <w:t>Inostics</w:t>
      </w:r>
      <w:proofErr w:type="spellEnd"/>
      <w:r w:rsidRPr="00102634">
        <w:t xml:space="preserve"> </w:t>
      </w:r>
      <w:proofErr w:type="spellStart"/>
      <w:r w:rsidRPr="00102634">
        <w:t>BEAMing</w:t>
      </w:r>
      <w:proofErr w:type="spellEnd"/>
      <w:r w:rsidRPr="00102634">
        <w:t xml:space="preserve"> assay) and tumour tissue samples (PCR Roche </w:t>
      </w:r>
      <w:proofErr w:type="spellStart"/>
      <w:r w:rsidRPr="00102634">
        <w:t>cobas</w:t>
      </w:r>
      <w:proofErr w:type="spellEnd"/>
      <w:r w:rsidRPr="00102634">
        <w:t xml:space="preserve"> PIK3CA assay).</w:t>
      </w:r>
    </w:p>
    <w:p w14:paraId="341999B0" w14:textId="3DC0A8FA" w:rsidR="005D6D39" w:rsidRPr="00C24C30" w:rsidRDefault="005D6D39" w:rsidP="005D6D39">
      <w:pPr>
        <w:rPr>
          <w:rFonts w:ascii="Franklin Gothic Book" w:hAnsi="Franklin Gothic Book"/>
          <w:i/>
          <w:iCs/>
          <w:sz w:val="22"/>
        </w:rPr>
      </w:pPr>
      <w:r w:rsidRPr="00C24C30">
        <w:rPr>
          <w:rFonts w:ascii="Franklin Gothic Book" w:hAnsi="Franklin Gothic Book"/>
          <w:sz w:val="22"/>
        </w:rPr>
        <w:t>In CAPItello-291, FAKTION, SOLAR-1, and BELLE-3, the overall risk of bias was low in the intention to treat (ITT) populations.</w:t>
      </w:r>
      <w:r w:rsidRPr="00C24C30">
        <w:rPr>
          <w:rFonts w:ascii="Franklin Gothic Book" w:hAnsi="Franklin Gothic Book"/>
          <w:i/>
          <w:iCs/>
          <w:sz w:val="22"/>
        </w:rPr>
        <w:t xml:space="preserve"> </w:t>
      </w:r>
      <w:r w:rsidRPr="00C24C30">
        <w:rPr>
          <w:rFonts w:ascii="Franklin Gothic Book" w:hAnsi="Franklin Gothic Book"/>
          <w:sz w:val="22"/>
        </w:rPr>
        <w:t>However, the commentary considered there was an unclear to high risk of bias in the AKT</w:t>
      </w:r>
      <w:r w:rsidR="004B51C0" w:rsidRPr="00C24C30">
        <w:rPr>
          <w:rFonts w:ascii="Franklin Gothic Book" w:hAnsi="Franklin Gothic Book"/>
          <w:sz w:val="22"/>
        </w:rPr>
        <w:t xml:space="preserve"> pathway </w:t>
      </w:r>
      <w:r w:rsidRPr="00C24C30">
        <w:rPr>
          <w:rFonts w:ascii="Franklin Gothic Book" w:hAnsi="Franklin Gothic Book"/>
          <w:sz w:val="22"/>
        </w:rPr>
        <w:t xml:space="preserve">altered subgroups since the </w:t>
      </w:r>
      <w:r w:rsidR="00C21B71" w:rsidRPr="00C24C30">
        <w:rPr>
          <w:rFonts w:ascii="Franklin Gothic Book" w:hAnsi="Franklin Gothic Book"/>
          <w:sz w:val="22"/>
        </w:rPr>
        <w:t xml:space="preserve">analyses of the </w:t>
      </w:r>
      <w:r w:rsidR="001D42C7" w:rsidRPr="00C24C30" w:rsidDel="00714CDA">
        <w:rPr>
          <w:rFonts w:ascii="Franklin Gothic Book" w:hAnsi="Franklin Gothic Book"/>
          <w:sz w:val="22"/>
        </w:rPr>
        <w:t>non</w:t>
      </w:r>
      <w:r w:rsidR="00714CDA" w:rsidRPr="00C24C30">
        <w:rPr>
          <w:rFonts w:ascii="Franklin Gothic Book" w:hAnsi="Franklin Gothic Book"/>
          <w:sz w:val="22"/>
        </w:rPr>
        <w:t xml:space="preserve"> AKT</w:t>
      </w:r>
      <w:r w:rsidRPr="00C24C30">
        <w:rPr>
          <w:rFonts w:ascii="Franklin Gothic Book" w:hAnsi="Franklin Gothic Book"/>
          <w:sz w:val="22"/>
        </w:rPr>
        <w:t xml:space="preserve"> pathway altered patients in CAPItello-291, and all AKT pathway subgroups in FAKTION and BELLE-3</w:t>
      </w:r>
      <w:r w:rsidR="415B66F3" w:rsidRPr="00C24C30">
        <w:rPr>
          <w:rFonts w:ascii="Franklin Gothic Book" w:hAnsi="Franklin Gothic Book"/>
          <w:sz w:val="22"/>
        </w:rPr>
        <w:t>,</w:t>
      </w:r>
      <w:r w:rsidRPr="00C24C30">
        <w:rPr>
          <w:rFonts w:ascii="Franklin Gothic Book" w:hAnsi="Franklin Gothic Book"/>
          <w:sz w:val="22"/>
        </w:rPr>
        <w:t xml:space="preserve"> were exploratory with some subgroup</w:t>
      </w:r>
      <w:r w:rsidR="00C21B71" w:rsidRPr="00C24C30">
        <w:rPr>
          <w:rFonts w:ascii="Franklin Gothic Book" w:hAnsi="Franklin Gothic Book"/>
          <w:sz w:val="22"/>
        </w:rPr>
        <w:t xml:space="preserve"> analyses</w:t>
      </w:r>
      <w:r w:rsidRPr="00C24C30">
        <w:rPr>
          <w:rFonts w:ascii="Franklin Gothic Book" w:hAnsi="Franklin Gothic Book"/>
          <w:sz w:val="22"/>
        </w:rPr>
        <w:t xml:space="preserve"> conducted </w:t>
      </w:r>
      <w:r w:rsidRPr="00C24C30">
        <w:rPr>
          <w:rFonts w:ascii="Franklin Gothic Book" w:hAnsi="Franklin Gothic Book"/>
          <w:i/>
          <w:sz w:val="22"/>
        </w:rPr>
        <w:t>post hoc</w:t>
      </w:r>
      <w:r w:rsidRPr="00C24C30">
        <w:rPr>
          <w:rFonts w:ascii="Franklin Gothic Book" w:hAnsi="Franklin Gothic Book"/>
          <w:sz w:val="22"/>
        </w:rPr>
        <w:t>. The commentary also noted there was potential for performance bias in relation to the reporting of subjective outcome measures (e.g., PFS, health</w:t>
      </w:r>
      <w:r w:rsidR="001918FF" w:rsidRPr="00C24C30">
        <w:rPr>
          <w:rFonts w:ascii="Franklin Gothic Book" w:hAnsi="Franklin Gothic Book"/>
          <w:sz w:val="22"/>
        </w:rPr>
        <w:t>-</w:t>
      </w:r>
      <w:r w:rsidRPr="00C24C30">
        <w:rPr>
          <w:rFonts w:ascii="Franklin Gothic Book" w:hAnsi="Franklin Gothic Book"/>
          <w:sz w:val="22"/>
        </w:rPr>
        <w:t>related quality of life [</w:t>
      </w:r>
      <w:proofErr w:type="spellStart"/>
      <w:r w:rsidRPr="00C24C30">
        <w:rPr>
          <w:rFonts w:ascii="Franklin Gothic Book" w:hAnsi="Franklin Gothic Book"/>
          <w:sz w:val="22"/>
        </w:rPr>
        <w:t>HRQoL</w:t>
      </w:r>
      <w:proofErr w:type="spellEnd"/>
      <w:r w:rsidRPr="00C24C30">
        <w:rPr>
          <w:rFonts w:ascii="Franklin Gothic Book" w:hAnsi="Franklin Gothic Book"/>
          <w:sz w:val="22"/>
        </w:rPr>
        <w:t xml:space="preserve">], safety) in the intervention arms (CAPI+FULV, </w:t>
      </w:r>
      <w:proofErr w:type="spellStart"/>
      <w:r w:rsidRPr="00C24C30">
        <w:rPr>
          <w:rFonts w:ascii="Franklin Gothic Book" w:hAnsi="Franklin Gothic Book"/>
          <w:sz w:val="22"/>
        </w:rPr>
        <w:t>alpelisib+FULV</w:t>
      </w:r>
      <w:proofErr w:type="spellEnd"/>
      <w:r w:rsidRPr="00C24C30">
        <w:rPr>
          <w:rFonts w:ascii="Franklin Gothic Book" w:hAnsi="Franklin Gothic Book"/>
          <w:sz w:val="22"/>
        </w:rPr>
        <w:t xml:space="preserve">, </w:t>
      </w:r>
      <w:proofErr w:type="spellStart"/>
      <w:r w:rsidRPr="00C24C30">
        <w:rPr>
          <w:rFonts w:ascii="Franklin Gothic Book" w:hAnsi="Franklin Gothic Book"/>
          <w:sz w:val="22"/>
        </w:rPr>
        <w:t>buparlisib+FULV</w:t>
      </w:r>
      <w:proofErr w:type="spellEnd"/>
      <w:r w:rsidRPr="00C24C30">
        <w:rPr>
          <w:rFonts w:ascii="Franklin Gothic Book" w:hAnsi="Franklin Gothic Book"/>
          <w:sz w:val="22"/>
        </w:rPr>
        <w:t>) given the higher rates of adverse events (AEs) associated with AKT-inhibitors compared to placebo + FULV that m</w:t>
      </w:r>
      <w:r w:rsidR="008D1228" w:rsidRPr="00C24C30">
        <w:rPr>
          <w:rFonts w:ascii="Franklin Gothic Book" w:hAnsi="Franklin Gothic Book"/>
          <w:sz w:val="22"/>
        </w:rPr>
        <w:t>ight</w:t>
      </w:r>
      <w:r w:rsidRPr="00C24C30">
        <w:rPr>
          <w:rFonts w:ascii="Franklin Gothic Book" w:hAnsi="Franklin Gothic Book"/>
          <w:sz w:val="22"/>
        </w:rPr>
        <w:t xml:space="preserve"> have led to unintentional unblinding of patients.</w:t>
      </w:r>
      <w:r w:rsidRPr="00C24C30">
        <w:rPr>
          <w:rFonts w:ascii="Franklin Gothic Book" w:hAnsi="Franklin Gothic Book"/>
          <w:i/>
          <w:iCs/>
          <w:sz w:val="22"/>
        </w:rPr>
        <w:t xml:space="preserve"> </w:t>
      </w:r>
    </w:p>
    <w:p w14:paraId="5529D166" w14:textId="77777777" w:rsidR="005D6D39" w:rsidRPr="00C24C30" w:rsidRDefault="005D6D39" w:rsidP="005D6D39">
      <w:pPr>
        <w:rPr>
          <w:rFonts w:ascii="Franklin Gothic Book" w:hAnsi="Franklin Gothic Book"/>
          <w:i/>
          <w:iCs/>
          <w:sz w:val="22"/>
        </w:rPr>
      </w:pPr>
      <w:r w:rsidRPr="00C24C30">
        <w:rPr>
          <w:rFonts w:ascii="Franklin Gothic Book" w:hAnsi="Franklin Gothic Book"/>
          <w:sz w:val="22"/>
        </w:rPr>
        <w:t>CAPItello-291 was considered by the commentary to be the most representative of proposed test setting since CAPItello-291 tested for</w:t>
      </w:r>
      <w:r w:rsidRPr="00C24C30">
        <w:rPr>
          <w:rFonts w:ascii="Franklin Gothic Book" w:hAnsi="Franklin Gothic Book"/>
          <w:i/>
          <w:iCs/>
          <w:sz w:val="22"/>
        </w:rPr>
        <w:t xml:space="preserve"> PIK3CA, AKT1, and PTEN </w:t>
      </w:r>
      <w:r w:rsidRPr="00C24C30">
        <w:rPr>
          <w:rFonts w:ascii="Franklin Gothic Book" w:hAnsi="Franklin Gothic Book"/>
          <w:sz w:val="22"/>
        </w:rPr>
        <w:t>alterations using the clinical utility standard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on tumour tissue samples; assessed the comparative effectiveness in patients treated with CAPI+FULV and placebo + FULV; and included patients exposed to CDK4/6 inhibitor therapy (70.1% [496/708]) which may better reflect current clinical practice.</w:t>
      </w:r>
      <w:r w:rsidRPr="00C24C30">
        <w:rPr>
          <w:rFonts w:ascii="Franklin Gothic Book" w:hAnsi="Franklin Gothic Book"/>
          <w:i/>
          <w:iCs/>
          <w:sz w:val="22"/>
        </w:rPr>
        <w:t xml:space="preserve"> </w:t>
      </w:r>
    </w:p>
    <w:p w14:paraId="40531570" w14:textId="31B5AB8D" w:rsidR="005D6D39" w:rsidRPr="00C24C30" w:rsidRDefault="005D6D39" w:rsidP="005D6D39">
      <w:pPr>
        <w:pStyle w:val="MainBodyBulletPoint"/>
        <w:numPr>
          <w:ilvl w:val="0"/>
          <w:numId w:val="0"/>
        </w:numPr>
        <w:jc w:val="both"/>
        <w:rPr>
          <w:rFonts w:ascii="Franklin Gothic Book" w:hAnsi="Franklin Gothic Book"/>
          <w:sz w:val="22"/>
        </w:rPr>
      </w:pPr>
      <w:r w:rsidRPr="00C24C30">
        <w:rPr>
          <w:rFonts w:ascii="Franklin Gothic Book" w:hAnsi="Franklin Gothic Book"/>
          <w:sz w:val="22"/>
        </w:rPr>
        <w:lastRenderedPageBreak/>
        <w:t>Comparatively, in the original protocol for FAKTION, SOLAR-1, and BELLE-3</w:t>
      </w:r>
      <w:r w:rsidR="0E0DCEC5" w:rsidRPr="00C24C30">
        <w:rPr>
          <w:rFonts w:ascii="Franklin Gothic Book" w:hAnsi="Franklin Gothic Book"/>
          <w:sz w:val="22"/>
        </w:rPr>
        <w:t>,</w:t>
      </w:r>
      <w:r w:rsidRPr="00C24C30">
        <w:rPr>
          <w:rFonts w:ascii="Franklin Gothic Book" w:hAnsi="Franklin Gothic Book"/>
          <w:sz w:val="22"/>
        </w:rPr>
        <w:t xml:space="preserve"> the testing procedures differed to the proposed test setting (e.g.,</w:t>
      </w:r>
      <w:r w:rsidR="004B51C0" w:rsidRPr="00C24C30">
        <w:rPr>
          <w:rFonts w:ascii="Franklin Gothic Book" w:hAnsi="Franklin Gothic Book"/>
          <w:sz w:val="22"/>
        </w:rPr>
        <w:t xml:space="preserve"> tests conducted using</w:t>
      </w:r>
      <w:r w:rsidRPr="00C24C30">
        <w:rPr>
          <w:rFonts w:ascii="Franklin Gothic Book" w:hAnsi="Franklin Gothic Book"/>
          <w:sz w:val="22"/>
        </w:rPr>
        <w:t xml:space="preserve"> polymerase chain reaction [PCR] assay or IHC; tested tumour tissue and</w:t>
      </w:r>
      <w:r w:rsidR="13F18774" w:rsidRPr="00C24C30">
        <w:rPr>
          <w:rFonts w:ascii="Franklin Gothic Book" w:hAnsi="Franklin Gothic Book"/>
          <w:sz w:val="22"/>
        </w:rPr>
        <w:t>/</w:t>
      </w:r>
      <w:r w:rsidRPr="00C24C30">
        <w:rPr>
          <w:rFonts w:ascii="Franklin Gothic Book" w:hAnsi="Franklin Gothic Book"/>
          <w:sz w:val="22"/>
        </w:rPr>
        <w:t xml:space="preserve">or blood samples; tested for </w:t>
      </w:r>
      <w:r w:rsidRPr="00C24C30">
        <w:rPr>
          <w:rFonts w:ascii="Franklin Gothic Book" w:hAnsi="Franklin Gothic Book"/>
          <w:i/>
          <w:iCs/>
          <w:sz w:val="22"/>
        </w:rPr>
        <w:t>PIK3CA</w:t>
      </w:r>
      <w:r w:rsidRPr="00C24C30">
        <w:rPr>
          <w:rFonts w:ascii="Franklin Gothic Book" w:hAnsi="Franklin Gothic Book"/>
          <w:sz w:val="22"/>
        </w:rPr>
        <w:t xml:space="preserve"> gene variants only). </w:t>
      </w:r>
      <w:r w:rsidR="00C20A0A" w:rsidRPr="00C24C30">
        <w:rPr>
          <w:rFonts w:ascii="Franklin Gothic Book" w:hAnsi="Franklin Gothic Book"/>
          <w:sz w:val="22"/>
        </w:rPr>
        <w:t xml:space="preserve">FAKTION categorised patients by AKT pathway status using three different methods and this potentially led to the same patient being categorised as AKT pathway altered in one approach but non altered in another. </w:t>
      </w:r>
      <w:r w:rsidRPr="00C24C30">
        <w:rPr>
          <w:rFonts w:ascii="Franklin Gothic Book" w:hAnsi="Franklin Gothic Book"/>
          <w:sz w:val="22"/>
        </w:rPr>
        <w:t xml:space="preserve">The updated protocol in FAKTION included testing with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but this was a </w:t>
      </w:r>
      <w:r w:rsidRPr="00C24C30">
        <w:rPr>
          <w:rFonts w:ascii="Franklin Gothic Book" w:hAnsi="Franklin Gothic Book"/>
          <w:i/>
          <w:sz w:val="22"/>
        </w:rPr>
        <w:t>post hoc</w:t>
      </w:r>
      <w:r w:rsidRPr="00C24C30">
        <w:rPr>
          <w:rFonts w:ascii="Franklin Gothic Book" w:hAnsi="Franklin Gothic Book"/>
          <w:sz w:val="22"/>
        </w:rPr>
        <w:t xml:space="preserve"> analysis, and the results were considered potentially uncertain by the commentary. Furthermore, the commentary noted the evaluation of efficacy in the AKT pathway altered subgroups </w:t>
      </w:r>
      <w:r w:rsidR="58762B9C" w:rsidRPr="00C24C30">
        <w:rPr>
          <w:rFonts w:ascii="Franklin Gothic Book" w:hAnsi="Franklin Gothic Book"/>
          <w:sz w:val="22"/>
        </w:rPr>
        <w:t xml:space="preserve">was </w:t>
      </w:r>
      <w:r w:rsidRPr="00C24C30">
        <w:rPr>
          <w:rFonts w:ascii="Franklin Gothic Book" w:hAnsi="Franklin Gothic Book"/>
          <w:sz w:val="22"/>
        </w:rPr>
        <w:t>only included as secondary or exploratory analyses</w:t>
      </w:r>
      <w:r w:rsidR="6762662F" w:rsidRPr="00C24C30">
        <w:rPr>
          <w:rFonts w:ascii="Franklin Gothic Book" w:hAnsi="Franklin Gothic Book"/>
          <w:sz w:val="22"/>
        </w:rPr>
        <w:t>,</w:t>
      </w:r>
      <w:r w:rsidRPr="00C24C30">
        <w:rPr>
          <w:rFonts w:ascii="Franklin Gothic Book" w:hAnsi="Franklin Gothic Book"/>
          <w:sz w:val="22"/>
        </w:rPr>
        <w:t xml:space="preserve"> and adjustments for multiplicity were not performed. Hence, subgroup data </w:t>
      </w:r>
      <w:r w:rsidR="00F27649" w:rsidRPr="00C24C30">
        <w:rPr>
          <w:rFonts w:ascii="Franklin Gothic Book" w:hAnsi="Franklin Gothic Book"/>
          <w:sz w:val="22"/>
        </w:rPr>
        <w:t xml:space="preserve">analyses </w:t>
      </w:r>
      <w:r w:rsidRPr="00C24C30">
        <w:rPr>
          <w:rFonts w:ascii="Franklin Gothic Book" w:hAnsi="Franklin Gothic Book"/>
          <w:sz w:val="22"/>
        </w:rPr>
        <w:t xml:space="preserve">based on AKT pathway alteration status reported in FAKTION, SOLAR-1 and BELLE-3 </w:t>
      </w:r>
      <w:proofErr w:type="gramStart"/>
      <w:r w:rsidRPr="00C24C30">
        <w:rPr>
          <w:rFonts w:ascii="Franklin Gothic Book" w:hAnsi="Franklin Gothic Book"/>
          <w:sz w:val="22"/>
        </w:rPr>
        <w:t>were considered to be</w:t>
      </w:r>
      <w:proofErr w:type="gramEnd"/>
      <w:r w:rsidRPr="00C24C30">
        <w:rPr>
          <w:rFonts w:ascii="Franklin Gothic Book" w:hAnsi="Franklin Gothic Book"/>
          <w:sz w:val="22"/>
        </w:rPr>
        <w:t xml:space="preserve"> of limited applicability and value by the commentary to inform the prognostic and predictive validity of AKT pathway testing using NGS. </w:t>
      </w:r>
    </w:p>
    <w:p w14:paraId="4E6A4C4B" w14:textId="252AED52" w:rsidR="005D6D39" w:rsidRPr="00C24C30" w:rsidRDefault="005D6D39" w:rsidP="005D6D39">
      <w:pPr>
        <w:rPr>
          <w:rFonts w:ascii="Franklin Gothic Book" w:hAnsi="Franklin Gothic Book"/>
          <w:i/>
          <w:iCs/>
          <w:sz w:val="22"/>
        </w:rPr>
      </w:pPr>
      <w:r w:rsidRPr="00C24C30">
        <w:rPr>
          <w:rFonts w:ascii="Franklin Gothic Book" w:hAnsi="Franklin Gothic Book"/>
          <w:sz w:val="22"/>
        </w:rPr>
        <w:t>However, the commentary considered that despite CAPItello-291 being considered as applicable to the test setting and the AKT pathway altered subgroup being a primary analysis group, the complement subgroup</w:t>
      </w:r>
      <w:r w:rsidR="0030566D" w:rsidRPr="00C24C30">
        <w:rPr>
          <w:rFonts w:ascii="Franklin Gothic Book" w:hAnsi="Franklin Gothic Book"/>
          <w:sz w:val="22"/>
        </w:rPr>
        <w:t xml:space="preserve"> analysis</w:t>
      </w:r>
      <w:r w:rsidRPr="00C24C30">
        <w:rPr>
          <w:rFonts w:ascii="Franklin Gothic Book" w:hAnsi="Franklin Gothic Book"/>
          <w:sz w:val="22"/>
        </w:rPr>
        <w:t xml:space="preserve"> (i.e., the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 that included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and ‘unknown AKT status’) was treated as exploratory in the trial.</w:t>
      </w:r>
      <w:r w:rsidRPr="00C24C30">
        <w:rPr>
          <w:rFonts w:ascii="Franklin Gothic Book" w:hAnsi="Franklin Gothic Book"/>
          <w:i/>
          <w:iCs/>
          <w:sz w:val="22"/>
        </w:rPr>
        <w:t xml:space="preserve"> </w:t>
      </w:r>
      <w:r w:rsidRPr="00C24C30">
        <w:rPr>
          <w:rFonts w:ascii="Franklin Gothic Book" w:hAnsi="Franklin Gothic Book"/>
          <w:sz w:val="22"/>
        </w:rPr>
        <w:t xml:space="preserve">As such, there is some uncertainty </w:t>
      </w:r>
      <w:r w:rsidR="38ED1B06" w:rsidRPr="00C24C30">
        <w:rPr>
          <w:rFonts w:ascii="Franklin Gothic Book" w:hAnsi="Franklin Gothic Book"/>
          <w:sz w:val="22"/>
        </w:rPr>
        <w:t xml:space="preserve">around </w:t>
      </w:r>
      <w:r w:rsidRPr="00C24C30">
        <w:rPr>
          <w:rFonts w:ascii="Franklin Gothic Book" w:hAnsi="Franklin Gothic Book"/>
          <w:sz w:val="22"/>
        </w:rPr>
        <w:t xml:space="preserve">the interpretation of results from the complement, </w:t>
      </w:r>
      <w:proofErr w:type="gramStart"/>
      <w:r w:rsidRPr="00C24C30">
        <w:rPr>
          <w:rFonts w:ascii="Franklin Gothic Book" w:hAnsi="Franklin Gothic Book"/>
          <w:sz w:val="22"/>
        </w:rPr>
        <w:t>in particular when</w:t>
      </w:r>
      <w:proofErr w:type="gramEnd"/>
      <w:r w:rsidRPr="00C24C30">
        <w:rPr>
          <w:rFonts w:ascii="Franklin Gothic Book" w:hAnsi="Franklin Gothic Book"/>
          <w:sz w:val="22"/>
        </w:rPr>
        <w:t xml:space="preserve"> informing the tests for interaction to identify a significant treatment effect modifier (see Section </w:t>
      </w:r>
      <w:r w:rsidR="00E60E17">
        <w:rPr>
          <w:rFonts w:ascii="Franklin Gothic Book" w:hAnsi="Franklin Gothic Book"/>
          <w:sz w:val="22"/>
        </w:rPr>
        <w:t>12</w:t>
      </w:r>
      <w:r w:rsidRPr="00C24C30">
        <w:rPr>
          <w:rFonts w:ascii="Franklin Gothic Book" w:hAnsi="Franklin Gothic Book"/>
          <w:sz w:val="22"/>
        </w:rPr>
        <w:t>).</w:t>
      </w:r>
      <w:r w:rsidRPr="00C24C30">
        <w:rPr>
          <w:rFonts w:ascii="Franklin Gothic Book" w:hAnsi="Franklin Gothic Book"/>
          <w:i/>
          <w:iCs/>
          <w:sz w:val="22"/>
        </w:rPr>
        <w:t xml:space="preserve"> </w:t>
      </w:r>
    </w:p>
    <w:p w14:paraId="4605A214" w14:textId="190709AB"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Further, the commentary noted there were potential applicability issues </w:t>
      </w:r>
      <w:r w:rsidR="3169F908" w:rsidRPr="00C24C30">
        <w:rPr>
          <w:rFonts w:ascii="Franklin Gothic Book" w:hAnsi="Franklin Gothic Book"/>
          <w:sz w:val="22"/>
        </w:rPr>
        <w:t xml:space="preserve">from </w:t>
      </w:r>
      <w:r w:rsidRPr="00C24C30">
        <w:rPr>
          <w:rFonts w:ascii="Franklin Gothic Book" w:hAnsi="Franklin Gothic Book"/>
          <w:sz w:val="22"/>
        </w:rPr>
        <w:t xml:space="preserve">CAPItello-291 </w:t>
      </w:r>
      <w:r w:rsidR="5129F0C6" w:rsidRPr="00C24C30">
        <w:rPr>
          <w:rFonts w:ascii="Franklin Gothic Book" w:hAnsi="Franklin Gothic Book"/>
          <w:sz w:val="22"/>
        </w:rPr>
        <w:t xml:space="preserve">to </w:t>
      </w:r>
      <w:r w:rsidRPr="00C24C30">
        <w:rPr>
          <w:rFonts w:ascii="Franklin Gothic Book" w:hAnsi="Franklin Gothic Book"/>
          <w:sz w:val="22"/>
        </w:rPr>
        <w:t>Australian clinical practice. For example, ~13%</w:t>
      </w:r>
      <w:r w:rsidR="00924FCD" w:rsidRPr="00C24C30">
        <w:rPr>
          <w:rFonts w:ascii="Franklin Gothic Book" w:hAnsi="Franklin Gothic Book"/>
          <w:sz w:val="22"/>
        </w:rPr>
        <w:t xml:space="preserve"> (89/708)</w:t>
      </w:r>
      <w:r w:rsidRPr="00C24C30">
        <w:rPr>
          <w:rFonts w:ascii="Franklin Gothic Book" w:hAnsi="Franklin Gothic Book"/>
          <w:sz w:val="22"/>
        </w:rPr>
        <w:t xml:space="preserve"> had no prior lines of therapy (ET and chemotherapy)</w:t>
      </w:r>
      <w:r w:rsidR="00EE4718" w:rsidRPr="00C24C30">
        <w:rPr>
          <w:rFonts w:ascii="Franklin Gothic Book" w:hAnsi="Franklin Gothic Book"/>
          <w:sz w:val="22"/>
        </w:rPr>
        <w:t xml:space="preserve"> for locally advanced or metastatic disease</w:t>
      </w:r>
      <w:r w:rsidRPr="00C24C30">
        <w:rPr>
          <w:rFonts w:ascii="Franklin Gothic Book" w:hAnsi="Franklin Gothic Book"/>
          <w:sz w:val="22"/>
        </w:rPr>
        <w:t xml:space="preserve"> </w:t>
      </w:r>
      <w:r w:rsidR="0FE4A368" w:rsidRPr="00C24C30">
        <w:rPr>
          <w:rFonts w:ascii="Franklin Gothic Book" w:hAnsi="Franklin Gothic Book"/>
          <w:sz w:val="22"/>
        </w:rPr>
        <w:t xml:space="preserve">while </w:t>
      </w:r>
      <w:r w:rsidRPr="00C24C30">
        <w:rPr>
          <w:rFonts w:ascii="Franklin Gothic Book" w:hAnsi="Franklin Gothic Book"/>
          <w:sz w:val="22"/>
        </w:rPr>
        <w:t>~25%</w:t>
      </w:r>
      <w:r w:rsidR="00924FCD" w:rsidRPr="00C24C30">
        <w:rPr>
          <w:rFonts w:ascii="Franklin Gothic Book" w:hAnsi="Franklin Gothic Book"/>
          <w:sz w:val="22"/>
        </w:rPr>
        <w:t xml:space="preserve"> (176/708)</w:t>
      </w:r>
      <w:r w:rsidRPr="00C24C30">
        <w:rPr>
          <w:rFonts w:ascii="Franklin Gothic Book" w:hAnsi="Franklin Gothic Book"/>
          <w:sz w:val="22"/>
        </w:rPr>
        <w:t xml:space="preserve"> had two or three prior lines of therapy for locally advanced or metastatic disease</w:t>
      </w:r>
      <w:r w:rsidR="00A51CB1" w:rsidRPr="00C24C30">
        <w:rPr>
          <w:rFonts w:ascii="Franklin Gothic Book" w:hAnsi="Franklin Gothic Book"/>
          <w:sz w:val="22"/>
        </w:rPr>
        <w:t>, and</w:t>
      </w:r>
      <w:r w:rsidRPr="00C24C30">
        <w:rPr>
          <w:rFonts w:ascii="Franklin Gothic Book" w:hAnsi="Franklin Gothic Book"/>
          <w:sz w:val="22"/>
        </w:rPr>
        <w:t xml:space="preserve"> ~30%</w:t>
      </w:r>
      <w:r w:rsidR="00924FCD" w:rsidRPr="00C24C30">
        <w:rPr>
          <w:rFonts w:ascii="Franklin Gothic Book" w:hAnsi="Franklin Gothic Book"/>
          <w:sz w:val="22"/>
        </w:rPr>
        <w:t xml:space="preserve"> (212/708)</w:t>
      </w:r>
      <w:r w:rsidRPr="00C24C30">
        <w:rPr>
          <w:rFonts w:ascii="Franklin Gothic Book" w:hAnsi="Franklin Gothic Book"/>
          <w:sz w:val="22"/>
        </w:rPr>
        <w:t xml:space="preserve"> were CDK4/6 </w:t>
      </w:r>
      <w:proofErr w:type="gramStart"/>
      <w:r w:rsidRPr="00C24C30">
        <w:rPr>
          <w:rFonts w:ascii="Franklin Gothic Book" w:hAnsi="Franklin Gothic Book"/>
          <w:sz w:val="22"/>
        </w:rPr>
        <w:t>inhibitor-naïve</w:t>
      </w:r>
      <w:proofErr w:type="gramEnd"/>
      <w:r w:rsidR="00A51CB1" w:rsidRPr="00C24C30">
        <w:rPr>
          <w:rFonts w:ascii="Franklin Gothic Book" w:hAnsi="Franklin Gothic Book"/>
          <w:sz w:val="22"/>
        </w:rPr>
        <w:t>. P</w:t>
      </w:r>
      <w:r w:rsidRPr="00C24C30">
        <w:rPr>
          <w:rFonts w:ascii="Franklin Gothic Book" w:hAnsi="Franklin Gothic Book"/>
          <w:sz w:val="22"/>
        </w:rPr>
        <w:t xml:space="preserve">lacebo + FULV may not be the relevant comparator for these patients in clinical practice (see Section </w:t>
      </w:r>
      <w:r w:rsidR="007C3FFC">
        <w:rPr>
          <w:rFonts w:ascii="Franklin Gothic Book" w:hAnsi="Franklin Gothic Book"/>
          <w:sz w:val="22"/>
        </w:rPr>
        <w:t>12</w:t>
      </w:r>
      <w:r w:rsidRPr="00C24C30">
        <w:rPr>
          <w:rFonts w:ascii="Franklin Gothic Book" w:hAnsi="Franklin Gothic Book"/>
          <w:sz w:val="22"/>
        </w:rPr>
        <w:t xml:space="preserve">).  The commentary </w:t>
      </w:r>
      <w:r w:rsidR="0015134D" w:rsidRPr="00C24C30">
        <w:rPr>
          <w:rFonts w:ascii="Franklin Gothic Book" w:hAnsi="Franklin Gothic Book"/>
          <w:sz w:val="22"/>
        </w:rPr>
        <w:t xml:space="preserve">also </w:t>
      </w:r>
      <w:r w:rsidRPr="00C24C30">
        <w:rPr>
          <w:rFonts w:ascii="Franklin Gothic Book" w:hAnsi="Franklin Gothic Book"/>
          <w:sz w:val="22"/>
        </w:rPr>
        <w:t>considered it was unclear that placebo + FULV was representative of 2L treatment in all patients</w:t>
      </w:r>
      <w:r w:rsidR="00255FC0">
        <w:rPr>
          <w:rFonts w:ascii="Franklin Gothic Book" w:hAnsi="Franklin Gothic Book"/>
          <w:sz w:val="22"/>
        </w:rPr>
        <w:t xml:space="preserve"> </w:t>
      </w:r>
      <w:r w:rsidRPr="00C24C30">
        <w:rPr>
          <w:rFonts w:ascii="Franklin Gothic Book" w:hAnsi="Franklin Gothic Book"/>
          <w:sz w:val="22"/>
        </w:rPr>
        <w:t>with the landscape of treatment changing</w:t>
      </w:r>
      <w:r w:rsidR="647989B5" w:rsidRPr="00C24C30">
        <w:rPr>
          <w:rFonts w:ascii="Franklin Gothic Book" w:hAnsi="Franklin Gothic Book"/>
          <w:sz w:val="22"/>
        </w:rPr>
        <w:t>.</w:t>
      </w:r>
      <w:r w:rsidRPr="00C24C30">
        <w:rPr>
          <w:rFonts w:ascii="Franklin Gothic Book" w:hAnsi="Franklin Gothic Book"/>
          <w:sz w:val="22"/>
        </w:rPr>
        <w:t xml:space="preserve"> </w:t>
      </w:r>
      <w:r w:rsidR="4CFE9DCD" w:rsidRPr="00C24C30">
        <w:rPr>
          <w:rFonts w:ascii="Franklin Gothic Book" w:hAnsi="Franklin Gothic Book"/>
          <w:sz w:val="22"/>
        </w:rPr>
        <w:t>T</w:t>
      </w:r>
      <w:r w:rsidR="0038C535" w:rsidRPr="00C24C30">
        <w:rPr>
          <w:rFonts w:ascii="Franklin Gothic Book" w:hAnsi="Franklin Gothic Book"/>
          <w:sz w:val="22"/>
        </w:rPr>
        <w:t>herefore</w:t>
      </w:r>
      <w:r w:rsidR="13C60A91" w:rsidRPr="00C24C30">
        <w:rPr>
          <w:rFonts w:ascii="Franklin Gothic Book" w:hAnsi="Franklin Gothic Book"/>
          <w:sz w:val="22"/>
        </w:rPr>
        <w:t>,</w:t>
      </w:r>
      <w:r w:rsidRPr="00C24C30">
        <w:rPr>
          <w:rFonts w:ascii="Franklin Gothic Book" w:hAnsi="Franklin Gothic Book"/>
          <w:sz w:val="22"/>
        </w:rPr>
        <w:t xml:space="preserve"> the prognostic and predictive effect of AKT pathway alterations as informed by treatment with placebo + FULV</w:t>
      </w:r>
      <w:r w:rsidR="00061FD4" w:rsidRPr="00C24C30">
        <w:rPr>
          <w:rFonts w:ascii="Franklin Gothic Book" w:hAnsi="Franklin Gothic Book"/>
          <w:sz w:val="22"/>
        </w:rPr>
        <w:t xml:space="preserve"> and CAPItello-291</w:t>
      </w:r>
      <w:r w:rsidRPr="00C24C30">
        <w:rPr>
          <w:rFonts w:ascii="Franklin Gothic Book" w:hAnsi="Franklin Gothic Book"/>
          <w:sz w:val="22"/>
        </w:rPr>
        <w:t xml:space="preserve"> may have limited applicability </w:t>
      </w:r>
      <w:r w:rsidRPr="00C24C30" w:rsidDel="0015134D">
        <w:rPr>
          <w:rFonts w:ascii="Franklin Gothic Book" w:hAnsi="Franklin Gothic Book"/>
          <w:sz w:val="22"/>
        </w:rPr>
        <w:t xml:space="preserve">to </w:t>
      </w:r>
      <w:r w:rsidR="00BB1FE0" w:rsidRPr="00C24C30">
        <w:rPr>
          <w:rFonts w:ascii="Franklin Gothic Book" w:hAnsi="Franklin Gothic Book"/>
          <w:sz w:val="22"/>
        </w:rPr>
        <w:t xml:space="preserve">the </w:t>
      </w:r>
      <w:r w:rsidR="0015134D" w:rsidRPr="00C24C30">
        <w:rPr>
          <w:rFonts w:ascii="Franklin Gothic Book" w:hAnsi="Franklin Gothic Book"/>
          <w:sz w:val="22"/>
        </w:rPr>
        <w:t>target population</w:t>
      </w:r>
      <w:r w:rsidRPr="00C24C30">
        <w:rPr>
          <w:rFonts w:ascii="Franklin Gothic Book" w:hAnsi="Franklin Gothic Book"/>
          <w:sz w:val="22"/>
        </w:rPr>
        <w:t xml:space="preserve"> in the Australian </w:t>
      </w:r>
      <w:r w:rsidR="0015134D" w:rsidRPr="00C24C30">
        <w:rPr>
          <w:rFonts w:ascii="Franklin Gothic Book" w:hAnsi="Franklin Gothic Book"/>
          <w:sz w:val="22"/>
        </w:rPr>
        <w:t>clinical practice</w:t>
      </w:r>
      <w:r w:rsidRPr="00C24C30">
        <w:rPr>
          <w:rFonts w:ascii="Franklin Gothic Book" w:hAnsi="Franklin Gothic Book"/>
          <w:sz w:val="22"/>
        </w:rPr>
        <w:t>.</w:t>
      </w:r>
    </w:p>
    <w:p w14:paraId="6127ACF5" w14:textId="77777777" w:rsidR="005D6D39" w:rsidRPr="00C24C30" w:rsidRDefault="005D6D39"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21" w:name="_Toc93044767"/>
      <w:bookmarkStart w:id="22" w:name="_Toc93322901"/>
      <w:bookmarkStart w:id="23" w:name="_Toc93044770"/>
      <w:bookmarkStart w:id="24" w:name="_Toc93322904"/>
      <w:bookmarkStart w:id="25" w:name="_Toc93044771"/>
      <w:bookmarkStart w:id="26" w:name="_Toc93322905"/>
      <w:bookmarkStart w:id="27" w:name="_Toc93044772"/>
      <w:bookmarkStart w:id="28" w:name="_Toc93322906"/>
      <w:bookmarkStart w:id="29" w:name="_Toc93044775"/>
      <w:bookmarkStart w:id="30" w:name="_Toc93322909"/>
      <w:bookmarkStart w:id="31" w:name="_Toc177560712"/>
      <w:bookmarkEnd w:id="21"/>
      <w:bookmarkEnd w:id="22"/>
      <w:bookmarkEnd w:id="23"/>
      <w:bookmarkEnd w:id="24"/>
      <w:bookmarkEnd w:id="25"/>
      <w:bookmarkEnd w:id="26"/>
      <w:bookmarkEnd w:id="27"/>
      <w:bookmarkEnd w:id="28"/>
      <w:bookmarkEnd w:id="29"/>
      <w:bookmarkEnd w:id="30"/>
      <w:r w:rsidRPr="00C24C30">
        <w:rPr>
          <w:rFonts w:ascii="Franklin Gothic Medium" w:hAnsi="Franklin Gothic Medium"/>
          <w:b w:val="0"/>
          <w:i w:val="0"/>
          <w:snapToGrid/>
          <w:color w:val="000000" w:themeColor="text1"/>
          <w:sz w:val="32"/>
          <w:szCs w:val="26"/>
        </w:rPr>
        <w:t>Comparative safety</w:t>
      </w:r>
      <w:bookmarkEnd w:id="31"/>
    </w:p>
    <w:p w14:paraId="4A232F16"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Adverse events from testing</w:t>
      </w:r>
    </w:p>
    <w:p w14:paraId="42D2310A" w14:textId="77777777"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submission did not present any formal safety evidence for AKT pathway testing. </w:t>
      </w:r>
    </w:p>
    <w:p w14:paraId="14B02281" w14:textId="29C9E38B"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submission </w:t>
      </w:r>
      <w:r w:rsidR="003D24FA" w:rsidRPr="00C24C30">
        <w:rPr>
          <w:rFonts w:ascii="Franklin Gothic Book" w:hAnsi="Franklin Gothic Book"/>
          <w:sz w:val="22"/>
        </w:rPr>
        <w:t xml:space="preserve">(p87) </w:t>
      </w:r>
      <w:r w:rsidRPr="00C24C30">
        <w:rPr>
          <w:rFonts w:ascii="Franklin Gothic Book" w:hAnsi="Franklin Gothic Book"/>
          <w:sz w:val="22"/>
        </w:rPr>
        <w:t>stated that re-testing and/or re-biopsy may be required in some patients after disease progression. Fresh biopsies are preferred but archival tissue can be used (e.g., for bone or brain metastases). The submission assumed that if a new tumour tissue sample is required</w:t>
      </w:r>
      <w:r w:rsidR="500D39EF" w:rsidRPr="00C24C30">
        <w:rPr>
          <w:rFonts w:ascii="Franklin Gothic Book" w:hAnsi="Franklin Gothic Book"/>
          <w:sz w:val="22"/>
        </w:rPr>
        <w:t>,</w:t>
      </w:r>
      <w:r w:rsidRPr="00C24C30">
        <w:rPr>
          <w:rFonts w:ascii="Franklin Gothic Book" w:hAnsi="Franklin Gothic Book"/>
          <w:sz w:val="22"/>
        </w:rPr>
        <w:t xml:space="preserve"> the risk/benefit profile of tumour </w:t>
      </w:r>
      <w:r w:rsidR="00EC38A0" w:rsidRPr="00C24C30">
        <w:rPr>
          <w:rFonts w:ascii="Franklin Gothic Book" w:hAnsi="Franklin Gothic Book"/>
          <w:sz w:val="22"/>
        </w:rPr>
        <w:t xml:space="preserve">biopsy </w:t>
      </w:r>
      <w:r w:rsidRPr="00C24C30">
        <w:rPr>
          <w:rFonts w:ascii="Franklin Gothic Book" w:hAnsi="Franklin Gothic Book"/>
          <w:sz w:val="22"/>
        </w:rPr>
        <w:t xml:space="preserve">would be assessed and managed by radiologists, surgeons, oncologists and pathologists. The submission considered that testing of </w:t>
      </w:r>
      <w:r w:rsidRPr="00C24C30" w:rsidDel="006F41D3">
        <w:rPr>
          <w:rFonts w:ascii="Franklin Gothic Book" w:hAnsi="Franklin Gothic Book"/>
          <w:sz w:val="22"/>
        </w:rPr>
        <w:t>AKT</w:t>
      </w:r>
      <w:r w:rsidR="006F41D3" w:rsidRPr="00C24C30">
        <w:rPr>
          <w:rFonts w:ascii="Franklin Gothic Book" w:hAnsi="Franklin Gothic Book"/>
          <w:sz w:val="22"/>
        </w:rPr>
        <w:t xml:space="preserve"> pathway</w:t>
      </w:r>
      <w:r w:rsidRPr="00C24C30">
        <w:rPr>
          <w:rFonts w:ascii="Franklin Gothic Book" w:hAnsi="Franklin Gothic Book"/>
          <w:sz w:val="22"/>
        </w:rPr>
        <w:t xml:space="preserve"> alterations (</w:t>
      </w:r>
      <w:r w:rsidRPr="00C24C30">
        <w:rPr>
          <w:rFonts w:ascii="Franklin Gothic Book" w:hAnsi="Franklin Gothic Book"/>
          <w:i/>
          <w:iCs/>
          <w:sz w:val="22"/>
        </w:rPr>
        <w:t xml:space="preserve">PIK3CA, AKT1 </w:t>
      </w:r>
      <w:r w:rsidRPr="00C24C30">
        <w:rPr>
          <w:rFonts w:ascii="Franklin Gothic Book" w:hAnsi="Franklin Gothic Book"/>
          <w:sz w:val="22"/>
        </w:rPr>
        <w:t>or</w:t>
      </w:r>
      <w:r w:rsidRPr="00C24C30">
        <w:rPr>
          <w:rFonts w:ascii="Franklin Gothic Book" w:hAnsi="Franklin Gothic Book"/>
          <w:i/>
          <w:iCs/>
          <w:sz w:val="22"/>
        </w:rPr>
        <w:t xml:space="preserve"> PTEN</w:t>
      </w:r>
      <w:r w:rsidRPr="00C24C30">
        <w:rPr>
          <w:rFonts w:ascii="Franklin Gothic Book" w:hAnsi="Franklin Gothic Book"/>
          <w:sz w:val="22"/>
        </w:rPr>
        <w:t xml:space="preserve">) is not expected to introduce any additional safety concerns to patients. </w:t>
      </w:r>
    </w:p>
    <w:p w14:paraId="4428687C" w14:textId="77777777" w:rsidR="005D6D39" w:rsidRPr="00C24C30" w:rsidRDefault="005D6D39" w:rsidP="005D6D39">
      <w:pPr>
        <w:rPr>
          <w:rFonts w:ascii="Franklin Gothic Book" w:hAnsi="Franklin Gothic Book"/>
          <w:sz w:val="22"/>
        </w:rPr>
      </w:pPr>
      <w:r w:rsidRPr="00C24C30">
        <w:rPr>
          <w:rFonts w:ascii="Franklin Gothic Book" w:hAnsi="Franklin Gothic Book"/>
          <w:sz w:val="22"/>
        </w:rPr>
        <w:t>The commentary considered this claim may not be reasonable since:</w:t>
      </w:r>
    </w:p>
    <w:p w14:paraId="5D3D2AAC" w14:textId="43D56351"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 xml:space="preserve">Under the current MBS item descriptor, testing can occur in </w:t>
      </w:r>
      <w:r w:rsidRPr="00C24C30">
        <w:rPr>
          <w:rFonts w:ascii="Franklin Gothic Book" w:hAnsi="Franklin Gothic Book"/>
          <w:i/>
          <w:sz w:val="22"/>
        </w:rPr>
        <w:t>de novo</w:t>
      </w:r>
      <w:r w:rsidRPr="00C24C30">
        <w:rPr>
          <w:rFonts w:ascii="Franklin Gothic Book" w:hAnsi="Franklin Gothic Book"/>
          <w:sz w:val="22"/>
        </w:rPr>
        <w:t xml:space="preserve"> advanced or metastatic patients</w:t>
      </w:r>
      <w:r w:rsidR="69DC36E7" w:rsidRPr="00C24C30">
        <w:rPr>
          <w:rFonts w:ascii="Franklin Gothic Book" w:hAnsi="Franklin Gothic Book"/>
          <w:sz w:val="22"/>
        </w:rPr>
        <w:t>;</w:t>
      </w:r>
      <w:r w:rsidRPr="00C24C30">
        <w:rPr>
          <w:rFonts w:ascii="Franklin Gothic Book" w:hAnsi="Franklin Gothic Book"/>
          <w:sz w:val="22"/>
        </w:rPr>
        <w:t xml:space="preserve"> however, under the requested PBS restriction</w:t>
      </w:r>
      <w:r w:rsidR="3E91A6D5" w:rsidRPr="00C24C30">
        <w:rPr>
          <w:rFonts w:ascii="Franklin Gothic Book" w:hAnsi="Franklin Gothic Book"/>
          <w:sz w:val="22"/>
        </w:rPr>
        <w:t>,</w:t>
      </w:r>
      <w:r w:rsidRPr="00C24C30">
        <w:rPr>
          <w:rFonts w:ascii="Franklin Gothic Book" w:hAnsi="Franklin Gothic Book"/>
          <w:sz w:val="22"/>
        </w:rPr>
        <w:t xml:space="preserve"> treatment with CAPI+FULV is only allowed after disease progression or recurrence. </w:t>
      </w:r>
      <w:r w:rsidR="7BB90108" w:rsidRPr="00C24C30">
        <w:rPr>
          <w:rFonts w:ascii="Franklin Gothic Book" w:hAnsi="Franklin Gothic Book"/>
          <w:sz w:val="22"/>
        </w:rPr>
        <w:t>P</w:t>
      </w:r>
      <w:r w:rsidRPr="00C24C30">
        <w:rPr>
          <w:rFonts w:ascii="Franklin Gothic Book" w:hAnsi="Franklin Gothic Book"/>
          <w:sz w:val="22"/>
        </w:rPr>
        <w:t>atients who initially test non-positive but may develop an AKT pathway alteration</w:t>
      </w:r>
      <w:r w:rsidR="3FD7E8B7" w:rsidRPr="00C24C30">
        <w:rPr>
          <w:rFonts w:ascii="Franklin Gothic Book" w:hAnsi="Franklin Gothic Book"/>
          <w:sz w:val="22"/>
        </w:rPr>
        <w:t xml:space="preserve"> after disease progression</w:t>
      </w:r>
      <w:r w:rsidRPr="00C24C30">
        <w:rPr>
          <w:rFonts w:ascii="Franklin Gothic Book" w:hAnsi="Franklin Gothic Book"/>
          <w:sz w:val="22"/>
        </w:rPr>
        <w:t xml:space="preserve"> are potentially tested twice before receiving treatment with CAPI+FULV. If fresh tissue samples are taken for each test, this presents an additional safety risk for patients</w:t>
      </w:r>
      <w:r w:rsidR="3B541285" w:rsidRPr="00C24C30">
        <w:rPr>
          <w:rFonts w:ascii="Franklin Gothic Book" w:hAnsi="Franklin Gothic Book"/>
          <w:sz w:val="22"/>
        </w:rPr>
        <w:t>.</w:t>
      </w:r>
      <w:r w:rsidRPr="00C24C30">
        <w:rPr>
          <w:rFonts w:ascii="Franklin Gothic Book" w:hAnsi="Franklin Gothic Book"/>
          <w:sz w:val="22"/>
        </w:rPr>
        <w:t xml:space="preserve"> </w:t>
      </w:r>
    </w:p>
    <w:p w14:paraId="0E9AE938" w14:textId="2B9454F9"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 xml:space="preserve">It was not clear if a patient whose tumour tissue fails testing could undergo a re-test. Acknowledging the current MBS item descriptor permits only one test per primary tumour </w:t>
      </w:r>
      <w:r w:rsidRPr="00C24C30">
        <w:rPr>
          <w:rFonts w:ascii="Franklin Gothic Book" w:hAnsi="Franklin Gothic Book"/>
          <w:sz w:val="22"/>
        </w:rPr>
        <w:lastRenderedPageBreak/>
        <w:t xml:space="preserve">diagnosis, if re-testing is allowed for these patients, given insufficient tumour tissue is available from the initial sample or fresh tissue is preferred, then re-biopsy would be required, </w:t>
      </w:r>
      <w:r w:rsidR="61466C4E" w:rsidRPr="00C24C30">
        <w:rPr>
          <w:rFonts w:ascii="Franklin Gothic Book" w:hAnsi="Franklin Gothic Book"/>
          <w:sz w:val="22"/>
        </w:rPr>
        <w:t>which</w:t>
      </w:r>
      <w:r w:rsidRPr="00C24C30">
        <w:rPr>
          <w:rFonts w:ascii="Franklin Gothic Book" w:hAnsi="Franklin Gothic Book"/>
          <w:sz w:val="22"/>
        </w:rPr>
        <w:t xml:space="preserve"> introduces additional risk to the patient.</w:t>
      </w:r>
    </w:p>
    <w:p w14:paraId="67F1CFED"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Adverse events from changes in management</w:t>
      </w:r>
    </w:p>
    <w:p w14:paraId="42C294FC" w14:textId="41C0FD79" w:rsidR="005D6D39" w:rsidRPr="00C24C30" w:rsidRDefault="005D6D39" w:rsidP="005D6D39">
      <w:pPr>
        <w:rPr>
          <w:rFonts w:ascii="Franklin Gothic Book" w:hAnsi="Franklin Gothic Book"/>
          <w:i/>
          <w:iCs/>
          <w:sz w:val="22"/>
        </w:rPr>
      </w:pPr>
      <w:r w:rsidRPr="00C24C30">
        <w:rPr>
          <w:rFonts w:ascii="Franklin Gothic Book" w:hAnsi="Franklin Gothic Book"/>
          <w:sz w:val="22"/>
        </w:rPr>
        <w:t>The commentary considered there may be harms associated with tests that yield no result, a false positive, or a false negative result</w:t>
      </w:r>
      <w:r w:rsidR="4367B344" w:rsidRPr="00C24C30">
        <w:rPr>
          <w:rFonts w:ascii="Franklin Gothic Book" w:hAnsi="Franklin Gothic Book"/>
          <w:sz w:val="22"/>
        </w:rPr>
        <w:t>,</w:t>
      </w:r>
      <w:r w:rsidRPr="00C24C30">
        <w:rPr>
          <w:rFonts w:ascii="Franklin Gothic Book" w:hAnsi="Franklin Gothic Book"/>
          <w:sz w:val="22"/>
        </w:rPr>
        <w:t xml:space="preserve"> which the submission did not consider.</w:t>
      </w:r>
      <w:r w:rsidRPr="00C24C30">
        <w:rPr>
          <w:rFonts w:ascii="Franklin Gothic Book" w:hAnsi="Franklin Gothic Book"/>
          <w:i/>
          <w:iCs/>
          <w:sz w:val="22"/>
        </w:rPr>
        <w:t xml:space="preserve"> </w:t>
      </w:r>
      <w:r w:rsidRPr="00C24C30">
        <w:rPr>
          <w:rFonts w:ascii="Franklin Gothic Book" w:hAnsi="Franklin Gothic Book"/>
          <w:sz w:val="22"/>
        </w:rPr>
        <w:t xml:space="preserve">The commentary noted that re-testing (or the absence of re-testing) would delay time to receiving optimal treatment, and false </w:t>
      </w:r>
      <w:r w:rsidR="00FB097B" w:rsidRPr="00C24C30">
        <w:rPr>
          <w:rFonts w:ascii="Franklin Gothic Book" w:hAnsi="Franklin Gothic Book"/>
          <w:sz w:val="22"/>
        </w:rPr>
        <w:t>positive</w:t>
      </w:r>
      <w:r w:rsidR="005F7B4A" w:rsidRPr="00C24C30">
        <w:rPr>
          <w:rFonts w:ascii="Franklin Gothic Book" w:hAnsi="Franklin Gothic Book"/>
          <w:sz w:val="22"/>
        </w:rPr>
        <w:t xml:space="preserve"> and negative</w:t>
      </w:r>
      <w:r w:rsidR="00FB097B" w:rsidRPr="00C24C30">
        <w:rPr>
          <w:rFonts w:ascii="Franklin Gothic Book" w:hAnsi="Franklin Gothic Book"/>
          <w:sz w:val="22"/>
        </w:rPr>
        <w:t xml:space="preserve"> </w:t>
      </w:r>
      <w:r w:rsidRPr="00C24C30">
        <w:rPr>
          <w:rFonts w:ascii="Franklin Gothic Book" w:hAnsi="Franklin Gothic Book"/>
          <w:sz w:val="22"/>
        </w:rPr>
        <w:t>results could lead to patients receiving inappropriate treatment and/or experiencing unnecessary adverse events (AE).</w:t>
      </w:r>
      <w:r w:rsidRPr="00C24C30">
        <w:rPr>
          <w:rFonts w:ascii="Franklin Gothic Book" w:hAnsi="Franklin Gothic Book"/>
          <w:i/>
          <w:iCs/>
          <w:sz w:val="22"/>
        </w:rPr>
        <w:t xml:space="preserve"> </w:t>
      </w:r>
      <w:r w:rsidRPr="00C24C30">
        <w:rPr>
          <w:rFonts w:ascii="Franklin Gothic Book" w:hAnsi="Franklin Gothic Book"/>
          <w:sz w:val="22"/>
        </w:rPr>
        <w:t>The commentary also noted the FDA 2023 report stated that high concordance of the test may mitigate these risks (p47-8, FDA 2023, ‘PMA P170019/S048: FDA Summary of Safety and Effectiveness Data’); however, the concordance of testing was uncertain as the actual NGS test which will be used in practice was unknown and the rate of false positive and negative</w:t>
      </w:r>
      <w:r w:rsidR="005F7B4A" w:rsidRPr="00C24C30">
        <w:rPr>
          <w:rFonts w:ascii="Franklin Gothic Book" w:hAnsi="Franklin Gothic Book"/>
          <w:sz w:val="22"/>
        </w:rPr>
        <w:t xml:space="preserve"> results</w:t>
      </w:r>
      <w:r w:rsidRPr="00C24C30">
        <w:rPr>
          <w:rFonts w:ascii="Franklin Gothic Book" w:hAnsi="Franklin Gothic Book"/>
          <w:sz w:val="22"/>
        </w:rPr>
        <w:t xml:space="preserve"> are considered uncertain and not well informed by the available evidence (see Section </w:t>
      </w:r>
      <w:r w:rsidR="007C3FFC">
        <w:rPr>
          <w:rFonts w:ascii="Franklin Gothic Book" w:hAnsi="Franklin Gothic Book"/>
          <w:sz w:val="22"/>
        </w:rPr>
        <w:t>12</w:t>
      </w:r>
      <w:r w:rsidRPr="00C24C30">
        <w:rPr>
          <w:rFonts w:ascii="Franklin Gothic Book" w:hAnsi="Franklin Gothic Book"/>
          <w:sz w:val="22"/>
        </w:rPr>
        <w:t>).</w:t>
      </w:r>
      <w:r w:rsidRPr="00C24C30">
        <w:rPr>
          <w:rFonts w:ascii="Franklin Gothic Book" w:hAnsi="Franklin Gothic Book"/>
          <w:i/>
          <w:iCs/>
          <w:sz w:val="22"/>
        </w:rPr>
        <w:t xml:space="preserve"> </w:t>
      </w:r>
    </w:p>
    <w:p w14:paraId="3DDA51E0" w14:textId="77777777" w:rsidR="005D6D39" w:rsidRPr="00C24C30" w:rsidRDefault="005D6D39"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32" w:name="_Ref496866969"/>
      <w:bookmarkStart w:id="33" w:name="_Ref496866994"/>
      <w:bookmarkStart w:id="34" w:name="_Toc177560713"/>
      <w:r w:rsidRPr="00C24C30">
        <w:rPr>
          <w:rFonts w:ascii="Franklin Gothic Medium" w:hAnsi="Franklin Gothic Medium"/>
          <w:b w:val="0"/>
          <w:i w:val="0"/>
          <w:snapToGrid/>
          <w:color w:val="000000" w:themeColor="text1"/>
          <w:sz w:val="32"/>
          <w:szCs w:val="26"/>
        </w:rPr>
        <w:t>Comparative effectiveness</w:t>
      </w:r>
      <w:bookmarkEnd w:id="32"/>
      <w:bookmarkEnd w:id="33"/>
      <w:bookmarkEnd w:id="34"/>
    </w:p>
    <w:p w14:paraId="7B83DF67" w14:textId="067D62C8"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data available to inform the effectiveness of the test and treatment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_Ref174961725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7</w:t>
      </w:r>
      <w:r w:rsidRPr="00C24C30">
        <w:rPr>
          <w:rFonts w:ascii="Franklin Gothic Book" w:hAnsi="Franklin Gothic Book"/>
          <w:color w:val="2B579A"/>
          <w:sz w:val="22"/>
          <w:shd w:val="clear" w:color="auto" w:fill="E6E6E6"/>
        </w:rPr>
        <w:fldChar w:fldCharType="end"/>
      </w:r>
      <w:r w:rsidR="00A258DC" w:rsidRPr="00C24C30">
        <w:rPr>
          <w:rFonts w:ascii="Franklin Gothic Book" w:hAnsi="Franklin Gothic Book"/>
          <w:color w:val="2B579A"/>
          <w:sz w:val="22"/>
          <w:shd w:val="clear" w:color="auto" w:fill="E6E6E6"/>
        </w:rPr>
        <w:t>.</w:t>
      </w:r>
    </w:p>
    <w:p w14:paraId="0D1E7B3E" w14:textId="073CE204" w:rsidR="005D6D39" w:rsidRPr="00102634" w:rsidRDefault="005D6D39" w:rsidP="003F6F2A">
      <w:pPr>
        <w:pStyle w:val="Caption"/>
      </w:pPr>
      <w:bookmarkStart w:id="35" w:name="_Ref174961725"/>
      <w:r w:rsidRPr="00102634">
        <w:t xml:space="preserve">Table </w:t>
      </w:r>
      <w:r w:rsidR="0016064D">
        <w:fldChar w:fldCharType="begin"/>
      </w:r>
      <w:r w:rsidR="0016064D">
        <w:instrText xml:space="preserve"> SEQ Table_MSAC. \* ARABIC </w:instrText>
      </w:r>
      <w:r w:rsidR="0016064D">
        <w:fldChar w:fldCharType="separate"/>
      </w:r>
      <w:r w:rsidR="0016064D">
        <w:rPr>
          <w:noProof/>
        </w:rPr>
        <w:t>7</w:t>
      </w:r>
      <w:r w:rsidR="0016064D">
        <w:rPr>
          <w:noProof/>
        </w:rPr>
        <w:fldChar w:fldCharType="end"/>
      </w:r>
      <w:bookmarkEnd w:id="35"/>
      <w:r w:rsidRPr="00102634">
        <w:t>: 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5D6D39" w:rsidRPr="00102634" w14:paraId="26338BCF" w14:textId="77777777" w:rsidTr="2C973C4D">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AA0B5" w14:textId="77777777" w:rsidR="005D6D39" w:rsidRPr="00102634" w:rsidRDefault="005D6D39">
            <w:pPr>
              <w:pStyle w:val="TableText"/>
            </w:pPr>
            <w:r w:rsidRPr="00102634">
              <w:t>Proposed test vs no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43FE2" w14:textId="77777777" w:rsidR="005D6D39" w:rsidRPr="00102634" w:rsidRDefault="005D6D39">
            <w:pPr>
              <w:pStyle w:val="TableText"/>
            </w:pPr>
            <w:r w:rsidRPr="00102634">
              <w:t>No evidence provided</w:t>
            </w:r>
          </w:p>
        </w:tc>
      </w:tr>
      <w:tr w:rsidR="005D6D39" w:rsidRPr="00102634" w14:paraId="4CA74159" w14:textId="77777777" w:rsidTr="2C973C4D">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73B59" w14:textId="77777777" w:rsidR="005D6D39" w:rsidRPr="00102634" w:rsidRDefault="005D6D39">
            <w:pPr>
              <w:pStyle w:val="TableText"/>
            </w:pPr>
            <w:r w:rsidRPr="00102634">
              <w:t>Proposed test vs alternative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C932F" w14:textId="3F736B75" w:rsidR="005D6D39" w:rsidRPr="00102634" w:rsidRDefault="005D6D39">
            <w:pPr>
              <w:pStyle w:val="TableText"/>
            </w:pPr>
            <w:r w:rsidRPr="00684DE6" w:rsidDel="00E80366">
              <w:t>Monash</w:t>
            </w:r>
            <w:r w:rsidR="00E80366" w:rsidRPr="00684DE6">
              <w:t xml:space="preserve"> Health Pathology 2024</w:t>
            </w:r>
            <w:r w:rsidRPr="00684DE6">
              <w:t xml:space="preserve"> concordance analysis between Roche AVENIO CGP and</w:t>
            </w:r>
            <w:r w:rsidRPr="00102634">
              <w:t xml:space="preserve"> </w:t>
            </w:r>
            <w:proofErr w:type="spellStart"/>
            <w:r w:rsidRPr="00102634">
              <w:t>FoundationOneCDx</w:t>
            </w:r>
            <w:proofErr w:type="spellEnd"/>
            <w:r w:rsidRPr="00102634">
              <w:t xml:space="preserve">. Supplementary concordance analysis between </w:t>
            </w:r>
            <w:proofErr w:type="spellStart"/>
            <w:r w:rsidRPr="00102634">
              <w:t>FoundationOneCDx</w:t>
            </w:r>
            <w:proofErr w:type="spellEnd"/>
            <w:r w:rsidRPr="00102634">
              <w:t xml:space="preserve"> and an externally validated NGS (FDA 2019 and FDA 2023).</w:t>
            </w:r>
          </w:p>
        </w:tc>
      </w:tr>
      <w:tr w:rsidR="005D6D39" w:rsidRPr="00102634" w14:paraId="401DCFB6" w14:textId="77777777" w:rsidTr="2C973C4D">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D3EA" w14:textId="77777777" w:rsidR="005D6D39" w:rsidRPr="00102634" w:rsidRDefault="005D6D39">
            <w:pPr>
              <w:pStyle w:val="TableText"/>
            </w:pP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89705" w14:textId="77777777" w:rsidR="005D6D39" w:rsidRPr="00102634" w:rsidRDefault="005D6D39" w:rsidP="0025237E">
            <w:pPr>
              <w:pStyle w:val="TableText"/>
              <w:jc w:val="center"/>
            </w:pPr>
            <w:r w:rsidRPr="00102634">
              <w:rPr>
                <w:b/>
              </w:rPr>
              <w:t>CAPI+FULV</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65A95" w14:textId="77777777" w:rsidR="005D6D39" w:rsidRPr="00102634" w:rsidRDefault="005D6D39" w:rsidP="0025237E">
            <w:pPr>
              <w:pStyle w:val="TableText"/>
              <w:jc w:val="center"/>
            </w:pPr>
            <w:r w:rsidRPr="00102634">
              <w:rPr>
                <w:b/>
              </w:rPr>
              <w:t>FULV monotherapy</w:t>
            </w:r>
          </w:p>
        </w:tc>
      </w:tr>
      <w:tr w:rsidR="005D6D39" w:rsidRPr="00102634" w14:paraId="131A501F" w14:textId="77777777" w:rsidTr="2C973C4D">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6464B" w14:textId="77777777" w:rsidR="005D6D39" w:rsidRPr="00102634" w:rsidRDefault="005D6D39">
            <w:pPr>
              <w:pStyle w:val="TableText"/>
            </w:pPr>
            <w:r w:rsidRPr="00102634">
              <w:t>Biomarker test positive</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B38888" w14:textId="77777777" w:rsidR="005D6D39" w:rsidRPr="00102634" w:rsidRDefault="005D6D39" w:rsidP="0025237E">
            <w:pPr>
              <w:pStyle w:val="TableText"/>
              <w:jc w:val="center"/>
            </w:pPr>
            <w:r w:rsidRPr="00102634">
              <w:t>CAPItello-291, FAKTION</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9A8B7" w14:textId="77777777" w:rsidR="005D6D39" w:rsidRPr="00102634" w:rsidRDefault="005D6D39" w:rsidP="0025237E">
            <w:pPr>
              <w:pStyle w:val="TableText"/>
              <w:jc w:val="center"/>
            </w:pPr>
            <w:r w:rsidRPr="00102634">
              <w:t>CAPItello-291, FAKTION</w:t>
            </w:r>
          </w:p>
        </w:tc>
      </w:tr>
      <w:tr w:rsidR="005D6D39" w:rsidRPr="00102634" w14:paraId="10A84E5F" w14:textId="77777777" w:rsidTr="2C973C4D">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6E5B" w14:textId="77777777" w:rsidR="005D6D39" w:rsidRPr="00102634" w:rsidRDefault="005D6D39">
            <w:pPr>
              <w:pStyle w:val="TableText"/>
            </w:pPr>
            <w:r w:rsidRPr="00102634">
              <w:t xml:space="preserve">Biomarker test negative </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682A3" w14:textId="77777777" w:rsidR="005D6D39" w:rsidRPr="00102634" w:rsidRDefault="005D6D39" w:rsidP="0025237E">
            <w:pPr>
              <w:pStyle w:val="TableText"/>
              <w:jc w:val="center"/>
            </w:pPr>
            <w:r w:rsidRPr="00102634">
              <w:t>CAPItello-291, FAKTION</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E5824" w14:textId="77777777" w:rsidR="005D6D39" w:rsidRPr="00102634" w:rsidRDefault="005D6D39" w:rsidP="0025237E">
            <w:pPr>
              <w:pStyle w:val="TableText"/>
              <w:jc w:val="center"/>
            </w:pPr>
            <w:r w:rsidRPr="00102634">
              <w:t>CAPItello-291, FAKTION</w:t>
            </w:r>
          </w:p>
        </w:tc>
      </w:tr>
    </w:tbl>
    <w:p w14:paraId="23D35E91" w14:textId="77777777" w:rsidR="005D6D39" w:rsidRPr="00102634" w:rsidRDefault="005D6D39" w:rsidP="005D6D39">
      <w:pPr>
        <w:pStyle w:val="TableFooter"/>
      </w:pPr>
      <w:r w:rsidRPr="00102634">
        <w:t>Source: Section 2A, 2B, 2C, and 2D of the submission</w:t>
      </w:r>
    </w:p>
    <w:p w14:paraId="7EDFA229" w14:textId="77777777" w:rsidR="005D6D39" w:rsidRPr="00102634" w:rsidRDefault="005D6D39" w:rsidP="005D6D39">
      <w:pPr>
        <w:pStyle w:val="TableFooter"/>
      </w:pPr>
      <w:r w:rsidRPr="00102634">
        <w:t>CGP = Comprehensive Genomic Profiling; FDA = Food and Drug Administration; NGS = Next Generation Sequencing</w:t>
      </w:r>
    </w:p>
    <w:p w14:paraId="645CF5A7"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 xml:space="preserve">Comparative accuracy/test performance </w:t>
      </w:r>
    </w:p>
    <w:p w14:paraId="5D49041F" w14:textId="0E122275"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concordance results from </w:t>
      </w:r>
      <w:r w:rsidRPr="00684DE6">
        <w:rPr>
          <w:rFonts w:ascii="Franklin Gothic Book" w:hAnsi="Franklin Gothic Book"/>
          <w:sz w:val="22"/>
        </w:rPr>
        <w:t xml:space="preserve">the </w:t>
      </w:r>
      <w:r w:rsidRPr="00684DE6" w:rsidDel="00E80366">
        <w:rPr>
          <w:rFonts w:ascii="Franklin Gothic Book" w:hAnsi="Franklin Gothic Book"/>
          <w:sz w:val="22"/>
        </w:rPr>
        <w:t xml:space="preserve">Monash </w:t>
      </w:r>
      <w:r w:rsidR="00E80366" w:rsidRPr="00684DE6">
        <w:rPr>
          <w:rFonts w:ascii="Franklin Gothic Book" w:hAnsi="Franklin Gothic Book"/>
          <w:sz w:val="22"/>
        </w:rPr>
        <w:t>Health Pathology 2024</w:t>
      </w:r>
      <w:r w:rsidRPr="00684DE6">
        <w:rPr>
          <w:rFonts w:ascii="Franklin Gothic Book" w:hAnsi="Franklin Gothic Book"/>
          <w:sz w:val="22"/>
        </w:rPr>
        <w:t xml:space="preserve"> and FDA 2019 reports are presented in </w:t>
      </w:r>
      <w:r w:rsidRPr="00684DE6">
        <w:rPr>
          <w:rFonts w:ascii="Franklin Gothic Book" w:hAnsi="Franklin Gothic Book"/>
          <w:color w:val="2B579A"/>
          <w:sz w:val="22"/>
          <w:shd w:val="clear" w:color="auto" w:fill="E6E6E6"/>
        </w:rPr>
        <w:fldChar w:fldCharType="begin"/>
      </w:r>
      <w:r w:rsidRPr="00684DE6">
        <w:rPr>
          <w:rFonts w:ascii="Franklin Gothic Book" w:hAnsi="Franklin Gothic Book"/>
          <w:sz w:val="22"/>
        </w:rPr>
        <w:instrText xml:space="preserve"> REF _Ref174961762 \h </w:instrText>
      </w:r>
      <w:r w:rsidR="00C24C30" w:rsidRPr="00684DE6">
        <w:rPr>
          <w:rFonts w:ascii="Franklin Gothic Book" w:hAnsi="Franklin Gothic Book"/>
          <w:color w:val="2B579A"/>
          <w:sz w:val="22"/>
          <w:shd w:val="clear" w:color="auto" w:fill="E6E6E6"/>
        </w:rPr>
        <w:instrText xml:space="preserve"> \* MERGEFORMAT </w:instrText>
      </w:r>
      <w:r w:rsidRPr="00684DE6">
        <w:rPr>
          <w:rFonts w:ascii="Franklin Gothic Book" w:hAnsi="Franklin Gothic Book"/>
          <w:color w:val="2B579A"/>
          <w:sz w:val="22"/>
          <w:shd w:val="clear" w:color="auto" w:fill="E6E6E6"/>
        </w:rPr>
      </w:r>
      <w:r w:rsidRPr="00684DE6">
        <w:rPr>
          <w:rFonts w:ascii="Franklin Gothic Book" w:hAnsi="Franklin Gothic Book"/>
          <w:color w:val="2B579A"/>
          <w:sz w:val="22"/>
          <w:shd w:val="clear" w:color="auto" w:fill="E6E6E6"/>
        </w:rPr>
        <w:fldChar w:fldCharType="separate"/>
      </w:r>
      <w:r w:rsidR="0016064D" w:rsidRPr="00684DE6">
        <w:rPr>
          <w:rFonts w:ascii="Franklin Gothic Book" w:hAnsi="Franklin Gothic Book"/>
          <w:sz w:val="22"/>
        </w:rPr>
        <w:t xml:space="preserve">Table </w:t>
      </w:r>
      <w:r w:rsidR="0016064D" w:rsidRPr="00684DE6">
        <w:rPr>
          <w:rFonts w:ascii="Franklin Gothic Book" w:hAnsi="Franklin Gothic Book"/>
          <w:noProof/>
          <w:sz w:val="22"/>
        </w:rPr>
        <w:t>8</w:t>
      </w:r>
      <w:r w:rsidRPr="00684DE6">
        <w:rPr>
          <w:rFonts w:ascii="Franklin Gothic Book" w:hAnsi="Franklin Gothic Book"/>
          <w:color w:val="2B579A"/>
          <w:sz w:val="22"/>
          <w:shd w:val="clear" w:color="auto" w:fill="E6E6E6"/>
        </w:rPr>
        <w:fldChar w:fldCharType="end"/>
      </w:r>
      <w:r w:rsidRPr="00684DE6">
        <w:rPr>
          <w:rFonts w:ascii="Franklin Gothic Book" w:hAnsi="Franklin Gothic Book"/>
          <w:sz w:val="22"/>
        </w:rPr>
        <w:t>. The FDA 2023 results were included during the evaluation</w:t>
      </w:r>
      <w:r w:rsidRPr="00C24C30">
        <w:rPr>
          <w:rFonts w:ascii="Franklin Gothic Book" w:hAnsi="Franklin Gothic Book"/>
          <w:sz w:val="22"/>
        </w:rPr>
        <w:t xml:space="preserve"> and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_Ref174961768 \h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9</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w:t>
      </w:r>
    </w:p>
    <w:p w14:paraId="55300E26" w14:textId="72C16CBD" w:rsidR="005D6D39" w:rsidRPr="00102634" w:rsidRDefault="005D6D39" w:rsidP="003F6F2A">
      <w:pPr>
        <w:pStyle w:val="Caption"/>
      </w:pPr>
      <w:bookmarkStart w:id="36" w:name="_Ref174961762"/>
      <w:r w:rsidRPr="00102634">
        <w:lastRenderedPageBreak/>
        <w:t xml:space="preserve">Table </w:t>
      </w:r>
      <w:r w:rsidR="0016064D">
        <w:fldChar w:fldCharType="begin"/>
      </w:r>
      <w:r w:rsidR="0016064D">
        <w:instrText xml:space="preserve"> SEQ Table_MSAC. \* ARABIC </w:instrText>
      </w:r>
      <w:r w:rsidR="0016064D">
        <w:fldChar w:fldCharType="separate"/>
      </w:r>
      <w:r w:rsidR="0016064D">
        <w:rPr>
          <w:noProof/>
        </w:rPr>
        <w:t>8</w:t>
      </w:r>
      <w:r w:rsidR="0016064D">
        <w:rPr>
          <w:noProof/>
        </w:rPr>
        <w:fldChar w:fldCharType="end"/>
      </w:r>
      <w:bookmarkEnd w:id="36"/>
      <w:r w:rsidRPr="00102634">
        <w:t xml:space="preserve">: Concordance summary </w:t>
      </w:r>
      <w:r w:rsidRPr="00102634" w:rsidDel="00E80366">
        <w:t xml:space="preserve">Monash </w:t>
      </w:r>
      <w:r w:rsidR="00E80366">
        <w:t>Health Pathology 2024</w:t>
      </w:r>
      <w:r w:rsidRPr="00102634">
        <w:t xml:space="preserve"> and FDA 2019</w:t>
      </w:r>
    </w:p>
    <w:tbl>
      <w:tblPr>
        <w:tblStyle w:val="ASDTable1"/>
        <w:tblW w:w="5000" w:type="pct"/>
        <w:tblLook w:val="04A0" w:firstRow="1" w:lastRow="0" w:firstColumn="1" w:lastColumn="0" w:noHBand="0" w:noVBand="1"/>
      </w:tblPr>
      <w:tblGrid>
        <w:gridCol w:w="2146"/>
        <w:gridCol w:w="2433"/>
        <w:gridCol w:w="1863"/>
        <w:gridCol w:w="1287"/>
        <w:gridCol w:w="1287"/>
      </w:tblGrid>
      <w:tr w:rsidR="005D6D39" w:rsidRPr="00102634" w14:paraId="3058F123" w14:textId="77777777" w:rsidTr="00170CFC">
        <w:tc>
          <w:tcPr>
            <w:tcW w:w="2538" w:type="pct"/>
            <w:gridSpan w:val="2"/>
            <w:vMerge w:val="restart"/>
          </w:tcPr>
          <w:p w14:paraId="2F9BAF6F" w14:textId="0DFA768F" w:rsidR="005D6D39" w:rsidRPr="00554D49" w:rsidRDefault="005D6D39">
            <w:pPr>
              <w:pStyle w:val="Tabletext0"/>
              <w:keepNext/>
              <w:rPr>
                <w:b/>
                <w:bCs/>
              </w:rPr>
            </w:pPr>
            <w:r w:rsidRPr="00554D49" w:rsidDel="00E80366">
              <w:rPr>
                <w:b/>
                <w:bCs/>
              </w:rPr>
              <w:t xml:space="preserve">Monash </w:t>
            </w:r>
            <w:r w:rsidR="00E80366" w:rsidRPr="00554D49">
              <w:rPr>
                <w:b/>
                <w:bCs/>
              </w:rPr>
              <w:t>Health Pathology 2024</w:t>
            </w:r>
            <w:r w:rsidRPr="00554D49">
              <w:rPr>
                <w:b/>
                <w:bCs/>
              </w:rPr>
              <w:t xml:space="preserve"> </w:t>
            </w:r>
          </w:p>
          <w:p w14:paraId="02A5F0D2" w14:textId="77777777" w:rsidR="005D6D39" w:rsidRPr="00554D49" w:rsidRDefault="005D6D39">
            <w:pPr>
              <w:pStyle w:val="Tabletext0"/>
              <w:keepNext/>
              <w:rPr>
                <w:b/>
                <w:bCs/>
              </w:rPr>
            </w:pPr>
            <w:r w:rsidRPr="00554D49">
              <w:rPr>
                <w:b/>
                <w:bCs/>
              </w:rPr>
              <w:t xml:space="preserve">Roche AVENIO CGP vs </w:t>
            </w:r>
            <w:proofErr w:type="spellStart"/>
            <w:r w:rsidRPr="00554D49">
              <w:rPr>
                <w:b/>
                <w:bCs/>
              </w:rPr>
              <w:t>FoundationOneCDx</w:t>
            </w:r>
            <w:proofErr w:type="spellEnd"/>
          </w:p>
        </w:tc>
        <w:tc>
          <w:tcPr>
            <w:tcW w:w="2462" w:type="pct"/>
            <w:gridSpan w:val="3"/>
            <w:vAlign w:val="center"/>
          </w:tcPr>
          <w:p w14:paraId="3314644F" w14:textId="77777777" w:rsidR="005D6D39" w:rsidRPr="00102634" w:rsidRDefault="005D6D39">
            <w:pPr>
              <w:pStyle w:val="Tabletext0"/>
              <w:keepNext/>
              <w:jc w:val="center"/>
              <w:rPr>
                <w:b/>
                <w:bCs/>
              </w:rPr>
            </w:pPr>
            <w:proofErr w:type="spellStart"/>
            <w:r w:rsidRPr="00102634">
              <w:rPr>
                <w:b/>
                <w:bCs/>
              </w:rPr>
              <w:t>FoundationOneCDx</w:t>
            </w:r>
            <w:proofErr w:type="spellEnd"/>
          </w:p>
        </w:tc>
      </w:tr>
      <w:tr w:rsidR="005D6D39" w:rsidRPr="00102634" w14:paraId="5253165A" w14:textId="77777777" w:rsidTr="00170CFC">
        <w:tc>
          <w:tcPr>
            <w:tcW w:w="2538" w:type="pct"/>
            <w:gridSpan w:val="2"/>
            <w:vMerge/>
          </w:tcPr>
          <w:p w14:paraId="5F278C4D" w14:textId="77777777" w:rsidR="005D6D39" w:rsidRPr="00554D49" w:rsidRDefault="005D6D39">
            <w:pPr>
              <w:pStyle w:val="Tabletext0"/>
              <w:keepNext/>
            </w:pPr>
          </w:p>
        </w:tc>
        <w:tc>
          <w:tcPr>
            <w:tcW w:w="1033" w:type="pct"/>
            <w:vAlign w:val="center"/>
          </w:tcPr>
          <w:p w14:paraId="0B3E55D8" w14:textId="77777777" w:rsidR="005D6D39" w:rsidRPr="00C946D9" w:rsidRDefault="005D6D39">
            <w:pPr>
              <w:pStyle w:val="Tabletext0"/>
              <w:keepNext/>
              <w:jc w:val="center"/>
            </w:pPr>
            <w:r w:rsidRPr="00C946D9">
              <w:t>Positive</w:t>
            </w:r>
          </w:p>
        </w:tc>
        <w:tc>
          <w:tcPr>
            <w:tcW w:w="714" w:type="pct"/>
            <w:vAlign w:val="center"/>
          </w:tcPr>
          <w:p w14:paraId="716FFA36" w14:textId="77777777" w:rsidR="005D6D39" w:rsidRPr="00C946D9" w:rsidRDefault="005D6D39">
            <w:pPr>
              <w:pStyle w:val="Tabletext0"/>
              <w:keepNext/>
              <w:jc w:val="center"/>
            </w:pPr>
            <w:r w:rsidRPr="00C946D9">
              <w:t>Negative</w:t>
            </w:r>
          </w:p>
        </w:tc>
        <w:tc>
          <w:tcPr>
            <w:tcW w:w="715" w:type="pct"/>
            <w:vAlign w:val="center"/>
          </w:tcPr>
          <w:p w14:paraId="6FDED30A" w14:textId="307A6FFE" w:rsidR="005D6D39" w:rsidRPr="00C946D9" w:rsidRDefault="005D6D39">
            <w:pPr>
              <w:pStyle w:val="Tabletext0"/>
              <w:keepNext/>
              <w:jc w:val="center"/>
            </w:pPr>
            <w:r w:rsidRPr="00C946D9">
              <w:t>Total</w:t>
            </w:r>
          </w:p>
        </w:tc>
      </w:tr>
      <w:tr w:rsidR="005D6D39" w:rsidRPr="00102634" w14:paraId="7D3ED424" w14:textId="77777777" w:rsidTr="00170CFC">
        <w:tc>
          <w:tcPr>
            <w:tcW w:w="1190" w:type="pct"/>
            <w:vMerge w:val="restart"/>
          </w:tcPr>
          <w:p w14:paraId="588D4DF1" w14:textId="77777777" w:rsidR="005D6D39" w:rsidRPr="00554D49" w:rsidRDefault="005D6D39">
            <w:pPr>
              <w:pStyle w:val="Tabletext0"/>
              <w:keepNext/>
              <w:rPr>
                <w:b/>
                <w:bCs/>
              </w:rPr>
            </w:pPr>
            <w:r w:rsidRPr="00554D49">
              <w:rPr>
                <w:b/>
                <w:bCs/>
              </w:rPr>
              <w:t>Roche AVENIO CGP</w:t>
            </w:r>
          </w:p>
        </w:tc>
        <w:tc>
          <w:tcPr>
            <w:tcW w:w="1348" w:type="pct"/>
          </w:tcPr>
          <w:p w14:paraId="3FF3E8D3" w14:textId="77777777" w:rsidR="005D6D39" w:rsidRPr="00554D49" w:rsidRDefault="005D6D39">
            <w:pPr>
              <w:pStyle w:val="Tabletext0"/>
              <w:keepNext/>
            </w:pPr>
            <w:r w:rsidRPr="00554D49">
              <w:t>Positive</w:t>
            </w:r>
          </w:p>
        </w:tc>
        <w:tc>
          <w:tcPr>
            <w:tcW w:w="1033" w:type="pct"/>
            <w:vAlign w:val="center"/>
          </w:tcPr>
          <w:p w14:paraId="0B37AB11" w14:textId="1DF98C58" w:rsidR="005D6D39" w:rsidRPr="00C946D9" w:rsidRDefault="00C946D9">
            <w:pPr>
              <w:pStyle w:val="Tabletext0"/>
              <w:keepNext/>
              <w:jc w:val="center"/>
              <w:rPr>
                <w:b/>
                <w:bCs/>
              </w:rPr>
            </w:pPr>
            <w:r w:rsidRPr="00C946D9">
              <w:rPr>
                <w:b/>
                <w:bCs/>
              </w:rPr>
              <w:t>redacted</w:t>
            </w:r>
          </w:p>
        </w:tc>
        <w:tc>
          <w:tcPr>
            <w:tcW w:w="714" w:type="pct"/>
            <w:vAlign w:val="center"/>
          </w:tcPr>
          <w:p w14:paraId="71AA586E" w14:textId="0989C525" w:rsidR="005D6D39" w:rsidRPr="00C946D9" w:rsidRDefault="00C946D9">
            <w:pPr>
              <w:pStyle w:val="Tabletext0"/>
              <w:keepNext/>
              <w:jc w:val="center"/>
            </w:pPr>
            <w:r w:rsidRPr="00C946D9">
              <w:rPr>
                <w:b/>
                <w:bCs/>
              </w:rPr>
              <w:t>redacted</w:t>
            </w:r>
          </w:p>
        </w:tc>
        <w:tc>
          <w:tcPr>
            <w:tcW w:w="715" w:type="pct"/>
            <w:vAlign w:val="center"/>
          </w:tcPr>
          <w:p w14:paraId="2F0F6913" w14:textId="055CC043" w:rsidR="005D6D39" w:rsidRPr="00C946D9" w:rsidRDefault="00C946D9">
            <w:pPr>
              <w:pStyle w:val="Tabletext0"/>
              <w:keepNext/>
              <w:jc w:val="center"/>
            </w:pPr>
            <w:r w:rsidRPr="00C946D9">
              <w:rPr>
                <w:b/>
                <w:bCs/>
              </w:rPr>
              <w:t>redacted</w:t>
            </w:r>
          </w:p>
        </w:tc>
      </w:tr>
      <w:tr w:rsidR="005D6D39" w:rsidRPr="00102634" w14:paraId="70A63124" w14:textId="77777777" w:rsidTr="00170CFC">
        <w:tc>
          <w:tcPr>
            <w:tcW w:w="1190" w:type="pct"/>
            <w:vMerge/>
          </w:tcPr>
          <w:p w14:paraId="6E5D6BE7" w14:textId="77777777" w:rsidR="005D6D39" w:rsidRPr="00102634" w:rsidRDefault="005D6D39">
            <w:pPr>
              <w:pStyle w:val="Tabletext0"/>
              <w:keepNext/>
            </w:pPr>
          </w:p>
        </w:tc>
        <w:tc>
          <w:tcPr>
            <w:tcW w:w="1348" w:type="pct"/>
          </w:tcPr>
          <w:p w14:paraId="11015C74" w14:textId="77777777" w:rsidR="005D6D39" w:rsidRPr="00102634" w:rsidRDefault="005D6D39">
            <w:pPr>
              <w:pStyle w:val="Tabletext0"/>
              <w:keepNext/>
            </w:pPr>
            <w:r w:rsidRPr="00102634">
              <w:t>Negative</w:t>
            </w:r>
          </w:p>
        </w:tc>
        <w:tc>
          <w:tcPr>
            <w:tcW w:w="1033" w:type="pct"/>
            <w:vAlign w:val="center"/>
          </w:tcPr>
          <w:p w14:paraId="7C449864" w14:textId="52487712" w:rsidR="005D6D39" w:rsidRPr="00C946D9" w:rsidRDefault="00C946D9">
            <w:pPr>
              <w:pStyle w:val="Tabletext0"/>
              <w:keepNext/>
              <w:jc w:val="center"/>
            </w:pPr>
            <w:r w:rsidRPr="00C946D9">
              <w:rPr>
                <w:b/>
                <w:bCs/>
              </w:rPr>
              <w:t>redacted</w:t>
            </w:r>
          </w:p>
        </w:tc>
        <w:tc>
          <w:tcPr>
            <w:tcW w:w="714" w:type="pct"/>
            <w:vAlign w:val="center"/>
          </w:tcPr>
          <w:p w14:paraId="6E9734C1" w14:textId="410CD83D" w:rsidR="005D6D39" w:rsidRPr="00C946D9" w:rsidRDefault="00C946D9">
            <w:pPr>
              <w:pStyle w:val="Tabletext0"/>
              <w:keepNext/>
              <w:jc w:val="center"/>
            </w:pPr>
            <w:r w:rsidRPr="00C946D9">
              <w:rPr>
                <w:b/>
                <w:bCs/>
              </w:rPr>
              <w:t>redacted</w:t>
            </w:r>
          </w:p>
        </w:tc>
        <w:tc>
          <w:tcPr>
            <w:tcW w:w="715" w:type="pct"/>
            <w:vAlign w:val="center"/>
          </w:tcPr>
          <w:p w14:paraId="39CFB6D7" w14:textId="24D068D0" w:rsidR="005D6D39" w:rsidRPr="00C946D9" w:rsidRDefault="00C946D9">
            <w:pPr>
              <w:pStyle w:val="Tabletext0"/>
              <w:keepNext/>
              <w:jc w:val="center"/>
            </w:pPr>
            <w:r w:rsidRPr="00C946D9">
              <w:rPr>
                <w:b/>
                <w:bCs/>
              </w:rPr>
              <w:t>redacted</w:t>
            </w:r>
          </w:p>
        </w:tc>
      </w:tr>
      <w:tr w:rsidR="005D6D39" w:rsidRPr="00102634" w14:paraId="324CE7F6" w14:textId="77777777" w:rsidTr="51A3F6AA">
        <w:tc>
          <w:tcPr>
            <w:tcW w:w="1190" w:type="pct"/>
            <w:vMerge/>
          </w:tcPr>
          <w:p w14:paraId="32B82685" w14:textId="77777777" w:rsidR="005D6D39" w:rsidRPr="00102634" w:rsidRDefault="005D6D39">
            <w:pPr>
              <w:pStyle w:val="Tabletext0"/>
              <w:keepNext/>
            </w:pPr>
          </w:p>
        </w:tc>
        <w:tc>
          <w:tcPr>
            <w:tcW w:w="1348" w:type="pct"/>
          </w:tcPr>
          <w:p w14:paraId="5DAA7A48" w14:textId="77777777" w:rsidR="005D6D39" w:rsidRPr="00102634" w:rsidRDefault="005D6D39">
            <w:pPr>
              <w:pStyle w:val="Tabletext0"/>
              <w:keepNext/>
            </w:pPr>
            <w:r w:rsidRPr="00102634">
              <w:t>Total</w:t>
            </w:r>
          </w:p>
        </w:tc>
        <w:tc>
          <w:tcPr>
            <w:tcW w:w="1033" w:type="pct"/>
            <w:vAlign w:val="center"/>
          </w:tcPr>
          <w:p w14:paraId="7021FE4F" w14:textId="6A51C66E" w:rsidR="005D6D39" w:rsidRPr="00C946D9" w:rsidRDefault="00C946D9">
            <w:pPr>
              <w:pStyle w:val="Tabletext0"/>
              <w:keepNext/>
              <w:jc w:val="center"/>
            </w:pPr>
            <w:r w:rsidRPr="00C946D9">
              <w:rPr>
                <w:b/>
                <w:bCs/>
              </w:rPr>
              <w:t>redacted</w:t>
            </w:r>
          </w:p>
        </w:tc>
        <w:tc>
          <w:tcPr>
            <w:tcW w:w="714" w:type="pct"/>
            <w:tcBorders>
              <w:bottom w:val="single" w:sz="4" w:space="0" w:color="auto"/>
            </w:tcBorders>
            <w:vAlign w:val="center"/>
          </w:tcPr>
          <w:p w14:paraId="63261AF4" w14:textId="5E36661E" w:rsidR="005D6D39" w:rsidRPr="00C946D9" w:rsidRDefault="00C946D9">
            <w:pPr>
              <w:pStyle w:val="Tabletext0"/>
              <w:keepNext/>
              <w:jc w:val="center"/>
            </w:pPr>
            <w:r w:rsidRPr="00C946D9">
              <w:rPr>
                <w:b/>
                <w:bCs/>
              </w:rPr>
              <w:t>redacted</w:t>
            </w:r>
          </w:p>
        </w:tc>
        <w:tc>
          <w:tcPr>
            <w:tcW w:w="715" w:type="pct"/>
            <w:tcBorders>
              <w:bottom w:val="single" w:sz="4" w:space="0" w:color="auto"/>
            </w:tcBorders>
            <w:vAlign w:val="center"/>
          </w:tcPr>
          <w:p w14:paraId="47E4DF07" w14:textId="77777777" w:rsidR="005D6D39" w:rsidRPr="00C946D9" w:rsidRDefault="005D6D39">
            <w:pPr>
              <w:pStyle w:val="Tabletext0"/>
              <w:keepNext/>
              <w:jc w:val="center"/>
            </w:pPr>
          </w:p>
        </w:tc>
      </w:tr>
      <w:tr w:rsidR="005D6D39" w:rsidRPr="00102634" w14:paraId="369B99C6" w14:textId="77777777" w:rsidTr="00170CFC">
        <w:tc>
          <w:tcPr>
            <w:tcW w:w="1190" w:type="pct"/>
            <w:tcBorders>
              <w:top w:val="single" w:sz="4" w:space="0" w:color="auto"/>
              <w:left w:val="single" w:sz="4" w:space="0" w:color="auto"/>
              <w:bottom w:val="nil"/>
              <w:right w:val="single" w:sz="4" w:space="0" w:color="auto"/>
            </w:tcBorders>
          </w:tcPr>
          <w:p w14:paraId="4B6B88BB" w14:textId="77777777" w:rsidR="005D6D39" w:rsidRPr="00102634" w:rsidRDefault="005D6D39">
            <w:pPr>
              <w:pStyle w:val="Tabletext0"/>
              <w:keepNext/>
            </w:pPr>
            <w:r w:rsidRPr="00102634">
              <w:t>Agreement (95% CI)</w:t>
            </w:r>
          </w:p>
        </w:tc>
        <w:tc>
          <w:tcPr>
            <w:tcW w:w="1348" w:type="pct"/>
            <w:tcBorders>
              <w:left w:val="single" w:sz="4" w:space="0" w:color="auto"/>
            </w:tcBorders>
          </w:tcPr>
          <w:p w14:paraId="776948E5" w14:textId="77777777" w:rsidR="005D6D39" w:rsidRPr="00102634" w:rsidRDefault="005D6D39">
            <w:pPr>
              <w:pStyle w:val="Tabletext0"/>
              <w:keepNext/>
            </w:pPr>
            <w:r w:rsidRPr="00102634">
              <w:t xml:space="preserve">PPA </w:t>
            </w:r>
          </w:p>
        </w:tc>
        <w:tc>
          <w:tcPr>
            <w:tcW w:w="1033" w:type="pct"/>
            <w:tcBorders>
              <w:right w:val="single" w:sz="4" w:space="0" w:color="auto"/>
            </w:tcBorders>
            <w:vAlign w:val="center"/>
          </w:tcPr>
          <w:p w14:paraId="1D1E66AA" w14:textId="53CA730F" w:rsidR="005D6D39" w:rsidRPr="00C946D9" w:rsidRDefault="190E15F6">
            <w:pPr>
              <w:pStyle w:val="Tabletext0"/>
              <w:keepNext/>
              <w:jc w:val="center"/>
            </w:pPr>
            <w:r w:rsidRPr="00EC67D1">
              <w:rPr>
                <w:b/>
                <w:bCs/>
              </w:rPr>
              <w:t>redacted</w:t>
            </w:r>
            <w:r w:rsidR="7A3FA6F1">
              <w:t>%</w:t>
            </w:r>
          </w:p>
        </w:tc>
        <w:tc>
          <w:tcPr>
            <w:tcW w:w="714" w:type="pct"/>
            <w:tcBorders>
              <w:top w:val="single" w:sz="4" w:space="0" w:color="auto"/>
              <w:left w:val="single" w:sz="4" w:space="0" w:color="auto"/>
              <w:bottom w:val="nil"/>
              <w:right w:val="nil"/>
            </w:tcBorders>
            <w:vAlign w:val="center"/>
          </w:tcPr>
          <w:p w14:paraId="325549C5" w14:textId="77777777" w:rsidR="005D6D39" w:rsidRPr="00C946D9" w:rsidRDefault="005D6D39">
            <w:pPr>
              <w:pStyle w:val="Tabletext0"/>
              <w:keepNext/>
              <w:jc w:val="center"/>
            </w:pPr>
          </w:p>
        </w:tc>
        <w:tc>
          <w:tcPr>
            <w:tcW w:w="715" w:type="pct"/>
            <w:tcBorders>
              <w:top w:val="single" w:sz="4" w:space="0" w:color="auto"/>
              <w:left w:val="nil"/>
              <w:bottom w:val="nil"/>
              <w:right w:val="single" w:sz="4" w:space="0" w:color="auto"/>
            </w:tcBorders>
            <w:vAlign w:val="center"/>
          </w:tcPr>
          <w:p w14:paraId="0CFBE562" w14:textId="77777777" w:rsidR="005D6D39" w:rsidRPr="00C946D9" w:rsidRDefault="005D6D39">
            <w:pPr>
              <w:pStyle w:val="Tabletext0"/>
              <w:keepNext/>
              <w:jc w:val="center"/>
            </w:pPr>
          </w:p>
        </w:tc>
      </w:tr>
      <w:tr w:rsidR="005D6D39" w:rsidRPr="00102634" w14:paraId="51E1C9F0" w14:textId="77777777" w:rsidTr="00170CFC">
        <w:tc>
          <w:tcPr>
            <w:tcW w:w="1190" w:type="pct"/>
            <w:tcBorders>
              <w:top w:val="nil"/>
              <w:left w:val="single" w:sz="4" w:space="0" w:color="auto"/>
              <w:bottom w:val="single" w:sz="4" w:space="0" w:color="auto"/>
              <w:right w:val="single" w:sz="4" w:space="0" w:color="auto"/>
            </w:tcBorders>
          </w:tcPr>
          <w:p w14:paraId="0A670B1D" w14:textId="77777777" w:rsidR="005D6D39" w:rsidRPr="00102634" w:rsidRDefault="005D6D39">
            <w:pPr>
              <w:pStyle w:val="Tabletext0"/>
              <w:keepNext/>
            </w:pPr>
          </w:p>
        </w:tc>
        <w:tc>
          <w:tcPr>
            <w:tcW w:w="1348" w:type="pct"/>
            <w:tcBorders>
              <w:left w:val="single" w:sz="4" w:space="0" w:color="auto"/>
            </w:tcBorders>
          </w:tcPr>
          <w:p w14:paraId="2E220445" w14:textId="77777777" w:rsidR="005D6D39" w:rsidRPr="00102634" w:rsidRDefault="005D6D39">
            <w:pPr>
              <w:pStyle w:val="Tabletext0"/>
              <w:keepNext/>
            </w:pPr>
            <w:r w:rsidRPr="00102634">
              <w:t xml:space="preserve">NPA </w:t>
            </w:r>
          </w:p>
        </w:tc>
        <w:tc>
          <w:tcPr>
            <w:tcW w:w="1033" w:type="pct"/>
            <w:tcBorders>
              <w:right w:val="single" w:sz="4" w:space="0" w:color="auto"/>
            </w:tcBorders>
            <w:vAlign w:val="center"/>
          </w:tcPr>
          <w:p w14:paraId="6A0A8F66" w14:textId="7624CFF5" w:rsidR="005D6D39" w:rsidRPr="00C946D9" w:rsidRDefault="190E15F6">
            <w:pPr>
              <w:pStyle w:val="Tabletext0"/>
              <w:keepNext/>
              <w:jc w:val="center"/>
            </w:pPr>
            <w:r w:rsidRPr="00EC67D1">
              <w:rPr>
                <w:b/>
                <w:bCs/>
              </w:rPr>
              <w:t>redacted</w:t>
            </w:r>
            <w:r w:rsidR="64E31B93">
              <w:t>%</w:t>
            </w:r>
          </w:p>
        </w:tc>
        <w:tc>
          <w:tcPr>
            <w:tcW w:w="714" w:type="pct"/>
            <w:tcBorders>
              <w:top w:val="nil"/>
              <w:left w:val="single" w:sz="4" w:space="0" w:color="auto"/>
              <w:bottom w:val="single" w:sz="4" w:space="0" w:color="auto"/>
              <w:right w:val="nil"/>
            </w:tcBorders>
            <w:vAlign w:val="center"/>
          </w:tcPr>
          <w:p w14:paraId="322C2F12" w14:textId="77777777" w:rsidR="005D6D39" w:rsidRPr="00C946D9" w:rsidRDefault="005D6D39">
            <w:pPr>
              <w:pStyle w:val="Tabletext0"/>
              <w:keepNext/>
              <w:jc w:val="center"/>
            </w:pPr>
          </w:p>
        </w:tc>
        <w:tc>
          <w:tcPr>
            <w:tcW w:w="715" w:type="pct"/>
            <w:tcBorders>
              <w:top w:val="nil"/>
              <w:left w:val="nil"/>
              <w:bottom w:val="single" w:sz="4" w:space="0" w:color="auto"/>
              <w:right w:val="single" w:sz="4" w:space="0" w:color="auto"/>
            </w:tcBorders>
            <w:vAlign w:val="center"/>
          </w:tcPr>
          <w:p w14:paraId="64169868" w14:textId="77777777" w:rsidR="005D6D39" w:rsidRPr="00C946D9" w:rsidRDefault="005D6D39">
            <w:pPr>
              <w:pStyle w:val="Tabletext0"/>
              <w:keepNext/>
              <w:jc w:val="center"/>
            </w:pPr>
          </w:p>
        </w:tc>
      </w:tr>
      <w:tr w:rsidR="005D6D39" w:rsidRPr="00102634" w14:paraId="4B206F82" w14:textId="77777777" w:rsidTr="00170CFC">
        <w:tc>
          <w:tcPr>
            <w:tcW w:w="2538" w:type="pct"/>
            <w:gridSpan w:val="2"/>
            <w:vMerge w:val="restart"/>
          </w:tcPr>
          <w:p w14:paraId="5E0CD533" w14:textId="77777777" w:rsidR="005D6D39" w:rsidRPr="00102634" w:rsidRDefault="005D6D39">
            <w:pPr>
              <w:pStyle w:val="Tabletext0"/>
              <w:keepNext/>
              <w:keepLines/>
              <w:rPr>
                <w:b/>
                <w:bCs/>
              </w:rPr>
            </w:pPr>
            <w:r w:rsidRPr="00102634">
              <w:rPr>
                <w:b/>
                <w:bCs/>
              </w:rPr>
              <w:t xml:space="preserve">FDA 2019 </w:t>
            </w:r>
          </w:p>
          <w:p w14:paraId="2D5BFDA4" w14:textId="4AC5A9FA" w:rsidR="005D6D39" w:rsidRPr="00102634" w:rsidRDefault="005D6D39">
            <w:pPr>
              <w:pStyle w:val="Tabletext0"/>
              <w:keepNext/>
              <w:keepLines/>
              <w:rPr>
                <w:b/>
                <w:bCs/>
              </w:rPr>
            </w:pPr>
            <w:proofErr w:type="spellStart"/>
            <w:r w:rsidRPr="00102634">
              <w:rPr>
                <w:b/>
                <w:bCs/>
              </w:rPr>
              <w:t>FoundationOneCD</w:t>
            </w:r>
            <w:r w:rsidR="003573FD" w:rsidRPr="00102634">
              <w:rPr>
                <w:b/>
                <w:bCs/>
              </w:rPr>
              <w:t>x</w:t>
            </w:r>
            <w:proofErr w:type="spellEnd"/>
            <w:r w:rsidRPr="00102634">
              <w:rPr>
                <w:b/>
                <w:bCs/>
              </w:rPr>
              <w:t xml:space="preserve"> vs Externally validated NGS</w:t>
            </w:r>
          </w:p>
        </w:tc>
        <w:tc>
          <w:tcPr>
            <w:tcW w:w="2462" w:type="pct"/>
            <w:gridSpan w:val="3"/>
            <w:vAlign w:val="center"/>
          </w:tcPr>
          <w:p w14:paraId="3D1E3693" w14:textId="77777777" w:rsidR="005D6D39" w:rsidRPr="00102634" w:rsidRDefault="005D6D39">
            <w:pPr>
              <w:pStyle w:val="Tabletext0"/>
              <w:keepNext/>
              <w:keepLines/>
              <w:jc w:val="center"/>
              <w:rPr>
                <w:b/>
                <w:bCs/>
              </w:rPr>
            </w:pPr>
            <w:r w:rsidRPr="00102634">
              <w:rPr>
                <w:b/>
                <w:bCs/>
              </w:rPr>
              <w:t>Externally validated NGS</w:t>
            </w:r>
          </w:p>
        </w:tc>
      </w:tr>
      <w:tr w:rsidR="005D6D39" w:rsidRPr="00102634" w14:paraId="1E2A26CB" w14:textId="77777777" w:rsidTr="00170CFC">
        <w:tc>
          <w:tcPr>
            <w:tcW w:w="2538" w:type="pct"/>
            <w:gridSpan w:val="2"/>
            <w:vMerge/>
          </w:tcPr>
          <w:p w14:paraId="36629A5B" w14:textId="77777777" w:rsidR="005D6D39" w:rsidRPr="00102634" w:rsidRDefault="005D6D39">
            <w:pPr>
              <w:pStyle w:val="Tabletext0"/>
              <w:keepNext/>
              <w:keepLines/>
              <w:rPr>
                <w:b/>
                <w:bCs/>
              </w:rPr>
            </w:pPr>
          </w:p>
        </w:tc>
        <w:tc>
          <w:tcPr>
            <w:tcW w:w="1033" w:type="pct"/>
            <w:vAlign w:val="center"/>
          </w:tcPr>
          <w:p w14:paraId="7FC85D83" w14:textId="77777777" w:rsidR="005D6D39" w:rsidRPr="00102634" w:rsidRDefault="005D6D39">
            <w:pPr>
              <w:pStyle w:val="Tabletext0"/>
              <w:keepNext/>
              <w:keepLines/>
              <w:jc w:val="center"/>
            </w:pPr>
            <w:r w:rsidRPr="00102634">
              <w:t>Positive</w:t>
            </w:r>
          </w:p>
        </w:tc>
        <w:tc>
          <w:tcPr>
            <w:tcW w:w="714" w:type="pct"/>
            <w:vAlign w:val="center"/>
          </w:tcPr>
          <w:p w14:paraId="44B85D3B" w14:textId="77777777" w:rsidR="005D6D39" w:rsidRPr="00102634" w:rsidRDefault="005D6D39">
            <w:pPr>
              <w:pStyle w:val="Tabletext0"/>
              <w:keepNext/>
              <w:keepLines/>
              <w:jc w:val="center"/>
            </w:pPr>
            <w:r w:rsidRPr="00102634">
              <w:t>Negative</w:t>
            </w:r>
          </w:p>
        </w:tc>
        <w:tc>
          <w:tcPr>
            <w:tcW w:w="715" w:type="pct"/>
            <w:vAlign w:val="center"/>
          </w:tcPr>
          <w:p w14:paraId="6FDD76F9" w14:textId="77777777" w:rsidR="005D6D39" w:rsidRPr="00102634" w:rsidRDefault="005D6D39">
            <w:pPr>
              <w:pStyle w:val="Tabletext0"/>
              <w:keepNext/>
              <w:keepLines/>
              <w:jc w:val="center"/>
            </w:pPr>
            <w:r w:rsidRPr="00102634">
              <w:t>Total</w:t>
            </w:r>
          </w:p>
        </w:tc>
      </w:tr>
      <w:tr w:rsidR="005D6D39" w:rsidRPr="00102634" w14:paraId="62F19C58" w14:textId="77777777" w:rsidTr="00170CFC">
        <w:tc>
          <w:tcPr>
            <w:tcW w:w="1188" w:type="pct"/>
            <w:vMerge w:val="restart"/>
          </w:tcPr>
          <w:p w14:paraId="521F08CB" w14:textId="77777777" w:rsidR="005D6D39" w:rsidRPr="00102634" w:rsidRDefault="005D6D39">
            <w:pPr>
              <w:pStyle w:val="Tabletext0"/>
              <w:keepNext/>
              <w:keepLines/>
            </w:pPr>
            <w:proofErr w:type="spellStart"/>
            <w:r w:rsidRPr="00102634">
              <w:t>FoundationOneCDx</w:t>
            </w:r>
            <w:proofErr w:type="spellEnd"/>
          </w:p>
        </w:tc>
        <w:tc>
          <w:tcPr>
            <w:tcW w:w="1349" w:type="pct"/>
          </w:tcPr>
          <w:p w14:paraId="0BA145CA" w14:textId="77777777" w:rsidR="005D6D39" w:rsidRPr="00102634" w:rsidRDefault="005D6D39">
            <w:pPr>
              <w:pStyle w:val="Tabletext0"/>
              <w:keepNext/>
              <w:keepLines/>
            </w:pPr>
            <w:r w:rsidRPr="00102634">
              <w:t>Positive</w:t>
            </w:r>
          </w:p>
        </w:tc>
        <w:tc>
          <w:tcPr>
            <w:tcW w:w="1033" w:type="pct"/>
            <w:vAlign w:val="center"/>
          </w:tcPr>
          <w:p w14:paraId="44FF1B64" w14:textId="77777777" w:rsidR="005D6D39" w:rsidRPr="002215B2" w:rsidRDefault="005D6D39">
            <w:pPr>
              <w:pStyle w:val="Tabletext0"/>
              <w:keepNext/>
              <w:keepLines/>
              <w:jc w:val="center"/>
            </w:pPr>
            <w:r w:rsidRPr="002215B2">
              <w:t>53</w:t>
            </w:r>
          </w:p>
        </w:tc>
        <w:tc>
          <w:tcPr>
            <w:tcW w:w="714" w:type="pct"/>
            <w:vAlign w:val="center"/>
          </w:tcPr>
          <w:p w14:paraId="09CAB056" w14:textId="77777777" w:rsidR="005D6D39" w:rsidRPr="002215B2" w:rsidRDefault="005D6D39">
            <w:pPr>
              <w:pStyle w:val="Tabletext0"/>
              <w:keepNext/>
              <w:keepLines/>
              <w:jc w:val="center"/>
            </w:pPr>
            <w:r w:rsidRPr="002215B2">
              <w:t>0</w:t>
            </w:r>
          </w:p>
        </w:tc>
        <w:tc>
          <w:tcPr>
            <w:tcW w:w="715" w:type="pct"/>
            <w:vAlign w:val="center"/>
          </w:tcPr>
          <w:p w14:paraId="3FDB8106" w14:textId="77777777" w:rsidR="005D6D39" w:rsidRPr="002215B2" w:rsidRDefault="005D6D39">
            <w:pPr>
              <w:pStyle w:val="Tabletext0"/>
              <w:keepNext/>
              <w:keepLines/>
              <w:jc w:val="center"/>
            </w:pPr>
            <w:r w:rsidRPr="002215B2">
              <w:t>53</w:t>
            </w:r>
          </w:p>
        </w:tc>
      </w:tr>
      <w:tr w:rsidR="005D6D39" w:rsidRPr="00102634" w14:paraId="60DDAC6B" w14:textId="77777777" w:rsidTr="00170CFC">
        <w:tc>
          <w:tcPr>
            <w:tcW w:w="1188" w:type="pct"/>
            <w:vMerge/>
          </w:tcPr>
          <w:p w14:paraId="6A07BBA6" w14:textId="77777777" w:rsidR="005D6D39" w:rsidRPr="00102634" w:rsidRDefault="005D6D39">
            <w:pPr>
              <w:pStyle w:val="Tabletext0"/>
              <w:keepNext/>
              <w:keepLines/>
            </w:pPr>
          </w:p>
        </w:tc>
        <w:tc>
          <w:tcPr>
            <w:tcW w:w="1349" w:type="pct"/>
          </w:tcPr>
          <w:p w14:paraId="45B6CDC9" w14:textId="77777777" w:rsidR="005D6D39" w:rsidRPr="00102634" w:rsidRDefault="005D6D39">
            <w:pPr>
              <w:pStyle w:val="Tabletext0"/>
              <w:keepNext/>
              <w:keepLines/>
            </w:pPr>
            <w:r w:rsidRPr="00102634">
              <w:t>Negative</w:t>
            </w:r>
          </w:p>
        </w:tc>
        <w:tc>
          <w:tcPr>
            <w:tcW w:w="1033" w:type="pct"/>
            <w:vAlign w:val="center"/>
          </w:tcPr>
          <w:p w14:paraId="110162E0" w14:textId="77777777" w:rsidR="005D6D39" w:rsidRPr="002215B2" w:rsidRDefault="005D6D39">
            <w:pPr>
              <w:pStyle w:val="Tabletext0"/>
              <w:keepNext/>
              <w:keepLines/>
              <w:jc w:val="center"/>
            </w:pPr>
            <w:r w:rsidRPr="002215B2">
              <w:t>0</w:t>
            </w:r>
          </w:p>
        </w:tc>
        <w:tc>
          <w:tcPr>
            <w:tcW w:w="714" w:type="pct"/>
            <w:vAlign w:val="center"/>
          </w:tcPr>
          <w:p w14:paraId="7D3AF075" w14:textId="77777777" w:rsidR="005D6D39" w:rsidRPr="002215B2" w:rsidRDefault="005D6D39">
            <w:pPr>
              <w:pStyle w:val="Tabletext0"/>
              <w:keepNext/>
              <w:keepLines/>
              <w:jc w:val="center"/>
            </w:pPr>
            <w:r w:rsidRPr="002215B2">
              <w:t>48</w:t>
            </w:r>
          </w:p>
        </w:tc>
        <w:tc>
          <w:tcPr>
            <w:tcW w:w="715" w:type="pct"/>
            <w:vAlign w:val="center"/>
          </w:tcPr>
          <w:p w14:paraId="5927A479" w14:textId="77777777" w:rsidR="005D6D39" w:rsidRPr="002215B2" w:rsidRDefault="005D6D39">
            <w:pPr>
              <w:pStyle w:val="Tabletext0"/>
              <w:keepNext/>
              <w:keepLines/>
              <w:jc w:val="center"/>
            </w:pPr>
            <w:r w:rsidRPr="002215B2">
              <w:t>48</w:t>
            </w:r>
          </w:p>
        </w:tc>
      </w:tr>
      <w:tr w:rsidR="005D6D39" w:rsidRPr="00102634" w14:paraId="143E8E2C" w14:textId="77777777" w:rsidTr="51A3F6AA">
        <w:tc>
          <w:tcPr>
            <w:tcW w:w="1188" w:type="pct"/>
            <w:vMerge/>
          </w:tcPr>
          <w:p w14:paraId="332C6561" w14:textId="77777777" w:rsidR="005D6D39" w:rsidRPr="00102634" w:rsidRDefault="005D6D39">
            <w:pPr>
              <w:pStyle w:val="Tabletext0"/>
              <w:keepNext/>
              <w:keepLines/>
            </w:pPr>
          </w:p>
        </w:tc>
        <w:tc>
          <w:tcPr>
            <w:tcW w:w="1349" w:type="pct"/>
          </w:tcPr>
          <w:p w14:paraId="493A1247" w14:textId="77777777" w:rsidR="005D6D39" w:rsidRPr="00102634" w:rsidRDefault="005D6D39">
            <w:pPr>
              <w:pStyle w:val="Tabletext0"/>
              <w:keepNext/>
              <w:keepLines/>
            </w:pPr>
            <w:r w:rsidRPr="00102634">
              <w:t>Total</w:t>
            </w:r>
          </w:p>
        </w:tc>
        <w:tc>
          <w:tcPr>
            <w:tcW w:w="1033" w:type="pct"/>
            <w:vAlign w:val="center"/>
          </w:tcPr>
          <w:p w14:paraId="53DC180A" w14:textId="77777777" w:rsidR="005D6D39" w:rsidRPr="002215B2" w:rsidRDefault="005D6D39">
            <w:pPr>
              <w:pStyle w:val="Tabletext0"/>
              <w:keepNext/>
              <w:keepLines/>
              <w:jc w:val="center"/>
            </w:pPr>
            <w:r w:rsidRPr="002215B2">
              <w:t>53</w:t>
            </w:r>
          </w:p>
        </w:tc>
        <w:tc>
          <w:tcPr>
            <w:tcW w:w="714" w:type="pct"/>
            <w:tcBorders>
              <w:bottom w:val="single" w:sz="4" w:space="0" w:color="auto"/>
            </w:tcBorders>
            <w:vAlign w:val="center"/>
          </w:tcPr>
          <w:p w14:paraId="3D932734" w14:textId="77777777" w:rsidR="005D6D39" w:rsidRPr="002215B2" w:rsidRDefault="005D6D39">
            <w:pPr>
              <w:pStyle w:val="Tabletext0"/>
              <w:keepNext/>
              <w:keepLines/>
              <w:jc w:val="center"/>
            </w:pPr>
            <w:r w:rsidRPr="002215B2">
              <w:t>48</w:t>
            </w:r>
          </w:p>
        </w:tc>
        <w:tc>
          <w:tcPr>
            <w:tcW w:w="715" w:type="pct"/>
            <w:tcBorders>
              <w:bottom w:val="single" w:sz="4" w:space="0" w:color="auto"/>
            </w:tcBorders>
            <w:vAlign w:val="center"/>
          </w:tcPr>
          <w:p w14:paraId="5153BB20" w14:textId="77777777" w:rsidR="005D6D39" w:rsidRPr="002215B2" w:rsidRDefault="005D6D39">
            <w:pPr>
              <w:pStyle w:val="Tabletext0"/>
              <w:keepNext/>
              <w:keepLines/>
              <w:jc w:val="center"/>
            </w:pPr>
            <w:r w:rsidRPr="002215B2">
              <w:t>101</w:t>
            </w:r>
          </w:p>
        </w:tc>
      </w:tr>
      <w:tr w:rsidR="005D6D39" w:rsidRPr="00102634" w14:paraId="11970AC4" w14:textId="77777777" w:rsidTr="00170CFC">
        <w:tc>
          <w:tcPr>
            <w:tcW w:w="1188" w:type="pct"/>
            <w:tcBorders>
              <w:top w:val="single" w:sz="4" w:space="0" w:color="auto"/>
              <w:left w:val="single" w:sz="4" w:space="0" w:color="auto"/>
              <w:bottom w:val="nil"/>
              <w:right w:val="single" w:sz="4" w:space="0" w:color="auto"/>
            </w:tcBorders>
          </w:tcPr>
          <w:p w14:paraId="3EE0F5C4" w14:textId="77777777" w:rsidR="005D6D39" w:rsidRPr="00102634" w:rsidRDefault="005D6D39">
            <w:pPr>
              <w:pStyle w:val="Tabletext0"/>
              <w:keepNext/>
              <w:keepLines/>
            </w:pPr>
            <w:r w:rsidRPr="00102634">
              <w:t>Agreement (95% CI)</w:t>
            </w:r>
          </w:p>
        </w:tc>
        <w:tc>
          <w:tcPr>
            <w:tcW w:w="1349" w:type="pct"/>
            <w:tcBorders>
              <w:left w:val="single" w:sz="4" w:space="0" w:color="auto"/>
            </w:tcBorders>
          </w:tcPr>
          <w:p w14:paraId="57413A7E" w14:textId="77777777" w:rsidR="005D6D39" w:rsidRPr="00102634" w:rsidRDefault="005D6D39">
            <w:pPr>
              <w:pStyle w:val="Tabletext0"/>
              <w:keepNext/>
              <w:keepLines/>
            </w:pPr>
            <w:r w:rsidRPr="00102634">
              <w:t xml:space="preserve">PPA </w:t>
            </w:r>
          </w:p>
        </w:tc>
        <w:tc>
          <w:tcPr>
            <w:tcW w:w="1033" w:type="pct"/>
            <w:tcBorders>
              <w:right w:val="single" w:sz="4" w:space="0" w:color="auto"/>
            </w:tcBorders>
            <w:vAlign w:val="center"/>
          </w:tcPr>
          <w:p w14:paraId="7C6DC8E3" w14:textId="77777777" w:rsidR="005D6D39" w:rsidRPr="002215B2" w:rsidRDefault="005D6D39">
            <w:pPr>
              <w:pStyle w:val="Tabletext0"/>
              <w:keepNext/>
              <w:keepLines/>
              <w:jc w:val="center"/>
            </w:pPr>
            <w:r w:rsidRPr="002215B2">
              <w:t>100% (93.3 – 100)</w:t>
            </w:r>
          </w:p>
        </w:tc>
        <w:tc>
          <w:tcPr>
            <w:tcW w:w="714" w:type="pct"/>
            <w:tcBorders>
              <w:top w:val="single" w:sz="4" w:space="0" w:color="auto"/>
              <w:left w:val="single" w:sz="4" w:space="0" w:color="auto"/>
              <w:bottom w:val="nil"/>
              <w:right w:val="nil"/>
            </w:tcBorders>
            <w:vAlign w:val="center"/>
          </w:tcPr>
          <w:p w14:paraId="1AC0B9DB" w14:textId="77777777" w:rsidR="005D6D39" w:rsidRPr="002215B2" w:rsidRDefault="005D6D39">
            <w:pPr>
              <w:pStyle w:val="Tabletext0"/>
              <w:keepNext/>
              <w:keepLines/>
              <w:jc w:val="center"/>
            </w:pPr>
          </w:p>
        </w:tc>
        <w:tc>
          <w:tcPr>
            <w:tcW w:w="715" w:type="pct"/>
            <w:tcBorders>
              <w:top w:val="single" w:sz="4" w:space="0" w:color="auto"/>
              <w:left w:val="nil"/>
              <w:bottom w:val="nil"/>
              <w:right w:val="single" w:sz="4" w:space="0" w:color="auto"/>
            </w:tcBorders>
            <w:vAlign w:val="center"/>
          </w:tcPr>
          <w:p w14:paraId="6EA6D71B" w14:textId="77777777" w:rsidR="005D6D39" w:rsidRPr="002215B2" w:rsidRDefault="005D6D39">
            <w:pPr>
              <w:pStyle w:val="Tabletext0"/>
              <w:keepNext/>
              <w:keepLines/>
              <w:jc w:val="center"/>
            </w:pPr>
          </w:p>
        </w:tc>
      </w:tr>
      <w:tr w:rsidR="005D6D39" w:rsidRPr="00102634" w14:paraId="2E874B6B" w14:textId="77777777" w:rsidTr="00170CFC">
        <w:tc>
          <w:tcPr>
            <w:tcW w:w="1188" w:type="pct"/>
            <w:tcBorders>
              <w:top w:val="nil"/>
              <w:left w:val="single" w:sz="4" w:space="0" w:color="auto"/>
              <w:bottom w:val="single" w:sz="4" w:space="0" w:color="auto"/>
              <w:right w:val="single" w:sz="4" w:space="0" w:color="auto"/>
            </w:tcBorders>
          </w:tcPr>
          <w:p w14:paraId="6A84C0AA" w14:textId="77777777" w:rsidR="005D6D39" w:rsidRPr="00102634" w:rsidRDefault="005D6D39">
            <w:pPr>
              <w:pStyle w:val="Tabletext0"/>
              <w:keepNext/>
              <w:keepLines/>
            </w:pPr>
          </w:p>
        </w:tc>
        <w:tc>
          <w:tcPr>
            <w:tcW w:w="1349" w:type="pct"/>
            <w:tcBorders>
              <w:left w:val="single" w:sz="4" w:space="0" w:color="auto"/>
            </w:tcBorders>
          </w:tcPr>
          <w:p w14:paraId="01E03432" w14:textId="77777777" w:rsidR="005D6D39" w:rsidRPr="00102634" w:rsidRDefault="005D6D39">
            <w:pPr>
              <w:pStyle w:val="Tabletext0"/>
              <w:keepNext/>
              <w:keepLines/>
            </w:pPr>
            <w:r w:rsidRPr="00102634">
              <w:t>NPA</w:t>
            </w:r>
          </w:p>
        </w:tc>
        <w:tc>
          <w:tcPr>
            <w:tcW w:w="1033" w:type="pct"/>
            <w:tcBorders>
              <w:right w:val="single" w:sz="4" w:space="0" w:color="auto"/>
            </w:tcBorders>
            <w:vAlign w:val="center"/>
          </w:tcPr>
          <w:p w14:paraId="113F0E00" w14:textId="5A4B7DB8" w:rsidR="005D6D39" w:rsidRPr="002215B2" w:rsidRDefault="005D6D39">
            <w:pPr>
              <w:pStyle w:val="Tabletext0"/>
              <w:keepNext/>
              <w:keepLines/>
              <w:jc w:val="center"/>
            </w:pPr>
            <w:r w:rsidRPr="002215B2">
              <w:t>100% (92.6 – 100)</w:t>
            </w:r>
          </w:p>
        </w:tc>
        <w:tc>
          <w:tcPr>
            <w:tcW w:w="714" w:type="pct"/>
            <w:tcBorders>
              <w:top w:val="nil"/>
              <w:left w:val="single" w:sz="4" w:space="0" w:color="auto"/>
              <w:bottom w:val="single" w:sz="4" w:space="0" w:color="auto"/>
              <w:right w:val="nil"/>
            </w:tcBorders>
            <w:vAlign w:val="center"/>
          </w:tcPr>
          <w:p w14:paraId="3B08D372" w14:textId="77777777" w:rsidR="005D6D39" w:rsidRPr="002215B2" w:rsidRDefault="005D6D39">
            <w:pPr>
              <w:pStyle w:val="Tabletext0"/>
              <w:keepNext/>
              <w:keepLines/>
              <w:jc w:val="center"/>
            </w:pPr>
          </w:p>
        </w:tc>
        <w:tc>
          <w:tcPr>
            <w:tcW w:w="715" w:type="pct"/>
            <w:tcBorders>
              <w:top w:val="nil"/>
              <w:left w:val="nil"/>
              <w:bottom w:val="single" w:sz="4" w:space="0" w:color="auto"/>
              <w:right w:val="single" w:sz="4" w:space="0" w:color="auto"/>
            </w:tcBorders>
            <w:vAlign w:val="center"/>
          </w:tcPr>
          <w:p w14:paraId="5CA484CB" w14:textId="77777777" w:rsidR="005D6D39" w:rsidRPr="002215B2" w:rsidRDefault="005D6D39">
            <w:pPr>
              <w:pStyle w:val="Tabletext0"/>
              <w:keepNext/>
              <w:keepLines/>
              <w:jc w:val="center"/>
            </w:pPr>
          </w:p>
        </w:tc>
      </w:tr>
    </w:tbl>
    <w:p w14:paraId="17652263" w14:textId="77777777" w:rsidR="005D6D39" w:rsidRPr="00102634" w:rsidRDefault="005D6D39" w:rsidP="005D6D39">
      <w:pPr>
        <w:pStyle w:val="TableFigureFooter"/>
        <w:keepNext/>
        <w:keepLines/>
      </w:pPr>
      <w:r w:rsidRPr="00102634">
        <w:t>Source: Table 2.19, p65 of the submission; Table 2.25, p72 of the submission</w:t>
      </w:r>
    </w:p>
    <w:p w14:paraId="1DE4F3A1" w14:textId="77777777" w:rsidR="005D6D39" w:rsidRPr="00102634" w:rsidRDefault="005D6D39" w:rsidP="005D6D39">
      <w:pPr>
        <w:pStyle w:val="TableFigureFooter"/>
        <w:keepNext/>
      </w:pPr>
      <w:r w:rsidRPr="00102634">
        <w:t>CGP = Comprehensive Genomic Profiling; CI = confidence interval; NGS = Next Generation Sequencing; NR = not reported; NPA=Negative percent agreement; PPA=Positive percent agreement</w:t>
      </w:r>
    </w:p>
    <w:p w14:paraId="73631BC9" w14:textId="77777777" w:rsidR="005D6D39" w:rsidRPr="00102634" w:rsidRDefault="005D6D39" w:rsidP="005D6D39">
      <w:pPr>
        <w:pStyle w:val="TableFigureFooter"/>
        <w:keepNext/>
      </w:pPr>
      <w:r w:rsidRPr="00102634">
        <w:t xml:space="preserve">Note: The submission stated that 5 cases were not successful on the </w:t>
      </w:r>
      <w:proofErr w:type="spellStart"/>
      <w:r w:rsidRPr="00102634">
        <w:t>FoundationOneCDx</w:t>
      </w:r>
      <w:proofErr w:type="spellEnd"/>
      <w:r w:rsidRPr="00102634">
        <w:t xml:space="preserve"> assay (although Roche AVENIO CGP could produce a valid result).</w:t>
      </w:r>
    </w:p>
    <w:p w14:paraId="3C2DE5FB" w14:textId="2A73C1B8" w:rsidR="005D6D39" w:rsidRPr="00102634" w:rsidRDefault="005D6D39" w:rsidP="003F6F2A">
      <w:pPr>
        <w:pStyle w:val="Caption"/>
      </w:pPr>
      <w:bookmarkStart w:id="37" w:name="_Ref174961768"/>
      <w:r w:rsidRPr="00102634">
        <w:t xml:space="preserve">Table </w:t>
      </w:r>
      <w:r w:rsidR="0016064D">
        <w:fldChar w:fldCharType="begin"/>
      </w:r>
      <w:r w:rsidR="0016064D">
        <w:instrText xml:space="preserve"> SEQ Table_MSAC. \* ARABIC </w:instrText>
      </w:r>
      <w:r w:rsidR="0016064D">
        <w:fldChar w:fldCharType="separate"/>
      </w:r>
      <w:r w:rsidR="0016064D">
        <w:rPr>
          <w:noProof/>
        </w:rPr>
        <w:t>9</w:t>
      </w:r>
      <w:r w:rsidR="0016064D">
        <w:rPr>
          <w:noProof/>
        </w:rPr>
        <w:fldChar w:fldCharType="end"/>
      </w:r>
      <w:bookmarkEnd w:id="37"/>
      <w:r w:rsidRPr="00102634">
        <w:t xml:space="preserve">: Concordance results of </w:t>
      </w:r>
      <w:proofErr w:type="spellStart"/>
      <w:r w:rsidRPr="00102634">
        <w:t>FoundationOneCDx</w:t>
      </w:r>
      <w:proofErr w:type="spellEnd"/>
      <w:r w:rsidRPr="00102634">
        <w:t xml:space="preserve"> against ‘externally validated NGS’ </w:t>
      </w:r>
      <w:r w:rsidR="00C820E4">
        <w:t>(reference standard)</w:t>
      </w:r>
      <w:r w:rsidRPr="00102634">
        <w:t xml:space="preserve"> for the detection of AKT1/PIK3CA/PTEN - FDA 2023 (variant-level).</w:t>
      </w:r>
    </w:p>
    <w:tbl>
      <w:tblPr>
        <w:tblStyle w:val="ASDTable1"/>
        <w:tblW w:w="5000" w:type="pct"/>
        <w:tblLook w:val="04A0" w:firstRow="1" w:lastRow="0" w:firstColumn="1" w:lastColumn="0" w:noHBand="0" w:noVBand="1"/>
      </w:tblPr>
      <w:tblGrid>
        <w:gridCol w:w="2974"/>
        <w:gridCol w:w="1134"/>
        <w:gridCol w:w="1843"/>
        <w:gridCol w:w="1021"/>
        <w:gridCol w:w="1022"/>
        <w:gridCol w:w="1022"/>
      </w:tblGrid>
      <w:tr w:rsidR="005D6D39" w:rsidRPr="00102634" w14:paraId="227C7FEC" w14:textId="77777777">
        <w:tc>
          <w:tcPr>
            <w:tcW w:w="2278" w:type="pct"/>
            <w:gridSpan w:val="2"/>
            <w:vMerge w:val="restart"/>
          </w:tcPr>
          <w:p w14:paraId="47DCA0AE" w14:textId="77777777" w:rsidR="005D6D39" w:rsidRPr="00102634" w:rsidRDefault="005D6D39">
            <w:pPr>
              <w:pStyle w:val="Tabletext0"/>
              <w:keepNext/>
              <w:keepLines/>
              <w:rPr>
                <w:b/>
                <w:bCs/>
                <w:iCs/>
              </w:rPr>
            </w:pPr>
            <w:r w:rsidRPr="00102634">
              <w:rPr>
                <w:b/>
                <w:bCs/>
                <w:iCs/>
              </w:rPr>
              <w:t>FDA 2023</w:t>
            </w:r>
          </w:p>
          <w:p w14:paraId="760D0C86" w14:textId="2C35DDBC" w:rsidR="005D6D39" w:rsidRPr="00102634" w:rsidRDefault="005D6D39">
            <w:pPr>
              <w:pStyle w:val="Tabletext0"/>
              <w:rPr>
                <w:iCs/>
              </w:rPr>
            </w:pPr>
            <w:proofErr w:type="spellStart"/>
            <w:r w:rsidRPr="00102634">
              <w:rPr>
                <w:b/>
                <w:bCs/>
                <w:iCs/>
              </w:rPr>
              <w:t>FoundationOneCD</w:t>
            </w:r>
            <w:r w:rsidR="003573FD" w:rsidRPr="00102634">
              <w:rPr>
                <w:b/>
                <w:bCs/>
                <w:iCs/>
              </w:rPr>
              <w:t>x</w:t>
            </w:r>
            <w:proofErr w:type="spellEnd"/>
            <w:r w:rsidRPr="00102634">
              <w:rPr>
                <w:b/>
                <w:bCs/>
                <w:iCs/>
              </w:rPr>
              <w:t xml:space="preserve"> vs Externally validated NGS</w:t>
            </w:r>
          </w:p>
        </w:tc>
        <w:tc>
          <w:tcPr>
            <w:tcW w:w="2722" w:type="pct"/>
            <w:gridSpan w:val="4"/>
            <w:vAlign w:val="center"/>
          </w:tcPr>
          <w:p w14:paraId="6DA65E4C" w14:textId="2F66C038" w:rsidR="005D6D39" w:rsidRPr="00102634" w:rsidRDefault="005D6D39">
            <w:pPr>
              <w:pStyle w:val="Tabletext0"/>
              <w:jc w:val="center"/>
              <w:rPr>
                <w:b/>
                <w:bCs/>
                <w:iCs/>
              </w:rPr>
            </w:pPr>
            <w:r w:rsidRPr="00102634">
              <w:rPr>
                <w:b/>
                <w:bCs/>
                <w:iCs/>
              </w:rPr>
              <w:t>Externally validated NGS</w:t>
            </w:r>
            <w:r w:rsidR="00C820E4">
              <w:rPr>
                <w:b/>
                <w:bCs/>
                <w:iCs/>
              </w:rPr>
              <w:t xml:space="preserve"> (reference standard)</w:t>
            </w:r>
          </w:p>
        </w:tc>
      </w:tr>
      <w:tr w:rsidR="005D6D39" w:rsidRPr="00102634" w14:paraId="64B8AC13" w14:textId="77777777">
        <w:tc>
          <w:tcPr>
            <w:tcW w:w="2278" w:type="pct"/>
            <w:gridSpan w:val="2"/>
            <w:vMerge/>
          </w:tcPr>
          <w:p w14:paraId="1D445362" w14:textId="77777777" w:rsidR="005D6D39" w:rsidRPr="00102634" w:rsidRDefault="005D6D39">
            <w:pPr>
              <w:pStyle w:val="Tabletext0"/>
              <w:rPr>
                <w:iCs/>
              </w:rPr>
            </w:pPr>
          </w:p>
        </w:tc>
        <w:tc>
          <w:tcPr>
            <w:tcW w:w="1022" w:type="pct"/>
            <w:vAlign w:val="center"/>
          </w:tcPr>
          <w:p w14:paraId="613F977D" w14:textId="77777777" w:rsidR="005D6D39" w:rsidRPr="00102634" w:rsidRDefault="005D6D39">
            <w:pPr>
              <w:pStyle w:val="Tabletext0"/>
              <w:jc w:val="center"/>
              <w:rPr>
                <w:iCs/>
              </w:rPr>
            </w:pPr>
            <w:r w:rsidRPr="00102634">
              <w:rPr>
                <w:iCs/>
              </w:rPr>
              <w:t>Positive</w:t>
            </w:r>
          </w:p>
        </w:tc>
        <w:tc>
          <w:tcPr>
            <w:tcW w:w="566" w:type="pct"/>
            <w:vAlign w:val="center"/>
          </w:tcPr>
          <w:p w14:paraId="5FA37BC9" w14:textId="77777777" w:rsidR="005D6D39" w:rsidRPr="00102634" w:rsidRDefault="005D6D39">
            <w:pPr>
              <w:pStyle w:val="Tabletext0"/>
              <w:jc w:val="center"/>
              <w:rPr>
                <w:iCs/>
              </w:rPr>
            </w:pPr>
            <w:r w:rsidRPr="00102634">
              <w:rPr>
                <w:iCs/>
              </w:rPr>
              <w:t>Negative</w:t>
            </w:r>
          </w:p>
        </w:tc>
        <w:tc>
          <w:tcPr>
            <w:tcW w:w="567" w:type="pct"/>
            <w:vAlign w:val="center"/>
          </w:tcPr>
          <w:p w14:paraId="1DD0C502" w14:textId="77777777" w:rsidR="005D6D39" w:rsidRPr="00102634" w:rsidRDefault="005D6D39">
            <w:pPr>
              <w:pStyle w:val="Tabletext0"/>
              <w:jc w:val="center"/>
              <w:rPr>
                <w:iCs/>
              </w:rPr>
            </w:pPr>
            <w:r w:rsidRPr="00102634">
              <w:rPr>
                <w:iCs/>
              </w:rPr>
              <w:t>Invalid</w:t>
            </w:r>
          </w:p>
        </w:tc>
        <w:tc>
          <w:tcPr>
            <w:tcW w:w="567" w:type="pct"/>
            <w:vAlign w:val="center"/>
          </w:tcPr>
          <w:p w14:paraId="6D22A249" w14:textId="77777777" w:rsidR="005D6D39" w:rsidRPr="00102634" w:rsidRDefault="005D6D39">
            <w:pPr>
              <w:pStyle w:val="Tabletext0"/>
              <w:jc w:val="center"/>
              <w:rPr>
                <w:iCs/>
              </w:rPr>
            </w:pPr>
            <w:r w:rsidRPr="00102634">
              <w:rPr>
                <w:iCs/>
              </w:rPr>
              <w:t>Total</w:t>
            </w:r>
          </w:p>
        </w:tc>
      </w:tr>
      <w:tr w:rsidR="005D6D39" w:rsidRPr="00102634" w14:paraId="2B46207E" w14:textId="77777777">
        <w:tc>
          <w:tcPr>
            <w:tcW w:w="1649" w:type="pct"/>
            <w:vMerge w:val="restart"/>
          </w:tcPr>
          <w:p w14:paraId="1BAE41ED" w14:textId="77777777" w:rsidR="005D6D39" w:rsidRPr="00102634" w:rsidRDefault="005D6D39">
            <w:pPr>
              <w:pStyle w:val="Tabletext0"/>
              <w:rPr>
                <w:b/>
              </w:rPr>
            </w:pPr>
            <w:proofErr w:type="spellStart"/>
            <w:r w:rsidRPr="00102634">
              <w:rPr>
                <w:b/>
                <w:bCs/>
                <w:iCs/>
              </w:rPr>
              <w:t>FoundationOneCDx</w:t>
            </w:r>
            <w:proofErr w:type="spellEnd"/>
          </w:p>
        </w:tc>
        <w:tc>
          <w:tcPr>
            <w:tcW w:w="629" w:type="pct"/>
          </w:tcPr>
          <w:p w14:paraId="0723DF97" w14:textId="77777777" w:rsidR="005D6D39" w:rsidRPr="00102634" w:rsidRDefault="005D6D39">
            <w:pPr>
              <w:pStyle w:val="Tabletext0"/>
              <w:rPr>
                <w:iCs/>
              </w:rPr>
            </w:pPr>
            <w:r w:rsidRPr="00102634">
              <w:rPr>
                <w:iCs/>
              </w:rPr>
              <w:t>Positive</w:t>
            </w:r>
          </w:p>
        </w:tc>
        <w:tc>
          <w:tcPr>
            <w:tcW w:w="1022" w:type="pct"/>
            <w:vAlign w:val="center"/>
          </w:tcPr>
          <w:p w14:paraId="06456A11" w14:textId="77777777" w:rsidR="005D6D39" w:rsidRPr="00102634" w:rsidRDefault="005D6D39">
            <w:pPr>
              <w:pStyle w:val="Tabletext0"/>
              <w:jc w:val="center"/>
              <w:rPr>
                <w:iCs/>
              </w:rPr>
            </w:pPr>
            <w:r w:rsidRPr="00102634">
              <w:rPr>
                <w:iCs/>
              </w:rPr>
              <w:t>144</w:t>
            </w:r>
          </w:p>
        </w:tc>
        <w:tc>
          <w:tcPr>
            <w:tcW w:w="566" w:type="pct"/>
            <w:vAlign w:val="center"/>
          </w:tcPr>
          <w:p w14:paraId="3002C938" w14:textId="77777777" w:rsidR="005D6D39" w:rsidRPr="00102634" w:rsidRDefault="005D6D39">
            <w:pPr>
              <w:pStyle w:val="Tabletext0"/>
              <w:jc w:val="center"/>
              <w:rPr>
                <w:iCs/>
              </w:rPr>
            </w:pPr>
            <w:r w:rsidRPr="00102634">
              <w:rPr>
                <w:iCs/>
              </w:rPr>
              <w:t>9</w:t>
            </w:r>
          </w:p>
        </w:tc>
        <w:tc>
          <w:tcPr>
            <w:tcW w:w="567" w:type="pct"/>
            <w:vAlign w:val="center"/>
          </w:tcPr>
          <w:p w14:paraId="75EE4846" w14:textId="77777777" w:rsidR="005D6D39" w:rsidRPr="00102634" w:rsidRDefault="005D6D39">
            <w:pPr>
              <w:pStyle w:val="Tabletext0"/>
              <w:jc w:val="center"/>
              <w:rPr>
                <w:iCs/>
              </w:rPr>
            </w:pPr>
            <w:r w:rsidRPr="00102634">
              <w:rPr>
                <w:iCs/>
              </w:rPr>
              <w:t>1</w:t>
            </w:r>
          </w:p>
        </w:tc>
        <w:tc>
          <w:tcPr>
            <w:tcW w:w="567" w:type="pct"/>
            <w:vAlign w:val="center"/>
          </w:tcPr>
          <w:p w14:paraId="5157AAF4" w14:textId="77777777" w:rsidR="005D6D39" w:rsidRPr="00102634" w:rsidRDefault="005D6D39">
            <w:pPr>
              <w:pStyle w:val="Tabletext0"/>
              <w:jc w:val="center"/>
              <w:rPr>
                <w:iCs/>
              </w:rPr>
            </w:pPr>
            <w:r w:rsidRPr="00102634">
              <w:rPr>
                <w:iCs/>
              </w:rPr>
              <w:t>154</w:t>
            </w:r>
          </w:p>
        </w:tc>
      </w:tr>
      <w:tr w:rsidR="005D6D39" w:rsidRPr="00102634" w14:paraId="151FB4CD" w14:textId="77777777">
        <w:tc>
          <w:tcPr>
            <w:tcW w:w="1649" w:type="pct"/>
            <w:vMerge/>
          </w:tcPr>
          <w:p w14:paraId="3C59510C" w14:textId="77777777" w:rsidR="005D6D39" w:rsidRPr="00102634" w:rsidRDefault="005D6D39">
            <w:pPr>
              <w:pStyle w:val="Tabletext0"/>
              <w:rPr>
                <w:b/>
                <w:bCs/>
                <w:iCs/>
              </w:rPr>
            </w:pPr>
          </w:p>
        </w:tc>
        <w:tc>
          <w:tcPr>
            <w:tcW w:w="629" w:type="pct"/>
          </w:tcPr>
          <w:p w14:paraId="498719F1" w14:textId="77777777" w:rsidR="005D6D39" w:rsidRPr="00102634" w:rsidRDefault="005D6D39">
            <w:pPr>
              <w:pStyle w:val="Tabletext0"/>
              <w:rPr>
                <w:iCs/>
              </w:rPr>
            </w:pPr>
            <w:r w:rsidRPr="00102634">
              <w:rPr>
                <w:iCs/>
              </w:rPr>
              <w:t>Negative</w:t>
            </w:r>
          </w:p>
        </w:tc>
        <w:tc>
          <w:tcPr>
            <w:tcW w:w="1022" w:type="pct"/>
            <w:vAlign w:val="center"/>
          </w:tcPr>
          <w:p w14:paraId="5EFB118F" w14:textId="77777777" w:rsidR="005D6D39" w:rsidRPr="00102634" w:rsidRDefault="005D6D39">
            <w:pPr>
              <w:pStyle w:val="Tabletext0"/>
              <w:jc w:val="center"/>
              <w:rPr>
                <w:iCs/>
              </w:rPr>
            </w:pPr>
            <w:r w:rsidRPr="00102634">
              <w:rPr>
                <w:iCs/>
              </w:rPr>
              <w:t>6</w:t>
            </w:r>
          </w:p>
        </w:tc>
        <w:tc>
          <w:tcPr>
            <w:tcW w:w="566" w:type="pct"/>
            <w:vAlign w:val="center"/>
          </w:tcPr>
          <w:p w14:paraId="60DD8113" w14:textId="77777777" w:rsidR="005D6D39" w:rsidRPr="00102634" w:rsidRDefault="005D6D39">
            <w:pPr>
              <w:pStyle w:val="Tabletext0"/>
              <w:jc w:val="center"/>
              <w:rPr>
                <w:iCs/>
              </w:rPr>
            </w:pPr>
            <w:r w:rsidRPr="00102634">
              <w:rPr>
                <w:iCs/>
              </w:rPr>
              <w:t>13,529</w:t>
            </w:r>
          </w:p>
        </w:tc>
        <w:tc>
          <w:tcPr>
            <w:tcW w:w="567" w:type="pct"/>
            <w:vAlign w:val="center"/>
          </w:tcPr>
          <w:p w14:paraId="2CADA5D9" w14:textId="77777777" w:rsidR="005D6D39" w:rsidRPr="00102634" w:rsidRDefault="005D6D39">
            <w:pPr>
              <w:pStyle w:val="Tabletext0"/>
              <w:jc w:val="center"/>
              <w:rPr>
                <w:iCs/>
              </w:rPr>
            </w:pPr>
            <w:r w:rsidRPr="00102634">
              <w:rPr>
                <w:iCs/>
              </w:rPr>
              <w:t>57</w:t>
            </w:r>
          </w:p>
        </w:tc>
        <w:tc>
          <w:tcPr>
            <w:tcW w:w="567" w:type="pct"/>
            <w:vAlign w:val="center"/>
          </w:tcPr>
          <w:p w14:paraId="1CC0378C" w14:textId="77777777" w:rsidR="005D6D39" w:rsidRPr="00102634" w:rsidRDefault="005D6D39">
            <w:pPr>
              <w:pStyle w:val="Tabletext0"/>
              <w:jc w:val="center"/>
              <w:rPr>
                <w:iCs/>
              </w:rPr>
            </w:pPr>
            <w:r w:rsidRPr="00102634">
              <w:rPr>
                <w:iCs/>
              </w:rPr>
              <w:t>13,592</w:t>
            </w:r>
          </w:p>
        </w:tc>
      </w:tr>
      <w:tr w:rsidR="005D6D39" w:rsidRPr="00102634" w14:paraId="356D834E" w14:textId="77777777">
        <w:tc>
          <w:tcPr>
            <w:tcW w:w="1649" w:type="pct"/>
            <w:vMerge/>
          </w:tcPr>
          <w:p w14:paraId="7C67E620" w14:textId="77777777" w:rsidR="005D6D39" w:rsidRPr="00102634" w:rsidRDefault="005D6D39">
            <w:pPr>
              <w:pStyle w:val="Tabletext0"/>
              <w:rPr>
                <w:iCs/>
              </w:rPr>
            </w:pPr>
          </w:p>
        </w:tc>
        <w:tc>
          <w:tcPr>
            <w:tcW w:w="629" w:type="pct"/>
          </w:tcPr>
          <w:p w14:paraId="38F448AB" w14:textId="77777777" w:rsidR="005D6D39" w:rsidRPr="00102634" w:rsidRDefault="005D6D39">
            <w:pPr>
              <w:pStyle w:val="Tabletext0"/>
              <w:rPr>
                <w:iCs/>
              </w:rPr>
            </w:pPr>
            <w:r w:rsidRPr="00102634">
              <w:rPr>
                <w:iCs/>
              </w:rPr>
              <w:t>Invalid</w:t>
            </w:r>
          </w:p>
        </w:tc>
        <w:tc>
          <w:tcPr>
            <w:tcW w:w="1022" w:type="pct"/>
            <w:vAlign w:val="center"/>
          </w:tcPr>
          <w:p w14:paraId="0E94A975" w14:textId="77777777" w:rsidR="005D6D39" w:rsidRPr="00102634" w:rsidRDefault="005D6D39">
            <w:pPr>
              <w:pStyle w:val="Tabletext0"/>
              <w:jc w:val="center"/>
              <w:rPr>
                <w:iCs/>
              </w:rPr>
            </w:pPr>
            <w:r w:rsidRPr="00102634">
              <w:rPr>
                <w:iCs/>
              </w:rPr>
              <w:t>0</w:t>
            </w:r>
          </w:p>
        </w:tc>
        <w:tc>
          <w:tcPr>
            <w:tcW w:w="566" w:type="pct"/>
            <w:vAlign w:val="center"/>
          </w:tcPr>
          <w:p w14:paraId="78359F1A" w14:textId="77777777" w:rsidR="005D6D39" w:rsidRPr="00102634" w:rsidRDefault="005D6D39">
            <w:pPr>
              <w:pStyle w:val="Tabletext0"/>
              <w:jc w:val="center"/>
              <w:rPr>
                <w:iCs/>
              </w:rPr>
            </w:pPr>
            <w:r w:rsidRPr="00102634">
              <w:rPr>
                <w:iCs/>
              </w:rPr>
              <w:t>0</w:t>
            </w:r>
          </w:p>
        </w:tc>
        <w:tc>
          <w:tcPr>
            <w:tcW w:w="567" w:type="pct"/>
            <w:vAlign w:val="center"/>
          </w:tcPr>
          <w:p w14:paraId="3C25B217" w14:textId="77777777" w:rsidR="005D6D39" w:rsidRPr="00102634" w:rsidRDefault="005D6D39">
            <w:pPr>
              <w:pStyle w:val="Tabletext0"/>
              <w:jc w:val="center"/>
              <w:rPr>
                <w:iCs/>
              </w:rPr>
            </w:pPr>
            <w:r w:rsidRPr="00102634">
              <w:rPr>
                <w:iCs/>
              </w:rPr>
              <w:t>0</w:t>
            </w:r>
          </w:p>
        </w:tc>
        <w:tc>
          <w:tcPr>
            <w:tcW w:w="567" w:type="pct"/>
            <w:vAlign w:val="center"/>
          </w:tcPr>
          <w:p w14:paraId="0D2DE9C3" w14:textId="77777777" w:rsidR="005D6D39" w:rsidRPr="00102634" w:rsidRDefault="005D6D39">
            <w:pPr>
              <w:pStyle w:val="Tabletext0"/>
              <w:jc w:val="center"/>
              <w:rPr>
                <w:iCs/>
              </w:rPr>
            </w:pPr>
            <w:r w:rsidRPr="00102634">
              <w:rPr>
                <w:iCs/>
              </w:rPr>
              <w:t>0</w:t>
            </w:r>
          </w:p>
        </w:tc>
      </w:tr>
      <w:tr w:rsidR="005D6D39" w:rsidRPr="00102634" w14:paraId="58D1C76E" w14:textId="77777777">
        <w:tc>
          <w:tcPr>
            <w:tcW w:w="1649" w:type="pct"/>
            <w:vMerge/>
          </w:tcPr>
          <w:p w14:paraId="45531A48" w14:textId="77777777" w:rsidR="005D6D39" w:rsidRPr="00102634" w:rsidRDefault="005D6D39">
            <w:pPr>
              <w:pStyle w:val="Tabletext0"/>
              <w:rPr>
                <w:iCs/>
              </w:rPr>
            </w:pPr>
          </w:p>
        </w:tc>
        <w:tc>
          <w:tcPr>
            <w:tcW w:w="629" w:type="pct"/>
          </w:tcPr>
          <w:p w14:paraId="202418EB" w14:textId="77777777" w:rsidR="005D6D39" w:rsidRPr="00102634" w:rsidRDefault="005D6D39">
            <w:pPr>
              <w:pStyle w:val="Tabletext0"/>
              <w:rPr>
                <w:iCs/>
              </w:rPr>
            </w:pPr>
            <w:r w:rsidRPr="00102634">
              <w:rPr>
                <w:iCs/>
              </w:rPr>
              <w:t>Total</w:t>
            </w:r>
          </w:p>
        </w:tc>
        <w:tc>
          <w:tcPr>
            <w:tcW w:w="1022" w:type="pct"/>
            <w:vAlign w:val="center"/>
          </w:tcPr>
          <w:p w14:paraId="23DCC444" w14:textId="77777777" w:rsidR="005D6D39" w:rsidRPr="00102634" w:rsidRDefault="005D6D39">
            <w:pPr>
              <w:pStyle w:val="Tabletext0"/>
              <w:jc w:val="center"/>
              <w:rPr>
                <w:iCs/>
              </w:rPr>
            </w:pPr>
            <w:r w:rsidRPr="00102634">
              <w:rPr>
                <w:iCs/>
              </w:rPr>
              <w:t>150</w:t>
            </w:r>
          </w:p>
        </w:tc>
        <w:tc>
          <w:tcPr>
            <w:tcW w:w="566" w:type="pct"/>
            <w:tcBorders>
              <w:bottom w:val="single" w:sz="4" w:space="0" w:color="auto"/>
            </w:tcBorders>
            <w:vAlign w:val="center"/>
          </w:tcPr>
          <w:p w14:paraId="676236D3" w14:textId="77777777" w:rsidR="005D6D39" w:rsidRPr="00102634" w:rsidRDefault="005D6D39">
            <w:pPr>
              <w:pStyle w:val="Tabletext0"/>
              <w:jc w:val="center"/>
              <w:rPr>
                <w:iCs/>
              </w:rPr>
            </w:pPr>
            <w:r w:rsidRPr="00102634">
              <w:rPr>
                <w:iCs/>
              </w:rPr>
              <w:t>13,538</w:t>
            </w:r>
          </w:p>
        </w:tc>
        <w:tc>
          <w:tcPr>
            <w:tcW w:w="567" w:type="pct"/>
            <w:tcBorders>
              <w:bottom w:val="single" w:sz="4" w:space="0" w:color="auto"/>
            </w:tcBorders>
            <w:vAlign w:val="center"/>
          </w:tcPr>
          <w:p w14:paraId="3DDE197D" w14:textId="77777777" w:rsidR="005D6D39" w:rsidRPr="00102634" w:rsidRDefault="005D6D39">
            <w:pPr>
              <w:pStyle w:val="Tabletext0"/>
              <w:jc w:val="center"/>
              <w:rPr>
                <w:iCs/>
              </w:rPr>
            </w:pPr>
            <w:r w:rsidRPr="00102634">
              <w:rPr>
                <w:iCs/>
              </w:rPr>
              <w:t>58</w:t>
            </w:r>
          </w:p>
        </w:tc>
        <w:tc>
          <w:tcPr>
            <w:tcW w:w="567" w:type="pct"/>
            <w:tcBorders>
              <w:bottom w:val="single" w:sz="4" w:space="0" w:color="auto"/>
            </w:tcBorders>
            <w:vAlign w:val="center"/>
          </w:tcPr>
          <w:p w14:paraId="0C84AC47" w14:textId="77777777" w:rsidR="005D6D39" w:rsidRPr="00102634" w:rsidRDefault="005D6D39">
            <w:pPr>
              <w:pStyle w:val="Tabletext0"/>
              <w:jc w:val="center"/>
              <w:rPr>
                <w:iCs/>
              </w:rPr>
            </w:pPr>
            <w:r w:rsidRPr="00102634">
              <w:rPr>
                <w:iCs/>
              </w:rPr>
              <w:t>13,746</w:t>
            </w:r>
          </w:p>
        </w:tc>
      </w:tr>
      <w:tr w:rsidR="005D6D39" w:rsidRPr="00102634" w14:paraId="33B32156" w14:textId="77777777">
        <w:tc>
          <w:tcPr>
            <w:tcW w:w="1649" w:type="pct"/>
            <w:vMerge w:val="restart"/>
          </w:tcPr>
          <w:p w14:paraId="02DCA42D" w14:textId="77777777" w:rsidR="005D6D39" w:rsidRPr="00102634" w:rsidRDefault="005D6D39">
            <w:pPr>
              <w:pStyle w:val="Tabletext0"/>
              <w:rPr>
                <w:iCs/>
              </w:rPr>
            </w:pPr>
            <w:r w:rsidRPr="00102634">
              <w:rPr>
                <w:iCs/>
              </w:rPr>
              <w:t>Agreement (95% CI)</w:t>
            </w:r>
          </w:p>
        </w:tc>
        <w:tc>
          <w:tcPr>
            <w:tcW w:w="629" w:type="pct"/>
          </w:tcPr>
          <w:p w14:paraId="65930453" w14:textId="77777777" w:rsidR="005D6D39" w:rsidRPr="00102634" w:rsidRDefault="005D6D39">
            <w:pPr>
              <w:pStyle w:val="Tabletext0"/>
              <w:rPr>
                <w:iCs/>
              </w:rPr>
            </w:pPr>
            <w:r w:rsidRPr="00102634">
              <w:rPr>
                <w:iCs/>
              </w:rPr>
              <w:t>PPA</w:t>
            </w:r>
          </w:p>
        </w:tc>
        <w:tc>
          <w:tcPr>
            <w:tcW w:w="1022" w:type="pct"/>
            <w:tcBorders>
              <w:right w:val="single" w:sz="4" w:space="0" w:color="auto"/>
            </w:tcBorders>
            <w:vAlign w:val="center"/>
          </w:tcPr>
          <w:p w14:paraId="5419C3EA" w14:textId="77777777" w:rsidR="005D6D39" w:rsidRPr="00102634" w:rsidRDefault="005D6D39">
            <w:pPr>
              <w:pStyle w:val="Tabletext0"/>
              <w:jc w:val="center"/>
              <w:rPr>
                <w:iCs/>
              </w:rPr>
            </w:pPr>
            <w:r w:rsidRPr="00102634">
              <w:rPr>
                <w:iCs/>
              </w:rPr>
              <w:t>96% (91.55, 98.15)</w:t>
            </w:r>
          </w:p>
        </w:tc>
        <w:tc>
          <w:tcPr>
            <w:tcW w:w="566" w:type="pct"/>
            <w:tcBorders>
              <w:top w:val="single" w:sz="4" w:space="0" w:color="auto"/>
              <w:left w:val="single" w:sz="4" w:space="0" w:color="auto"/>
              <w:bottom w:val="nil"/>
              <w:right w:val="nil"/>
            </w:tcBorders>
            <w:vAlign w:val="center"/>
          </w:tcPr>
          <w:p w14:paraId="7B7DB7BA" w14:textId="77777777" w:rsidR="005D6D39" w:rsidRPr="00102634" w:rsidRDefault="005D6D39">
            <w:pPr>
              <w:pStyle w:val="Tabletext0"/>
              <w:jc w:val="center"/>
              <w:rPr>
                <w:iCs/>
              </w:rPr>
            </w:pPr>
          </w:p>
        </w:tc>
        <w:tc>
          <w:tcPr>
            <w:tcW w:w="567" w:type="pct"/>
            <w:tcBorders>
              <w:top w:val="single" w:sz="4" w:space="0" w:color="auto"/>
              <w:left w:val="nil"/>
              <w:bottom w:val="nil"/>
              <w:right w:val="nil"/>
            </w:tcBorders>
            <w:vAlign w:val="center"/>
          </w:tcPr>
          <w:p w14:paraId="20FE64F7" w14:textId="77777777" w:rsidR="005D6D39" w:rsidRPr="00102634" w:rsidRDefault="005D6D39">
            <w:pPr>
              <w:pStyle w:val="Tabletext0"/>
              <w:jc w:val="center"/>
              <w:rPr>
                <w:iCs/>
              </w:rPr>
            </w:pPr>
          </w:p>
        </w:tc>
        <w:tc>
          <w:tcPr>
            <w:tcW w:w="567" w:type="pct"/>
            <w:tcBorders>
              <w:top w:val="single" w:sz="4" w:space="0" w:color="auto"/>
              <w:left w:val="nil"/>
              <w:bottom w:val="nil"/>
              <w:right w:val="single" w:sz="4" w:space="0" w:color="auto"/>
            </w:tcBorders>
            <w:vAlign w:val="center"/>
          </w:tcPr>
          <w:p w14:paraId="5A741E16" w14:textId="77777777" w:rsidR="005D6D39" w:rsidRPr="00102634" w:rsidRDefault="005D6D39">
            <w:pPr>
              <w:pStyle w:val="Tabletext0"/>
              <w:jc w:val="center"/>
              <w:rPr>
                <w:iCs/>
              </w:rPr>
            </w:pPr>
          </w:p>
        </w:tc>
      </w:tr>
      <w:tr w:rsidR="005D6D39" w:rsidRPr="00102634" w14:paraId="0659BDD0" w14:textId="77777777">
        <w:tc>
          <w:tcPr>
            <w:tcW w:w="1649" w:type="pct"/>
            <w:vMerge/>
          </w:tcPr>
          <w:p w14:paraId="7A12B6EE" w14:textId="77777777" w:rsidR="005D6D39" w:rsidRPr="00102634" w:rsidRDefault="005D6D39">
            <w:pPr>
              <w:pStyle w:val="Tabletext0"/>
              <w:rPr>
                <w:iCs/>
              </w:rPr>
            </w:pPr>
          </w:p>
        </w:tc>
        <w:tc>
          <w:tcPr>
            <w:tcW w:w="629" w:type="pct"/>
          </w:tcPr>
          <w:p w14:paraId="3B00CEBC" w14:textId="77777777" w:rsidR="005D6D39" w:rsidRPr="00102634" w:rsidRDefault="005D6D39">
            <w:pPr>
              <w:pStyle w:val="Tabletext0"/>
              <w:rPr>
                <w:iCs/>
              </w:rPr>
            </w:pPr>
            <w:r w:rsidRPr="00102634">
              <w:rPr>
                <w:iCs/>
              </w:rPr>
              <w:t>NPA</w:t>
            </w:r>
          </w:p>
        </w:tc>
        <w:tc>
          <w:tcPr>
            <w:tcW w:w="1022" w:type="pct"/>
            <w:tcBorders>
              <w:right w:val="single" w:sz="4" w:space="0" w:color="auto"/>
            </w:tcBorders>
            <w:vAlign w:val="center"/>
          </w:tcPr>
          <w:p w14:paraId="2907C8F5" w14:textId="77777777" w:rsidR="005D6D39" w:rsidRPr="00102634" w:rsidRDefault="005D6D39">
            <w:pPr>
              <w:pStyle w:val="Tabletext0"/>
              <w:jc w:val="center"/>
              <w:rPr>
                <w:iCs/>
              </w:rPr>
            </w:pPr>
            <w:r w:rsidRPr="00102634">
              <w:rPr>
                <w:iCs/>
              </w:rPr>
              <w:t>99.93% (99.87, 99.97)</w:t>
            </w:r>
          </w:p>
        </w:tc>
        <w:tc>
          <w:tcPr>
            <w:tcW w:w="566" w:type="pct"/>
            <w:tcBorders>
              <w:top w:val="nil"/>
              <w:left w:val="single" w:sz="4" w:space="0" w:color="auto"/>
              <w:bottom w:val="nil"/>
              <w:right w:val="nil"/>
            </w:tcBorders>
            <w:vAlign w:val="center"/>
          </w:tcPr>
          <w:p w14:paraId="2AB51D7F" w14:textId="77777777" w:rsidR="005D6D39" w:rsidRPr="00102634" w:rsidRDefault="005D6D39">
            <w:pPr>
              <w:pStyle w:val="Tabletext0"/>
              <w:jc w:val="center"/>
              <w:rPr>
                <w:iCs/>
              </w:rPr>
            </w:pPr>
          </w:p>
        </w:tc>
        <w:tc>
          <w:tcPr>
            <w:tcW w:w="567" w:type="pct"/>
            <w:tcBorders>
              <w:top w:val="nil"/>
              <w:left w:val="nil"/>
              <w:bottom w:val="nil"/>
              <w:right w:val="nil"/>
            </w:tcBorders>
            <w:vAlign w:val="center"/>
          </w:tcPr>
          <w:p w14:paraId="01395759" w14:textId="77777777" w:rsidR="005D6D39" w:rsidRPr="00102634" w:rsidRDefault="005D6D39">
            <w:pPr>
              <w:pStyle w:val="Tabletext0"/>
              <w:jc w:val="center"/>
              <w:rPr>
                <w:iCs/>
              </w:rPr>
            </w:pPr>
          </w:p>
        </w:tc>
        <w:tc>
          <w:tcPr>
            <w:tcW w:w="567" w:type="pct"/>
            <w:tcBorders>
              <w:top w:val="nil"/>
              <w:left w:val="nil"/>
              <w:bottom w:val="nil"/>
              <w:right w:val="single" w:sz="4" w:space="0" w:color="auto"/>
            </w:tcBorders>
            <w:vAlign w:val="center"/>
          </w:tcPr>
          <w:p w14:paraId="0FD8AC61" w14:textId="77777777" w:rsidR="005D6D39" w:rsidRPr="00102634" w:rsidRDefault="005D6D39">
            <w:pPr>
              <w:pStyle w:val="Tabletext0"/>
              <w:jc w:val="center"/>
              <w:rPr>
                <w:iCs/>
              </w:rPr>
            </w:pPr>
          </w:p>
        </w:tc>
      </w:tr>
      <w:tr w:rsidR="005D6D39" w:rsidRPr="00102634" w14:paraId="7A386DF2" w14:textId="77777777">
        <w:tc>
          <w:tcPr>
            <w:tcW w:w="1649" w:type="pct"/>
            <w:vMerge w:val="restart"/>
          </w:tcPr>
          <w:p w14:paraId="3BD398DC" w14:textId="3C458CE2" w:rsidR="005D6D39" w:rsidRPr="00102634" w:rsidRDefault="005D6D39">
            <w:pPr>
              <w:pStyle w:val="Tabletext0"/>
              <w:rPr>
                <w:iCs/>
              </w:rPr>
            </w:pPr>
            <w:r w:rsidRPr="00102634">
              <w:rPr>
                <w:iCs/>
              </w:rPr>
              <w:t>Predictive value (95% CI)</w:t>
            </w:r>
          </w:p>
        </w:tc>
        <w:tc>
          <w:tcPr>
            <w:tcW w:w="629" w:type="pct"/>
          </w:tcPr>
          <w:p w14:paraId="3F9C0C45" w14:textId="77777777" w:rsidR="005D6D39" w:rsidRPr="00102634" w:rsidRDefault="005D6D39">
            <w:pPr>
              <w:pStyle w:val="Tabletext0"/>
              <w:rPr>
                <w:iCs/>
              </w:rPr>
            </w:pPr>
            <w:r w:rsidRPr="00102634">
              <w:rPr>
                <w:iCs/>
              </w:rPr>
              <w:t>PPV</w:t>
            </w:r>
          </w:p>
        </w:tc>
        <w:tc>
          <w:tcPr>
            <w:tcW w:w="1022" w:type="pct"/>
            <w:tcBorders>
              <w:right w:val="single" w:sz="4" w:space="0" w:color="auto"/>
            </w:tcBorders>
            <w:vAlign w:val="center"/>
          </w:tcPr>
          <w:p w14:paraId="608F9B37" w14:textId="77777777" w:rsidR="005D6D39" w:rsidRPr="00102634" w:rsidRDefault="005D6D39">
            <w:pPr>
              <w:pStyle w:val="Tabletext0"/>
              <w:jc w:val="center"/>
              <w:rPr>
                <w:iCs/>
              </w:rPr>
            </w:pPr>
            <w:r w:rsidRPr="00102634">
              <w:rPr>
                <w:iCs/>
              </w:rPr>
              <w:t>94.12% (89.2, 96.87)</w:t>
            </w:r>
          </w:p>
        </w:tc>
        <w:tc>
          <w:tcPr>
            <w:tcW w:w="566" w:type="pct"/>
            <w:tcBorders>
              <w:top w:val="nil"/>
              <w:left w:val="single" w:sz="4" w:space="0" w:color="auto"/>
              <w:bottom w:val="nil"/>
              <w:right w:val="nil"/>
            </w:tcBorders>
            <w:vAlign w:val="center"/>
          </w:tcPr>
          <w:p w14:paraId="00427942" w14:textId="77777777" w:rsidR="005D6D39" w:rsidRPr="00102634" w:rsidRDefault="005D6D39">
            <w:pPr>
              <w:pStyle w:val="Tabletext0"/>
              <w:jc w:val="center"/>
              <w:rPr>
                <w:iCs/>
              </w:rPr>
            </w:pPr>
          </w:p>
        </w:tc>
        <w:tc>
          <w:tcPr>
            <w:tcW w:w="567" w:type="pct"/>
            <w:tcBorders>
              <w:top w:val="nil"/>
              <w:left w:val="nil"/>
              <w:bottom w:val="nil"/>
              <w:right w:val="nil"/>
            </w:tcBorders>
            <w:vAlign w:val="center"/>
          </w:tcPr>
          <w:p w14:paraId="11327826" w14:textId="77777777" w:rsidR="005D6D39" w:rsidRPr="00102634" w:rsidRDefault="005D6D39">
            <w:pPr>
              <w:pStyle w:val="Tabletext0"/>
              <w:jc w:val="center"/>
              <w:rPr>
                <w:iCs/>
              </w:rPr>
            </w:pPr>
          </w:p>
        </w:tc>
        <w:tc>
          <w:tcPr>
            <w:tcW w:w="567" w:type="pct"/>
            <w:tcBorders>
              <w:top w:val="nil"/>
              <w:left w:val="nil"/>
              <w:bottom w:val="nil"/>
              <w:right w:val="single" w:sz="4" w:space="0" w:color="auto"/>
            </w:tcBorders>
            <w:vAlign w:val="center"/>
          </w:tcPr>
          <w:p w14:paraId="583812DC" w14:textId="77777777" w:rsidR="005D6D39" w:rsidRPr="00102634" w:rsidRDefault="005D6D39">
            <w:pPr>
              <w:pStyle w:val="Tabletext0"/>
              <w:jc w:val="center"/>
              <w:rPr>
                <w:iCs/>
              </w:rPr>
            </w:pPr>
          </w:p>
        </w:tc>
      </w:tr>
      <w:tr w:rsidR="005D6D39" w:rsidRPr="00102634" w14:paraId="5E0FD069" w14:textId="77777777">
        <w:tc>
          <w:tcPr>
            <w:tcW w:w="1649" w:type="pct"/>
            <w:vMerge/>
          </w:tcPr>
          <w:p w14:paraId="61DEE223" w14:textId="77777777" w:rsidR="005D6D39" w:rsidRPr="00102634" w:rsidRDefault="005D6D39">
            <w:pPr>
              <w:pStyle w:val="Tabletext0"/>
              <w:rPr>
                <w:iCs/>
              </w:rPr>
            </w:pPr>
          </w:p>
        </w:tc>
        <w:tc>
          <w:tcPr>
            <w:tcW w:w="629" w:type="pct"/>
          </w:tcPr>
          <w:p w14:paraId="3E96310E" w14:textId="77777777" w:rsidR="005D6D39" w:rsidRPr="00102634" w:rsidRDefault="005D6D39">
            <w:pPr>
              <w:pStyle w:val="Tabletext0"/>
              <w:rPr>
                <w:iCs/>
              </w:rPr>
            </w:pPr>
            <w:r w:rsidRPr="00102634">
              <w:rPr>
                <w:iCs/>
              </w:rPr>
              <w:t>NPV</w:t>
            </w:r>
          </w:p>
        </w:tc>
        <w:tc>
          <w:tcPr>
            <w:tcW w:w="1022" w:type="pct"/>
            <w:tcBorders>
              <w:right w:val="single" w:sz="4" w:space="0" w:color="auto"/>
            </w:tcBorders>
            <w:vAlign w:val="center"/>
          </w:tcPr>
          <w:p w14:paraId="22E4C5D9" w14:textId="77777777" w:rsidR="005D6D39" w:rsidRPr="00102634" w:rsidRDefault="005D6D39">
            <w:pPr>
              <w:pStyle w:val="Tabletext0"/>
              <w:jc w:val="center"/>
              <w:rPr>
                <w:iCs/>
              </w:rPr>
            </w:pPr>
            <w:r w:rsidRPr="00102634">
              <w:rPr>
                <w:iCs/>
              </w:rPr>
              <w:t>99.96% (99.9, 99.98)</w:t>
            </w:r>
          </w:p>
        </w:tc>
        <w:tc>
          <w:tcPr>
            <w:tcW w:w="566" w:type="pct"/>
            <w:tcBorders>
              <w:top w:val="nil"/>
              <w:left w:val="single" w:sz="4" w:space="0" w:color="auto"/>
              <w:bottom w:val="single" w:sz="4" w:space="0" w:color="auto"/>
              <w:right w:val="nil"/>
            </w:tcBorders>
            <w:vAlign w:val="center"/>
          </w:tcPr>
          <w:p w14:paraId="3D86CE8E" w14:textId="77777777" w:rsidR="005D6D39" w:rsidRPr="00102634" w:rsidRDefault="005D6D39">
            <w:pPr>
              <w:pStyle w:val="Tabletext0"/>
              <w:jc w:val="center"/>
              <w:rPr>
                <w:iCs/>
              </w:rPr>
            </w:pPr>
          </w:p>
        </w:tc>
        <w:tc>
          <w:tcPr>
            <w:tcW w:w="567" w:type="pct"/>
            <w:tcBorders>
              <w:top w:val="nil"/>
              <w:left w:val="nil"/>
              <w:bottom w:val="single" w:sz="4" w:space="0" w:color="auto"/>
              <w:right w:val="nil"/>
            </w:tcBorders>
            <w:vAlign w:val="center"/>
          </w:tcPr>
          <w:p w14:paraId="77AEE451" w14:textId="77777777" w:rsidR="005D6D39" w:rsidRPr="00102634" w:rsidRDefault="005D6D39">
            <w:pPr>
              <w:pStyle w:val="Tabletext0"/>
              <w:jc w:val="center"/>
              <w:rPr>
                <w:iCs/>
              </w:rPr>
            </w:pPr>
          </w:p>
        </w:tc>
        <w:tc>
          <w:tcPr>
            <w:tcW w:w="567" w:type="pct"/>
            <w:tcBorders>
              <w:top w:val="nil"/>
              <w:left w:val="nil"/>
              <w:bottom w:val="single" w:sz="4" w:space="0" w:color="auto"/>
              <w:right w:val="single" w:sz="4" w:space="0" w:color="auto"/>
            </w:tcBorders>
            <w:vAlign w:val="center"/>
          </w:tcPr>
          <w:p w14:paraId="0B79E340" w14:textId="77777777" w:rsidR="005D6D39" w:rsidRPr="00102634" w:rsidRDefault="005D6D39">
            <w:pPr>
              <w:pStyle w:val="Tabletext0"/>
              <w:jc w:val="center"/>
              <w:rPr>
                <w:iCs/>
              </w:rPr>
            </w:pPr>
          </w:p>
        </w:tc>
      </w:tr>
    </w:tbl>
    <w:p w14:paraId="1FBB34E6" w14:textId="77777777" w:rsidR="005D6D39" w:rsidRPr="00102634" w:rsidRDefault="005D6D39" w:rsidP="005D6D39">
      <w:pPr>
        <w:pStyle w:val="TableFigureFooter"/>
        <w:rPr>
          <w:iCs/>
        </w:rPr>
      </w:pPr>
      <w:r w:rsidRPr="00102634">
        <w:rPr>
          <w:iCs/>
        </w:rPr>
        <w:t>Source: Table 13, p23 https://www.accessdata.fda.gov/cdrh_docs/pdf17/P170019S048B.pdf</w:t>
      </w:r>
    </w:p>
    <w:p w14:paraId="6BE90C7B" w14:textId="77777777" w:rsidR="005D6D39" w:rsidRPr="00102634" w:rsidRDefault="005D6D39" w:rsidP="005D6D39">
      <w:pPr>
        <w:pStyle w:val="TableFigureFooter"/>
        <w:rPr>
          <w:iCs/>
        </w:rPr>
      </w:pPr>
      <w:r w:rsidRPr="00102634">
        <w:rPr>
          <w:iCs/>
        </w:rPr>
        <w:t>CI = confidence interval; NGS = Next Generation Sequencing; NPA=Negative percent agreement; NPV = negative predictive value; PPA=Positive percent agreement; PPV = positive predictive value</w:t>
      </w:r>
    </w:p>
    <w:p w14:paraId="6690BBF9" w14:textId="3A3C30B7" w:rsidR="005D6D39" w:rsidRPr="00C24C30" w:rsidRDefault="005D6D39" w:rsidP="005D6D39">
      <w:pPr>
        <w:rPr>
          <w:rFonts w:ascii="Franklin Gothic Book" w:hAnsi="Franklin Gothic Book"/>
          <w:sz w:val="22"/>
        </w:rPr>
      </w:pPr>
      <w:r w:rsidRPr="00C24C30" w:rsidDel="00E80366">
        <w:rPr>
          <w:rFonts w:ascii="Franklin Gothic Book" w:hAnsi="Franklin Gothic Book"/>
          <w:sz w:val="22"/>
        </w:rPr>
        <w:t xml:space="preserve">Monash </w:t>
      </w:r>
      <w:r w:rsidR="00E80366" w:rsidRPr="00C24C30">
        <w:rPr>
          <w:rFonts w:ascii="Franklin Gothic Book" w:hAnsi="Franklin Gothic Book"/>
          <w:sz w:val="22"/>
        </w:rPr>
        <w:t>Health Pathology 2024</w:t>
      </w:r>
      <w:r w:rsidRPr="00C24C30">
        <w:rPr>
          <w:rFonts w:ascii="Franklin Gothic Book" w:hAnsi="Franklin Gothic Book"/>
          <w:sz w:val="22"/>
        </w:rPr>
        <w:t xml:space="preserve"> reported a 100%</w:t>
      </w:r>
      <w:r w:rsidR="00170D7B" w:rsidRPr="00C24C30">
        <w:rPr>
          <w:rFonts w:ascii="Franklin Gothic Book" w:hAnsi="Franklin Gothic Book"/>
          <w:sz w:val="22"/>
        </w:rPr>
        <w:t xml:space="preserve"> </w:t>
      </w:r>
      <w:r w:rsidRPr="00C24C30">
        <w:rPr>
          <w:rFonts w:ascii="Franklin Gothic Book" w:hAnsi="Franklin Gothic Book"/>
          <w:sz w:val="22"/>
        </w:rPr>
        <w:t xml:space="preserve">concordance rate across 16/21 samples and a correlation rate of 0.8901. The results for </w:t>
      </w:r>
      <w:r w:rsidR="000804D1">
        <w:rPr>
          <w:rFonts w:ascii="Franklin Gothic Book" w:hAnsi="Franklin Gothic Book"/>
          <w:b/>
          <w:bCs/>
          <w:sz w:val="22"/>
        </w:rPr>
        <w:t>redacted</w:t>
      </w:r>
      <w:r w:rsidR="000804D1" w:rsidRPr="00C24C30">
        <w:rPr>
          <w:rFonts w:ascii="Franklin Gothic Book" w:hAnsi="Franklin Gothic Book"/>
          <w:sz w:val="22"/>
        </w:rPr>
        <w:t xml:space="preserve"> </w:t>
      </w:r>
      <w:r w:rsidRPr="00C24C30">
        <w:rPr>
          <w:rFonts w:ascii="Franklin Gothic Book" w:hAnsi="Franklin Gothic Book"/>
          <w:sz w:val="22"/>
        </w:rPr>
        <w:t xml:space="preserve">samples could not be obtained from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However, the submission stated that for these five cases there was a high concordance between Roche AVENIO </w:t>
      </w:r>
      <w:proofErr w:type="gramStart"/>
      <w:r w:rsidRPr="00C24C30">
        <w:rPr>
          <w:rFonts w:ascii="Franklin Gothic Book" w:hAnsi="Franklin Gothic Book"/>
          <w:sz w:val="22"/>
        </w:rPr>
        <w:t>CGP</w:t>
      </w:r>
      <w:proofErr w:type="gramEnd"/>
      <w:r w:rsidRPr="00C24C30">
        <w:rPr>
          <w:rFonts w:ascii="Franklin Gothic Book" w:hAnsi="Franklin Gothic Book"/>
          <w:sz w:val="22"/>
        </w:rPr>
        <w:t xml:space="preserve"> and the accredited in-house TST70 gene panel supplied by Illumina.</w:t>
      </w:r>
      <w:r w:rsidR="00FD371D" w:rsidRPr="00C24C30">
        <w:rPr>
          <w:rFonts w:ascii="Franklin Gothic Book" w:hAnsi="Franklin Gothic Book"/>
          <w:sz w:val="22"/>
        </w:rPr>
        <w:t xml:space="preserve"> No negative samples were tested and </w:t>
      </w:r>
      <w:r w:rsidR="0007080B" w:rsidRPr="00C24C30">
        <w:rPr>
          <w:rFonts w:ascii="Franklin Gothic Book" w:hAnsi="Franklin Gothic Book"/>
          <w:sz w:val="22"/>
        </w:rPr>
        <w:t>therefore</w:t>
      </w:r>
      <w:r w:rsidR="00FD371D" w:rsidRPr="00C24C30">
        <w:rPr>
          <w:rFonts w:ascii="Franklin Gothic Book" w:hAnsi="Franklin Gothic Book"/>
          <w:sz w:val="22"/>
        </w:rPr>
        <w:t xml:space="preserve"> the accuracy for testing negative results could not be informed by the Monash Health Pathology 2024 study. </w:t>
      </w:r>
    </w:p>
    <w:p w14:paraId="598831DF" w14:textId="7ACEF23E"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As noted in Section </w:t>
      </w:r>
      <w:r w:rsidR="008A0CED">
        <w:rPr>
          <w:rFonts w:ascii="Franklin Gothic Book" w:hAnsi="Franklin Gothic Book"/>
          <w:sz w:val="22"/>
        </w:rPr>
        <w:t>10</w:t>
      </w:r>
      <w:r w:rsidRPr="00C24C30">
        <w:rPr>
          <w:rFonts w:ascii="Franklin Gothic Book" w:hAnsi="Franklin Gothic Book"/>
          <w:sz w:val="22"/>
        </w:rPr>
        <w:t xml:space="preserve">, the commentary noted the </w:t>
      </w:r>
      <w:r w:rsidRPr="00C24C30" w:rsidDel="00E80366">
        <w:rPr>
          <w:rFonts w:ascii="Franklin Gothic Book" w:hAnsi="Franklin Gothic Book"/>
          <w:sz w:val="22"/>
        </w:rPr>
        <w:t>Monash</w:t>
      </w:r>
      <w:r w:rsidR="00E80366" w:rsidRPr="00C24C30">
        <w:rPr>
          <w:rFonts w:ascii="Franklin Gothic Book" w:hAnsi="Franklin Gothic Book"/>
          <w:sz w:val="22"/>
        </w:rPr>
        <w:t xml:space="preserve"> Health Pathology 2024</w:t>
      </w:r>
      <w:r w:rsidRPr="00C24C30">
        <w:rPr>
          <w:rFonts w:ascii="Franklin Gothic Book" w:hAnsi="Franklin Gothic Book"/>
          <w:sz w:val="22"/>
        </w:rPr>
        <w:t xml:space="preserve"> evidence appeared unchanged from that considered by the PASC in April 2024, </w:t>
      </w:r>
      <w:r w:rsidR="6258AA47" w:rsidRPr="00C24C30">
        <w:rPr>
          <w:rFonts w:ascii="Franklin Gothic Book" w:hAnsi="Franklin Gothic Book"/>
          <w:sz w:val="22"/>
        </w:rPr>
        <w:t xml:space="preserve">which </w:t>
      </w:r>
      <w:r w:rsidRPr="00C24C30">
        <w:rPr>
          <w:rFonts w:ascii="Franklin Gothic Book" w:hAnsi="Franklin Gothic Book"/>
          <w:sz w:val="22"/>
        </w:rPr>
        <w:t xml:space="preserve">considered the concordance results to be uncertain. </w:t>
      </w:r>
      <w:proofErr w:type="gramStart"/>
      <w:r w:rsidRPr="00C24C30">
        <w:rPr>
          <w:rFonts w:ascii="Franklin Gothic Book" w:hAnsi="Franklin Gothic Book"/>
          <w:sz w:val="22"/>
        </w:rPr>
        <w:t>In regard to</w:t>
      </w:r>
      <w:proofErr w:type="gramEnd"/>
      <w:r w:rsidRPr="00C24C30">
        <w:rPr>
          <w:rFonts w:ascii="Franklin Gothic Book" w:hAnsi="Franklin Gothic Book"/>
          <w:sz w:val="22"/>
        </w:rPr>
        <w:t xml:space="preserve"> the Illumina TST70 gene panel, the PASC additionally noted </w:t>
      </w:r>
      <w:r w:rsidR="22C3B31B" w:rsidRPr="00C24C30">
        <w:rPr>
          <w:rFonts w:ascii="Franklin Gothic Book" w:hAnsi="Franklin Gothic Book"/>
          <w:sz w:val="22"/>
        </w:rPr>
        <w:t>that</w:t>
      </w:r>
      <w:r w:rsidR="0038C535" w:rsidRPr="00C24C30">
        <w:rPr>
          <w:rFonts w:ascii="Franklin Gothic Book" w:hAnsi="Franklin Gothic Book"/>
          <w:sz w:val="22"/>
        </w:rPr>
        <w:t xml:space="preserve"> </w:t>
      </w:r>
      <w:r w:rsidRPr="00C24C30">
        <w:rPr>
          <w:rFonts w:ascii="Franklin Gothic Book" w:hAnsi="Franklin Gothic Book"/>
          <w:sz w:val="22"/>
        </w:rPr>
        <w:t>the Illumina TST70 panel seemed to target hotspot sequence variants only and did not identify or intend to identify deletion (p17, 1766 Ratified PICO Confirmation, April 2024 PASC Meeting).</w:t>
      </w:r>
      <w:r w:rsidRPr="00C24C30">
        <w:rPr>
          <w:rFonts w:ascii="Franklin Gothic Book" w:hAnsi="Franklin Gothic Book"/>
          <w:i/>
          <w:sz w:val="22"/>
        </w:rPr>
        <w:t xml:space="preserve"> </w:t>
      </w:r>
      <w:r w:rsidRPr="00C24C30">
        <w:rPr>
          <w:rFonts w:ascii="Franklin Gothic Book" w:hAnsi="Franklin Gothic Book"/>
          <w:sz w:val="22"/>
        </w:rPr>
        <w:t>The commentary considered it was unclear if the TST70 was a valid standard to be comparing the Roche AVENIO test against; the differences in the detected gene variants by the TST70 compared to the proposed test and clinical utility standard highlights potential variability across other in-house NGS.</w:t>
      </w:r>
      <w:r w:rsidRPr="00C24C30">
        <w:rPr>
          <w:rFonts w:ascii="Franklin Gothic Book" w:hAnsi="Franklin Gothic Book"/>
          <w:i/>
          <w:iCs/>
          <w:sz w:val="22"/>
        </w:rPr>
        <w:t xml:space="preserve"> </w:t>
      </w:r>
    </w:p>
    <w:p w14:paraId="58EE1FDC" w14:textId="4F092034"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FDA 2019 reported 100% concordance between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and </w:t>
      </w:r>
      <w:r w:rsidR="0038C535" w:rsidRPr="00C24C30">
        <w:rPr>
          <w:rFonts w:ascii="Franklin Gothic Book" w:hAnsi="Franklin Gothic Book"/>
          <w:sz w:val="22"/>
        </w:rPr>
        <w:t>a</w:t>
      </w:r>
      <w:r w:rsidR="7F9EA4DC" w:rsidRPr="00C24C30">
        <w:rPr>
          <w:rFonts w:ascii="Franklin Gothic Book" w:hAnsi="Franklin Gothic Book"/>
          <w:sz w:val="22"/>
        </w:rPr>
        <w:t>n</w:t>
      </w:r>
      <w:r w:rsidRPr="00C24C30">
        <w:rPr>
          <w:rFonts w:ascii="Franklin Gothic Book" w:hAnsi="Franklin Gothic Book"/>
          <w:sz w:val="22"/>
        </w:rPr>
        <w:t xml:space="preserve"> ‘externally validated NGS’ for the detection of </w:t>
      </w:r>
      <w:r w:rsidRPr="00C24C30">
        <w:rPr>
          <w:rFonts w:ascii="Franklin Gothic Book" w:hAnsi="Franklin Gothic Book"/>
          <w:i/>
          <w:iCs/>
          <w:sz w:val="22"/>
        </w:rPr>
        <w:t>PIK3CA</w:t>
      </w:r>
      <w:r w:rsidRPr="00C24C30">
        <w:rPr>
          <w:rFonts w:ascii="Franklin Gothic Book" w:hAnsi="Franklin Gothic Book"/>
          <w:sz w:val="22"/>
        </w:rPr>
        <w:t xml:space="preserve"> alterations. The FDA 2023 reported 96% and 99% </w:t>
      </w:r>
      <w:r w:rsidR="006A7185" w:rsidRPr="00C24C30">
        <w:rPr>
          <w:rFonts w:ascii="Franklin Gothic Book" w:hAnsi="Franklin Gothic Book"/>
          <w:sz w:val="22"/>
        </w:rPr>
        <w:t xml:space="preserve">PPA </w:t>
      </w:r>
      <w:r w:rsidRPr="00C24C30">
        <w:rPr>
          <w:rFonts w:ascii="Franklin Gothic Book" w:hAnsi="Franklin Gothic Book"/>
          <w:sz w:val="22"/>
        </w:rPr>
        <w:t xml:space="preserve">and </w:t>
      </w:r>
      <w:r w:rsidR="006A7185" w:rsidRPr="00C24C30">
        <w:rPr>
          <w:rFonts w:ascii="Franklin Gothic Book" w:hAnsi="Franklin Gothic Book"/>
          <w:sz w:val="22"/>
        </w:rPr>
        <w:t>NPA</w:t>
      </w:r>
      <w:r w:rsidRPr="00C24C30">
        <w:rPr>
          <w:rFonts w:ascii="Franklin Gothic Book" w:hAnsi="Franklin Gothic Book"/>
          <w:sz w:val="22"/>
        </w:rPr>
        <w:t>, respectively</w:t>
      </w:r>
      <w:r w:rsidR="5F3ADFAA" w:rsidRPr="00C24C30">
        <w:rPr>
          <w:rFonts w:ascii="Franklin Gothic Book" w:hAnsi="Franklin Gothic Book"/>
          <w:sz w:val="22"/>
        </w:rPr>
        <w:t>,</w:t>
      </w:r>
      <w:r w:rsidRPr="00C24C30">
        <w:rPr>
          <w:rFonts w:ascii="Franklin Gothic Book" w:hAnsi="Franklin Gothic Book"/>
          <w:sz w:val="22"/>
        </w:rPr>
        <w:t xml:space="preserve"> in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against an ‘externally validated NGS’ for the detection of </w:t>
      </w:r>
      <w:r w:rsidRPr="00C24C30">
        <w:rPr>
          <w:rFonts w:ascii="Franklin Gothic Book" w:hAnsi="Franklin Gothic Book"/>
          <w:i/>
          <w:iCs/>
          <w:sz w:val="22"/>
        </w:rPr>
        <w:t xml:space="preserve">PIK3CA, AKT1, </w:t>
      </w:r>
      <w:r w:rsidRPr="00C24C30">
        <w:rPr>
          <w:rFonts w:ascii="Franklin Gothic Book" w:hAnsi="Franklin Gothic Book"/>
          <w:sz w:val="22"/>
        </w:rPr>
        <w:t>and</w:t>
      </w:r>
      <w:r w:rsidRPr="00C24C30">
        <w:rPr>
          <w:rFonts w:ascii="Franklin Gothic Book" w:hAnsi="Franklin Gothic Book"/>
          <w:i/>
          <w:iCs/>
          <w:sz w:val="22"/>
        </w:rPr>
        <w:t xml:space="preserve"> PTEN</w:t>
      </w:r>
      <w:r w:rsidRPr="00C24C30">
        <w:rPr>
          <w:rFonts w:ascii="Franklin Gothic Book" w:hAnsi="Franklin Gothic Book"/>
          <w:sz w:val="22"/>
        </w:rPr>
        <w:t xml:space="preserve"> alterations. </w:t>
      </w:r>
    </w:p>
    <w:p w14:paraId="424931AF" w14:textId="13A20E3A" w:rsidR="005D6D39" w:rsidRPr="00C24C30" w:rsidRDefault="00A34F06" w:rsidP="005D6D39">
      <w:pPr>
        <w:rPr>
          <w:rFonts w:ascii="Franklin Gothic Book" w:hAnsi="Franklin Gothic Book"/>
          <w:sz w:val="22"/>
        </w:rPr>
      </w:pPr>
      <w:r>
        <w:rPr>
          <w:rFonts w:ascii="Franklin Gothic Book" w:hAnsi="Franklin Gothic Book"/>
          <w:sz w:val="22"/>
        </w:rPr>
        <w:lastRenderedPageBreak/>
        <w:t>T</w:t>
      </w:r>
      <w:r w:rsidR="005D6D39" w:rsidRPr="00C24C30">
        <w:rPr>
          <w:rFonts w:ascii="Franklin Gothic Book" w:hAnsi="Franklin Gothic Book"/>
          <w:sz w:val="22"/>
        </w:rPr>
        <w:t>he commentary noted that both FDA reports had reduced applicability to the proposed test setting and</w:t>
      </w:r>
      <w:r w:rsidR="0F3FBE40" w:rsidRPr="00C24C30">
        <w:rPr>
          <w:rFonts w:ascii="Franklin Gothic Book" w:hAnsi="Franklin Gothic Book"/>
          <w:sz w:val="22"/>
        </w:rPr>
        <w:t>,</w:t>
      </w:r>
      <w:r w:rsidR="005D6D39" w:rsidRPr="00C24C30">
        <w:rPr>
          <w:rFonts w:ascii="Franklin Gothic Book" w:hAnsi="Franklin Gothic Book"/>
          <w:sz w:val="22"/>
        </w:rPr>
        <w:t xml:space="preserve"> regardless, the concordance between the Roche AVENIO CGP or ‘other in-house NGS’ expected to be used in practice against the </w:t>
      </w:r>
      <w:proofErr w:type="spellStart"/>
      <w:r w:rsidR="005D6D39" w:rsidRPr="00C24C30">
        <w:rPr>
          <w:rFonts w:ascii="Franklin Gothic Book" w:hAnsi="Franklin Gothic Book"/>
          <w:sz w:val="22"/>
        </w:rPr>
        <w:t>FoundationOneCD</w:t>
      </w:r>
      <w:r w:rsidR="00A77249" w:rsidRPr="00C24C30">
        <w:rPr>
          <w:rFonts w:ascii="Franklin Gothic Book" w:hAnsi="Franklin Gothic Book"/>
          <w:sz w:val="22"/>
        </w:rPr>
        <w:t>x</w:t>
      </w:r>
      <w:proofErr w:type="spellEnd"/>
      <w:r w:rsidR="005D6D39" w:rsidRPr="00C24C30">
        <w:rPr>
          <w:rFonts w:ascii="Franklin Gothic Book" w:hAnsi="Franklin Gothic Book"/>
          <w:sz w:val="22"/>
        </w:rPr>
        <w:t xml:space="preserve"> remains uncertain. </w:t>
      </w:r>
    </w:p>
    <w:p w14:paraId="0D03DC98"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Prognostic evidence</w:t>
      </w:r>
    </w:p>
    <w:p w14:paraId="68327AC6" w14:textId="6835F20E"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PFS and OS results in the placebo + FULV arms from CAPItello-291, FAKTION, SOLAR-1, and BELLE-3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_Ref174961894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10</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w:t>
      </w:r>
    </w:p>
    <w:p w14:paraId="739CE9AC" w14:textId="48190249" w:rsidR="005D6D39" w:rsidRPr="00102634" w:rsidRDefault="005D6D39" w:rsidP="003F6F2A">
      <w:pPr>
        <w:pStyle w:val="Caption"/>
      </w:pPr>
      <w:bookmarkStart w:id="38" w:name="_Ref174961894"/>
      <w:r w:rsidRPr="00102634">
        <w:t xml:space="preserve">Table </w:t>
      </w:r>
      <w:r w:rsidR="0016064D">
        <w:fldChar w:fldCharType="begin"/>
      </w:r>
      <w:r w:rsidR="0016064D">
        <w:instrText xml:space="preserve"> SEQ Table_MSAC. \* ARABIC </w:instrText>
      </w:r>
      <w:r w:rsidR="0016064D">
        <w:fldChar w:fldCharType="separate"/>
      </w:r>
      <w:r w:rsidR="0016064D">
        <w:rPr>
          <w:noProof/>
        </w:rPr>
        <w:t>10</w:t>
      </w:r>
      <w:r w:rsidR="0016064D">
        <w:rPr>
          <w:noProof/>
        </w:rPr>
        <w:fldChar w:fldCharType="end"/>
      </w:r>
      <w:bookmarkEnd w:id="38"/>
      <w:r w:rsidRPr="00102634">
        <w:t>: Summary of PFS and OS according to AKT pathway alteration status in the SOC arms of CAPItello-291, FAKTION, SOLAR-1, and BELLE-3</w:t>
      </w:r>
    </w:p>
    <w:tbl>
      <w:tblPr>
        <w:tblStyle w:val="HTATableshaded"/>
        <w:tblW w:w="5000" w:type="pct"/>
        <w:tblLayout w:type="fixed"/>
        <w:tblLook w:val="04A0" w:firstRow="1" w:lastRow="0" w:firstColumn="1" w:lastColumn="0" w:noHBand="0" w:noVBand="1"/>
      </w:tblPr>
      <w:tblGrid>
        <w:gridCol w:w="988"/>
        <w:gridCol w:w="1558"/>
        <w:gridCol w:w="992"/>
        <w:gridCol w:w="1277"/>
        <w:gridCol w:w="1277"/>
        <w:gridCol w:w="1462"/>
        <w:gridCol w:w="1462"/>
      </w:tblGrid>
      <w:tr w:rsidR="005D6D39" w:rsidRPr="00102634" w14:paraId="69CD66C4" w14:textId="77777777" w:rsidTr="00ED5AE8">
        <w:trPr>
          <w:cnfStyle w:val="100000000000" w:firstRow="1" w:lastRow="0" w:firstColumn="0" w:lastColumn="0" w:oddVBand="0" w:evenVBand="0" w:oddHBand="0" w:evenHBand="0" w:firstRowFirstColumn="0" w:firstRowLastColumn="0" w:lastRowFirstColumn="0" w:lastRowLastColumn="0"/>
          <w:trHeight w:val="281"/>
        </w:trPr>
        <w:tc>
          <w:tcPr>
            <w:tcW w:w="548" w:type="pct"/>
            <w:vMerge w:val="restart"/>
            <w:vAlign w:val="center"/>
          </w:tcPr>
          <w:p w14:paraId="65BD7354" w14:textId="2A3B63C2" w:rsidR="005D6D39" w:rsidRPr="00102634" w:rsidRDefault="005D6D39">
            <w:pPr>
              <w:pStyle w:val="TableText"/>
              <w:rPr>
                <w:b/>
                <w:bCs/>
              </w:rPr>
            </w:pPr>
            <w:r w:rsidRPr="00102634">
              <w:rPr>
                <w:b/>
                <w:bCs/>
              </w:rPr>
              <w:t>Study ID</w:t>
            </w:r>
          </w:p>
        </w:tc>
        <w:tc>
          <w:tcPr>
            <w:tcW w:w="864" w:type="pct"/>
            <w:vMerge w:val="restart"/>
            <w:vAlign w:val="center"/>
          </w:tcPr>
          <w:p w14:paraId="2FFE437F" w14:textId="708793FD" w:rsidR="005D6D39" w:rsidRPr="00102634" w:rsidRDefault="005D6D39">
            <w:pPr>
              <w:pStyle w:val="TableText"/>
              <w:rPr>
                <w:b/>
                <w:bCs/>
              </w:rPr>
            </w:pPr>
            <w:r w:rsidRPr="00102634">
              <w:rPr>
                <w:b/>
                <w:bCs/>
              </w:rPr>
              <w:t xml:space="preserve">Biomarker subgroup </w:t>
            </w:r>
          </w:p>
        </w:tc>
        <w:tc>
          <w:tcPr>
            <w:tcW w:w="550" w:type="pct"/>
            <w:vMerge w:val="restart"/>
            <w:vAlign w:val="center"/>
          </w:tcPr>
          <w:p w14:paraId="48701AC8" w14:textId="77777777" w:rsidR="005D6D39" w:rsidRPr="00102634" w:rsidRDefault="005D6D39">
            <w:pPr>
              <w:pStyle w:val="TableText"/>
              <w:rPr>
                <w:b/>
                <w:bCs/>
              </w:rPr>
            </w:pPr>
            <w:r w:rsidRPr="00102634">
              <w:rPr>
                <w:b/>
                <w:bCs/>
              </w:rPr>
              <w:t>Biomarker analysis</w:t>
            </w:r>
          </w:p>
        </w:tc>
        <w:tc>
          <w:tcPr>
            <w:tcW w:w="1416" w:type="pct"/>
            <w:gridSpan w:val="2"/>
            <w:vAlign w:val="center"/>
          </w:tcPr>
          <w:p w14:paraId="0FC0349D" w14:textId="3C4C59CF" w:rsidR="005D6D39" w:rsidRPr="00102634" w:rsidRDefault="005D6D39">
            <w:pPr>
              <w:pStyle w:val="TableText"/>
              <w:jc w:val="center"/>
              <w:rPr>
                <w:b/>
                <w:bCs/>
              </w:rPr>
            </w:pPr>
            <w:r w:rsidRPr="00102634">
              <w:rPr>
                <w:b/>
                <w:bCs/>
              </w:rPr>
              <w:t>Median PFS, months (95% CI)</w:t>
            </w:r>
          </w:p>
        </w:tc>
        <w:tc>
          <w:tcPr>
            <w:tcW w:w="1622" w:type="pct"/>
            <w:gridSpan w:val="2"/>
            <w:vAlign w:val="center"/>
          </w:tcPr>
          <w:p w14:paraId="5BAF2939" w14:textId="77777777" w:rsidR="005D6D39" w:rsidRPr="00102634" w:rsidRDefault="005D6D39">
            <w:pPr>
              <w:pStyle w:val="TableText"/>
              <w:jc w:val="center"/>
              <w:rPr>
                <w:b/>
                <w:bCs/>
              </w:rPr>
            </w:pPr>
            <w:r w:rsidRPr="00102634">
              <w:rPr>
                <w:b/>
                <w:bCs/>
              </w:rPr>
              <w:t>Median OS, months (95% CI)</w:t>
            </w:r>
          </w:p>
        </w:tc>
      </w:tr>
      <w:tr w:rsidR="005D6D39" w:rsidRPr="00102634" w14:paraId="54B28AD4" w14:textId="77777777" w:rsidTr="2C973C4D">
        <w:trPr>
          <w:trHeight w:val="280"/>
        </w:trPr>
        <w:tc>
          <w:tcPr>
            <w:tcW w:w="548" w:type="pct"/>
            <w:vMerge/>
            <w:vAlign w:val="center"/>
          </w:tcPr>
          <w:p w14:paraId="07EC5F19" w14:textId="77777777" w:rsidR="005D6D39" w:rsidRPr="00102634" w:rsidRDefault="005D6D39">
            <w:pPr>
              <w:pStyle w:val="TableText"/>
              <w:rPr>
                <w:b/>
                <w:bCs/>
              </w:rPr>
            </w:pPr>
          </w:p>
        </w:tc>
        <w:tc>
          <w:tcPr>
            <w:tcW w:w="864" w:type="pct"/>
            <w:vMerge/>
            <w:vAlign w:val="center"/>
          </w:tcPr>
          <w:p w14:paraId="1208F928" w14:textId="77777777" w:rsidR="005D6D39" w:rsidRPr="00102634" w:rsidRDefault="005D6D39">
            <w:pPr>
              <w:pStyle w:val="TableText"/>
              <w:rPr>
                <w:b/>
                <w:bCs/>
              </w:rPr>
            </w:pPr>
          </w:p>
        </w:tc>
        <w:tc>
          <w:tcPr>
            <w:tcW w:w="550" w:type="pct"/>
            <w:vMerge/>
            <w:vAlign w:val="center"/>
          </w:tcPr>
          <w:p w14:paraId="7D4B3A69" w14:textId="77777777" w:rsidR="005D6D39" w:rsidRPr="00102634" w:rsidRDefault="005D6D39">
            <w:pPr>
              <w:pStyle w:val="TableText"/>
              <w:rPr>
                <w:b/>
                <w:bCs/>
              </w:rPr>
            </w:pPr>
          </w:p>
        </w:tc>
        <w:tc>
          <w:tcPr>
            <w:tcW w:w="708" w:type="pct"/>
            <w:tcBorders>
              <w:top w:val="single" w:sz="4" w:space="0" w:color="auto"/>
              <w:bottom w:val="single" w:sz="4" w:space="0" w:color="auto"/>
            </w:tcBorders>
            <w:vAlign w:val="center"/>
          </w:tcPr>
          <w:p w14:paraId="4A0CC7E7" w14:textId="55A1936D" w:rsidR="005D6D39" w:rsidRPr="00102634" w:rsidRDefault="005D6D39">
            <w:pPr>
              <w:pStyle w:val="TableText"/>
              <w:jc w:val="center"/>
              <w:rPr>
                <w:b/>
                <w:bCs/>
              </w:rPr>
            </w:pPr>
            <w:r w:rsidRPr="00102634">
              <w:rPr>
                <w:b/>
                <w:bCs/>
              </w:rPr>
              <w:t>Altered pathway</w:t>
            </w:r>
          </w:p>
        </w:tc>
        <w:tc>
          <w:tcPr>
            <w:tcW w:w="708" w:type="pct"/>
            <w:tcBorders>
              <w:bottom w:val="single" w:sz="4" w:space="0" w:color="auto"/>
            </w:tcBorders>
            <w:vAlign w:val="center"/>
          </w:tcPr>
          <w:p w14:paraId="675DC933" w14:textId="74651F9D" w:rsidR="005D6D39" w:rsidRPr="00102634" w:rsidRDefault="005D6D39">
            <w:pPr>
              <w:pStyle w:val="TableText"/>
              <w:jc w:val="center"/>
              <w:rPr>
                <w:b/>
                <w:bCs/>
              </w:rPr>
            </w:pPr>
            <w:r w:rsidRPr="00102634">
              <w:rPr>
                <w:b/>
                <w:bCs/>
              </w:rPr>
              <w:t>Non-altered pathway</w:t>
            </w:r>
          </w:p>
        </w:tc>
        <w:tc>
          <w:tcPr>
            <w:tcW w:w="811" w:type="pct"/>
            <w:tcBorders>
              <w:bottom w:val="single" w:sz="4" w:space="0" w:color="auto"/>
            </w:tcBorders>
            <w:vAlign w:val="center"/>
          </w:tcPr>
          <w:p w14:paraId="13FC9308" w14:textId="77777777" w:rsidR="005D6D39" w:rsidRPr="00102634" w:rsidRDefault="005D6D39">
            <w:pPr>
              <w:pStyle w:val="TableText"/>
              <w:jc w:val="center"/>
              <w:rPr>
                <w:b/>
                <w:bCs/>
              </w:rPr>
            </w:pPr>
            <w:r w:rsidRPr="00102634">
              <w:rPr>
                <w:b/>
                <w:bCs/>
              </w:rPr>
              <w:t>Altered pathway</w:t>
            </w:r>
          </w:p>
        </w:tc>
        <w:tc>
          <w:tcPr>
            <w:tcW w:w="811" w:type="pct"/>
            <w:tcBorders>
              <w:bottom w:val="single" w:sz="4" w:space="0" w:color="auto"/>
            </w:tcBorders>
            <w:vAlign w:val="center"/>
          </w:tcPr>
          <w:p w14:paraId="5BA143CA" w14:textId="77777777" w:rsidR="005D6D39" w:rsidRPr="00102634" w:rsidRDefault="005D6D39">
            <w:pPr>
              <w:pStyle w:val="TableText"/>
              <w:jc w:val="center"/>
              <w:rPr>
                <w:b/>
                <w:bCs/>
              </w:rPr>
            </w:pPr>
            <w:r w:rsidRPr="00102634">
              <w:rPr>
                <w:b/>
                <w:bCs/>
              </w:rPr>
              <w:t>Non-altered pathway</w:t>
            </w:r>
          </w:p>
        </w:tc>
      </w:tr>
      <w:tr w:rsidR="005D6D39" w:rsidRPr="00102634" w14:paraId="665655B9" w14:textId="77777777" w:rsidTr="00ED5AE8">
        <w:tc>
          <w:tcPr>
            <w:tcW w:w="548" w:type="pct"/>
            <w:vAlign w:val="center"/>
          </w:tcPr>
          <w:p w14:paraId="6084B6D0" w14:textId="3140DD7E" w:rsidR="005D6D39" w:rsidRPr="00102634" w:rsidRDefault="005D6D39">
            <w:pPr>
              <w:pStyle w:val="TableText"/>
            </w:pPr>
            <w:r w:rsidRPr="00102634">
              <w:t>CAPItello-291</w:t>
            </w:r>
            <w:r w:rsidR="00812557">
              <w:t xml:space="preserve"> </w:t>
            </w:r>
            <w:r w:rsidR="007734C8">
              <w:t>(N=353)</w:t>
            </w:r>
          </w:p>
        </w:tc>
        <w:tc>
          <w:tcPr>
            <w:tcW w:w="864" w:type="pct"/>
            <w:vAlign w:val="center"/>
          </w:tcPr>
          <w:p w14:paraId="5E66348F" w14:textId="6E4B14F3" w:rsidR="007734C8" w:rsidRPr="007734C8" w:rsidRDefault="005D6D39">
            <w:pPr>
              <w:pStyle w:val="TableText"/>
            </w:pPr>
            <w:r w:rsidRPr="00102634">
              <w:rPr>
                <w:i/>
                <w:iCs/>
              </w:rPr>
              <w:t>PI</w:t>
            </w:r>
            <w:r w:rsidR="00170D4A">
              <w:rPr>
                <w:i/>
                <w:iCs/>
              </w:rPr>
              <w:t>K3CA</w:t>
            </w:r>
            <w:r w:rsidRPr="00102634">
              <w:rPr>
                <w:i/>
                <w:iCs/>
              </w:rPr>
              <w:t>/AKT1/PTEN</w:t>
            </w:r>
            <w:r w:rsidR="00ED5AE8">
              <w:t xml:space="preserve"> </w:t>
            </w:r>
          </w:p>
        </w:tc>
        <w:tc>
          <w:tcPr>
            <w:tcW w:w="550" w:type="pct"/>
            <w:vAlign w:val="center"/>
          </w:tcPr>
          <w:p w14:paraId="11FB3A7A" w14:textId="77777777" w:rsidR="005D6D39" w:rsidRPr="00102634" w:rsidRDefault="005D6D39">
            <w:pPr>
              <w:pStyle w:val="TableText"/>
            </w:pPr>
            <w:r w:rsidRPr="00102634">
              <w:t>NGS</w:t>
            </w:r>
          </w:p>
        </w:tc>
        <w:tc>
          <w:tcPr>
            <w:tcW w:w="708" w:type="pct"/>
            <w:vAlign w:val="center"/>
          </w:tcPr>
          <w:p w14:paraId="6DFF1CB4" w14:textId="3871E206" w:rsidR="005D6D39" w:rsidRPr="00102634" w:rsidRDefault="005D6D39">
            <w:pPr>
              <w:pStyle w:val="TableText"/>
              <w:jc w:val="center"/>
            </w:pPr>
            <w:r w:rsidRPr="00102634">
              <w:t>3.1 (2, 3.7)</w:t>
            </w:r>
          </w:p>
        </w:tc>
        <w:tc>
          <w:tcPr>
            <w:tcW w:w="708" w:type="pct"/>
            <w:vAlign w:val="center"/>
          </w:tcPr>
          <w:p w14:paraId="6EFD230B" w14:textId="7664644A" w:rsidR="005D6D39" w:rsidRPr="00102634" w:rsidRDefault="005D6D39">
            <w:pPr>
              <w:pStyle w:val="TableText"/>
              <w:jc w:val="center"/>
              <w:rPr>
                <w:vertAlign w:val="superscript"/>
              </w:rPr>
            </w:pPr>
            <w:r w:rsidRPr="00102634">
              <w:t xml:space="preserve">3.7 (3, 5) </w:t>
            </w:r>
            <w:r w:rsidRPr="00102634">
              <w:rPr>
                <w:vertAlign w:val="superscript"/>
              </w:rPr>
              <w:t>a</w:t>
            </w:r>
          </w:p>
          <w:p w14:paraId="00364E5E" w14:textId="35E7945C" w:rsidR="005D6D39" w:rsidRPr="00102634" w:rsidRDefault="005D6D39">
            <w:pPr>
              <w:pStyle w:val="TableText"/>
              <w:jc w:val="center"/>
              <w:rPr>
                <w:vertAlign w:val="superscript"/>
              </w:rPr>
            </w:pPr>
            <w:r w:rsidRPr="00102634">
              <w:t xml:space="preserve">3.7 (3.5, 5.1) </w:t>
            </w:r>
            <w:r w:rsidRPr="00102634">
              <w:rPr>
                <w:vertAlign w:val="superscript"/>
              </w:rPr>
              <w:t>b</w:t>
            </w:r>
          </w:p>
        </w:tc>
        <w:tc>
          <w:tcPr>
            <w:tcW w:w="811" w:type="pct"/>
            <w:vAlign w:val="center"/>
          </w:tcPr>
          <w:p w14:paraId="3E6918E2" w14:textId="77777777" w:rsidR="005D6D39" w:rsidRPr="00102634" w:rsidRDefault="005D6D39" w:rsidP="006D3E33">
            <w:pPr>
              <w:pStyle w:val="TableText"/>
              <w:jc w:val="center"/>
            </w:pPr>
            <w:r w:rsidRPr="00102634">
              <w:t>NE (20.3, NE)</w:t>
            </w:r>
          </w:p>
        </w:tc>
        <w:tc>
          <w:tcPr>
            <w:tcW w:w="811" w:type="pct"/>
            <w:vAlign w:val="center"/>
          </w:tcPr>
          <w:p w14:paraId="60EC5A70" w14:textId="77777777" w:rsidR="005D6D39" w:rsidRPr="00102634" w:rsidRDefault="005D6D39" w:rsidP="006D3E33">
            <w:pPr>
              <w:pStyle w:val="TableText"/>
              <w:jc w:val="center"/>
              <w:rPr>
                <w:vertAlign w:val="superscript"/>
              </w:rPr>
            </w:pPr>
            <w:r w:rsidRPr="00102634">
              <w:t>NE (21.3, NE)</w:t>
            </w:r>
            <w:r w:rsidRPr="00102634">
              <w:rPr>
                <w:vertAlign w:val="superscript"/>
              </w:rPr>
              <w:t xml:space="preserve"> a</w:t>
            </w:r>
          </w:p>
        </w:tc>
      </w:tr>
      <w:tr w:rsidR="005D6D39" w:rsidRPr="00102634" w14:paraId="66B1825E" w14:textId="77777777" w:rsidTr="00ED5AE8">
        <w:tc>
          <w:tcPr>
            <w:tcW w:w="548" w:type="pct"/>
            <w:vMerge w:val="restart"/>
            <w:vAlign w:val="center"/>
          </w:tcPr>
          <w:p w14:paraId="19238EA6" w14:textId="62D35023" w:rsidR="005D6D39" w:rsidRPr="00102634" w:rsidRDefault="005D6D39">
            <w:pPr>
              <w:pStyle w:val="TableText"/>
            </w:pPr>
            <w:r w:rsidRPr="00102634">
              <w:t>FAKTION</w:t>
            </w:r>
            <w:r w:rsidR="007734C8">
              <w:t xml:space="preserve"> (N=71)</w:t>
            </w:r>
          </w:p>
        </w:tc>
        <w:tc>
          <w:tcPr>
            <w:tcW w:w="864" w:type="pct"/>
            <w:vAlign w:val="center"/>
          </w:tcPr>
          <w:p w14:paraId="04243420" w14:textId="4D56A23A" w:rsidR="005D6D39" w:rsidRPr="00102634" w:rsidRDefault="005D6D39">
            <w:pPr>
              <w:pStyle w:val="TableText"/>
            </w:pPr>
            <w:r w:rsidRPr="00102634">
              <w:rPr>
                <w:i/>
                <w:iCs/>
              </w:rPr>
              <w:t>PI</w:t>
            </w:r>
            <w:r w:rsidR="00170D4A">
              <w:rPr>
                <w:i/>
                <w:iCs/>
              </w:rPr>
              <w:t>K3CA</w:t>
            </w:r>
            <w:r w:rsidRPr="00102634">
              <w:rPr>
                <w:i/>
                <w:iCs/>
              </w:rPr>
              <w:t>/PTEN</w:t>
            </w:r>
            <w:r w:rsidRPr="00102634">
              <w:t xml:space="preserve"> (Original)</w:t>
            </w:r>
          </w:p>
        </w:tc>
        <w:tc>
          <w:tcPr>
            <w:tcW w:w="550" w:type="pct"/>
            <w:vAlign w:val="center"/>
          </w:tcPr>
          <w:p w14:paraId="7BF05D7A" w14:textId="77777777" w:rsidR="005D6D39" w:rsidRPr="00102634" w:rsidRDefault="005D6D39">
            <w:pPr>
              <w:pStyle w:val="TableText"/>
            </w:pPr>
            <w:proofErr w:type="spellStart"/>
            <w:r w:rsidRPr="00102634">
              <w:t>ddPCR</w:t>
            </w:r>
            <w:proofErr w:type="spellEnd"/>
            <w:r w:rsidRPr="00102634">
              <w:t>, IHC</w:t>
            </w:r>
          </w:p>
        </w:tc>
        <w:tc>
          <w:tcPr>
            <w:tcW w:w="708" w:type="pct"/>
            <w:vAlign w:val="center"/>
          </w:tcPr>
          <w:p w14:paraId="4F3F17D1" w14:textId="296E90D2" w:rsidR="005D6D39" w:rsidRPr="00102634" w:rsidRDefault="005D6D39">
            <w:pPr>
              <w:pStyle w:val="TableText"/>
              <w:jc w:val="center"/>
            </w:pPr>
            <w:r w:rsidRPr="00102634">
              <w:t>5.2 (3.1, 8.4)</w:t>
            </w:r>
          </w:p>
        </w:tc>
        <w:tc>
          <w:tcPr>
            <w:tcW w:w="708" w:type="pct"/>
            <w:vAlign w:val="center"/>
          </w:tcPr>
          <w:p w14:paraId="42818890" w14:textId="46EE6EE6" w:rsidR="005D6D39" w:rsidRPr="00102634" w:rsidRDefault="005D6D39">
            <w:pPr>
              <w:pStyle w:val="TableText"/>
              <w:jc w:val="center"/>
            </w:pPr>
            <w:r w:rsidRPr="00102634">
              <w:t>4.8 (3.0, 10.3)</w:t>
            </w:r>
          </w:p>
        </w:tc>
        <w:tc>
          <w:tcPr>
            <w:tcW w:w="811" w:type="pct"/>
            <w:vAlign w:val="center"/>
          </w:tcPr>
          <w:p w14:paraId="7E60DBC5" w14:textId="77777777" w:rsidR="005D6D39" w:rsidRPr="00102634" w:rsidRDefault="005D6D39" w:rsidP="006D3E33">
            <w:pPr>
              <w:pStyle w:val="TableText"/>
              <w:jc w:val="center"/>
            </w:pPr>
            <w:r w:rsidRPr="00102634">
              <w:t>20.9 (15.5, 36.1)</w:t>
            </w:r>
          </w:p>
        </w:tc>
        <w:tc>
          <w:tcPr>
            <w:tcW w:w="811" w:type="pct"/>
            <w:vAlign w:val="center"/>
          </w:tcPr>
          <w:p w14:paraId="64DBFE23" w14:textId="77777777" w:rsidR="005D6D39" w:rsidRPr="00102634" w:rsidRDefault="005D6D39" w:rsidP="006D3E33">
            <w:pPr>
              <w:pStyle w:val="TableText"/>
              <w:jc w:val="center"/>
            </w:pPr>
            <w:r w:rsidRPr="00102634">
              <w:t>23.9 (16.3, 33.3)</w:t>
            </w:r>
          </w:p>
        </w:tc>
      </w:tr>
      <w:tr w:rsidR="005D6D39" w:rsidRPr="00102634" w14:paraId="3A321F17" w14:textId="77777777" w:rsidTr="00ED5AE8">
        <w:tc>
          <w:tcPr>
            <w:tcW w:w="548" w:type="pct"/>
            <w:vMerge/>
            <w:vAlign w:val="center"/>
          </w:tcPr>
          <w:p w14:paraId="42E34171" w14:textId="77777777" w:rsidR="005D6D39" w:rsidRPr="00102634" w:rsidRDefault="005D6D39">
            <w:pPr>
              <w:pStyle w:val="TableText"/>
            </w:pPr>
          </w:p>
        </w:tc>
        <w:tc>
          <w:tcPr>
            <w:tcW w:w="864" w:type="pct"/>
            <w:vAlign w:val="center"/>
          </w:tcPr>
          <w:p w14:paraId="2352581B" w14:textId="33F6D370" w:rsidR="005D6D39" w:rsidRPr="00102634" w:rsidRDefault="005D6D39">
            <w:pPr>
              <w:pStyle w:val="TableText"/>
            </w:pPr>
            <w:r w:rsidRPr="00102634">
              <w:rPr>
                <w:i/>
                <w:iCs/>
              </w:rPr>
              <w:t>PI</w:t>
            </w:r>
            <w:r w:rsidR="00170D4A">
              <w:rPr>
                <w:i/>
                <w:iCs/>
              </w:rPr>
              <w:t>K3CA</w:t>
            </w:r>
            <w:r w:rsidRPr="00102634">
              <w:rPr>
                <w:i/>
                <w:iCs/>
              </w:rPr>
              <w:t>//AKT1/PTEN</w:t>
            </w:r>
            <w:r w:rsidRPr="00102634">
              <w:t xml:space="preserve"> (Expanded)</w:t>
            </w:r>
          </w:p>
        </w:tc>
        <w:tc>
          <w:tcPr>
            <w:tcW w:w="550" w:type="pct"/>
            <w:vAlign w:val="center"/>
          </w:tcPr>
          <w:p w14:paraId="290AC54C" w14:textId="77777777" w:rsidR="005D6D39" w:rsidRPr="00102634" w:rsidRDefault="005D6D39">
            <w:pPr>
              <w:pStyle w:val="TableText"/>
            </w:pPr>
            <w:proofErr w:type="spellStart"/>
            <w:r w:rsidRPr="00102634">
              <w:t>ddPCR</w:t>
            </w:r>
            <w:proofErr w:type="spellEnd"/>
            <w:r w:rsidRPr="00102634">
              <w:t>, IHC, NGS</w:t>
            </w:r>
          </w:p>
        </w:tc>
        <w:tc>
          <w:tcPr>
            <w:tcW w:w="708" w:type="pct"/>
            <w:vAlign w:val="center"/>
          </w:tcPr>
          <w:p w14:paraId="1D3FC503" w14:textId="23F93EAB" w:rsidR="005D6D39" w:rsidRPr="00102634" w:rsidRDefault="005D6D39">
            <w:pPr>
              <w:pStyle w:val="TableText"/>
              <w:jc w:val="center"/>
            </w:pPr>
            <w:r w:rsidRPr="00102634">
              <w:t>4.6 (2.8, 7.9)</w:t>
            </w:r>
          </w:p>
        </w:tc>
        <w:tc>
          <w:tcPr>
            <w:tcW w:w="708" w:type="pct"/>
            <w:vAlign w:val="center"/>
          </w:tcPr>
          <w:p w14:paraId="3275B3BF" w14:textId="348B7549" w:rsidR="005D6D39" w:rsidRPr="00102634" w:rsidRDefault="005D6D39">
            <w:pPr>
              <w:pStyle w:val="TableText"/>
              <w:jc w:val="center"/>
            </w:pPr>
            <w:r w:rsidRPr="00102634">
              <w:t>4.9 (3.2, 10.5)</w:t>
            </w:r>
          </w:p>
        </w:tc>
        <w:tc>
          <w:tcPr>
            <w:tcW w:w="811" w:type="pct"/>
            <w:vAlign w:val="center"/>
          </w:tcPr>
          <w:p w14:paraId="687D6DF1" w14:textId="77777777" w:rsidR="005D6D39" w:rsidRPr="00102634" w:rsidRDefault="005D6D39" w:rsidP="006D3E33">
            <w:pPr>
              <w:pStyle w:val="TableText"/>
              <w:jc w:val="center"/>
            </w:pPr>
            <w:r w:rsidRPr="00102634">
              <w:t>20 (14.8, 31.4)</w:t>
            </w:r>
          </w:p>
        </w:tc>
        <w:tc>
          <w:tcPr>
            <w:tcW w:w="811" w:type="pct"/>
            <w:vAlign w:val="center"/>
          </w:tcPr>
          <w:p w14:paraId="2EEFA24D" w14:textId="77777777" w:rsidR="005D6D39" w:rsidRPr="00102634" w:rsidRDefault="005D6D39" w:rsidP="006D3E33">
            <w:pPr>
              <w:pStyle w:val="TableText"/>
              <w:jc w:val="center"/>
            </w:pPr>
            <w:r w:rsidRPr="00102634">
              <w:t>25.2 (20.3, 36.2)</w:t>
            </w:r>
          </w:p>
        </w:tc>
      </w:tr>
      <w:tr w:rsidR="005D6D39" w:rsidRPr="00102634" w14:paraId="14533235" w14:textId="77777777" w:rsidTr="00ED5AE8">
        <w:tc>
          <w:tcPr>
            <w:tcW w:w="548" w:type="pct"/>
            <w:vMerge/>
            <w:vAlign w:val="center"/>
          </w:tcPr>
          <w:p w14:paraId="2FDF9B42" w14:textId="77777777" w:rsidR="005D6D39" w:rsidRPr="00102634" w:rsidRDefault="005D6D39">
            <w:pPr>
              <w:pStyle w:val="TableText"/>
            </w:pPr>
          </w:p>
        </w:tc>
        <w:tc>
          <w:tcPr>
            <w:tcW w:w="864" w:type="pct"/>
            <w:vAlign w:val="center"/>
          </w:tcPr>
          <w:p w14:paraId="30540E04" w14:textId="037CBCA0" w:rsidR="005D6D39" w:rsidRPr="00102634" w:rsidRDefault="005D6D39">
            <w:pPr>
              <w:pStyle w:val="TableText"/>
            </w:pPr>
            <w:r w:rsidRPr="00102634">
              <w:rPr>
                <w:i/>
                <w:iCs/>
              </w:rPr>
              <w:t>PI</w:t>
            </w:r>
            <w:r w:rsidR="00170D4A">
              <w:rPr>
                <w:i/>
                <w:iCs/>
              </w:rPr>
              <w:t>K3CA</w:t>
            </w:r>
            <w:r w:rsidRPr="00102634">
              <w:rPr>
                <w:i/>
                <w:iCs/>
              </w:rPr>
              <w:t>//AKT1/PTEN</w:t>
            </w:r>
            <w:r w:rsidRPr="00102634">
              <w:t xml:space="preserve"> (Expanded)</w:t>
            </w:r>
          </w:p>
        </w:tc>
        <w:tc>
          <w:tcPr>
            <w:tcW w:w="550" w:type="pct"/>
            <w:vAlign w:val="center"/>
          </w:tcPr>
          <w:p w14:paraId="23AA7D88" w14:textId="77777777" w:rsidR="005D6D39" w:rsidRPr="00102634" w:rsidRDefault="005D6D39">
            <w:pPr>
              <w:pStyle w:val="TableText"/>
            </w:pPr>
            <w:r w:rsidRPr="00102634">
              <w:t>NGS</w:t>
            </w:r>
          </w:p>
        </w:tc>
        <w:tc>
          <w:tcPr>
            <w:tcW w:w="708" w:type="pct"/>
            <w:vAlign w:val="center"/>
          </w:tcPr>
          <w:p w14:paraId="5E9E8838" w14:textId="26960426" w:rsidR="005D6D39" w:rsidRPr="00102634" w:rsidRDefault="005D6D39">
            <w:pPr>
              <w:pStyle w:val="TableText"/>
              <w:jc w:val="center"/>
            </w:pPr>
            <w:r w:rsidRPr="00102634">
              <w:t>3.1 (2.8,7.7)</w:t>
            </w:r>
          </w:p>
        </w:tc>
        <w:tc>
          <w:tcPr>
            <w:tcW w:w="708" w:type="pct"/>
            <w:vAlign w:val="center"/>
          </w:tcPr>
          <w:p w14:paraId="02DCC6EE" w14:textId="17E2F815" w:rsidR="005D6D39" w:rsidRPr="00102634" w:rsidRDefault="005D6D39">
            <w:pPr>
              <w:pStyle w:val="TableText"/>
              <w:jc w:val="center"/>
            </w:pPr>
            <w:r w:rsidRPr="00102634">
              <w:t>5.2 (2.2, 10.5)</w:t>
            </w:r>
          </w:p>
        </w:tc>
        <w:tc>
          <w:tcPr>
            <w:tcW w:w="811" w:type="pct"/>
            <w:vAlign w:val="center"/>
          </w:tcPr>
          <w:p w14:paraId="6AC8523A" w14:textId="77777777" w:rsidR="005D6D39" w:rsidRPr="00102634" w:rsidRDefault="005D6D39" w:rsidP="006D3E33">
            <w:pPr>
              <w:pStyle w:val="TableText"/>
              <w:jc w:val="center"/>
            </w:pPr>
            <w:r w:rsidRPr="00102634">
              <w:t>20.9 (14.1, 35.4)</w:t>
            </w:r>
          </w:p>
        </w:tc>
        <w:tc>
          <w:tcPr>
            <w:tcW w:w="811" w:type="pct"/>
            <w:vAlign w:val="center"/>
          </w:tcPr>
          <w:p w14:paraId="22077D00" w14:textId="77777777" w:rsidR="005D6D39" w:rsidRPr="00102634" w:rsidRDefault="005D6D39" w:rsidP="006D3E33">
            <w:pPr>
              <w:pStyle w:val="TableText"/>
              <w:jc w:val="center"/>
            </w:pPr>
            <w:r w:rsidRPr="00102634">
              <w:t>25.2 (15.3, 38.8)</w:t>
            </w:r>
          </w:p>
        </w:tc>
      </w:tr>
      <w:tr w:rsidR="005D6D39" w:rsidRPr="00102634" w14:paraId="1BFCEE86" w14:textId="77777777" w:rsidTr="00ED5AE8">
        <w:tc>
          <w:tcPr>
            <w:tcW w:w="548" w:type="pct"/>
            <w:vAlign w:val="center"/>
          </w:tcPr>
          <w:p w14:paraId="56B9E07D" w14:textId="6C367F76" w:rsidR="005D6D39" w:rsidRPr="00102634" w:rsidRDefault="005D6D39">
            <w:pPr>
              <w:pStyle w:val="TableText"/>
            </w:pPr>
            <w:r w:rsidRPr="00102634">
              <w:t>SOLAR-1</w:t>
            </w:r>
            <w:r w:rsidR="002B3043">
              <w:t xml:space="preserve"> (N=</w:t>
            </w:r>
            <w:r w:rsidR="0014342D">
              <w:t>288</w:t>
            </w:r>
            <w:r w:rsidR="002B3043">
              <w:t>)</w:t>
            </w:r>
          </w:p>
        </w:tc>
        <w:tc>
          <w:tcPr>
            <w:tcW w:w="864" w:type="pct"/>
            <w:vAlign w:val="center"/>
          </w:tcPr>
          <w:p w14:paraId="33E5EEF5" w14:textId="77777777" w:rsidR="005D6D39" w:rsidRPr="00102634" w:rsidRDefault="005D6D39">
            <w:pPr>
              <w:pStyle w:val="TableText"/>
              <w:rPr>
                <w:i/>
                <w:iCs/>
              </w:rPr>
            </w:pPr>
            <w:r w:rsidRPr="00102634">
              <w:rPr>
                <w:i/>
                <w:iCs/>
              </w:rPr>
              <w:t xml:space="preserve">PIK3CA </w:t>
            </w:r>
          </w:p>
        </w:tc>
        <w:tc>
          <w:tcPr>
            <w:tcW w:w="550" w:type="pct"/>
            <w:vAlign w:val="center"/>
          </w:tcPr>
          <w:p w14:paraId="170CF4CA" w14:textId="77777777" w:rsidR="005D6D39" w:rsidRPr="00102634" w:rsidRDefault="005D6D39">
            <w:pPr>
              <w:pStyle w:val="TableText"/>
            </w:pPr>
            <w:r w:rsidRPr="00102634">
              <w:t>PCR</w:t>
            </w:r>
          </w:p>
        </w:tc>
        <w:tc>
          <w:tcPr>
            <w:tcW w:w="708" w:type="pct"/>
            <w:vAlign w:val="center"/>
          </w:tcPr>
          <w:p w14:paraId="67179D4E" w14:textId="5C917FF3" w:rsidR="005D6D39" w:rsidRPr="00102634" w:rsidRDefault="005D6D39">
            <w:pPr>
              <w:pStyle w:val="TableText"/>
              <w:jc w:val="center"/>
            </w:pPr>
            <w:r w:rsidRPr="00102634">
              <w:t>5.7 (3.7, 7.4)</w:t>
            </w:r>
          </w:p>
        </w:tc>
        <w:tc>
          <w:tcPr>
            <w:tcW w:w="708" w:type="pct"/>
            <w:vAlign w:val="center"/>
          </w:tcPr>
          <w:p w14:paraId="0FFAB4D2" w14:textId="44704F05" w:rsidR="005D6D39" w:rsidRPr="00102634" w:rsidRDefault="005D6D39">
            <w:pPr>
              <w:pStyle w:val="TableText"/>
              <w:jc w:val="center"/>
            </w:pPr>
            <w:r w:rsidRPr="00102634">
              <w:t>5.6 (3.9, 9.1)</w:t>
            </w:r>
          </w:p>
        </w:tc>
        <w:tc>
          <w:tcPr>
            <w:tcW w:w="811" w:type="pct"/>
            <w:vAlign w:val="center"/>
          </w:tcPr>
          <w:p w14:paraId="1FF79CF4" w14:textId="77777777" w:rsidR="005D6D39" w:rsidRPr="00102634" w:rsidRDefault="005D6D39" w:rsidP="006D3E33">
            <w:pPr>
              <w:pStyle w:val="TableText"/>
              <w:jc w:val="center"/>
            </w:pPr>
            <w:r w:rsidRPr="00102634">
              <w:t>31.4 (26.8, 41.3)</w:t>
            </w:r>
          </w:p>
        </w:tc>
        <w:tc>
          <w:tcPr>
            <w:tcW w:w="811" w:type="pct"/>
            <w:vAlign w:val="center"/>
          </w:tcPr>
          <w:p w14:paraId="794D0D1C" w14:textId="77777777" w:rsidR="005D6D39" w:rsidRPr="00102634" w:rsidRDefault="005D6D39" w:rsidP="006D3E33">
            <w:pPr>
              <w:pStyle w:val="TableText"/>
              <w:jc w:val="center"/>
            </w:pPr>
            <w:r w:rsidRPr="00102634">
              <w:t>NR</w:t>
            </w:r>
          </w:p>
        </w:tc>
      </w:tr>
      <w:tr w:rsidR="005D6D39" w:rsidRPr="00102634" w14:paraId="22403688" w14:textId="77777777" w:rsidTr="00ED5AE8">
        <w:tc>
          <w:tcPr>
            <w:tcW w:w="548" w:type="pct"/>
            <w:vMerge w:val="restart"/>
            <w:vAlign w:val="center"/>
          </w:tcPr>
          <w:p w14:paraId="51574E30" w14:textId="23F9543C" w:rsidR="005D6D39" w:rsidRPr="00102634" w:rsidRDefault="005D6D39">
            <w:pPr>
              <w:pStyle w:val="TableText"/>
            </w:pPr>
            <w:r w:rsidRPr="00102634">
              <w:t>BELLE-3</w:t>
            </w:r>
            <w:r w:rsidR="002B3043">
              <w:t xml:space="preserve"> (</w:t>
            </w:r>
            <w:r w:rsidR="0014342D">
              <w:t>N=143)</w:t>
            </w:r>
          </w:p>
        </w:tc>
        <w:tc>
          <w:tcPr>
            <w:tcW w:w="864" w:type="pct"/>
            <w:vAlign w:val="center"/>
          </w:tcPr>
          <w:p w14:paraId="1D5F7A88" w14:textId="77777777" w:rsidR="005D6D39" w:rsidRPr="00102634" w:rsidRDefault="005D6D39">
            <w:pPr>
              <w:pStyle w:val="TableText"/>
              <w:rPr>
                <w:i/>
                <w:iCs/>
              </w:rPr>
            </w:pPr>
            <w:r w:rsidRPr="00102634">
              <w:rPr>
                <w:i/>
                <w:iCs/>
              </w:rPr>
              <w:t xml:space="preserve">PIK3CA </w:t>
            </w:r>
          </w:p>
        </w:tc>
        <w:tc>
          <w:tcPr>
            <w:tcW w:w="550" w:type="pct"/>
            <w:vAlign w:val="center"/>
          </w:tcPr>
          <w:p w14:paraId="72EC66E1" w14:textId="77777777" w:rsidR="005D6D39" w:rsidRPr="00102634" w:rsidRDefault="005D6D39">
            <w:pPr>
              <w:pStyle w:val="TableText"/>
            </w:pPr>
            <w:proofErr w:type="spellStart"/>
            <w:r w:rsidRPr="00102634">
              <w:t>ctDNA</w:t>
            </w:r>
            <w:proofErr w:type="spellEnd"/>
          </w:p>
        </w:tc>
        <w:tc>
          <w:tcPr>
            <w:tcW w:w="708" w:type="pct"/>
            <w:vAlign w:val="center"/>
          </w:tcPr>
          <w:p w14:paraId="7233BDC5" w14:textId="2979C578" w:rsidR="005D6D39" w:rsidRPr="00102634" w:rsidRDefault="005D6D39">
            <w:pPr>
              <w:pStyle w:val="TableText"/>
              <w:jc w:val="center"/>
            </w:pPr>
            <w:r w:rsidRPr="00102634">
              <w:t>1.6 (1.4, 2.8)</w:t>
            </w:r>
          </w:p>
        </w:tc>
        <w:tc>
          <w:tcPr>
            <w:tcW w:w="708" w:type="pct"/>
            <w:vAlign w:val="center"/>
          </w:tcPr>
          <w:p w14:paraId="46042E78" w14:textId="6352CFA0" w:rsidR="005D6D39" w:rsidRPr="00102634" w:rsidRDefault="005D6D39">
            <w:pPr>
              <w:pStyle w:val="TableText"/>
              <w:jc w:val="center"/>
            </w:pPr>
            <w:r w:rsidRPr="00102634">
              <w:t>2.7 (1.5, 3.6)</w:t>
            </w:r>
          </w:p>
        </w:tc>
        <w:tc>
          <w:tcPr>
            <w:tcW w:w="811" w:type="pct"/>
            <w:vAlign w:val="center"/>
          </w:tcPr>
          <w:p w14:paraId="29778DD5" w14:textId="6C43E384" w:rsidR="005D6D39" w:rsidRPr="00102634" w:rsidRDefault="005D6D39" w:rsidP="006D3E33">
            <w:pPr>
              <w:pStyle w:val="TableText"/>
              <w:jc w:val="center"/>
              <w:rPr>
                <w:vertAlign w:val="superscript"/>
              </w:rPr>
            </w:pPr>
            <w:r w:rsidRPr="00102634">
              <w:t xml:space="preserve">NR </w:t>
            </w:r>
            <w:r w:rsidRPr="00102634">
              <w:rPr>
                <w:vertAlign w:val="superscript"/>
              </w:rPr>
              <w:t>c</w:t>
            </w:r>
          </w:p>
        </w:tc>
        <w:tc>
          <w:tcPr>
            <w:tcW w:w="811" w:type="pct"/>
            <w:vAlign w:val="center"/>
          </w:tcPr>
          <w:p w14:paraId="6A88EEDB" w14:textId="1C3E039A" w:rsidR="005D6D39" w:rsidRPr="00102634" w:rsidRDefault="005D6D39" w:rsidP="006D3E33">
            <w:pPr>
              <w:pStyle w:val="TableText"/>
              <w:jc w:val="center"/>
            </w:pPr>
            <w:r w:rsidRPr="00102634">
              <w:t xml:space="preserve">NR </w:t>
            </w:r>
            <w:r w:rsidRPr="00102634">
              <w:rPr>
                <w:vertAlign w:val="superscript"/>
              </w:rPr>
              <w:t>c</w:t>
            </w:r>
          </w:p>
        </w:tc>
      </w:tr>
      <w:tr w:rsidR="005D6D39" w:rsidRPr="00102634" w14:paraId="6E9AA74C" w14:textId="77777777" w:rsidTr="00ED5AE8">
        <w:tc>
          <w:tcPr>
            <w:tcW w:w="548" w:type="pct"/>
            <w:vMerge/>
            <w:vAlign w:val="center"/>
          </w:tcPr>
          <w:p w14:paraId="1478B342" w14:textId="77777777" w:rsidR="005D6D39" w:rsidRPr="00102634" w:rsidRDefault="005D6D39">
            <w:pPr>
              <w:pStyle w:val="TableText"/>
            </w:pPr>
          </w:p>
        </w:tc>
        <w:tc>
          <w:tcPr>
            <w:tcW w:w="864" w:type="pct"/>
            <w:vAlign w:val="center"/>
          </w:tcPr>
          <w:p w14:paraId="7581B920" w14:textId="77777777" w:rsidR="005D6D39" w:rsidRPr="00102634" w:rsidRDefault="005D6D39">
            <w:pPr>
              <w:pStyle w:val="TableText"/>
              <w:rPr>
                <w:i/>
                <w:iCs/>
              </w:rPr>
            </w:pPr>
            <w:r w:rsidRPr="00102634">
              <w:rPr>
                <w:i/>
                <w:iCs/>
              </w:rPr>
              <w:t>PIK3CA</w:t>
            </w:r>
          </w:p>
        </w:tc>
        <w:tc>
          <w:tcPr>
            <w:tcW w:w="550" w:type="pct"/>
            <w:vAlign w:val="center"/>
          </w:tcPr>
          <w:p w14:paraId="0CA7EBC7" w14:textId="77777777" w:rsidR="005D6D39" w:rsidRPr="00102634" w:rsidRDefault="005D6D39">
            <w:pPr>
              <w:pStyle w:val="TableText"/>
            </w:pPr>
            <w:r w:rsidRPr="00102634">
              <w:t>PCR</w:t>
            </w:r>
          </w:p>
        </w:tc>
        <w:tc>
          <w:tcPr>
            <w:tcW w:w="708" w:type="pct"/>
            <w:vAlign w:val="center"/>
          </w:tcPr>
          <w:p w14:paraId="210CDB2E" w14:textId="0216B24F" w:rsidR="005D6D39" w:rsidRPr="00102634" w:rsidRDefault="005D6D39">
            <w:pPr>
              <w:pStyle w:val="TableText"/>
              <w:jc w:val="center"/>
            </w:pPr>
            <w:r w:rsidRPr="00102634">
              <w:t>1.4 (1.4, 2.2)</w:t>
            </w:r>
          </w:p>
        </w:tc>
        <w:tc>
          <w:tcPr>
            <w:tcW w:w="708" w:type="pct"/>
            <w:vAlign w:val="center"/>
          </w:tcPr>
          <w:p w14:paraId="05413BCC" w14:textId="3CC8AB88" w:rsidR="005D6D39" w:rsidRPr="00102634" w:rsidRDefault="005D6D39">
            <w:pPr>
              <w:pStyle w:val="TableText"/>
              <w:jc w:val="center"/>
            </w:pPr>
            <w:r w:rsidRPr="00102634">
              <w:t>1.7 (1.4. 2.9)</w:t>
            </w:r>
          </w:p>
        </w:tc>
        <w:tc>
          <w:tcPr>
            <w:tcW w:w="811" w:type="pct"/>
            <w:vAlign w:val="center"/>
          </w:tcPr>
          <w:p w14:paraId="329FAA8C" w14:textId="139608DE" w:rsidR="005D6D39" w:rsidRPr="00102634" w:rsidRDefault="005D6D39" w:rsidP="006D3E33">
            <w:pPr>
              <w:pStyle w:val="TableText"/>
              <w:jc w:val="center"/>
            </w:pPr>
            <w:r w:rsidRPr="00102634">
              <w:t xml:space="preserve">NR </w:t>
            </w:r>
            <w:r w:rsidRPr="00102634">
              <w:rPr>
                <w:vertAlign w:val="superscript"/>
              </w:rPr>
              <w:t>c</w:t>
            </w:r>
          </w:p>
        </w:tc>
        <w:tc>
          <w:tcPr>
            <w:tcW w:w="811" w:type="pct"/>
            <w:vAlign w:val="center"/>
          </w:tcPr>
          <w:p w14:paraId="325E817F" w14:textId="5E14DAAD" w:rsidR="005D6D39" w:rsidRPr="00102634" w:rsidRDefault="005D6D39" w:rsidP="006D3E33">
            <w:pPr>
              <w:pStyle w:val="TableText"/>
              <w:jc w:val="center"/>
            </w:pPr>
            <w:r w:rsidRPr="00102634">
              <w:t xml:space="preserve">NR </w:t>
            </w:r>
            <w:r w:rsidRPr="00102634">
              <w:rPr>
                <w:vertAlign w:val="superscript"/>
              </w:rPr>
              <w:t>c</w:t>
            </w:r>
          </w:p>
        </w:tc>
      </w:tr>
    </w:tbl>
    <w:p w14:paraId="3E10F75C" w14:textId="77777777" w:rsidR="005D6D39" w:rsidRPr="00102634" w:rsidRDefault="005D6D39" w:rsidP="005D6D39">
      <w:pPr>
        <w:pStyle w:val="TableFigureFooter"/>
      </w:pPr>
      <w:r w:rsidRPr="00102634">
        <w:t>Source: adapted from Table 2.15, pp56-7 of the submission; Andre 2020 (SOLAR-1 updated OS results)</w:t>
      </w:r>
    </w:p>
    <w:p w14:paraId="413533F1" w14:textId="5D512CF2" w:rsidR="00DF182F" w:rsidRPr="00102634" w:rsidRDefault="005D6D39" w:rsidP="00DF182F">
      <w:pPr>
        <w:pStyle w:val="TableFigureFooter"/>
      </w:pPr>
      <w:r w:rsidRPr="00102634">
        <w:t xml:space="preserve">AKT = serine/threonine kinase; </w:t>
      </w:r>
      <w:proofErr w:type="spellStart"/>
      <w:r w:rsidRPr="00102634">
        <w:t>ctDNA</w:t>
      </w:r>
      <w:proofErr w:type="spellEnd"/>
      <w:r w:rsidRPr="00102634">
        <w:t xml:space="preserve"> = Circulating tumour DNA; </w:t>
      </w:r>
      <w:proofErr w:type="spellStart"/>
      <w:r w:rsidRPr="00102634">
        <w:t>ddPCR</w:t>
      </w:r>
      <w:proofErr w:type="spellEnd"/>
      <w:r w:rsidRPr="00102634">
        <w:t xml:space="preserve"> = digital droplet polymerase chain reaction; IHC = immunohistochemistry;</w:t>
      </w:r>
      <w:r w:rsidR="0015205C">
        <w:t xml:space="preserve"> N = number of patients in the comparator arm;</w:t>
      </w:r>
      <w:r w:rsidRPr="00102634">
        <w:t xml:space="preserve"> NE = Not estimable NGS = Next-Generation Sequencing; NR = not reported; OS = overall survival; PCR = Polymerase chain reaction; PFS = progression free survival; PIK3CA = phosphatidylinositol 3-kinase; PTEN = Phosphatase and </w:t>
      </w:r>
      <w:proofErr w:type="spellStart"/>
      <w:r w:rsidRPr="00102634">
        <w:t>tensin</w:t>
      </w:r>
      <w:proofErr w:type="spellEnd"/>
      <w:r w:rsidRPr="00102634">
        <w:t xml:space="preserve"> homolog</w:t>
      </w:r>
      <w:r w:rsidR="00C54EF0">
        <w:t>; SOC</w:t>
      </w:r>
      <w:r w:rsidR="00A450A2">
        <w:t xml:space="preserve"> = </w:t>
      </w:r>
      <w:r w:rsidR="00BD179F">
        <w:t xml:space="preserve">standard of care (placebo + </w:t>
      </w:r>
      <w:proofErr w:type="spellStart"/>
      <w:r w:rsidR="00BD179F">
        <w:t>fulvestrant</w:t>
      </w:r>
      <w:proofErr w:type="spellEnd"/>
      <w:r w:rsidR="00BD179F">
        <w:t>)</w:t>
      </w:r>
      <w:r w:rsidRPr="00102634">
        <w:br/>
      </w:r>
      <w:r w:rsidR="00DF182F">
        <w:t xml:space="preserve">* n/N represents the </w:t>
      </w:r>
      <w:r w:rsidR="00003DE1">
        <w:t xml:space="preserve">proportion </w:t>
      </w:r>
      <w:r w:rsidR="00DF182F">
        <w:t>of altered or non-altered patients in the comparator arm from each respective trial</w:t>
      </w:r>
    </w:p>
    <w:p w14:paraId="2BEE5BDD" w14:textId="31167998" w:rsidR="005D6D39" w:rsidRPr="00102634" w:rsidRDefault="005D6D39" w:rsidP="005D6D39">
      <w:pPr>
        <w:pStyle w:val="TableFigureFooter"/>
      </w:pPr>
      <w:proofErr w:type="spellStart"/>
      <w:r w:rsidRPr="00102634">
        <w:rPr>
          <w:vertAlign w:val="superscript"/>
        </w:rPr>
        <w:t>a</w:t>
      </w:r>
      <w:proofErr w:type="spellEnd"/>
      <w:r w:rsidRPr="00102634">
        <w:t xml:space="preserve"> in patients with </w:t>
      </w:r>
      <w:r w:rsidR="001D42C7" w:rsidRPr="00102634">
        <w:t>non AKT</w:t>
      </w:r>
      <w:r w:rsidRPr="00102634">
        <w:t xml:space="preserve"> pathway altered tumours (including unknown patients)</w:t>
      </w:r>
    </w:p>
    <w:p w14:paraId="72470626" w14:textId="51E45562" w:rsidR="005D6D39" w:rsidRDefault="005D6D39" w:rsidP="005D6D39">
      <w:pPr>
        <w:pStyle w:val="TableFigureFooter"/>
        <w:rPr>
          <w:vertAlign w:val="superscript"/>
        </w:rPr>
      </w:pPr>
      <w:r w:rsidRPr="00102634">
        <w:rPr>
          <w:vertAlign w:val="superscript"/>
        </w:rPr>
        <w:t xml:space="preserve">b </w:t>
      </w:r>
      <w:r w:rsidRPr="00102634">
        <w:t xml:space="preserve">in patients with known </w:t>
      </w:r>
      <w:r w:rsidR="001D42C7" w:rsidRPr="00102634">
        <w:t xml:space="preserve">non </w:t>
      </w:r>
      <w:r w:rsidR="001D42C7" w:rsidRPr="00102634" w:rsidDel="006F41D3">
        <w:t>AKT</w:t>
      </w:r>
      <w:r w:rsidR="006F41D3">
        <w:t xml:space="preserve"> pathway</w:t>
      </w:r>
      <w:r w:rsidRPr="00102634">
        <w:t xml:space="preserve"> altered tumours (excluding unknown patients)</w:t>
      </w:r>
    </w:p>
    <w:p w14:paraId="238B3F14" w14:textId="1F9DDE8A" w:rsidR="00E13812" w:rsidRDefault="005D6D39" w:rsidP="005D6D39">
      <w:pPr>
        <w:pStyle w:val="TableFigureFooter"/>
      </w:pPr>
      <w:r w:rsidRPr="00102634">
        <w:rPr>
          <w:vertAlign w:val="superscript"/>
        </w:rPr>
        <w:t>c</w:t>
      </w:r>
      <w:r w:rsidRPr="00102634">
        <w:t xml:space="preserve"> the submission stated that due to early study termination OS data collection stopped early.</w:t>
      </w:r>
      <w:r w:rsidR="00DE60B1" w:rsidRPr="00DE60B1">
        <w:t xml:space="preserve"> </w:t>
      </w:r>
      <w:r w:rsidR="00DE60B1" w:rsidRPr="00102634">
        <w:t>As such, final OS analyses was not completed in BELLE-3</w:t>
      </w:r>
    </w:p>
    <w:p w14:paraId="343FF448" w14:textId="757647E4" w:rsidR="00186DBC" w:rsidRDefault="00186DBC" w:rsidP="005D6D39">
      <w:pPr>
        <w:pStyle w:val="TableFigureFooter"/>
      </w:pPr>
      <w:r>
        <w:t>Median follow up durations in the comparator arms of each trial were:</w:t>
      </w:r>
    </w:p>
    <w:p w14:paraId="12F8A884" w14:textId="6609760A" w:rsidR="00186DBC" w:rsidRDefault="00186DBC" w:rsidP="005D6D39">
      <w:pPr>
        <w:pStyle w:val="TableFigureFooter"/>
      </w:pPr>
      <w:r>
        <w:t xml:space="preserve">CAPItello-291 14.3 months; FAKTION 62.3 months; SOLAR-1 </w:t>
      </w:r>
      <w:r w:rsidR="004A7D5A">
        <w:t>at data cutoff December 23</w:t>
      </w:r>
      <w:r w:rsidR="006444FA">
        <w:t>, 2016</w:t>
      </w:r>
      <w:r w:rsidR="004A7D5A">
        <w:t xml:space="preserve">, </w:t>
      </w:r>
      <w:r>
        <w:t xml:space="preserve">20 months in the </w:t>
      </w:r>
      <w:r w:rsidRPr="004A7D5A">
        <w:rPr>
          <w:i/>
          <w:iCs/>
        </w:rPr>
        <w:t>PIK3CA</w:t>
      </w:r>
      <w:r>
        <w:t xml:space="preserve"> altered cohort and 7.4 months in the non-</w:t>
      </w:r>
      <w:r w:rsidRPr="004A7D5A">
        <w:rPr>
          <w:i/>
          <w:iCs/>
        </w:rPr>
        <w:t>PIK3CA</w:t>
      </w:r>
      <w:r>
        <w:t xml:space="preserve"> altered cohort</w:t>
      </w:r>
      <w:r w:rsidR="00905610">
        <w:t xml:space="preserve"> </w:t>
      </w:r>
      <w:r w:rsidR="004A7D5A">
        <w:t>and at data cutoff April 23</w:t>
      </w:r>
      <w:r w:rsidR="006444FA">
        <w:t>, 2020</w:t>
      </w:r>
      <w:r w:rsidR="004A7D5A">
        <w:t xml:space="preserve">, 42.4 months in the </w:t>
      </w:r>
      <w:r w:rsidR="004A7D5A" w:rsidRPr="004A7D5A">
        <w:rPr>
          <w:i/>
          <w:iCs/>
        </w:rPr>
        <w:t>PIK3CA</w:t>
      </w:r>
      <w:r w:rsidR="004A7D5A">
        <w:t xml:space="preserve"> altered cohort and was not reported for the non-</w:t>
      </w:r>
      <w:r w:rsidR="004A7D5A" w:rsidRPr="004A7D5A">
        <w:rPr>
          <w:i/>
          <w:iCs/>
        </w:rPr>
        <w:t>PIK3CA</w:t>
      </w:r>
      <w:r w:rsidR="004A7D5A">
        <w:t xml:space="preserve"> altered cohort</w:t>
      </w:r>
      <w:r>
        <w:t>; BELLE-3 12 months</w:t>
      </w:r>
    </w:p>
    <w:p w14:paraId="5728647E" w14:textId="3EF4EDF3"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submission stated that AKT pathway altered tumours had a low prognostic impact among patients with HR+/HER2- locally advanced or metastatic breast cancer treated </w:t>
      </w:r>
      <w:r w:rsidR="00E92C0F" w:rsidRPr="00C24C30">
        <w:rPr>
          <w:rFonts w:ascii="Franklin Gothic Book" w:hAnsi="Franklin Gothic Book"/>
          <w:sz w:val="22"/>
        </w:rPr>
        <w:t xml:space="preserve">with </w:t>
      </w:r>
      <w:r w:rsidRPr="00C24C30">
        <w:rPr>
          <w:rFonts w:ascii="Franklin Gothic Book" w:hAnsi="Franklin Gothic Book"/>
          <w:sz w:val="22"/>
        </w:rPr>
        <w:t>SOC (placebo + FULV</w:t>
      </w:r>
      <w:r w:rsidR="0038C535" w:rsidRPr="00C24C30">
        <w:rPr>
          <w:rFonts w:ascii="Franklin Gothic Book" w:hAnsi="Franklin Gothic Book"/>
          <w:sz w:val="22"/>
        </w:rPr>
        <w:t>)</w:t>
      </w:r>
      <w:r w:rsidR="69E9F1F2" w:rsidRPr="00C24C30">
        <w:rPr>
          <w:rFonts w:ascii="Franklin Gothic Book" w:hAnsi="Franklin Gothic Book"/>
          <w:sz w:val="22"/>
        </w:rPr>
        <w:t>,</w:t>
      </w:r>
      <w:r w:rsidRPr="00C24C30">
        <w:rPr>
          <w:rFonts w:ascii="Franklin Gothic Book" w:hAnsi="Franklin Gothic Book"/>
          <w:sz w:val="22"/>
        </w:rPr>
        <w:t xml:space="preserve"> since the median PFS </w:t>
      </w:r>
      <w:r w:rsidR="78DFA36D" w:rsidRPr="00C24C30">
        <w:rPr>
          <w:rFonts w:ascii="Franklin Gothic Book" w:hAnsi="Franklin Gothic Book"/>
          <w:sz w:val="22"/>
        </w:rPr>
        <w:t xml:space="preserve">was </w:t>
      </w:r>
      <w:r w:rsidRPr="00C24C30">
        <w:rPr>
          <w:rFonts w:ascii="Franklin Gothic Book" w:hAnsi="Franklin Gothic Book"/>
          <w:sz w:val="22"/>
        </w:rPr>
        <w:t xml:space="preserve">similar between AKT pathway altered and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subgroups in each respective trial. Although inconsistent with the claims made in the clinical evidence, the submission (p7) also considered that “patients with alterations in this pathway may experience rapid disease progression and worse clinical outcomes”.</w:t>
      </w:r>
    </w:p>
    <w:p w14:paraId="43A42C76" w14:textId="4F49648B" w:rsidR="005D6D39" w:rsidRPr="00C24C30" w:rsidRDefault="005D6D39" w:rsidP="005D6D39">
      <w:pPr>
        <w:pStyle w:val="MainBodyBulletPoint"/>
        <w:numPr>
          <w:ilvl w:val="0"/>
          <w:numId w:val="0"/>
        </w:numPr>
        <w:jc w:val="both"/>
        <w:rPr>
          <w:rFonts w:ascii="Franklin Gothic Book" w:hAnsi="Franklin Gothic Book"/>
          <w:sz w:val="22"/>
        </w:rPr>
      </w:pPr>
      <w:r w:rsidRPr="00C24C30">
        <w:rPr>
          <w:rFonts w:ascii="Franklin Gothic Book" w:hAnsi="Franklin Gothic Book"/>
          <w:sz w:val="22"/>
        </w:rPr>
        <w:t xml:space="preserve">Overall, the commentary considered </w:t>
      </w:r>
      <w:r w:rsidR="2E03AA15" w:rsidRPr="00C24C30">
        <w:rPr>
          <w:rFonts w:ascii="Franklin Gothic Book" w:hAnsi="Franklin Gothic Book"/>
          <w:sz w:val="22"/>
        </w:rPr>
        <w:t xml:space="preserve">that </w:t>
      </w:r>
      <w:r w:rsidRPr="00C24C30">
        <w:rPr>
          <w:rFonts w:ascii="Franklin Gothic Book" w:hAnsi="Franklin Gothic Book"/>
          <w:sz w:val="22"/>
        </w:rPr>
        <w:t>the evidence presented to inform the prognostic effect of AKT pathway alterations was highly uncertain</w:t>
      </w:r>
      <w:r w:rsidR="06C0C358" w:rsidRPr="00C24C30">
        <w:rPr>
          <w:rFonts w:ascii="Franklin Gothic Book" w:hAnsi="Franklin Gothic Book"/>
          <w:sz w:val="22"/>
        </w:rPr>
        <w:t>,</w:t>
      </w:r>
      <w:r w:rsidRPr="00C24C30">
        <w:rPr>
          <w:rFonts w:ascii="Franklin Gothic Book" w:hAnsi="Franklin Gothic Book"/>
          <w:sz w:val="22"/>
        </w:rPr>
        <w:t xml:space="preserve"> and it was not clearly supportive of any prognostic </w:t>
      </w:r>
      <w:proofErr w:type="gramStart"/>
      <w:r w:rsidRPr="00C24C30">
        <w:rPr>
          <w:rFonts w:ascii="Franklin Gothic Book" w:hAnsi="Franklin Gothic Book"/>
          <w:sz w:val="22"/>
        </w:rPr>
        <w:t>effect</w:t>
      </w:r>
      <w:proofErr w:type="gramEnd"/>
      <w:r w:rsidRPr="00C24C30">
        <w:rPr>
          <w:rFonts w:ascii="Franklin Gothic Book" w:hAnsi="Franklin Gothic Book"/>
          <w:sz w:val="22"/>
        </w:rPr>
        <w:t xml:space="preserve"> nor </w:t>
      </w:r>
      <w:r w:rsidR="2DC46220" w:rsidRPr="00C24C30">
        <w:rPr>
          <w:rFonts w:ascii="Franklin Gothic Book" w:hAnsi="Franklin Gothic Book"/>
          <w:sz w:val="22"/>
        </w:rPr>
        <w:t xml:space="preserve">was </w:t>
      </w:r>
      <w:r w:rsidRPr="00C24C30">
        <w:rPr>
          <w:rFonts w:ascii="Franklin Gothic Book" w:hAnsi="Franklin Gothic Book"/>
          <w:sz w:val="22"/>
        </w:rPr>
        <w:t xml:space="preserve">strong evidence </w:t>
      </w:r>
      <w:r w:rsidR="6082D944" w:rsidRPr="00C24C30">
        <w:rPr>
          <w:rFonts w:ascii="Franklin Gothic Book" w:hAnsi="Franklin Gothic Book"/>
          <w:sz w:val="22"/>
        </w:rPr>
        <w:t>provided</w:t>
      </w:r>
      <w:r w:rsidR="0038C535" w:rsidRPr="00C24C30">
        <w:rPr>
          <w:rFonts w:ascii="Franklin Gothic Book" w:hAnsi="Franklin Gothic Book"/>
          <w:sz w:val="22"/>
        </w:rPr>
        <w:t xml:space="preserve"> </w:t>
      </w:r>
      <w:r w:rsidRPr="00C24C30">
        <w:rPr>
          <w:rFonts w:ascii="Franklin Gothic Book" w:hAnsi="Franklin Gothic Book"/>
          <w:sz w:val="22"/>
        </w:rPr>
        <w:t>to support any claims regarding the magnitude of any effect</w:t>
      </w:r>
      <w:r w:rsidR="5D8B520F" w:rsidRPr="00C24C30">
        <w:rPr>
          <w:rFonts w:ascii="Franklin Gothic Book" w:hAnsi="Franklin Gothic Book"/>
          <w:sz w:val="22"/>
        </w:rPr>
        <w:t>, since</w:t>
      </w:r>
      <w:r w:rsidRPr="00C24C30">
        <w:rPr>
          <w:rFonts w:ascii="Franklin Gothic Book" w:hAnsi="Franklin Gothic Book"/>
          <w:sz w:val="22"/>
        </w:rPr>
        <w:t xml:space="preserve">: </w:t>
      </w:r>
    </w:p>
    <w:p w14:paraId="0C4A79EC" w14:textId="0FFD0EFE" w:rsidR="005D6D39" w:rsidRPr="00C24C30" w:rsidRDefault="005D6D39" w:rsidP="008A11E8">
      <w:pPr>
        <w:pStyle w:val="MainBodyBulletPoint"/>
        <w:jc w:val="both"/>
        <w:rPr>
          <w:rFonts w:ascii="Franklin Gothic Book" w:hAnsi="Franklin Gothic Book"/>
          <w:sz w:val="22"/>
        </w:rPr>
      </w:pPr>
      <w:r w:rsidRPr="00C24C30">
        <w:rPr>
          <w:rFonts w:ascii="Franklin Gothic Book" w:hAnsi="Franklin Gothic Book"/>
          <w:sz w:val="22"/>
        </w:rPr>
        <w:t xml:space="preserve">The median PFS between AKT pathway altered and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patients varied across trials (e.g. in altered pathway, ranged from 1.4 months in BELLE-3 using PCR to 5.2 months in FAKTION using digital droplet polymerase chain reaction [</w:t>
      </w:r>
      <w:proofErr w:type="spellStart"/>
      <w:r w:rsidRPr="00C24C30">
        <w:rPr>
          <w:rFonts w:ascii="Franklin Gothic Book" w:hAnsi="Franklin Gothic Book"/>
          <w:sz w:val="22"/>
        </w:rPr>
        <w:t>ddPCR</w:t>
      </w:r>
      <w:proofErr w:type="spellEnd"/>
      <w:r w:rsidRPr="00C24C30">
        <w:rPr>
          <w:rFonts w:ascii="Franklin Gothic Book" w:hAnsi="Franklin Gothic Book"/>
          <w:sz w:val="22"/>
        </w:rPr>
        <w:t>], IHC</w:t>
      </w:r>
      <w:r w:rsidR="0038C535" w:rsidRPr="00C24C30">
        <w:rPr>
          <w:rFonts w:ascii="Franklin Gothic Book" w:hAnsi="Franklin Gothic Book"/>
          <w:sz w:val="22"/>
        </w:rPr>
        <w:t>)</w:t>
      </w:r>
      <w:r w:rsidR="4C14BDE3" w:rsidRPr="00C24C30">
        <w:rPr>
          <w:rFonts w:ascii="Franklin Gothic Book" w:hAnsi="Franklin Gothic Book"/>
          <w:sz w:val="22"/>
        </w:rPr>
        <w:t>.</w:t>
      </w:r>
      <w:r w:rsidR="6D724C03" w:rsidRPr="00C24C30">
        <w:rPr>
          <w:rFonts w:ascii="Franklin Gothic Book" w:hAnsi="Franklin Gothic Book"/>
          <w:sz w:val="22"/>
        </w:rPr>
        <w:t>T</w:t>
      </w:r>
      <w:r w:rsidR="0038C535" w:rsidRPr="00C24C30">
        <w:rPr>
          <w:rFonts w:ascii="Franklin Gothic Book" w:hAnsi="Franklin Gothic Book"/>
          <w:sz w:val="22"/>
        </w:rPr>
        <w:t>here</w:t>
      </w:r>
      <w:r w:rsidRPr="00C24C30">
        <w:rPr>
          <w:rFonts w:ascii="Franklin Gothic Book" w:hAnsi="Franklin Gothic Book"/>
          <w:sz w:val="22"/>
        </w:rPr>
        <w:t xml:space="preserve"> was no clear signal of a prognostic effect</w:t>
      </w:r>
      <w:r w:rsidR="7B85DA1C" w:rsidRPr="00C24C30">
        <w:rPr>
          <w:rFonts w:ascii="Franklin Gothic Book" w:hAnsi="Franklin Gothic Book"/>
          <w:sz w:val="22"/>
        </w:rPr>
        <w:t>,</w:t>
      </w:r>
      <w:r w:rsidR="0038C535" w:rsidRPr="00C24C30">
        <w:rPr>
          <w:rFonts w:ascii="Franklin Gothic Book" w:hAnsi="Franklin Gothic Book"/>
          <w:sz w:val="22"/>
        </w:rPr>
        <w:t xml:space="preserve"> </w:t>
      </w:r>
      <w:r w:rsidR="4CC8D550" w:rsidRPr="00C24C30">
        <w:rPr>
          <w:rFonts w:ascii="Franklin Gothic Book" w:hAnsi="Franklin Gothic Book"/>
          <w:sz w:val="22"/>
        </w:rPr>
        <w:t>given that</w:t>
      </w:r>
      <w:r w:rsidRPr="00C24C30">
        <w:rPr>
          <w:rFonts w:ascii="Franklin Gothic Book" w:hAnsi="Franklin Gothic Book"/>
          <w:sz w:val="22"/>
        </w:rPr>
        <w:t xml:space="preserve"> the median PFS in the AKT pathway altered and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subgroups within each trial showed overlapping 95% CIs</w:t>
      </w:r>
      <w:r w:rsidR="6208EFBD" w:rsidRPr="00C24C30">
        <w:rPr>
          <w:rFonts w:ascii="Franklin Gothic Book" w:hAnsi="Franklin Gothic Book"/>
          <w:sz w:val="22"/>
        </w:rPr>
        <w:t>.</w:t>
      </w:r>
      <w:r w:rsidRPr="00C24C30">
        <w:rPr>
          <w:rFonts w:ascii="Franklin Gothic Book" w:hAnsi="Franklin Gothic Book"/>
          <w:sz w:val="22"/>
        </w:rPr>
        <w:t xml:space="preserve">  </w:t>
      </w:r>
    </w:p>
    <w:p w14:paraId="2033F80D" w14:textId="06711EA8" w:rsidR="005D6D39" w:rsidRPr="00C24C30" w:rsidRDefault="005D6D39" w:rsidP="008A11E8">
      <w:pPr>
        <w:pStyle w:val="MainBodyBulletPoint"/>
        <w:jc w:val="both"/>
        <w:rPr>
          <w:rFonts w:ascii="Franklin Gothic Book" w:hAnsi="Franklin Gothic Book"/>
          <w:sz w:val="22"/>
        </w:rPr>
      </w:pPr>
      <w:r w:rsidRPr="00C24C30">
        <w:rPr>
          <w:rFonts w:ascii="Franklin Gothic Book" w:hAnsi="Franklin Gothic Book"/>
          <w:sz w:val="22"/>
        </w:rPr>
        <w:lastRenderedPageBreak/>
        <w:t xml:space="preserve">While CAPItello-291 was considered more applicable to the proposed test setting than FAKTION, SOLAR-1 and BELLE-3, </w:t>
      </w:r>
      <w:r w:rsidR="00F7245C" w:rsidRPr="00C24C30">
        <w:rPr>
          <w:rFonts w:ascii="Franklin Gothic Book" w:hAnsi="Franklin Gothic Book"/>
          <w:sz w:val="22"/>
        </w:rPr>
        <w:t xml:space="preserve">patients in CAPItello-291 were not randomised by AKT pathway alteration status, and </w:t>
      </w:r>
      <w:r w:rsidRPr="00C24C30">
        <w:rPr>
          <w:rFonts w:ascii="Franklin Gothic Book" w:hAnsi="Franklin Gothic Book"/>
          <w:sz w:val="22"/>
        </w:rPr>
        <w:t xml:space="preserve">the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subgroups were exploratory </w:t>
      </w:r>
      <w:r w:rsidRPr="00C24C30">
        <w:rPr>
          <w:rFonts w:ascii="Franklin Gothic Book" w:hAnsi="Franklin Gothic Book"/>
          <w:i/>
          <w:sz w:val="22"/>
        </w:rPr>
        <w:t>post hoc</w:t>
      </w:r>
      <w:r w:rsidRPr="00C24C30">
        <w:rPr>
          <w:rFonts w:ascii="Franklin Gothic Book" w:hAnsi="Franklin Gothic Book"/>
          <w:sz w:val="22"/>
        </w:rPr>
        <w:t xml:space="preserve"> </w:t>
      </w:r>
      <w:proofErr w:type="gramStart"/>
      <w:r w:rsidRPr="00C24C30">
        <w:rPr>
          <w:rFonts w:ascii="Franklin Gothic Book" w:hAnsi="Franklin Gothic Book"/>
          <w:sz w:val="22"/>
        </w:rPr>
        <w:t>analyses</w:t>
      </w:r>
      <w:r w:rsidR="00F92BBB" w:rsidRPr="00C24C30">
        <w:rPr>
          <w:rFonts w:ascii="Franklin Gothic Book" w:hAnsi="Franklin Gothic Book"/>
          <w:sz w:val="22"/>
        </w:rPr>
        <w:t>, and</w:t>
      </w:r>
      <w:proofErr w:type="gramEnd"/>
      <w:r w:rsidR="00F92BBB" w:rsidRPr="00C24C30">
        <w:rPr>
          <w:rFonts w:ascii="Franklin Gothic Book" w:hAnsi="Franklin Gothic Book"/>
          <w:sz w:val="22"/>
        </w:rPr>
        <w:t xml:space="preserve"> so results from these subgroups are interpreted with caution</w:t>
      </w:r>
      <w:r w:rsidRPr="00C24C30">
        <w:rPr>
          <w:rFonts w:ascii="Franklin Gothic Book" w:hAnsi="Franklin Gothic Book"/>
          <w:sz w:val="22"/>
        </w:rPr>
        <w:t>. The FAKTION, SOLAR-1, and BELLE-3 trials also analysed AKT pathway subgroups in an exploratory manner and had limited applicability to the proposed test setting (e.g., used different assays</w:t>
      </w:r>
      <w:r w:rsidR="58F1D35B" w:rsidRPr="00C24C30">
        <w:rPr>
          <w:rFonts w:ascii="Franklin Gothic Book" w:hAnsi="Franklin Gothic Book"/>
          <w:sz w:val="22"/>
        </w:rPr>
        <w:t>;</w:t>
      </w:r>
      <w:r w:rsidRPr="00C24C30">
        <w:rPr>
          <w:rFonts w:ascii="Franklin Gothic Book" w:hAnsi="Franklin Gothic Book"/>
          <w:sz w:val="22"/>
        </w:rPr>
        <w:t xml:space="preserve"> tested tumour tissue and</w:t>
      </w:r>
      <w:r w:rsidR="58355B8D" w:rsidRPr="00C24C30">
        <w:rPr>
          <w:rFonts w:ascii="Franklin Gothic Book" w:hAnsi="Franklin Gothic Book"/>
          <w:sz w:val="22"/>
        </w:rPr>
        <w:t>/</w:t>
      </w:r>
      <w:r w:rsidRPr="00C24C30">
        <w:rPr>
          <w:rFonts w:ascii="Franklin Gothic Book" w:hAnsi="Franklin Gothic Book"/>
          <w:sz w:val="22"/>
        </w:rPr>
        <w:t>or blood samples; tested different gene variants</w:t>
      </w:r>
      <w:r w:rsidR="0038C535" w:rsidRPr="00C24C30">
        <w:rPr>
          <w:rFonts w:ascii="Franklin Gothic Book" w:hAnsi="Franklin Gothic Book"/>
          <w:sz w:val="22"/>
        </w:rPr>
        <w:t>)</w:t>
      </w:r>
      <w:r w:rsidR="2D34748A" w:rsidRPr="00C24C30">
        <w:rPr>
          <w:rFonts w:ascii="Franklin Gothic Book" w:hAnsi="Franklin Gothic Book"/>
          <w:sz w:val="22"/>
        </w:rPr>
        <w:t>.</w:t>
      </w:r>
    </w:p>
    <w:p w14:paraId="04BFCFBC" w14:textId="77777777" w:rsidR="005D6D39" w:rsidRPr="00C24C30" w:rsidRDefault="005D6D39" w:rsidP="008A11E8">
      <w:pPr>
        <w:pStyle w:val="MainBodyBulletPoint"/>
        <w:jc w:val="both"/>
        <w:rPr>
          <w:rFonts w:ascii="Franklin Gothic Book" w:hAnsi="Franklin Gothic Book"/>
          <w:sz w:val="22"/>
        </w:rPr>
      </w:pPr>
      <w:r w:rsidRPr="00C24C30">
        <w:rPr>
          <w:rFonts w:ascii="Franklin Gothic Book" w:hAnsi="Franklin Gothic Book"/>
          <w:sz w:val="22"/>
        </w:rPr>
        <w:t xml:space="preserve">The applicability of interpreting the prognostic effect of AKT pathway testing based on treatment with placebo + FULV is reduced given there is no established 2L SOC in Australia and the clinical landscape for 2L HR+/HER2- locally advanced metastatic breast cancer is evolving. </w:t>
      </w:r>
    </w:p>
    <w:p w14:paraId="4892FF16" w14:textId="649C0522" w:rsidR="00D24B19" w:rsidRPr="00C24C30" w:rsidRDefault="005D6D39" w:rsidP="005D6D39">
      <w:pPr>
        <w:rPr>
          <w:rFonts w:ascii="Franklin Gothic Book" w:hAnsi="Franklin Gothic Book"/>
          <w:sz w:val="22"/>
        </w:rPr>
      </w:pPr>
      <w:r w:rsidRPr="00C24C30">
        <w:rPr>
          <w:rFonts w:ascii="Franklin Gothic Book" w:hAnsi="Franklin Gothic Book"/>
          <w:sz w:val="22"/>
        </w:rPr>
        <w:t xml:space="preserve">The presented evidence supporting the prognostic effect of AKT pathway alterations was considered equivocal by the commentary. However, the commentary noted that </w:t>
      </w:r>
      <w:r w:rsidR="00D24B19" w:rsidRPr="00C24C30">
        <w:rPr>
          <w:rFonts w:ascii="Franklin Gothic Book" w:hAnsi="Franklin Gothic Book"/>
          <w:sz w:val="22"/>
        </w:rPr>
        <w:t xml:space="preserve">in CAPItello-291 (which primarily informed the predictive effect of AKT pathway testing) there was a lower median PFS in the AKT pathway altered compared to the known non AKT pathway altered subgroups (3.1 vs 3.7 months), potentially suggesting a worse PFS in AKT pathway altered patients. If AKT pathway alterations were prognostic, this observed difference may be reasonable. Conversely, if AKT pathway alterations were not prognostic, then this lower median PFS in the AKT pathway altered subgroup relative to the known non AKT pathway altered subgroup </w:t>
      </w:r>
      <w:r w:rsidR="00825068" w:rsidRPr="00C24C30">
        <w:rPr>
          <w:rFonts w:ascii="Franklin Gothic Book" w:hAnsi="Franklin Gothic Book"/>
          <w:sz w:val="22"/>
        </w:rPr>
        <w:t xml:space="preserve">may suggest an overestimated comparative treatment effect of CAPI+FULV and placebo + FULV in the AKT pathway altered subgroup or an underestimated treatment effect in the known non AKT pathway altered subgroup. As such, </w:t>
      </w:r>
      <w:r w:rsidR="001653AA" w:rsidRPr="00C24C30">
        <w:rPr>
          <w:rFonts w:ascii="Franklin Gothic Book" w:hAnsi="Franklin Gothic Book"/>
          <w:sz w:val="22"/>
        </w:rPr>
        <w:t xml:space="preserve">the </w:t>
      </w:r>
      <w:r w:rsidR="00D24B19" w:rsidRPr="00C24C30">
        <w:rPr>
          <w:rFonts w:ascii="Franklin Gothic Book" w:hAnsi="Franklin Gothic Book"/>
          <w:sz w:val="22"/>
        </w:rPr>
        <w:t>predictive value of treatment with CAPI+FULV in CAPItello-291</w:t>
      </w:r>
      <w:r w:rsidR="001653AA" w:rsidRPr="00C24C30">
        <w:rPr>
          <w:rFonts w:ascii="Franklin Gothic Book" w:hAnsi="Franklin Gothic Book"/>
          <w:sz w:val="22"/>
        </w:rPr>
        <w:t xml:space="preserve"> was potentially overestimated. </w:t>
      </w:r>
    </w:p>
    <w:p w14:paraId="53365455"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 xml:space="preserve">Predictive evidence </w:t>
      </w:r>
    </w:p>
    <w:p w14:paraId="2A4B3FEB" w14:textId="5CDE51C0" w:rsidR="00A20FDE" w:rsidRPr="00C24C30" w:rsidRDefault="00A20FDE" w:rsidP="005D6D39">
      <w:pPr>
        <w:rPr>
          <w:rFonts w:ascii="Franklin Gothic Book" w:hAnsi="Franklin Gothic Book"/>
          <w:sz w:val="22"/>
        </w:rPr>
      </w:pPr>
      <w:r w:rsidRPr="00C24C30">
        <w:rPr>
          <w:rFonts w:ascii="Franklin Gothic Book" w:hAnsi="Franklin Gothic Book"/>
          <w:sz w:val="22"/>
        </w:rPr>
        <w:t xml:space="preserve">The AKT pathway alteration subgroups from CAPItello-291 and FAKTION that informed the predictive effect of AKT pathway testing and treatment with CAPI+FULV </w:t>
      </w:r>
      <w:r w:rsidR="00471C40" w:rsidRPr="00C24C30">
        <w:rPr>
          <w:rFonts w:ascii="Franklin Gothic Book" w:hAnsi="Franklin Gothic Book"/>
          <w:sz w:val="22"/>
        </w:rPr>
        <w:t>are</w:t>
      </w:r>
      <w:r w:rsidRPr="00C24C30">
        <w:rPr>
          <w:rFonts w:ascii="Franklin Gothic Book" w:hAnsi="Franklin Gothic Book"/>
          <w:sz w:val="22"/>
        </w:rPr>
        <w:t xml:space="preserve"> presented in </w:t>
      </w:r>
      <w:r w:rsidR="00896C11" w:rsidRPr="00C24C30">
        <w:rPr>
          <w:rFonts w:ascii="Franklin Gothic Book" w:hAnsi="Franklin Gothic Book"/>
          <w:sz w:val="22"/>
        </w:rPr>
        <w:fldChar w:fldCharType="begin"/>
      </w:r>
      <w:r w:rsidR="00896C11" w:rsidRPr="00C24C30">
        <w:rPr>
          <w:rFonts w:ascii="Franklin Gothic Book" w:hAnsi="Franklin Gothic Book"/>
          <w:sz w:val="22"/>
        </w:rPr>
        <w:instrText xml:space="preserve"> REF _Ref176787926 \h </w:instrText>
      </w:r>
      <w:r w:rsidR="00441B07" w:rsidRPr="00C24C30">
        <w:rPr>
          <w:rFonts w:ascii="Franklin Gothic Book" w:hAnsi="Franklin Gothic Book"/>
          <w:sz w:val="22"/>
        </w:rPr>
        <w:instrText xml:space="preserve"> \* MERGEFORMAT </w:instrText>
      </w:r>
      <w:r w:rsidR="00896C11" w:rsidRPr="00C24C30">
        <w:rPr>
          <w:rFonts w:ascii="Franklin Gothic Book" w:hAnsi="Franklin Gothic Book"/>
          <w:sz w:val="22"/>
        </w:rPr>
      </w:r>
      <w:r w:rsidR="00896C11" w:rsidRPr="00C24C30">
        <w:rPr>
          <w:rFonts w:ascii="Franklin Gothic Book" w:hAnsi="Franklin Gothic Book"/>
          <w:sz w:val="22"/>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11</w:t>
      </w:r>
      <w:r w:rsidR="00896C11" w:rsidRPr="00C24C30">
        <w:rPr>
          <w:rFonts w:ascii="Franklin Gothic Book" w:hAnsi="Franklin Gothic Book"/>
          <w:sz w:val="22"/>
        </w:rPr>
        <w:fldChar w:fldCharType="end"/>
      </w:r>
      <w:r w:rsidRPr="00C24C30">
        <w:rPr>
          <w:rFonts w:ascii="Franklin Gothic Book" w:hAnsi="Franklin Gothic Book"/>
          <w:sz w:val="22"/>
        </w:rPr>
        <w:t>.</w:t>
      </w:r>
    </w:p>
    <w:p w14:paraId="79A7A905" w14:textId="653CB8B4" w:rsidR="00A20FDE" w:rsidRDefault="00A20FDE" w:rsidP="003F6F2A">
      <w:pPr>
        <w:pStyle w:val="Caption"/>
      </w:pPr>
      <w:bookmarkStart w:id="39" w:name="_Ref176787926"/>
      <w:r w:rsidRPr="00441B07">
        <w:lastRenderedPageBreak/>
        <w:t xml:space="preserve">Table </w:t>
      </w:r>
      <w:r w:rsidR="0016064D">
        <w:fldChar w:fldCharType="begin"/>
      </w:r>
      <w:r w:rsidR="0016064D">
        <w:instrText xml:space="preserve"> SEQ Table_MSAC. \* ARABIC </w:instrText>
      </w:r>
      <w:r w:rsidR="0016064D">
        <w:fldChar w:fldCharType="separate"/>
      </w:r>
      <w:r w:rsidR="0016064D">
        <w:rPr>
          <w:noProof/>
        </w:rPr>
        <w:t>11</w:t>
      </w:r>
      <w:r w:rsidR="0016064D">
        <w:rPr>
          <w:noProof/>
        </w:rPr>
        <w:fldChar w:fldCharType="end"/>
      </w:r>
      <w:bookmarkEnd w:id="39"/>
      <w:r w:rsidRPr="00441B07">
        <w:t xml:space="preserve">: AKT pathway alteration subgroups informing the predictive effect of AKT pathway testing </w:t>
      </w:r>
    </w:p>
    <w:tbl>
      <w:tblPr>
        <w:tblStyle w:val="HTATableshaded"/>
        <w:tblW w:w="5000" w:type="pct"/>
        <w:tblLook w:val="04A0" w:firstRow="1" w:lastRow="0" w:firstColumn="1" w:lastColumn="0" w:noHBand="0" w:noVBand="1"/>
      </w:tblPr>
      <w:tblGrid>
        <w:gridCol w:w="4106"/>
        <w:gridCol w:w="4910"/>
      </w:tblGrid>
      <w:tr w:rsidR="00E72CEE" w14:paraId="08838403" w14:textId="77777777" w:rsidTr="00E3502E">
        <w:trPr>
          <w:cnfStyle w:val="100000000000" w:firstRow="1" w:lastRow="0" w:firstColumn="0" w:lastColumn="0" w:oddVBand="0" w:evenVBand="0" w:oddHBand="0" w:evenHBand="0" w:firstRowFirstColumn="0" w:firstRowLastColumn="0" w:lastRowFirstColumn="0" w:lastRowLastColumn="0"/>
        </w:trPr>
        <w:tc>
          <w:tcPr>
            <w:tcW w:w="2277" w:type="pct"/>
          </w:tcPr>
          <w:p w14:paraId="0B94D1CA" w14:textId="77777777" w:rsidR="00E72CEE" w:rsidRPr="00CE0BFA" w:rsidRDefault="00E72CEE" w:rsidP="00441B07">
            <w:pPr>
              <w:pStyle w:val="TableText"/>
              <w:keepNext/>
              <w:rPr>
                <w:b/>
                <w:bCs/>
              </w:rPr>
            </w:pPr>
            <w:r w:rsidRPr="00CE0BFA">
              <w:rPr>
                <w:b/>
                <w:bCs/>
              </w:rPr>
              <w:t>AKT pathway subgroups</w:t>
            </w:r>
          </w:p>
        </w:tc>
        <w:tc>
          <w:tcPr>
            <w:tcW w:w="2723" w:type="pct"/>
          </w:tcPr>
          <w:p w14:paraId="6740F6B7" w14:textId="77777777" w:rsidR="00E72CEE" w:rsidRPr="00CE0BFA" w:rsidRDefault="00E72CEE" w:rsidP="00441B07">
            <w:pPr>
              <w:pStyle w:val="TableText"/>
              <w:keepNext/>
              <w:rPr>
                <w:b/>
                <w:bCs/>
              </w:rPr>
            </w:pPr>
            <w:r w:rsidRPr="00CE0BFA">
              <w:rPr>
                <w:b/>
                <w:bCs/>
              </w:rPr>
              <w:t>CAPItello-291</w:t>
            </w:r>
          </w:p>
        </w:tc>
      </w:tr>
      <w:tr w:rsidR="00E72CEE" w14:paraId="0332A075" w14:textId="77777777" w:rsidTr="00E3502E">
        <w:tc>
          <w:tcPr>
            <w:tcW w:w="2277" w:type="pct"/>
          </w:tcPr>
          <w:p w14:paraId="386C1685" w14:textId="1A5C9720" w:rsidR="00E72CEE" w:rsidRDefault="00E72CEE" w:rsidP="00441B07">
            <w:pPr>
              <w:pStyle w:val="TableText"/>
              <w:keepNext/>
            </w:pPr>
            <w:r>
              <w:t xml:space="preserve">AKT pathway altered </w:t>
            </w:r>
            <w:r w:rsidR="00E40956">
              <w:t>(n=289)</w:t>
            </w:r>
          </w:p>
        </w:tc>
        <w:tc>
          <w:tcPr>
            <w:tcW w:w="2723" w:type="pct"/>
          </w:tcPr>
          <w:p w14:paraId="25A8C555" w14:textId="77777777" w:rsidR="00E72CEE" w:rsidRDefault="00E72CEE" w:rsidP="00441B07">
            <w:pPr>
              <w:pStyle w:val="TableText"/>
              <w:keepNext/>
            </w:pPr>
            <w:r>
              <w:t xml:space="preserve">Patients with at least one qualifying </w:t>
            </w:r>
            <w:r w:rsidRPr="004B51C0">
              <w:rPr>
                <w:i/>
                <w:iCs/>
              </w:rPr>
              <w:t>PIK3CA</w:t>
            </w:r>
            <w:r>
              <w:t xml:space="preserve">, </w:t>
            </w:r>
            <w:r w:rsidRPr="004B51C0">
              <w:rPr>
                <w:i/>
                <w:iCs/>
              </w:rPr>
              <w:t>AKT1</w:t>
            </w:r>
            <w:r>
              <w:t xml:space="preserve">, or </w:t>
            </w:r>
            <w:r w:rsidRPr="004B51C0">
              <w:rPr>
                <w:i/>
                <w:iCs/>
              </w:rPr>
              <w:t>PTEN</w:t>
            </w:r>
            <w:r>
              <w:t xml:space="preserve"> alteration as detected by NGS F1CDx</w:t>
            </w:r>
          </w:p>
        </w:tc>
      </w:tr>
      <w:tr w:rsidR="00E72CEE" w14:paraId="44F664E5" w14:textId="77777777" w:rsidTr="00E3502E">
        <w:tc>
          <w:tcPr>
            <w:tcW w:w="2277" w:type="pct"/>
          </w:tcPr>
          <w:p w14:paraId="48425888" w14:textId="272F1411" w:rsidR="00E72CEE" w:rsidRDefault="00714CDA" w:rsidP="00441B07">
            <w:pPr>
              <w:pStyle w:val="TableText"/>
              <w:keepNext/>
            </w:pPr>
            <w:r>
              <w:t>Non AKT</w:t>
            </w:r>
            <w:r w:rsidR="00E72CEE">
              <w:t xml:space="preserve"> pathway altered</w:t>
            </w:r>
            <w:r w:rsidR="00E40956">
              <w:t xml:space="preserve"> (n=419)</w:t>
            </w:r>
          </w:p>
        </w:tc>
        <w:tc>
          <w:tcPr>
            <w:tcW w:w="2723" w:type="pct"/>
          </w:tcPr>
          <w:p w14:paraId="344B43CF" w14:textId="42DD1E1E" w:rsidR="00E72CEE" w:rsidRDefault="00E72CEE" w:rsidP="00441B07">
            <w:pPr>
              <w:pStyle w:val="TableText"/>
              <w:keepNext/>
            </w:pPr>
            <w:r>
              <w:t xml:space="preserve">Patients without a qualifying </w:t>
            </w:r>
            <w:r w:rsidRPr="004B51C0">
              <w:rPr>
                <w:i/>
                <w:iCs/>
              </w:rPr>
              <w:t>PIK3CA</w:t>
            </w:r>
            <w:r>
              <w:t xml:space="preserve">, </w:t>
            </w:r>
            <w:r w:rsidRPr="004B51C0">
              <w:rPr>
                <w:i/>
                <w:iCs/>
              </w:rPr>
              <w:t>AKT1</w:t>
            </w:r>
            <w:r>
              <w:t xml:space="preserve">, or </w:t>
            </w:r>
            <w:r w:rsidRPr="004B51C0">
              <w:rPr>
                <w:i/>
                <w:iCs/>
              </w:rPr>
              <w:t>PTEN</w:t>
            </w:r>
            <w:r>
              <w:t xml:space="preserve"> alteration including those who are confirmed Known </w:t>
            </w:r>
            <w:r w:rsidR="00714CDA">
              <w:t>non AKT</w:t>
            </w:r>
            <w:r>
              <w:t xml:space="preserve"> pathway altered and unknown AKT status as detected by NGS F1CDx</w:t>
            </w:r>
          </w:p>
        </w:tc>
      </w:tr>
      <w:tr w:rsidR="00E72CEE" w14:paraId="59F68548" w14:textId="77777777" w:rsidTr="00E3502E">
        <w:tc>
          <w:tcPr>
            <w:tcW w:w="2277" w:type="pct"/>
          </w:tcPr>
          <w:p w14:paraId="22CD8ECB" w14:textId="77777777" w:rsidR="00E72CEE" w:rsidRDefault="00E72CEE" w:rsidP="006C4D56">
            <w:pPr>
              <w:pStyle w:val="TableText"/>
              <w:keepNext/>
              <w:ind w:left="340"/>
            </w:pPr>
            <w:r>
              <w:t xml:space="preserve">Known </w:t>
            </w:r>
            <w:r w:rsidR="00714CDA">
              <w:t>non AKT</w:t>
            </w:r>
            <w:r>
              <w:t xml:space="preserve"> pathway altered </w:t>
            </w:r>
            <w:r w:rsidR="00E40956">
              <w:t>(n=313)</w:t>
            </w:r>
          </w:p>
          <w:p w14:paraId="75D689FF" w14:textId="437C058F" w:rsidR="00E40956" w:rsidRDefault="00E40956" w:rsidP="006C4D56">
            <w:pPr>
              <w:pStyle w:val="TableText"/>
              <w:keepNext/>
              <w:ind w:left="340"/>
            </w:pPr>
            <w:r>
              <w:t>(included in the ‘non AKT pathway altered’</w:t>
            </w:r>
            <w:r w:rsidR="001509E6">
              <w:t xml:space="preserve"> subgroup</w:t>
            </w:r>
            <w:r>
              <w:t>)</w:t>
            </w:r>
          </w:p>
        </w:tc>
        <w:tc>
          <w:tcPr>
            <w:tcW w:w="2723" w:type="pct"/>
          </w:tcPr>
          <w:p w14:paraId="4278E7C2" w14:textId="5F23900C" w:rsidR="00E72CEE" w:rsidRDefault="00E72CEE" w:rsidP="00441B07">
            <w:pPr>
              <w:pStyle w:val="TableText"/>
              <w:keepNext/>
            </w:pPr>
            <w:r>
              <w:t xml:space="preserve">Patients confirmed to be without a qualifying </w:t>
            </w:r>
            <w:r w:rsidRPr="004B51C0">
              <w:rPr>
                <w:i/>
                <w:iCs/>
              </w:rPr>
              <w:t>PIK3CA</w:t>
            </w:r>
            <w:r>
              <w:t xml:space="preserve">, </w:t>
            </w:r>
            <w:r w:rsidRPr="004B51C0">
              <w:rPr>
                <w:i/>
                <w:iCs/>
              </w:rPr>
              <w:t>AKT1</w:t>
            </w:r>
            <w:r>
              <w:t xml:space="preserve">, or </w:t>
            </w:r>
            <w:r w:rsidRPr="004B51C0">
              <w:rPr>
                <w:i/>
                <w:iCs/>
              </w:rPr>
              <w:t>PTEN</w:t>
            </w:r>
            <w:r>
              <w:t xml:space="preserve"> alteration as detected by NGS F1CDx</w:t>
            </w:r>
            <w:r w:rsidR="00126FA5">
              <w:t>, excluding patients with unknown AKT pathway status</w:t>
            </w:r>
          </w:p>
        </w:tc>
      </w:tr>
      <w:tr w:rsidR="00E72CEE" w14:paraId="136F077E" w14:textId="77777777" w:rsidTr="00E3502E">
        <w:tc>
          <w:tcPr>
            <w:tcW w:w="2277" w:type="pct"/>
          </w:tcPr>
          <w:p w14:paraId="76022B7F" w14:textId="77777777" w:rsidR="00E72CEE" w:rsidRDefault="00E72CEE" w:rsidP="006C4D56">
            <w:pPr>
              <w:pStyle w:val="TableText"/>
              <w:keepNext/>
              <w:ind w:left="340"/>
            </w:pPr>
            <w:r>
              <w:t>Unknown AKT pathway status</w:t>
            </w:r>
            <w:r w:rsidR="00E40956">
              <w:t xml:space="preserve"> (n=106)</w:t>
            </w:r>
          </w:p>
          <w:p w14:paraId="47E19259" w14:textId="55EC0D60" w:rsidR="00E40956" w:rsidRDefault="00E40956" w:rsidP="006C4D56">
            <w:pPr>
              <w:pStyle w:val="TableText"/>
              <w:keepNext/>
              <w:ind w:left="340"/>
            </w:pPr>
            <w:r>
              <w:t>(included in the ‘non AKT pathway altered’</w:t>
            </w:r>
            <w:r w:rsidR="001509E6">
              <w:t xml:space="preserve"> subgroup</w:t>
            </w:r>
            <w:r>
              <w:t>)</w:t>
            </w:r>
          </w:p>
        </w:tc>
        <w:tc>
          <w:tcPr>
            <w:tcW w:w="2723" w:type="pct"/>
          </w:tcPr>
          <w:p w14:paraId="33B8439D" w14:textId="77777777" w:rsidR="00E72CEE" w:rsidRPr="00BC1414" w:rsidRDefault="00E72CEE" w:rsidP="00441B07">
            <w:pPr>
              <w:pStyle w:val="TableText"/>
              <w:keepNext/>
              <w:rPr>
                <w:szCs w:val="20"/>
              </w:rPr>
            </w:pPr>
            <w:r w:rsidRPr="00BC1414">
              <w:rPr>
                <w:szCs w:val="20"/>
              </w:rPr>
              <w:t>Patients who have an unknown AKT pathway test result due to:</w:t>
            </w:r>
          </w:p>
          <w:p w14:paraId="3F06AB5D" w14:textId="362B2835" w:rsidR="00E72CEE" w:rsidRDefault="00E72CEE" w:rsidP="00441B07">
            <w:pPr>
              <w:pStyle w:val="MainBodyBulletPoint"/>
              <w:keepNext/>
              <w:spacing w:after="0"/>
              <w:ind w:left="360"/>
              <w:rPr>
                <w:rFonts w:ascii="Arial Narrow" w:hAnsi="Arial Narrow"/>
                <w:sz w:val="20"/>
                <w:szCs w:val="20"/>
              </w:rPr>
            </w:pPr>
            <w:r w:rsidRPr="00BC1414">
              <w:rPr>
                <w:rFonts w:ascii="Arial Narrow" w:hAnsi="Arial Narrow"/>
                <w:sz w:val="20"/>
                <w:szCs w:val="20"/>
              </w:rPr>
              <w:t xml:space="preserve">Pre-analytical </w:t>
            </w:r>
            <w:r>
              <w:rPr>
                <w:rFonts w:ascii="Arial Narrow" w:hAnsi="Arial Narrow"/>
                <w:sz w:val="20"/>
                <w:szCs w:val="20"/>
              </w:rPr>
              <w:t>failure (test</w:t>
            </w:r>
            <w:r w:rsidRPr="00BC1414">
              <w:rPr>
                <w:rFonts w:ascii="Arial Narrow" w:hAnsi="Arial Narrow"/>
                <w:sz w:val="20"/>
                <w:szCs w:val="20"/>
              </w:rPr>
              <w:t xml:space="preserve"> not performed</w:t>
            </w:r>
            <w:r>
              <w:rPr>
                <w:rFonts w:ascii="Arial Narrow" w:hAnsi="Arial Narrow"/>
                <w:sz w:val="20"/>
                <w:szCs w:val="20"/>
              </w:rPr>
              <w:t xml:space="preserve"> due to low quality or insufficient sample)</w:t>
            </w:r>
            <w:r w:rsidR="001E3313">
              <w:rPr>
                <w:rFonts w:ascii="Arial Narrow" w:hAnsi="Arial Narrow"/>
                <w:sz w:val="20"/>
                <w:szCs w:val="20"/>
              </w:rPr>
              <w:t xml:space="preserve"> (</w:t>
            </w:r>
            <w:r w:rsidR="00E742CC">
              <w:rPr>
                <w:rFonts w:ascii="Arial Narrow" w:hAnsi="Arial Narrow"/>
                <w:sz w:val="20"/>
                <w:szCs w:val="20"/>
              </w:rPr>
              <w:t xml:space="preserve">10.3%, </w:t>
            </w:r>
            <w:r w:rsidR="001E3313">
              <w:rPr>
                <w:rFonts w:ascii="Arial Narrow" w:hAnsi="Arial Narrow"/>
                <w:sz w:val="20"/>
                <w:szCs w:val="20"/>
              </w:rPr>
              <w:t>73/708)</w:t>
            </w:r>
          </w:p>
          <w:p w14:paraId="7DE8D3A4" w14:textId="19B5AD3A" w:rsidR="00E72CEE" w:rsidRDefault="00E72CEE" w:rsidP="00441B07">
            <w:pPr>
              <w:pStyle w:val="MainBodyBulletPoint"/>
              <w:keepNext/>
              <w:spacing w:after="0"/>
              <w:ind w:left="360"/>
              <w:rPr>
                <w:rFonts w:ascii="Arial Narrow" w:hAnsi="Arial Narrow"/>
                <w:sz w:val="20"/>
                <w:szCs w:val="20"/>
              </w:rPr>
            </w:pPr>
            <w:r>
              <w:rPr>
                <w:rFonts w:ascii="Arial Narrow" w:hAnsi="Arial Narrow"/>
                <w:sz w:val="20"/>
                <w:szCs w:val="20"/>
              </w:rPr>
              <w:t>Post-analytical failure (sample was not evaluable)</w:t>
            </w:r>
            <w:r w:rsidR="001E3313">
              <w:rPr>
                <w:rFonts w:ascii="Arial Narrow" w:hAnsi="Arial Narrow"/>
                <w:sz w:val="20"/>
                <w:szCs w:val="20"/>
              </w:rPr>
              <w:t xml:space="preserve"> (</w:t>
            </w:r>
            <w:r w:rsidR="00E742CC">
              <w:rPr>
                <w:rFonts w:ascii="Arial Narrow" w:hAnsi="Arial Narrow"/>
                <w:sz w:val="20"/>
                <w:szCs w:val="20"/>
              </w:rPr>
              <w:t xml:space="preserve">2.7%, </w:t>
            </w:r>
            <w:r w:rsidR="001E3313">
              <w:rPr>
                <w:rFonts w:ascii="Arial Narrow" w:hAnsi="Arial Narrow"/>
                <w:sz w:val="20"/>
                <w:szCs w:val="20"/>
              </w:rPr>
              <w:t>19/708)</w:t>
            </w:r>
          </w:p>
          <w:p w14:paraId="680C3802" w14:textId="5B59468E" w:rsidR="00E72CEE" w:rsidRPr="00BC1414" w:rsidRDefault="00E72CEE" w:rsidP="00441B07">
            <w:pPr>
              <w:pStyle w:val="MainBodyBulletPoint"/>
              <w:keepNext/>
              <w:spacing w:after="0"/>
              <w:ind w:left="360"/>
              <w:rPr>
                <w:rFonts w:ascii="Arial Narrow" w:hAnsi="Arial Narrow"/>
                <w:sz w:val="20"/>
                <w:szCs w:val="20"/>
              </w:rPr>
            </w:pPr>
            <w:r>
              <w:rPr>
                <w:rFonts w:ascii="Arial Narrow" w:hAnsi="Arial Narrow"/>
                <w:sz w:val="20"/>
                <w:szCs w:val="20"/>
              </w:rPr>
              <w:t>Test sample not provided</w:t>
            </w:r>
            <w:r w:rsidR="001E3313">
              <w:rPr>
                <w:rFonts w:ascii="Arial Narrow" w:hAnsi="Arial Narrow"/>
                <w:sz w:val="20"/>
                <w:szCs w:val="20"/>
              </w:rPr>
              <w:t xml:space="preserve"> (</w:t>
            </w:r>
            <w:r w:rsidR="00E742CC">
              <w:rPr>
                <w:rFonts w:ascii="Arial Narrow" w:hAnsi="Arial Narrow"/>
                <w:sz w:val="20"/>
                <w:szCs w:val="20"/>
              </w:rPr>
              <w:t xml:space="preserve">2%, </w:t>
            </w:r>
            <w:r w:rsidR="001E3313">
              <w:rPr>
                <w:rFonts w:ascii="Arial Narrow" w:hAnsi="Arial Narrow"/>
                <w:sz w:val="20"/>
                <w:szCs w:val="20"/>
              </w:rPr>
              <w:t>14/708)</w:t>
            </w:r>
          </w:p>
        </w:tc>
      </w:tr>
      <w:tr w:rsidR="00E72CEE" w14:paraId="45D50570" w14:textId="77777777" w:rsidTr="00E3502E">
        <w:tc>
          <w:tcPr>
            <w:tcW w:w="2277" w:type="pct"/>
          </w:tcPr>
          <w:p w14:paraId="196FCAA6" w14:textId="77777777" w:rsidR="00E72CEE" w:rsidRDefault="00E72CEE" w:rsidP="00441B07">
            <w:pPr>
              <w:pStyle w:val="TableText"/>
              <w:keepNext/>
            </w:pPr>
          </w:p>
        </w:tc>
        <w:tc>
          <w:tcPr>
            <w:tcW w:w="2723" w:type="pct"/>
          </w:tcPr>
          <w:p w14:paraId="70BE0BBB" w14:textId="4AADD4FC" w:rsidR="00E72CEE" w:rsidRPr="00E72CEE" w:rsidRDefault="00E72CEE" w:rsidP="00441B07">
            <w:pPr>
              <w:pStyle w:val="TableText"/>
              <w:keepNext/>
              <w:rPr>
                <w:b/>
                <w:bCs/>
                <w:szCs w:val="20"/>
              </w:rPr>
            </w:pPr>
            <w:r>
              <w:rPr>
                <w:b/>
                <w:bCs/>
              </w:rPr>
              <w:t>FAKTION</w:t>
            </w:r>
          </w:p>
        </w:tc>
      </w:tr>
      <w:tr w:rsidR="00E72CEE" w14:paraId="573CD82D" w14:textId="77777777" w:rsidTr="00E3502E">
        <w:tc>
          <w:tcPr>
            <w:tcW w:w="2277" w:type="pct"/>
          </w:tcPr>
          <w:p w14:paraId="5ABFEB8F" w14:textId="45823D03" w:rsidR="00E72CEE" w:rsidRDefault="00E72CEE" w:rsidP="00441B07">
            <w:pPr>
              <w:pStyle w:val="TableText"/>
              <w:keepNext/>
            </w:pPr>
            <w:r>
              <w:t>AKT pathway altered: Original protocol</w:t>
            </w:r>
            <w:r w:rsidR="009372F3">
              <w:t xml:space="preserve"> (n=59)</w:t>
            </w:r>
          </w:p>
        </w:tc>
        <w:tc>
          <w:tcPr>
            <w:tcW w:w="2723" w:type="pct"/>
          </w:tcPr>
          <w:p w14:paraId="0FBCC0CB" w14:textId="4107DAE4" w:rsidR="00E72CEE" w:rsidRPr="00E72CEE" w:rsidRDefault="00E72CEE" w:rsidP="00441B07">
            <w:pPr>
              <w:pStyle w:val="TableText"/>
              <w:keepNext/>
            </w:pPr>
            <w:r>
              <w:t xml:space="preserve">Patients with at least one qualifying </w:t>
            </w:r>
            <w:r w:rsidRPr="004B51C0">
              <w:rPr>
                <w:i/>
                <w:iCs/>
              </w:rPr>
              <w:t>PIK3CA</w:t>
            </w:r>
            <w:r>
              <w:t xml:space="preserve"> or </w:t>
            </w:r>
            <w:r w:rsidRPr="004B51C0">
              <w:rPr>
                <w:i/>
                <w:iCs/>
              </w:rPr>
              <w:t>PTEN</w:t>
            </w:r>
            <w:r>
              <w:t xml:space="preserve"> alteration as detected by </w:t>
            </w:r>
            <w:proofErr w:type="spellStart"/>
            <w:r>
              <w:t>ddPCR</w:t>
            </w:r>
            <w:proofErr w:type="spellEnd"/>
            <w:r>
              <w:t xml:space="preserve"> or IHC</w:t>
            </w:r>
          </w:p>
        </w:tc>
      </w:tr>
      <w:tr w:rsidR="00E72CEE" w14:paraId="6DEBEC7A" w14:textId="77777777" w:rsidTr="00E3502E">
        <w:tc>
          <w:tcPr>
            <w:tcW w:w="2277" w:type="pct"/>
          </w:tcPr>
          <w:p w14:paraId="73FB7F89" w14:textId="5C5E98EB" w:rsidR="00E72CEE" w:rsidRDefault="00E72CEE" w:rsidP="00441B07">
            <w:pPr>
              <w:pStyle w:val="TableText"/>
              <w:keepNext/>
            </w:pPr>
            <w:r>
              <w:t>AKT pathway altered: Expanded protocol</w:t>
            </w:r>
            <w:r w:rsidR="009372F3">
              <w:t xml:space="preserve"> (n=76)</w:t>
            </w:r>
          </w:p>
        </w:tc>
        <w:tc>
          <w:tcPr>
            <w:tcW w:w="2723" w:type="pct"/>
          </w:tcPr>
          <w:p w14:paraId="1258A62E" w14:textId="768B1097" w:rsidR="00E72CEE" w:rsidRPr="00A74D3D" w:rsidRDefault="00E72CEE" w:rsidP="00441B07">
            <w:pPr>
              <w:pStyle w:val="TableText"/>
              <w:keepNext/>
            </w:pPr>
            <w:r w:rsidRPr="00E72CEE">
              <w:t>P</w:t>
            </w:r>
            <w:r>
              <w:t>atients with at least one qualifying</w:t>
            </w:r>
            <w:r w:rsidRPr="004B51C0">
              <w:rPr>
                <w:i/>
                <w:iCs/>
              </w:rPr>
              <w:t xml:space="preserve"> PIK3CA</w:t>
            </w:r>
            <w:r>
              <w:t xml:space="preserve">, </w:t>
            </w:r>
            <w:r w:rsidRPr="004B51C0">
              <w:rPr>
                <w:i/>
                <w:iCs/>
              </w:rPr>
              <w:t>AKT1</w:t>
            </w:r>
            <w:r>
              <w:t xml:space="preserve">, or </w:t>
            </w:r>
            <w:r w:rsidRPr="004B51C0">
              <w:rPr>
                <w:i/>
                <w:iCs/>
              </w:rPr>
              <w:t>PTEN</w:t>
            </w:r>
            <w:r>
              <w:t xml:space="preserve"> alteration as detected by </w:t>
            </w:r>
            <w:proofErr w:type="spellStart"/>
            <w:r>
              <w:t>ddPCR</w:t>
            </w:r>
            <w:proofErr w:type="spellEnd"/>
            <w:r>
              <w:t xml:space="preserve"> and NGS (F1CDx and </w:t>
            </w:r>
            <w:proofErr w:type="spellStart"/>
            <w:r>
              <w:t>GuardantOMNI</w:t>
            </w:r>
            <w:proofErr w:type="spellEnd"/>
            <w:r>
              <w:t xml:space="preserve"> RUO)</w:t>
            </w:r>
          </w:p>
        </w:tc>
      </w:tr>
      <w:tr w:rsidR="00E72CEE" w14:paraId="336E9256" w14:textId="77777777" w:rsidTr="00E3502E">
        <w:tc>
          <w:tcPr>
            <w:tcW w:w="2277" w:type="pct"/>
          </w:tcPr>
          <w:p w14:paraId="64B4C804" w14:textId="65FFC677" w:rsidR="00E72CEE" w:rsidRDefault="00E72CEE" w:rsidP="00441B07">
            <w:pPr>
              <w:pStyle w:val="TableText"/>
              <w:keepNext/>
            </w:pPr>
            <w:r>
              <w:t>AKT pathway altered: NGS only protocol</w:t>
            </w:r>
            <w:r w:rsidR="00A8501D">
              <w:t xml:space="preserve"> (n=63)</w:t>
            </w:r>
          </w:p>
        </w:tc>
        <w:tc>
          <w:tcPr>
            <w:tcW w:w="2723" w:type="pct"/>
          </w:tcPr>
          <w:p w14:paraId="066A348C" w14:textId="065E2D3D" w:rsidR="00E72CEE" w:rsidRPr="003B7544" w:rsidRDefault="00E72CEE" w:rsidP="00441B07">
            <w:pPr>
              <w:pStyle w:val="TableText"/>
              <w:keepNext/>
              <w:rPr>
                <w:u w:val="single"/>
              </w:rPr>
            </w:pPr>
            <w:r w:rsidRPr="00E72CEE">
              <w:t>P</w:t>
            </w:r>
            <w:r>
              <w:t>atients with at least one qualifying</w:t>
            </w:r>
            <w:r w:rsidRPr="004B51C0">
              <w:rPr>
                <w:i/>
                <w:iCs/>
              </w:rPr>
              <w:t xml:space="preserve"> PIK3CA</w:t>
            </w:r>
            <w:r>
              <w:t xml:space="preserve">, </w:t>
            </w:r>
            <w:r w:rsidRPr="004B51C0">
              <w:rPr>
                <w:i/>
                <w:iCs/>
              </w:rPr>
              <w:t>AKT1</w:t>
            </w:r>
            <w:r>
              <w:t xml:space="preserve">, or </w:t>
            </w:r>
            <w:r w:rsidRPr="004B51C0">
              <w:rPr>
                <w:i/>
                <w:iCs/>
              </w:rPr>
              <w:t>PTEN</w:t>
            </w:r>
            <w:r>
              <w:t xml:space="preserve"> alteration as detected by NGS only (F1CDx and </w:t>
            </w:r>
            <w:proofErr w:type="spellStart"/>
            <w:r>
              <w:t>GuardantOMNI</w:t>
            </w:r>
            <w:proofErr w:type="spellEnd"/>
            <w:r>
              <w:t xml:space="preserve"> RUO)</w:t>
            </w:r>
          </w:p>
        </w:tc>
      </w:tr>
      <w:tr w:rsidR="00E72CEE" w14:paraId="5ED327CF" w14:textId="77777777" w:rsidTr="00E3502E">
        <w:tc>
          <w:tcPr>
            <w:tcW w:w="2277" w:type="pct"/>
          </w:tcPr>
          <w:p w14:paraId="507DFA50" w14:textId="25C51FC2" w:rsidR="00E72CEE" w:rsidRDefault="00714CDA" w:rsidP="00441B07">
            <w:pPr>
              <w:pStyle w:val="TableText"/>
              <w:keepNext/>
            </w:pPr>
            <w:r>
              <w:t>Non AKT</w:t>
            </w:r>
            <w:r w:rsidR="00A74D3D">
              <w:t xml:space="preserve"> pathway altered: Original protocol</w:t>
            </w:r>
            <w:r w:rsidR="00A8501D">
              <w:t xml:space="preserve"> (n=81)</w:t>
            </w:r>
          </w:p>
        </w:tc>
        <w:tc>
          <w:tcPr>
            <w:tcW w:w="2723" w:type="pct"/>
          </w:tcPr>
          <w:p w14:paraId="0BF8B20C" w14:textId="770E9D1F" w:rsidR="00E72CEE" w:rsidRPr="00A74D3D" w:rsidRDefault="00A74D3D" w:rsidP="00441B07">
            <w:pPr>
              <w:pStyle w:val="TableText"/>
              <w:keepNext/>
            </w:pPr>
            <w:r>
              <w:t>P</w:t>
            </w:r>
            <w:r w:rsidR="00E72CEE">
              <w:t xml:space="preserve">atients without a qualifying </w:t>
            </w:r>
            <w:r w:rsidR="00E72CEE" w:rsidRPr="004B51C0">
              <w:rPr>
                <w:i/>
                <w:iCs/>
              </w:rPr>
              <w:t>PIK3CA</w:t>
            </w:r>
            <w:r w:rsidR="00E72CEE">
              <w:t xml:space="preserve"> or </w:t>
            </w:r>
            <w:r w:rsidR="00E72CEE" w:rsidRPr="004B51C0">
              <w:rPr>
                <w:i/>
                <w:iCs/>
              </w:rPr>
              <w:t>PTEN</w:t>
            </w:r>
            <w:r w:rsidR="00E72CEE">
              <w:t xml:space="preserve"> alteration as detected by </w:t>
            </w:r>
            <w:proofErr w:type="spellStart"/>
            <w:r w:rsidR="00E72CEE">
              <w:t>ddPCR</w:t>
            </w:r>
            <w:proofErr w:type="spellEnd"/>
            <w:r w:rsidR="00E72CEE">
              <w:t xml:space="preserve"> or IHC</w:t>
            </w:r>
          </w:p>
        </w:tc>
      </w:tr>
      <w:tr w:rsidR="00E72CEE" w14:paraId="3632C088" w14:textId="77777777" w:rsidTr="00E3502E">
        <w:tc>
          <w:tcPr>
            <w:tcW w:w="2277" w:type="pct"/>
          </w:tcPr>
          <w:p w14:paraId="77C3A94F" w14:textId="204690C6" w:rsidR="00E72CEE" w:rsidRDefault="00714CDA" w:rsidP="00441B07">
            <w:pPr>
              <w:pStyle w:val="TableText"/>
              <w:keepNext/>
            </w:pPr>
            <w:r>
              <w:t>Non AKT</w:t>
            </w:r>
            <w:r w:rsidR="00A74D3D">
              <w:t xml:space="preserve"> pathway altered: Expanded protocol </w:t>
            </w:r>
            <w:r w:rsidR="00A8501D">
              <w:t>(n=52)</w:t>
            </w:r>
          </w:p>
        </w:tc>
        <w:tc>
          <w:tcPr>
            <w:tcW w:w="2723" w:type="pct"/>
          </w:tcPr>
          <w:p w14:paraId="28433AC8" w14:textId="29D51AC5" w:rsidR="00E72CEE" w:rsidRPr="00A74D3D" w:rsidRDefault="00A74D3D" w:rsidP="00441B07">
            <w:pPr>
              <w:pStyle w:val="TableText"/>
              <w:keepNext/>
            </w:pPr>
            <w:r>
              <w:t>Patients without a qualifying</w:t>
            </w:r>
            <w:r w:rsidRPr="004B51C0">
              <w:rPr>
                <w:i/>
                <w:iCs/>
              </w:rPr>
              <w:t xml:space="preserve"> PIK3CA</w:t>
            </w:r>
            <w:r>
              <w:t xml:space="preserve">, </w:t>
            </w:r>
            <w:r w:rsidRPr="004B51C0">
              <w:rPr>
                <w:i/>
                <w:iCs/>
              </w:rPr>
              <w:t>AKT1</w:t>
            </w:r>
            <w:r>
              <w:t xml:space="preserve">, or </w:t>
            </w:r>
            <w:r w:rsidRPr="004B51C0">
              <w:rPr>
                <w:i/>
                <w:iCs/>
              </w:rPr>
              <w:t>PTEN</w:t>
            </w:r>
            <w:r>
              <w:t xml:space="preserve"> alteration as detected by </w:t>
            </w:r>
            <w:proofErr w:type="spellStart"/>
            <w:r>
              <w:t>ddPCR</w:t>
            </w:r>
            <w:proofErr w:type="spellEnd"/>
            <w:r>
              <w:t xml:space="preserve"> and NGS (F1CDx and </w:t>
            </w:r>
            <w:proofErr w:type="spellStart"/>
            <w:r>
              <w:t>GuardantOMNI</w:t>
            </w:r>
            <w:proofErr w:type="spellEnd"/>
            <w:r>
              <w:t xml:space="preserve"> RUO)</w:t>
            </w:r>
          </w:p>
        </w:tc>
      </w:tr>
      <w:tr w:rsidR="00A74D3D" w14:paraId="6561A4AD" w14:textId="77777777" w:rsidTr="00E3502E">
        <w:tc>
          <w:tcPr>
            <w:tcW w:w="2277" w:type="pct"/>
          </w:tcPr>
          <w:p w14:paraId="4D0044A3" w14:textId="4D42BED9" w:rsidR="00A74D3D" w:rsidRDefault="00714CDA" w:rsidP="00441B07">
            <w:pPr>
              <w:pStyle w:val="TableText"/>
              <w:keepNext/>
            </w:pPr>
            <w:r>
              <w:t>Non AKT</w:t>
            </w:r>
            <w:r w:rsidR="00A74D3D">
              <w:t xml:space="preserve"> pathway altered: NGS only protocol </w:t>
            </w:r>
            <w:r w:rsidR="00A8501D">
              <w:t>(n=49)</w:t>
            </w:r>
          </w:p>
        </w:tc>
        <w:tc>
          <w:tcPr>
            <w:tcW w:w="2723" w:type="pct"/>
          </w:tcPr>
          <w:p w14:paraId="1E560745" w14:textId="2E0DC20E" w:rsidR="00A74D3D" w:rsidRDefault="00A74D3D" w:rsidP="00441B07">
            <w:pPr>
              <w:pStyle w:val="TableText"/>
              <w:keepNext/>
            </w:pPr>
            <w:r>
              <w:t>Patients without a qualifying</w:t>
            </w:r>
            <w:r w:rsidRPr="004B51C0">
              <w:rPr>
                <w:i/>
                <w:iCs/>
              </w:rPr>
              <w:t xml:space="preserve"> PIK3CA</w:t>
            </w:r>
            <w:r>
              <w:t xml:space="preserve">, </w:t>
            </w:r>
            <w:r w:rsidRPr="004B51C0">
              <w:rPr>
                <w:i/>
                <w:iCs/>
              </w:rPr>
              <w:t>AKT1</w:t>
            </w:r>
            <w:r>
              <w:t xml:space="preserve">, or </w:t>
            </w:r>
            <w:r w:rsidRPr="004B51C0">
              <w:rPr>
                <w:i/>
                <w:iCs/>
              </w:rPr>
              <w:t>PTEN</w:t>
            </w:r>
            <w:r>
              <w:t xml:space="preserve"> alteration as detected by NGS only (F1CDx and </w:t>
            </w:r>
            <w:proofErr w:type="spellStart"/>
            <w:r>
              <w:t>GuardantOMNI</w:t>
            </w:r>
            <w:proofErr w:type="spellEnd"/>
            <w:r>
              <w:t xml:space="preserve"> RUO)</w:t>
            </w:r>
          </w:p>
        </w:tc>
      </w:tr>
    </w:tbl>
    <w:p w14:paraId="596FD7D6" w14:textId="3F07C4E8" w:rsidR="00E72CEE" w:rsidRDefault="00126FA5" w:rsidP="00441B07">
      <w:pPr>
        <w:pStyle w:val="TableFigureFooter"/>
        <w:keepNext/>
      </w:pPr>
      <w:r>
        <w:t xml:space="preserve">Source: </w:t>
      </w:r>
      <w:r w:rsidR="00B14C55">
        <w:t>Table 13, p102 CAPItello-291 CSR; p3-4 Howell 2022 FAKTION</w:t>
      </w:r>
    </w:p>
    <w:p w14:paraId="43CFF310" w14:textId="36E5F7BE" w:rsidR="00B14C55" w:rsidRDefault="00B14C55" w:rsidP="00441B07">
      <w:pPr>
        <w:pStyle w:val="TableFigureFooter"/>
        <w:keepNext/>
      </w:pPr>
      <w:r>
        <w:t xml:space="preserve">AKT = </w:t>
      </w:r>
      <w:r w:rsidRPr="2C973C4D">
        <w:rPr>
          <w:color w:val="000000" w:themeColor="text1"/>
        </w:rPr>
        <w:t>serine/threonine kinase;</w:t>
      </w:r>
      <w:r w:rsidRPr="00B14C55">
        <w:t xml:space="preserve"> </w:t>
      </w:r>
      <w:proofErr w:type="spellStart"/>
      <w:r w:rsidRPr="00102634">
        <w:t>ddPCR</w:t>
      </w:r>
      <w:proofErr w:type="spellEnd"/>
      <w:r w:rsidRPr="00102634">
        <w:t xml:space="preserve"> = digital droplet polymerase chain reaction;</w:t>
      </w:r>
      <w:r>
        <w:t xml:space="preserve"> F1CDx = </w:t>
      </w:r>
      <w:proofErr w:type="spellStart"/>
      <w:r>
        <w:t>FoundationOneCDx</w:t>
      </w:r>
      <w:proofErr w:type="spellEnd"/>
      <w:r>
        <w:t>;</w:t>
      </w:r>
      <w:r w:rsidRPr="2C973C4D">
        <w:rPr>
          <w:color w:val="000000" w:themeColor="text1"/>
        </w:rPr>
        <w:t xml:space="preserve"> </w:t>
      </w:r>
      <w:r w:rsidRPr="00102634">
        <w:t xml:space="preserve">IHC = immunohistochemistry; </w:t>
      </w:r>
      <w:r w:rsidR="00A8501D">
        <w:t xml:space="preserve">n = number of patients from the total cohort; </w:t>
      </w:r>
      <w:r w:rsidRPr="00102634">
        <w:t xml:space="preserve">NGS = Next Generation Sequencing; </w:t>
      </w:r>
      <w:r>
        <w:t xml:space="preserve">PCR = polymerase chain reaction; </w:t>
      </w:r>
      <w:r w:rsidRPr="00102634">
        <w:t xml:space="preserve">PIK3CA = phosphatidylinositol-4,5-bisphosphate 3-kinase catalytic subunit alpha; PTEN = phosphatase and </w:t>
      </w:r>
      <w:proofErr w:type="spellStart"/>
      <w:r w:rsidRPr="00102634">
        <w:t>tensin</w:t>
      </w:r>
      <w:proofErr w:type="spellEnd"/>
      <w:r w:rsidRPr="00102634">
        <w:t xml:space="preserve"> homolog</w:t>
      </w:r>
    </w:p>
    <w:p w14:paraId="664E1A0B" w14:textId="09DE2137"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PFS results comparing CAPI+FULV and placebo + FULV in AKT pathway altered and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subgroups in CAPItello-291 and FAKTION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_Ref174962118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12</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w:t>
      </w:r>
    </w:p>
    <w:p w14:paraId="5D49F7AE" w14:textId="29ACFC8B" w:rsidR="005D6D39" w:rsidRPr="00102634" w:rsidRDefault="005D6D39" w:rsidP="003F6F2A">
      <w:pPr>
        <w:pStyle w:val="Caption"/>
      </w:pPr>
      <w:bookmarkStart w:id="40" w:name="_Ref174962118"/>
      <w:r w:rsidRPr="00102634">
        <w:lastRenderedPageBreak/>
        <w:t xml:space="preserve">Table </w:t>
      </w:r>
      <w:r w:rsidR="0016064D">
        <w:fldChar w:fldCharType="begin"/>
      </w:r>
      <w:r w:rsidR="0016064D">
        <w:instrText xml:space="preserve"> SEQ Table_MSAC. \* ARABIC </w:instrText>
      </w:r>
      <w:r w:rsidR="0016064D">
        <w:fldChar w:fldCharType="separate"/>
      </w:r>
      <w:r w:rsidR="0016064D">
        <w:rPr>
          <w:noProof/>
        </w:rPr>
        <w:t>12</w:t>
      </w:r>
      <w:r w:rsidR="0016064D">
        <w:rPr>
          <w:noProof/>
        </w:rPr>
        <w:fldChar w:fldCharType="end"/>
      </w:r>
      <w:bookmarkEnd w:id="40"/>
      <w:r w:rsidRPr="00102634">
        <w:t xml:space="preserve">: Overview of PFS in CAPItello-291 and FAKTION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345"/>
        <w:gridCol w:w="1489"/>
        <w:gridCol w:w="1419"/>
        <w:gridCol w:w="1419"/>
        <w:gridCol w:w="1506"/>
      </w:tblGrid>
      <w:tr w:rsidR="005D6D39" w:rsidRPr="00102634" w14:paraId="3B4CCCB7" w14:textId="77777777">
        <w:trPr>
          <w:trHeight w:val="20"/>
          <w:tblHeader/>
        </w:trPr>
        <w:tc>
          <w:tcPr>
            <w:tcW w:w="1019" w:type="pct"/>
            <w:vMerge w:val="restart"/>
            <w:vAlign w:val="center"/>
          </w:tcPr>
          <w:p w14:paraId="79AFA653" w14:textId="77777777" w:rsidR="005D6D39" w:rsidRPr="00102634" w:rsidRDefault="005D6D39" w:rsidP="008A11E8">
            <w:pPr>
              <w:pStyle w:val="TableText"/>
              <w:keepNext/>
              <w:rPr>
                <w:b/>
                <w:bCs/>
              </w:rPr>
            </w:pPr>
            <w:r w:rsidRPr="00102634">
              <w:rPr>
                <w:b/>
                <w:bCs/>
              </w:rPr>
              <w:t>Population</w:t>
            </w:r>
          </w:p>
        </w:tc>
        <w:tc>
          <w:tcPr>
            <w:tcW w:w="1572" w:type="pct"/>
            <w:gridSpan w:val="2"/>
            <w:vAlign w:val="center"/>
            <w:hideMark/>
          </w:tcPr>
          <w:p w14:paraId="628CAF5E" w14:textId="77777777" w:rsidR="005D6D39" w:rsidRPr="00102634" w:rsidRDefault="005D6D39" w:rsidP="008A11E8">
            <w:pPr>
              <w:pStyle w:val="TableText"/>
              <w:keepNext/>
              <w:jc w:val="center"/>
              <w:rPr>
                <w:b/>
                <w:bCs/>
              </w:rPr>
            </w:pPr>
            <w:r w:rsidRPr="00102634">
              <w:rPr>
                <w:b/>
                <w:bCs/>
              </w:rPr>
              <w:t>CAPI+FULV</w:t>
            </w:r>
          </w:p>
        </w:tc>
        <w:tc>
          <w:tcPr>
            <w:tcW w:w="1574" w:type="pct"/>
            <w:gridSpan w:val="2"/>
            <w:vAlign w:val="center"/>
            <w:hideMark/>
          </w:tcPr>
          <w:p w14:paraId="4A3094AC" w14:textId="68F35893" w:rsidR="005D6D39" w:rsidRPr="00102634" w:rsidRDefault="00CF2410" w:rsidP="008A11E8">
            <w:pPr>
              <w:pStyle w:val="TableText"/>
              <w:keepNext/>
              <w:jc w:val="center"/>
              <w:rPr>
                <w:b/>
                <w:bCs/>
              </w:rPr>
            </w:pPr>
            <w:r>
              <w:rPr>
                <w:b/>
                <w:bCs/>
              </w:rPr>
              <w:t>PBO</w:t>
            </w:r>
            <w:r w:rsidR="005D6D39" w:rsidRPr="00102634">
              <w:rPr>
                <w:b/>
                <w:bCs/>
              </w:rPr>
              <w:t>+ FULV</w:t>
            </w:r>
          </w:p>
        </w:tc>
        <w:tc>
          <w:tcPr>
            <w:tcW w:w="835" w:type="pct"/>
            <w:vMerge w:val="restart"/>
            <w:vAlign w:val="center"/>
            <w:hideMark/>
          </w:tcPr>
          <w:p w14:paraId="44C45710" w14:textId="75FB4271" w:rsidR="005D6D39" w:rsidRPr="00102634" w:rsidRDefault="005D6D39" w:rsidP="008A11E8">
            <w:pPr>
              <w:pStyle w:val="TableText"/>
              <w:keepNext/>
              <w:jc w:val="center"/>
              <w:rPr>
                <w:b/>
                <w:bCs/>
              </w:rPr>
            </w:pPr>
            <w:r w:rsidRPr="00102634">
              <w:rPr>
                <w:b/>
                <w:bCs/>
              </w:rPr>
              <w:t>HR (95% CI); p-value</w:t>
            </w:r>
            <w:r w:rsidR="00A77249" w:rsidRPr="00102634">
              <w:rPr>
                <w:b/>
                <w:bCs/>
              </w:rPr>
              <w:t xml:space="preserve"> </w:t>
            </w:r>
            <w:proofErr w:type="spellStart"/>
            <w:proofErr w:type="gramStart"/>
            <w:r w:rsidRPr="00102634">
              <w:rPr>
                <w:b/>
                <w:bCs/>
                <w:vertAlign w:val="superscript"/>
              </w:rPr>
              <w:t>a,b</w:t>
            </w:r>
            <w:proofErr w:type="spellEnd"/>
            <w:proofErr w:type="gramEnd"/>
          </w:p>
        </w:tc>
      </w:tr>
      <w:tr w:rsidR="005D6D39" w:rsidRPr="00102634" w14:paraId="77D40268" w14:textId="77777777">
        <w:trPr>
          <w:trHeight w:val="20"/>
        </w:trPr>
        <w:tc>
          <w:tcPr>
            <w:tcW w:w="1019" w:type="pct"/>
            <w:vMerge/>
            <w:vAlign w:val="center"/>
          </w:tcPr>
          <w:p w14:paraId="0C566266" w14:textId="77777777" w:rsidR="005D6D39" w:rsidRPr="00102634" w:rsidRDefault="005D6D39" w:rsidP="008A11E8">
            <w:pPr>
              <w:pStyle w:val="TableText"/>
              <w:keepNext/>
              <w:rPr>
                <w:b/>
                <w:bCs/>
              </w:rPr>
            </w:pPr>
          </w:p>
        </w:tc>
        <w:tc>
          <w:tcPr>
            <w:tcW w:w="746" w:type="pct"/>
            <w:vAlign w:val="center"/>
          </w:tcPr>
          <w:p w14:paraId="69099554" w14:textId="798999DF" w:rsidR="005D6D39" w:rsidRPr="00102634" w:rsidRDefault="005D6D39" w:rsidP="008A11E8">
            <w:pPr>
              <w:pStyle w:val="TableText"/>
              <w:keepNext/>
              <w:jc w:val="center"/>
              <w:rPr>
                <w:b/>
                <w:bCs/>
              </w:rPr>
            </w:pPr>
            <w:r w:rsidRPr="00102634">
              <w:rPr>
                <w:b/>
                <w:bCs/>
              </w:rPr>
              <w:t>PFS event n/N (%)</w:t>
            </w:r>
          </w:p>
        </w:tc>
        <w:tc>
          <w:tcPr>
            <w:tcW w:w="825" w:type="pct"/>
            <w:vAlign w:val="center"/>
          </w:tcPr>
          <w:p w14:paraId="2FB2B326" w14:textId="77777777" w:rsidR="005D6D39" w:rsidRPr="00102634" w:rsidRDefault="005D6D39" w:rsidP="008A11E8">
            <w:pPr>
              <w:pStyle w:val="TableText"/>
              <w:keepNext/>
              <w:jc w:val="center"/>
              <w:rPr>
                <w:b/>
                <w:bCs/>
              </w:rPr>
            </w:pPr>
            <w:r w:rsidRPr="00102634">
              <w:rPr>
                <w:b/>
                <w:bCs/>
              </w:rPr>
              <w:t>Median PFS, months (95%CI)</w:t>
            </w:r>
          </w:p>
        </w:tc>
        <w:tc>
          <w:tcPr>
            <w:tcW w:w="787" w:type="pct"/>
            <w:vAlign w:val="center"/>
          </w:tcPr>
          <w:p w14:paraId="758F8767" w14:textId="77777777" w:rsidR="005D6D39" w:rsidRPr="00102634" w:rsidRDefault="005D6D39" w:rsidP="008A11E8">
            <w:pPr>
              <w:pStyle w:val="TableText"/>
              <w:keepNext/>
              <w:jc w:val="center"/>
              <w:rPr>
                <w:b/>
                <w:bCs/>
              </w:rPr>
            </w:pPr>
            <w:r w:rsidRPr="00102634">
              <w:rPr>
                <w:b/>
                <w:bCs/>
              </w:rPr>
              <w:t>PFS event n/N (%)</w:t>
            </w:r>
          </w:p>
        </w:tc>
        <w:tc>
          <w:tcPr>
            <w:tcW w:w="787" w:type="pct"/>
            <w:vAlign w:val="center"/>
          </w:tcPr>
          <w:p w14:paraId="1E4A6904" w14:textId="77777777" w:rsidR="005D6D39" w:rsidRPr="00102634" w:rsidRDefault="005D6D39" w:rsidP="008A11E8">
            <w:pPr>
              <w:pStyle w:val="TableText"/>
              <w:keepNext/>
              <w:jc w:val="center"/>
              <w:rPr>
                <w:b/>
                <w:bCs/>
              </w:rPr>
            </w:pPr>
            <w:r w:rsidRPr="00102634">
              <w:rPr>
                <w:b/>
                <w:bCs/>
              </w:rPr>
              <w:t>Median PFS, months (95%CI)</w:t>
            </w:r>
          </w:p>
        </w:tc>
        <w:tc>
          <w:tcPr>
            <w:tcW w:w="835" w:type="pct"/>
            <w:vMerge/>
            <w:vAlign w:val="center"/>
          </w:tcPr>
          <w:p w14:paraId="27AB75D4" w14:textId="77777777" w:rsidR="005D6D39" w:rsidRPr="00102634" w:rsidRDefault="005D6D39" w:rsidP="008A11E8">
            <w:pPr>
              <w:pStyle w:val="TableText"/>
              <w:keepNext/>
              <w:jc w:val="center"/>
              <w:rPr>
                <w:b/>
                <w:bCs/>
              </w:rPr>
            </w:pPr>
          </w:p>
        </w:tc>
      </w:tr>
      <w:tr w:rsidR="005D6D39" w:rsidRPr="00102634" w14:paraId="4832AFDE" w14:textId="77777777">
        <w:trPr>
          <w:trHeight w:val="20"/>
        </w:trPr>
        <w:tc>
          <w:tcPr>
            <w:tcW w:w="5000" w:type="pct"/>
            <w:gridSpan w:val="6"/>
            <w:vAlign w:val="center"/>
          </w:tcPr>
          <w:p w14:paraId="1B6D390F" w14:textId="77777777" w:rsidR="005D6D39" w:rsidRPr="00102634" w:rsidRDefault="005D6D39" w:rsidP="008A11E8">
            <w:pPr>
              <w:pStyle w:val="TableText"/>
              <w:keepNext/>
              <w:rPr>
                <w:b/>
                <w:bCs/>
              </w:rPr>
            </w:pPr>
            <w:r w:rsidRPr="00102634">
              <w:rPr>
                <w:b/>
                <w:bCs/>
              </w:rPr>
              <w:t xml:space="preserve">CAPItello-291 </w:t>
            </w:r>
          </w:p>
        </w:tc>
      </w:tr>
      <w:tr w:rsidR="005D6D39" w:rsidRPr="00102634" w14:paraId="6E805119" w14:textId="77777777">
        <w:trPr>
          <w:trHeight w:val="20"/>
        </w:trPr>
        <w:tc>
          <w:tcPr>
            <w:tcW w:w="1019" w:type="pct"/>
            <w:vAlign w:val="center"/>
          </w:tcPr>
          <w:p w14:paraId="5B91B30F" w14:textId="77777777" w:rsidR="005D6D39" w:rsidRPr="00102634" w:rsidRDefault="005D6D39" w:rsidP="008A11E8">
            <w:pPr>
              <w:pStyle w:val="TableText"/>
              <w:keepNext/>
            </w:pPr>
            <w:r w:rsidRPr="00102634">
              <w:t>ITT (N=708)</w:t>
            </w:r>
          </w:p>
        </w:tc>
        <w:tc>
          <w:tcPr>
            <w:tcW w:w="746" w:type="pct"/>
            <w:vAlign w:val="center"/>
          </w:tcPr>
          <w:p w14:paraId="7F8F375D" w14:textId="77777777" w:rsidR="005D6D39" w:rsidRPr="00102634" w:rsidRDefault="005D6D39" w:rsidP="008A11E8">
            <w:pPr>
              <w:pStyle w:val="TableText"/>
              <w:keepNext/>
              <w:jc w:val="center"/>
            </w:pPr>
            <w:r w:rsidRPr="00102634">
              <w:t>258/355 (72.7)</w:t>
            </w:r>
          </w:p>
        </w:tc>
        <w:tc>
          <w:tcPr>
            <w:tcW w:w="825" w:type="pct"/>
            <w:vAlign w:val="center"/>
          </w:tcPr>
          <w:p w14:paraId="344BE0B9" w14:textId="77777777" w:rsidR="005D6D39" w:rsidRPr="00102634" w:rsidRDefault="005D6D39" w:rsidP="008A11E8">
            <w:pPr>
              <w:pStyle w:val="TableText"/>
              <w:keepNext/>
              <w:jc w:val="center"/>
            </w:pPr>
            <w:r w:rsidRPr="00102634">
              <w:t>7.2 (5.5, 7.4)</w:t>
            </w:r>
          </w:p>
        </w:tc>
        <w:tc>
          <w:tcPr>
            <w:tcW w:w="787" w:type="pct"/>
            <w:vAlign w:val="center"/>
          </w:tcPr>
          <w:p w14:paraId="5DF8EF73" w14:textId="77777777" w:rsidR="005D6D39" w:rsidRPr="00102634" w:rsidRDefault="005D6D39" w:rsidP="008A11E8">
            <w:pPr>
              <w:pStyle w:val="TableText"/>
              <w:keepNext/>
              <w:jc w:val="center"/>
            </w:pPr>
            <w:r w:rsidRPr="00102634">
              <w:t>293/353 (83)</w:t>
            </w:r>
          </w:p>
        </w:tc>
        <w:tc>
          <w:tcPr>
            <w:tcW w:w="787" w:type="pct"/>
            <w:vAlign w:val="center"/>
          </w:tcPr>
          <w:p w14:paraId="3206EB3D" w14:textId="77777777" w:rsidR="005D6D39" w:rsidRPr="00102634" w:rsidRDefault="005D6D39" w:rsidP="008A11E8">
            <w:pPr>
              <w:pStyle w:val="TableText"/>
              <w:keepNext/>
              <w:jc w:val="center"/>
            </w:pPr>
            <w:r w:rsidRPr="00102634">
              <w:t>3.6 (2.8, 3.7)</w:t>
            </w:r>
          </w:p>
        </w:tc>
        <w:tc>
          <w:tcPr>
            <w:tcW w:w="835" w:type="pct"/>
            <w:vAlign w:val="center"/>
          </w:tcPr>
          <w:p w14:paraId="4E7B628B" w14:textId="77777777" w:rsidR="005D6D39" w:rsidRPr="00102634" w:rsidRDefault="005D6D39" w:rsidP="008A11E8">
            <w:pPr>
              <w:pStyle w:val="TableText"/>
              <w:keepNext/>
              <w:jc w:val="center"/>
              <w:rPr>
                <w:b/>
                <w:bCs/>
              </w:rPr>
            </w:pPr>
            <w:r w:rsidRPr="00102634">
              <w:rPr>
                <w:b/>
                <w:bCs/>
              </w:rPr>
              <w:t>0.60 (0.51, 0.71); &lt;0.001</w:t>
            </w:r>
          </w:p>
        </w:tc>
      </w:tr>
      <w:tr w:rsidR="005D6D39" w:rsidRPr="00102634" w14:paraId="0858F173" w14:textId="77777777">
        <w:trPr>
          <w:trHeight w:val="20"/>
        </w:trPr>
        <w:tc>
          <w:tcPr>
            <w:tcW w:w="1019" w:type="pct"/>
            <w:vAlign w:val="center"/>
          </w:tcPr>
          <w:p w14:paraId="4BB42DC8" w14:textId="7625AFC4" w:rsidR="005D6D39" w:rsidRPr="00102634" w:rsidRDefault="005D6D39" w:rsidP="008A11E8">
            <w:pPr>
              <w:pStyle w:val="TableText"/>
              <w:keepNext/>
            </w:pPr>
            <w:r w:rsidRPr="00102634" w:rsidDel="006F41D3">
              <w:t>AKT</w:t>
            </w:r>
            <w:r w:rsidR="006F41D3">
              <w:t xml:space="preserve"> pathway</w:t>
            </w:r>
            <w:r w:rsidRPr="00102634">
              <w:t xml:space="preserve"> altered (n=289)</w:t>
            </w:r>
          </w:p>
        </w:tc>
        <w:tc>
          <w:tcPr>
            <w:tcW w:w="746" w:type="pct"/>
            <w:vAlign w:val="center"/>
          </w:tcPr>
          <w:p w14:paraId="5A4D3BAE" w14:textId="77777777" w:rsidR="005D6D39" w:rsidRPr="00102634" w:rsidRDefault="005D6D39" w:rsidP="008A11E8">
            <w:pPr>
              <w:pStyle w:val="TableText"/>
              <w:keepNext/>
              <w:jc w:val="center"/>
            </w:pPr>
            <w:r w:rsidRPr="00102634">
              <w:t>121/155 (78.1)</w:t>
            </w:r>
          </w:p>
        </w:tc>
        <w:tc>
          <w:tcPr>
            <w:tcW w:w="825" w:type="pct"/>
            <w:vAlign w:val="center"/>
          </w:tcPr>
          <w:p w14:paraId="5FF75CDF" w14:textId="77777777" w:rsidR="005D6D39" w:rsidRPr="00102634" w:rsidRDefault="005D6D39" w:rsidP="008A11E8">
            <w:pPr>
              <w:pStyle w:val="TableText"/>
              <w:keepNext/>
              <w:jc w:val="center"/>
            </w:pPr>
            <w:r w:rsidRPr="00102634">
              <w:t>7.3 (5.5, 9.0)</w:t>
            </w:r>
          </w:p>
        </w:tc>
        <w:tc>
          <w:tcPr>
            <w:tcW w:w="787" w:type="pct"/>
            <w:vAlign w:val="center"/>
          </w:tcPr>
          <w:p w14:paraId="2FB2CEF9" w14:textId="77777777" w:rsidR="005D6D39" w:rsidRPr="00102634" w:rsidRDefault="005D6D39" w:rsidP="008A11E8">
            <w:pPr>
              <w:pStyle w:val="TableText"/>
              <w:keepNext/>
              <w:jc w:val="center"/>
            </w:pPr>
            <w:r w:rsidRPr="00102634">
              <w:t>115/134 (85.8)</w:t>
            </w:r>
          </w:p>
        </w:tc>
        <w:tc>
          <w:tcPr>
            <w:tcW w:w="787" w:type="pct"/>
            <w:vAlign w:val="center"/>
          </w:tcPr>
          <w:p w14:paraId="79BAF8E0" w14:textId="77777777" w:rsidR="005D6D39" w:rsidRPr="00102634" w:rsidRDefault="005D6D39" w:rsidP="008A11E8">
            <w:pPr>
              <w:pStyle w:val="TableText"/>
              <w:keepNext/>
              <w:jc w:val="center"/>
            </w:pPr>
            <w:r w:rsidRPr="00102634">
              <w:t>3.1 (2, 3.7)</w:t>
            </w:r>
          </w:p>
        </w:tc>
        <w:tc>
          <w:tcPr>
            <w:tcW w:w="835" w:type="pct"/>
            <w:vAlign w:val="center"/>
          </w:tcPr>
          <w:p w14:paraId="14EAA216" w14:textId="77777777" w:rsidR="005D6D39" w:rsidRPr="00102634" w:rsidRDefault="005D6D39" w:rsidP="008A11E8">
            <w:pPr>
              <w:pStyle w:val="TableText"/>
              <w:keepNext/>
              <w:jc w:val="center"/>
              <w:rPr>
                <w:b/>
                <w:bCs/>
              </w:rPr>
            </w:pPr>
            <w:r w:rsidRPr="00102634">
              <w:rPr>
                <w:b/>
                <w:bCs/>
              </w:rPr>
              <w:t>0.50 (0.38, 0.65); &lt;0.001</w:t>
            </w:r>
          </w:p>
        </w:tc>
      </w:tr>
      <w:tr w:rsidR="005D6D39" w:rsidRPr="00102634" w14:paraId="3BEE33A5" w14:textId="77777777">
        <w:trPr>
          <w:trHeight w:val="20"/>
        </w:trPr>
        <w:tc>
          <w:tcPr>
            <w:tcW w:w="1019" w:type="pct"/>
            <w:vAlign w:val="center"/>
          </w:tcPr>
          <w:p w14:paraId="573378E1" w14:textId="21B43EEC" w:rsidR="005D6D39" w:rsidRPr="00102634" w:rsidRDefault="001D42C7" w:rsidP="008A11E8">
            <w:pPr>
              <w:pStyle w:val="TableText"/>
              <w:keepNext/>
              <w:rPr>
                <w:vertAlign w:val="superscript"/>
              </w:rPr>
            </w:pPr>
            <w:r w:rsidRPr="00102634">
              <w:t>Non AKT</w:t>
            </w:r>
            <w:r w:rsidR="005D6D39" w:rsidRPr="00102634">
              <w:t xml:space="preserve"> pathway altered (includes unknown) (n=</w:t>
            </w:r>
            <w:proofErr w:type="gramStart"/>
            <w:r w:rsidR="005D6D39" w:rsidRPr="00102634">
              <w:t>419)</w:t>
            </w:r>
            <w:r w:rsidR="005D6D39" w:rsidRPr="00102634">
              <w:rPr>
                <w:vertAlign w:val="superscript"/>
              </w:rPr>
              <w:t>c</w:t>
            </w:r>
            <w:proofErr w:type="gramEnd"/>
          </w:p>
        </w:tc>
        <w:tc>
          <w:tcPr>
            <w:tcW w:w="746" w:type="pct"/>
            <w:vAlign w:val="center"/>
          </w:tcPr>
          <w:p w14:paraId="6CB1411A" w14:textId="77777777" w:rsidR="005D6D39" w:rsidRPr="00102634" w:rsidRDefault="005D6D39" w:rsidP="008A11E8">
            <w:pPr>
              <w:pStyle w:val="TableText"/>
              <w:keepNext/>
              <w:jc w:val="center"/>
            </w:pPr>
            <w:r w:rsidRPr="00102634">
              <w:t>137/200 (68.5)</w:t>
            </w:r>
          </w:p>
        </w:tc>
        <w:tc>
          <w:tcPr>
            <w:tcW w:w="825" w:type="pct"/>
            <w:vAlign w:val="center"/>
          </w:tcPr>
          <w:p w14:paraId="671B7BD4" w14:textId="77777777" w:rsidR="005D6D39" w:rsidRPr="00102634" w:rsidRDefault="005D6D39" w:rsidP="008A11E8">
            <w:pPr>
              <w:pStyle w:val="TableText"/>
              <w:keepNext/>
              <w:jc w:val="center"/>
            </w:pPr>
            <w:r w:rsidRPr="00102634">
              <w:t>7.2 (4.5, 7.4)</w:t>
            </w:r>
          </w:p>
        </w:tc>
        <w:tc>
          <w:tcPr>
            <w:tcW w:w="787" w:type="pct"/>
            <w:vAlign w:val="center"/>
          </w:tcPr>
          <w:p w14:paraId="246A57BF" w14:textId="77777777" w:rsidR="005D6D39" w:rsidRPr="00102634" w:rsidRDefault="005D6D39" w:rsidP="008A11E8">
            <w:pPr>
              <w:pStyle w:val="TableText"/>
              <w:keepNext/>
              <w:jc w:val="center"/>
            </w:pPr>
            <w:r w:rsidRPr="00102634">
              <w:t>178/219 (81.3)</w:t>
            </w:r>
          </w:p>
        </w:tc>
        <w:tc>
          <w:tcPr>
            <w:tcW w:w="787" w:type="pct"/>
            <w:vAlign w:val="center"/>
          </w:tcPr>
          <w:p w14:paraId="1EB50B29" w14:textId="77777777" w:rsidR="005D6D39" w:rsidRPr="00102634" w:rsidRDefault="005D6D39" w:rsidP="008A11E8">
            <w:pPr>
              <w:pStyle w:val="TableText"/>
              <w:keepNext/>
              <w:jc w:val="center"/>
            </w:pPr>
            <w:r w:rsidRPr="00102634">
              <w:t>3.7 (3, 5)</w:t>
            </w:r>
          </w:p>
        </w:tc>
        <w:tc>
          <w:tcPr>
            <w:tcW w:w="835" w:type="pct"/>
            <w:vAlign w:val="center"/>
          </w:tcPr>
          <w:p w14:paraId="2279F665" w14:textId="561F44FF" w:rsidR="005D6D39" w:rsidRPr="00102634" w:rsidRDefault="005D6D39" w:rsidP="008A11E8">
            <w:pPr>
              <w:pStyle w:val="TableText"/>
              <w:keepNext/>
              <w:jc w:val="center"/>
            </w:pPr>
            <w:r w:rsidRPr="00102634">
              <w:t>0.70 (0.56, 0.88)</w:t>
            </w:r>
            <w:r w:rsidR="008B6DC2">
              <w:t>; NR</w:t>
            </w:r>
          </w:p>
        </w:tc>
      </w:tr>
      <w:tr w:rsidR="005D6D39" w:rsidRPr="00102634" w14:paraId="34F24FAD" w14:textId="77777777">
        <w:trPr>
          <w:trHeight w:val="20"/>
        </w:trPr>
        <w:tc>
          <w:tcPr>
            <w:tcW w:w="1019" w:type="pct"/>
            <w:vAlign w:val="center"/>
          </w:tcPr>
          <w:p w14:paraId="3C400833" w14:textId="6A9D8A4B" w:rsidR="005D6D39" w:rsidRPr="00102634" w:rsidRDefault="005D6D39" w:rsidP="008A11E8">
            <w:pPr>
              <w:pStyle w:val="TableText"/>
              <w:keepNext/>
            </w:pPr>
            <w:r w:rsidRPr="00102634">
              <w:t xml:space="preserve">Known </w:t>
            </w:r>
            <w:r w:rsidR="001D42C7" w:rsidRPr="00102634">
              <w:t>non AKT</w:t>
            </w:r>
            <w:r w:rsidRPr="00102634">
              <w:t xml:space="preserve"> pathway altered (n=313)</w:t>
            </w:r>
          </w:p>
        </w:tc>
        <w:tc>
          <w:tcPr>
            <w:tcW w:w="746" w:type="pct"/>
            <w:vAlign w:val="center"/>
          </w:tcPr>
          <w:p w14:paraId="7F875C66" w14:textId="77777777" w:rsidR="005D6D39" w:rsidRPr="00102634" w:rsidRDefault="005D6D39" w:rsidP="008A11E8">
            <w:pPr>
              <w:pStyle w:val="TableText"/>
              <w:keepNext/>
              <w:jc w:val="center"/>
            </w:pPr>
            <w:r w:rsidRPr="00102634">
              <w:t>103/142 (72.5)</w:t>
            </w:r>
          </w:p>
        </w:tc>
        <w:tc>
          <w:tcPr>
            <w:tcW w:w="825" w:type="pct"/>
            <w:vAlign w:val="center"/>
          </w:tcPr>
          <w:p w14:paraId="06F0A706" w14:textId="77777777" w:rsidR="005D6D39" w:rsidRPr="00102634" w:rsidRDefault="005D6D39" w:rsidP="008A11E8">
            <w:pPr>
              <w:pStyle w:val="TableText"/>
              <w:keepNext/>
              <w:jc w:val="center"/>
            </w:pPr>
            <w:r w:rsidRPr="00102634">
              <w:t>5.3 (3.6, 7.3)</w:t>
            </w:r>
          </w:p>
        </w:tc>
        <w:tc>
          <w:tcPr>
            <w:tcW w:w="787" w:type="pct"/>
            <w:vAlign w:val="center"/>
          </w:tcPr>
          <w:p w14:paraId="59444F4B" w14:textId="77777777" w:rsidR="005D6D39" w:rsidRPr="00102634" w:rsidRDefault="005D6D39" w:rsidP="008A11E8">
            <w:pPr>
              <w:pStyle w:val="TableText"/>
              <w:keepNext/>
              <w:jc w:val="center"/>
            </w:pPr>
            <w:r w:rsidRPr="00102634">
              <w:t>141/171 (82.4)</w:t>
            </w:r>
          </w:p>
        </w:tc>
        <w:tc>
          <w:tcPr>
            <w:tcW w:w="787" w:type="pct"/>
            <w:vAlign w:val="center"/>
          </w:tcPr>
          <w:p w14:paraId="2CA2E057" w14:textId="77777777" w:rsidR="005D6D39" w:rsidRPr="00102634" w:rsidRDefault="005D6D39" w:rsidP="008A11E8">
            <w:pPr>
              <w:pStyle w:val="TableText"/>
              <w:keepNext/>
              <w:jc w:val="center"/>
            </w:pPr>
            <w:r w:rsidRPr="00102634">
              <w:t>3.7 (3.5, 5.1)</w:t>
            </w:r>
          </w:p>
        </w:tc>
        <w:tc>
          <w:tcPr>
            <w:tcW w:w="835" w:type="pct"/>
            <w:vAlign w:val="center"/>
          </w:tcPr>
          <w:p w14:paraId="7F853940" w14:textId="4400E799" w:rsidR="005D6D39" w:rsidRPr="00102634" w:rsidRDefault="005D6D39" w:rsidP="008A11E8">
            <w:pPr>
              <w:pStyle w:val="TableText"/>
              <w:keepNext/>
              <w:jc w:val="center"/>
            </w:pPr>
            <w:r w:rsidRPr="00102634">
              <w:t>0.79 (0.61, 1.02)</w:t>
            </w:r>
            <w:r w:rsidR="008B6DC2">
              <w:t>; NR</w:t>
            </w:r>
          </w:p>
        </w:tc>
      </w:tr>
      <w:tr w:rsidR="005D6D39" w:rsidRPr="00102634" w14:paraId="5733CB13" w14:textId="77777777">
        <w:trPr>
          <w:trHeight w:val="20"/>
        </w:trPr>
        <w:tc>
          <w:tcPr>
            <w:tcW w:w="1019" w:type="pct"/>
            <w:vAlign w:val="center"/>
          </w:tcPr>
          <w:p w14:paraId="4EE76A67" w14:textId="77777777" w:rsidR="005D6D39" w:rsidRPr="00102634" w:rsidRDefault="005D6D39" w:rsidP="008A11E8">
            <w:pPr>
              <w:pStyle w:val="TableText"/>
              <w:keepNext/>
            </w:pPr>
            <w:r w:rsidRPr="00102634">
              <w:t>Unknown AKT result (n=106)</w:t>
            </w:r>
          </w:p>
        </w:tc>
        <w:tc>
          <w:tcPr>
            <w:tcW w:w="746" w:type="pct"/>
            <w:vAlign w:val="center"/>
          </w:tcPr>
          <w:p w14:paraId="1EE9C0FF" w14:textId="77777777" w:rsidR="005D6D39" w:rsidRPr="00102634" w:rsidRDefault="005D6D39" w:rsidP="008A11E8">
            <w:pPr>
              <w:pStyle w:val="TableText"/>
              <w:keepNext/>
              <w:jc w:val="center"/>
            </w:pPr>
            <w:r w:rsidRPr="00102634">
              <w:t>34/58 (58.6)</w:t>
            </w:r>
          </w:p>
        </w:tc>
        <w:tc>
          <w:tcPr>
            <w:tcW w:w="825" w:type="pct"/>
            <w:vAlign w:val="center"/>
          </w:tcPr>
          <w:p w14:paraId="089DA65F" w14:textId="77777777" w:rsidR="005D6D39" w:rsidRPr="00102634" w:rsidRDefault="005D6D39" w:rsidP="008A11E8">
            <w:pPr>
              <w:pStyle w:val="TableText"/>
              <w:keepNext/>
              <w:jc w:val="center"/>
            </w:pPr>
            <w:r w:rsidRPr="00102634">
              <w:t>10 (7.3, 11.1)</w:t>
            </w:r>
          </w:p>
        </w:tc>
        <w:tc>
          <w:tcPr>
            <w:tcW w:w="787" w:type="pct"/>
            <w:vAlign w:val="center"/>
          </w:tcPr>
          <w:p w14:paraId="230432AD" w14:textId="77777777" w:rsidR="005D6D39" w:rsidRPr="00102634" w:rsidRDefault="005D6D39" w:rsidP="008A11E8">
            <w:pPr>
              <w:pStyle w:val="TableText"/>
              <w:keepNext/>
              <w:jc w:val="center"/>
            </w:pPr>
            <w:r w:rsidRPr="00102634">
              <w:t>37/48 (77)</w:t>
            </w:r>
          </w:p>
        </w:tc>
        <w:tc>
          <w:tcPr>
            <w:tcW w:w="787" w:type="pct"/>
            <w:vAlign w:val="center"/>
          </w:tcPr>
          <w:p w14:paraId="7318D81B" w14:textId="77777777" w:rsidR="005D6D39" w:rsidRPr="00102634" w:rsidRDefault="005D6D39" w:rsidP="008A11E8">
            <w:pPr>
              <w:pStyle w:val="TableText"/>
              <w:keepNext/>
              <w:jc w:val="center"/>
            </w:pPr>
            <w:r w:rsidRPr="00102634">
              <w:t>1.9 (1.8, 7.3)</w:t>
            </w:r>
          </w:p>
        </w:tc>
        <w:tc>
          <w:tcPr>
            <w:tcW w:w="835" w:type="pct"/>
            <w:vAlign w:val="center"/>
          </w:tcPr>
          <w:p w14:paraId="1B278C08" w14:textId="223C7250" w:rsidR="005D6D39" w:rsidRPr="00102634" w:rsidRDefault="005D6D39" w:rsidP="008A11E8">
            <w:pPr>
              <w:pStyle w:val="TableText"/>
              <w:keepNext/>
              <w:jc w:val="center"/>
            </w:pPr>
            <w:r w:rsidRPr="00102634">
              <w:t>0.52 (0.32, 0.83)</w:t>
            </w:r>
            <w:r w:rsidR="008B6DC2">
              <w:t>; NR</w:t>
            </w:r>
          </w:p>
        </w:tc>
      </w:tr>
      <w:tr w:rsidR="005D6D39" w:rsidRPr="00102634" w14:paraId="6D008122" w14:textId="77777777">
        <w:trPr>
          <w:trHeight w:val="20"/>
        </w:trPr>
        <w:tc>
          <w:tcPr>
            <w:tcW w:w="5000" w:type="pct"/>
            <w:gridSpan w:val="6"/>
            <w:vAlign w:val="center"/>
          </w:tcPr>
          <w:p w14:paraId="79026C45" w14:textId="77777777" w:rsidR="005D6D39" w:rsidRPr="00102634" w:rsidRDefault="005D6D39" w:rsidP="008A11E8">
            <w:pPr>
              <w:pStyle w:val="TableText"/>
              <w:keepNext/>
              <w:rPr>
                <w:vertAlign w:val="superscript"/>
              </w:rPr>
            </w:pPr>
            <w:r w:rsidRPr="00102634">
              <w:rPr>
                <w:b/>
                <w:bCs/>
              </w:rPr>
              <w:t xml:space="preserve">Test for interaction </w:t>
            </w:r>
            <w:r w:rsidRPr="00102634">
              <w:rPr>
                <w:b/>
                <w:bCs/>
                <w:vertAlign w:val="superscript"/>
              </w:rPr>
              <w:t>d</w:t>
            </w:r>
          </w:p>
        </w:tc>
      </w:tr>
      <w:tr w:rsidR="005D6D39" w:rsidRPr="00102634" w14:paraId="58427CA3" w14:textId="77777777">
        <w:trPr>
          <w:trHeight w:val="20"/>
        </w:trPr>
        <w:tc>
          <w:tcPr>
            <w:tcW w:w="4165" w:type="pct"/>
            <w:gridSpan w:val="5"/>
            <w:vAlign w:val="center"/>
          </w:tcPr>
          <w:p w14:paraId="4766EF1C" w14:textId="0315586A" w:rsidR="005D6D39" w:rsidRPr="00102634" w:rsidRDefault="005D6D39" w:rsidP="008A11E8">
            <w:pPr>
              <w:pStyle w:val="TableText"/>
              <w:keepNext/>
              <w:jc w:val="right"/>
              <w:rPr>
                <w:i/>
                <w:iCs/>
              </w:rPr>
            </w:pPr>
            <w:r w:rsidRPr="00102634">
              <w:rPr>
                <w:i/>
                <w:iCs/>
              </w:rPr>
              <w:t xml:space="preserve">AKT pathway altered vs </w:t>
            </w:r>
            <w:r w:rsidR="001D42C7" w:rsidRPr="00102634">
              <w:rPr>
                <w:i/>
                <w:iCs/>
              </w:rPr>
              <w:t>non AKT</w:t>
            </w:r>
            <w:r w:rsidRPr="00102634">
              <w:rPr>
                <w:i/>
                <w:iCs/>
              </w:rPr>
              <w:t xml:space="preserve"> pathway altered (Complement)</w:t>
            </w:r>
          </w:p>
        </w:tc>
        <w:tc>
          <w:tcPr>
            <w:tcW w:w="835" w:type="pct"/>
            <w:vAlign w:val="center"/>
          </w:tcPr>
          <w:p w14:paraId="52EFE574" w14:textId="77777777" w:rsidR="005D6D39" w:rsidRPr="00102634" w:rsidRDefault="005D6D39" w:rsidP="008A11E8">
            <w:pPr>
              <w:pStyle w:val="TableText"/>
              <w:keepNext/>
              <w:jc w:val="center"/>
            </w:pPr>
            <w:r w:rsidRPr="00102634">
              <w:rPr>
                <w:i/>
                <w:iCs/>
              </w:rPr>
              <w:t>p=0.0602</w:t>
            </w:r>
          </w:p>
        </w:tc>
      </w:tr>
      <w:tr w:rsidR="005D6D39" w:rsidRPr="00102634" w14:paraId="3CCBEEE2" w14:textId="77777777">
        <w:trPr>
          <w:trHeight w:val="20"/>
        </w:trPr>
        <w:tc>
          <w:tcPr>
            <w:tcW w:w="4165" w:type="pct"/>
            <w:gridSpan w:val="5"/>
            <w:vAlign w:val="center"/>
          </w:tcPr>
          <w:p w14:paraId="09B46FD4" w14:textId="09782233" w:rsidR="005D6D39" w:rsidRPr="00102634" w:rsidRDefault="005D6D39" w:rsidP="008A11E8">
            <w:pPr>
              <w:pStyle w:val="TableText"/>
              <w:keepNext/>
              <w:jc w:val="right"/>
              <w:rPr>
                <w:i/>
                <w:iCs/>
              </w:rPr>
            </w:pPr>
            <w:r w:rsidRPr="00102634">
              <w:rPr>
                <w:i/>
                <w:iCs/>
              </w:rPr>
              <w:t xml:space="preserve">AKT pathway altered vs Known </w:t>
            </w:r>
            <w:r w:rsidR="001D42C7" w:rsidRPr="00102634">
              <w:rPr>
                <w:i/>
                <w:iCs/>
              </w:rPr>
              <w:t>non AKT</w:t>
            </w:r>
            <w:r w:rsidRPr="00102634">
              <w:rPr>
                <w:i/>
                <w:iCs/>
              </w:rPr>
              <w:t xml:space="preserve"> pathway altered (excludes unknown)</w:t>
            </w:r>
          </w:p>
        </w:tc>
        <w:tc>
          <w:tcPr>
            <w:tcW w:w="835" w:type="pct"/>
            <w:vAlign w:val="center"/>
          </w:tcPr>
          <w:p w14:paraId="6A32E018" w14:textId="77777777" w:rsidR="005D6D39" w:rsidRPr="00102634" w:rsidRDefault="005D6D39" w:rsidP="008A11E8">
            <w:pPr>
              <w:pStyle w:val="TableText"/>
              <w:keepNext/>
              <w:jc w:val="center"/>
              <w:rPr>
                <w:vertAlign w:val="superscript"/>
              </w:rPr>
            </w:pPr>
            <w:r w:rsidRPr="00102634">
              <w:rPr>
                <w:b/>
                <w:bCs/>
                <w:i/>
                <w:iCs/>
              </w:rPr>
              <w:t xml:space="preserve">p=0.0158 </w:t>
            </w:r>
            <w:r w:rsidRPr="00102634">
              <w:rPr>
                <w:b/>
                <w:bCs/>
                <w:i/>
                <w:iCs/>
                <w:vertAlign w:val="superscript"/>
              </w:rPr>
              <w:t>e</w:t>
            </w:r>
          </w:p>
        </w:tc>
      </w:tr>
      <w:tr w:rsidR="005D6D39" w:rsidRPr="00102634" w14:paraId="43F9CCD2" w14:textId="77777777">
        <w:trPr>
          <w:trHeight w:val="20"/>
        </w:trPr>
        <w:tc>
          <w:tcPr>
            <w:tcW w:w="5000" w:type="pct"/>
            <w:gridSpan w:val="6"/>
            <w:vAlign w:val="center"/>
          </w:tcPr>
          <w:p w14:paraId="769818BC" w14:textId="77777777" w:rsidR="005D6D39" w:rsidRPr="00102634" w:rsidRDefault="005D6D39" w:rsidP="008A11E8">
            <w:pPr>
              <w:pStyle w:val="TableText"/>
              <w:keepNext/>
              <w:rPr>
                <w:vertAlign w:val="superscript"/>
              </w:rPr>
            </w:pPr>
            <w:r w:rsidRPr="00102634">
              <w:rPr>
                <w:b/>
                <w:bCs/>
              </w:rPr>
              <w:t xml:space="preserve">FAKTION </w:t>
            </w:r>
          </w:p>
        </w:tc>
      </w:tr>
      <w:tr w:rsidR="005D6D39" w:rsidRPr="00102634" w14:paraId="1EAEB85D" w14:textId="77777777">
        <w:trPr>
          <w:trHeight w:val="20"/>
        </w:trPr>
        <w:tc>
          <w:tcPr>
            <w:tcW w:w="1019" w:type="pct"/>
            <w:vAlign w:val="center"/>
          </w:tcPr>
          <w:p w14:paraId="61337D1D" w14:textId="77777777" w:rsidR="005D6D39" w:rsidRPr="00102634" w:rsidRDefault="005D6D39" w:rsidP="008A11E8">
            <w:pPr>
              <w:pStyle w:val="TableText"/>
              <w:keepNext/>
            </w:pPr>
            <w:r w:rsidRPr="00102634">
              <w:t>ITT (N=140)</w:t>
            </w:r>
          </w:p>
        </w:tc>
        <w:tc>
          <w:tcPr>
            <w:tcW w:w="746" w:type="pct"/>
            <w:vAlign w:val="center"/>
          </w:tcPr>
          <w:p w14:paraId="0F539FCC" w14:textId="77777777" w:rsidR="005D6D39" w:rsidRPr="00102634" w:rsidRDefault="005D6D39" w:rsidP="008A11E8">
            <w:pPr>
              <w:pStyle w:val="TableText"/>
              <w:keepNext/>
              <w:jc w:val="center"/>
            </w:pPr>
            <w:r w:rsidRPr="00102634">
              <w:t>54/69 (78)</w:t>
            </w:r>
          </w:p>
        </w:tc>
        <w:tc>
          <w:tcPr>
            <w:tcW w:w="825" w:type="pct"/>
            <w:vAlign w:val="center"/>
          </w:tcPr>
          <w:p w14:paraId="16261BEB" w14:textId="77777777" w:rsidR="005D6D39" w:rsidRPr="00102634" w:rsidRDefault="005D6D39" w:rsidP="008A11E8">
            <w:pPr>
              <w:pStyle w:val="TableText"/>
              <w:keepNext/>
              <w:jc w:val="center"/>
            </w:pPr>
            <w:r w:rsidRPr="00102634">
              <w:t>10.3 (5, 13.4)</w:t>
            </w:r>
          </w:p>
        </w:tc>
        <w:tc>
          <w:tcPr>
            <w:tcW w:w="787" w:type="pct"/>
            <w:vAlign w:val="center"/>
          </w:tcPr>
          <w:p w14:paraId="4F09D2CC" w14:textId="77777777" w:rsidR="005D6D39" w:rsidRPr="00102634" w:rsidRDefault="005D6D39" w:rsidP="008A11E8">
            <w:pPr>
              <w:pStyle w:val="TableText"/>
              <w:keepNext/>
              <w:jc w:val="center"/>
            </w:pPr>
            <w:r w:rsidRPr="00102634">
              <w:t>64/71 (90)</w:t>
            </w:r>
          </w:p>
        </w:tc>
        <w:tc>
          <w:tcPr>
            <w:tcW w:w="787" w:type="pct"/>
            <w:vAlign w:val="center"/>
          </w:tcPr>
          <w:p w14:paraId="46E8C070" w14:textId="77777777" w:rsidR="005D6D39" w:rsidRPr="00102634" w:rsidRDefault="005D6D39" w:rsidP="008A11E8">
            <w:pPr>
              <w:pStyle w:val="TableText"/>
              <w:keepNext/>
              <w:jc w:val="center"/>
            </w:pPr>
            <w:r w:rsidRPr="00102634">
              <w:t>4.8 (3.1–7.9)</w:t>
            </w:r>
          </w:p>
        </w:tc>
        <w:tc>
          <w:tcPr>
            <w:tcW w:w="835" w:type="pct"/>
            <w:vAlign w:val="center"/>
          </w:tcPr>
          <w:p w14:paraId="6A2B6AD7" w14:textId="77777777" w:rsidR="005D6D39" w:rsidRPr="00102634" w:rsidRDefault="005D6D39" w:rsidP="008A11E8">
            <w:pPr>
              <w:pStyle w:val="TableText"/>
              <w:keepNext/>
              <w:jc w:val="center"/>
              <w:rPr>
                <w:b/>
                <w:bCs/>
              </w:rPr>
            </w:pPr>
            <w:r w:rsidRPr="00102634">
              <w:rPr>
                <w:b/>
                <w:bCs/>
              </w:rPr>
              <w:t>0.56 (0.38, 0.81); 0.0023</w:t>
            </w:r>
          </w:p>
        </w:tc>
      </w:tr>
      <w:tr w:rsidR="005D6D39" w:rsidRPr="00102634" w14:paraId="455B66BE" w14:textId="77777777">
        <w:trPr>
          <w:trHeight w:val="20"/>
        </w:trPr>
        <w:tc>
          <w:tcPr>
            <w:tcW w:w="5000" w:type="pct"/>
            <w:gridSpan w:val="6"/>
            <w:vAlign w:val="center"/>
          </w:tcPr>
          <w:p w14:paraId="2FE37DBC" w14:textId="77777777" w:rsidR="005D6D39" w:rsidRPr="00102634" w:rsidRDefault="005D6D39" w:rsidP="008A11E8">
            <w:pPr>
              <w:pStyle w:val="TableText"/>
              <w:keepNext/>
              <w:rPr>
                <w:b/>
                <w:bCs/>
              </w:rPr>
            </w:pPr>
            <w:r w:rsidRPr="00102634">
              <w:rPr>
                <w:b/>
                <w:bCs/>
              </w:rPr>
              <w:t>AKT pathway altered</w:t>
            </w:r>
          </w:p>
        </w:tc>
      </w:tr>
      <w:tr w:rsidR="005D6D39" w:rsidRPr="00102634" w14:paraId="05A6DAEF" w14:textId="77777777">
        <w:trPr>
          <w:trHeight w:val="20"/>
        </w:trPr>
        <w:tc>
          <w:tcPr>
            <w:tcW w:w="1019" w:type="pct"/>
            <w:vAlign w:val="center"/>
          </w:tcPr>
          <w:p w14:paraId="5E8171DF" w14:textId="77777777" w:rsidR="005D6D39" w:rsidRPr="00102634" w:rsidRDefault="005D6D39" w:rsidP="008A11E8">
            <w:pPr>
              <w:pStyle w:val="TableText"/>
              <w:keepNext/>
            </w:pPr>
            <w:r w:rsidRPr="00102634">
              <w:t>Original pathway altered (n=59)</w:t>
            </w:r>
          </w:p>
        </w:tc>
        <w:tc>
          <w:tcPr>
            <w:tcW w:w="746" w:type="pct"/>
            <w:vAlign w:val="center"/>
          </w:tcPr>
          <w:p w14:paraId="26FA529A" w14:textId="77777777" w:rsidR="005D6D39" w:rsidRPr="00102634" w:rsidRDefault="005D6D39" w:rsidP="008A11E8">
            <w:pPr>
              <w:pStyle w:val="TableText"/>
              <w:keepNext/>
              <w:jc w:val="center"/>
            </w:pPr>
            <w:r w:rsidRPr="00102634">
              <w:t>26/31 (83)</w:t>
            </w:r>
          </w:p>
        </w:tc>
        <w:tc>
          <w:tcPr>
            <w:tcW w:w="825" w:type="pct"/>
            <w:vAlign w:val="center"/>
          </w:tcPr>
          <w:p w14:paraId="6C3FA892" w14:textId="77777777" w:rsidR="005D6D39" w:rsidRPr="00102634" w:rsidRDefault="005D6D39" w:rsidP="008A11E8">
            <w:pPr>
              <w:pStyle w:val="TableText"/>
              <w:keepNext/>
              <w:jc w:val="center"/>
            </w:pPr>
            <w:r w:rsidRPr="00102634">
              <w:t>10.5 (6.6, 18.7)</w:t>
            </w:r>
          </w:p>
        </w:tc>
        <w:tc>
          <w:tcPr>
            <w:tcW w:w="787" w:type="pct"/>
            <w:vAlign w:val="center"/>
          </w:tcPr>
          <w:p w14:paraId="6132E5F1" w14:textId="77777777" w:rsidR="005D6D39" w:rsidRPr="00102634" w:rsidRDefault="005D6D39" w:rsidP="008A11E8">
            <w:pPr>
              <w:pStyle w:val="TableText"/>
              <w:keepNext/>
              <w:jc w:val="center"/>
            </w:pPr>
            <w:r w:rsidRPr="00102634">
              <w:t>28/28 (100)</w:t>
            </w:r>
          </w:p>
        </w:tc>
        <w:tc>
          <w:tcPr>
            <w:tcW w:w="787" w:type="pct"/>
            <w:vAlign w:val="center"/>
          </w:tcPr>
          <w:p w14:paraId="78AC46F5" w14:textId="77777777" w:rsidR="005D6D39" w:rsidRPr="00102634" w:rsidRDefault="005D6D39" w:rsidP="008A11E8">
            <w:pPr>
              <w:pStyle w:val="TableText"/>
              <w:keepNext/>
              <w:jc w:val="center"/>
            </w:pPr>
            <w:r w:rsidRPr="00102634">
              <w:t>5.2 (3.1, 8.4)</w:t>
            </w:r>
          </w:p>
        </w:tc>
        <w:tc>
          <w:tcPr>
            <w:tcW w:w="835" w:type="pct"/>
            <w:vAlign w:val="center"/>
          </w:tcPr>
          <w:p w14:paraId="042B213D" w14:textId="77777777" w:rsidR="005D6D39" w:rsidRPr="00102634" w:rsidRDefault="005D6D39" w:rsidP="008A11E8">
            <w:pPr>
              <w:pStyle w:val="TableText"/>
              <w:keepNext/>
              <w:jc w:val="center"/>
            </w:pPr>
            <w:r w:rsidRPr="00102634">
              <w:t>0.47 (0.26, 0.84); 0.011</w:t>
            </w:r>
          </w:p>
        </w:tc>
      </w:tr>
      <w:tr w:rsidR="005D6D39" w:rsidRPr="00102634" w14:paraId="63CFD0E3" w14:textId="77777777">
        <w:trPr>
          <w:trHeight w:val="20"/>
        </w:trPr>
        <w:tc>
          <w:tcPr>
            <w:tcW w:w="1019" w:type="pct"/>
            <w:vAlign w:val="center"/>
          </w:tcPr>
          <w:p w14:paraId="6D29B805" w14:textId="77777777" w:rsidR="005D6D39" w:rsidRPr="00102634" w:rsidRDefault="005D6D39" w:rsidP="008A11E8">
            <w:pPr>
              <w:pStyle w:val="TableText"/>
              <w:keepNext/>
            </w:pPr>
            <w:r w:rsidRPr="00102634">
              <w:t>Expanded pathway altered (n=76)</w:t>
            </w:r>
          </w:p>
        </w:tc>
        <w:tc>
          <w:tcPr>
            <w:tcW w:w="746" w:type="pct"/>
            <w:vAlign w:val="center"/>
          </w:tcPr>
          <w:p w14:paraId="748596AB" w14:textId="77777777" w:rsidR="005D6D39" w:rsidRPr="00102634" w:rsidRDefault="005D6D39" w:rsidP="008A11E8">
            <w:pPr>
              <w:pStyle w:val="TableText"/>
              <w:keepNext/>
              <w:jc w:val="center"/>
            </w:pPr>
            <w:r w:rsidRPr="00102634">
              <w:t>30/39 (77)</w:t>
            </w:r>
          </w:p>
        </w:tc>
        <w:tc>
          <w:tcPr>
            <w:tcW w:w="825" w:type="pct"/>
            <w:vAlign w:val="center"/>
          </w:tcPr>
          <w:p w14:paraId="43F20BE4" w14:textId="77777777" w:rsidR="005D6D39" w:rsidRPr="00102634" w:rsidRDefault="005D6D39" w:rsidP="008A11E8">
            <w:pPr>
              <w:pStyle w:val="TableText"/>
              <w:keepNext/>
              <w:jc w:val="center"/>
            </w:pPr>
            <w:r w:rsidRPr="00102634">
              <w:t>12.8 (6.6, 18.8)</w:t>
            </w:r>
          </w:p>
        </w:tc>
        <w:tc>
          <w:tcPr>
            <w:tcW w:w="787" w:type="pct"/>
            <w:vAlign w:val="center"/>
          </w:tcPr>
          <w:p w14:paraId="37BF07B7" w14:textId="77777777" w:rsidR="005D6D39" w:rsidRPr="00102634" w:rsidRDefault="005D6D39" w:rsidP="008A11E8">
            <w:pPr>
              <w:pStyle w:val="TableText"/>
              <w:keepNext/>
              <w:jc w:val="center"/>
            </w:pPr>
            <w:r w:rsidRPr="00102634">
              <w:t>36/37 (97)</w:t>
            </w:r>
          </w:p>
        </w:tc>
        <w:tc>
          <w:tcPr>
            <w:tcW w:w="787" w:type="pct"/>
            <w:vAlign w:val="center"/>
          </w:tcPr>
          <w:p w14:paraId="3697C1CF" w14:textId="77777777" w:rsidR="005D6D39" w:rsidRPr="00102634" w:rsidRDefault="005D6D39" w:rsidP="008A11E8">
            <w:pPr>
              <w:pStyle w:val="TableText"/>
              <w:keepNext/>
              <w:jc w:val="center"/>
            </w:pPr>
            <w:r w:rsidRPr="00102634">
              <w:t>4.6 (2.8, 7.9)</w:t>
            </w:r>
          </w:p>
        </w:tc>
        <w:tc>
          <w:tcPr>
            <w:tcW w:w="835" w:type="pct"/>
            <w:vAlign w:val="center"/>
          </w:tcPr>
          <w:p w14:paraId="76F3033A" w14:textId="77777777" w:rsidR="005D6D39" w:rsidRPr="00102634" w:rsidRDefault="005D6D39" w:rsidP="008A11E8">
            <w:pPr>
              <w:pStyle w:val="TableText"/>
              <w:keepNext/>
              <w:jc w:val="center"/>
            </w:pPr>
            <w:r w:rsidRPr="00102634">
              <w:t>0.44 (0.26, 0.72); 0.0014</w:t>
            </w:r>
          </w:p>
        </w:tc>
      </w:tr>
      <w:tr w:rsidR="005D6D39" w:rsidRPr="00102634" w14:paraId="3349B3D1" w14:textId="77777777">
        <w:trPr>
          <w:trHeight w:val="20"/>
        </w:trPr>
        <w:tc>
          <w:tcPr>
            <w:tcW w:w="1019" w:type="pct"/>
            <w:vAlign w:val="center"/>
          </w:tcPr>
          <w:p w14:paraId="368D8861" w14:textId="77777777" w:rsidR="005D6D39" w:rsidRPr="00102634" w:rsidRDefault="005D6D39" w:rsidP="008A11E8">
            <w:pPr>
              <w:pStyle w:val="TableText"/>
              <w:keepNext/>
            </w:pPr>
            <w:r w:rsidRPr="00102634">
              <w:t>NGS-identified pathway altered (n=63)</w:t>
            </w:r>
          </w:p>
        </w:tc>
        <w:tc>
          <w:tcPr>
            <w:tcW w:w="746" w:type="pct"/>
            <w:vAlign w:val="center"/>
          </w:tcPr>
          <w:p w14:paraId="6EB5CB00" w14:textId="77777777" w:rsidR="005D6D39" w:rsidRPr="00102634" w:rsidRDefault="005D6D39" w:rsidP="008A11E8">
            <w:pPr>
              <w:pStyle w:val="TableText"/>
              <w:keepNext/>
              <w:jc w:val="center"/>
            </w:pPr>
            <w:r w:rsidRPr="00102634">
              <w:t>25/34 (74)</w:t>
            </w:r>
          </w:p>
        </w:tc>
        <w:tc>
          <w:tcPr>
            <w:tcW w:w="825" w:type="pct"/>
            <w:vAlign w:val="center"/>
          </w:tcPr>
          <w:p w14:paraId="4F39B011" w14:textId="77777777" w:rsidR="005D6D39" w:rsidRPr="00102634" w:rsidRDefault="005D6D39" w:rsidP="008A11E8">
            <w:pPr>
              <w:pStyle w:val="TableText"/>
              <w:keepNext/>
              <w:jc w:val="center"/>
            </w:pPr>
            <w:r w:rsidRPr="00102634">
              <w:t>13.4 (6.6, 20.7)</w:t>
            </w:r>
          </w:p>
        </w:tc>
        <w:tc>
          <w:tcPr>
            <w:tcW w:w="787" w:type="pct"/>
            <w:vAlign w:val="center"/>
          </w:tcPr>
          <w:p w14:paraId="732459C2" w14:textId="77777777" w:rsidR="005D6D39" w:rsidRPr="00102634" w:rsidRDefault="005D6D39" w:rsidP="008A11E8">
            <w:pPr>
              <w:pStyle w:val="TableText"/>
              <w:keepNext/>
              <w:jc w:val="center"/>
            </w:pPr>
            <w:r w:rsidRPr="00102634">
              <w:t>29/29 (100)</w:t>
            </w:r>
          </w:p>
        </w:tc>
        <w:tc>
          <w:tcPr>
            <w:tcW w:w="787" w:type="pct"/>
            <w:vAlign w:val="center"/>
          </w:tcPr>
          <w:p w14:paraId="549462A8" w14:textId="77777777" w:rsidR="005D6D39" w:rsidRPr="00102634" w:rsidRDefault="005D6D39" w:rsidP="008A11E8">
            <w:pPr>
              <w:pStyle w:val="TableText"/>
              <w:keepNext/>
              <w:jc w:val="center"/>
            </w:pPr>
            <w:r w:rsidRPr="00102634">
              <w:t>3.1 (2.8, 7.7)</w:t>
            </w:r>
          </w:p>
        </w:tc>
        <w:tc>
          <w:tcPr>
            <w:tcW w:w="835" w:type="pct"/>
            <w:vAlign w:val="center"/>
          </w:tcPr>
          <w:p w14:paraId="5B99B88C" w14:textId="77777777" w:rsidR="005D6D39" w:rsidRPr="00102634" w:rsidRDefault="005D6D39" w:rsidP="008A11E8">
            <w:pPr>
              <w:pStyle w:val="TableText"/>
              <w:keepNext/>
              <w:jc w:val="center"/>
            </w:pPr>
            <w:r w:rsidRPr="00102634">
              <w:t>0.36 (0.20, 0.65); 0.0007</w:t>
            </w:r>
          </w:p>
        </w:tc>
      </w:tr>
      <w:tr w:rsidR="005D6D39" w:rsidRPr="00102634" w14:paraId="43DB9808" w14:textId="77777777">
        <w:trPr>
          <w:trHeight w:val="20"/>
        </w:trPr>
        <w:tc>
          <w:tcPr>
            <w:tcW w:w="5000" w:type="pct"/>
            <w:gridSpan w:val="6"/>
            <w:vAlign w:val="center"/>
          </w:tcPr>
          <w:p w14:paraId="2D84346A" w14:textId="729D7CAC" w:rsidR="005D6D39" w:rsidRPr="00102634" w:rsidRDefault="001D42C7" w:rsidP="008A11E8">
            <w:pPr>
              <w:pStyle w:val="TableText"/>
              <w:keepNext/>
            </w:pPr>
            <w:r w:rsidRPr="00102634">
              <w:rPr>
                <w:b/>
                <w:bCs/>
              </w:rPr>
              <w:t>Non AKT</w:t>
            </w:r>
            <w:r w:rsidR="005D6D39" w:rsidRPr="00102634">
              <w:rPr>
                <w:b/>
                <w:bCs/>
              </w:rPr>
              <w:t xml:space="preserve"> pathway altered</w:t>
            </w:r>
          </w:p>
        </w:tc>
      </w:tr>
      <w:tr w:rsidR="005D6D39" w:rsidRPr="00102634" w14:paraId="1323D13F" w14:textId="77777777">
        <w:trPr>
          <w:trHeight w:val="20"/>
        </w:trPr>
        <w:tc>
          <w:tcPr>
            <w:tcW w:w="1019" w:type="pct"/>
            <w:vAlign w:val="center"/>
          </w:tcPr>
          <w:p w14:paraId="5A64365C" w14:textId="77777777" w:rsidR="005D6D39" w:rsidRPr="00102634" w:rsidRDefault="005D6D39" w:rsidP="008A11E8">
            <w:pPr>
              <w:pStyle w:val="TableText"/>
              <w:keepNext/>
            </w:pPr>
            <w:r w:rsidRPr="00102634">
              <w:t>Original pathway non-altered (n=81)</w:t>
            </w:r>
          </w:p>
        </w:tc>
        <w:tc>
          <w:tcPr>
            <w:tcW w:w="746" w:type="pct"/>
            <w:vAlign w:val="center"/>
          </w:tcPr>
          <w:p w14:paraId="51863DE3" w14:textId="77777777" w:rsidR="005D6D39" w:rsidRPr="00102634" w:rsidRDefault="005D6D39" w:rsidP="008A11E8">
            <w:pPr>
              <w:pStyle w:val="TableText"/>
              <w:keepNext/>
              <w:jc w:val="center"/>
            </w:pPr>
            <w:r w:rsidRPr="00102634">
              <w:t>28/38 (74)</w:t>
            </w:r>
          </w:p>
        </w:tc>
        <w:tc>
          <w:tcPr>
            <w:tcW w:w="825" w:type="pct"/>
            <w:vAlign w:val="center"/>
          </w:tcPr>
          <w:p w14:paraId="26011ED5" w14:textId="77777777" w:rsidR="005D6D39" w:rsidRPr="00102634" w:rsidRDefault="005D6D39" w:rsidP="008A11E8">
            <w:pPr>
              <w:pStyle w:val="TableText"/>
              <w:keepNext/>
              <w:jc w:val="center"/>
            </w:pPr>
            <w:r w:rsidRPr="00102634">
              <w:t>10.3 (3.2, 13.5)</w:t>
            </w:r>
          </w:p>
        </w:tc>
        <w:tc>
          <w:tcPr>
            <w:tcW w:w="787" w:type="pct"/>
            <w:vAlign w:val="center"/>
          </w:tcPr>
          <w:p w14:paraId="1408A467" w14:textId="77777777" w:rsidR="005D6D39" w:rsidRPr="00102634" w:rsidRDefault="005D6D39" w:rsidP="008A11E8">
            <w:pPr>
              <w:pStyle w:val="TableText"/>
              <w:keepNext/>
              <w:jc w:val="center"/>
            </w:pPr>
            <w:r w:rsidRPr="00102634">
              <w:t>36/43 (84)</w:t>
            </w:r>
          </w:p>
        </w:tc>
        <w:tc>
          <w:tcPr>
            <w:tcW w:w="787" w:type="pct"/>
            <w:vAlign w:val="center"/>
          </w:tcPr>
          <w:p w14:paraId="2A97C0C9" w14:textId="77777777" w:rsidR="005D6D39" w:rsidRPr="00102634" w:rsidRDefault="005D6D39" w:rsidP="008A11E8">
            <w:pPr>
              <w:pStyle w:val="TableText"/>
              <w:keepNext/>
              <w:jc w:val="center"/>
            </w:pPr>
            <w:r w:rsidRPr="00102634">
              <w:t>4.8 (3.0, 10.3)</w:t>
            </w:r>
          </w:p>
        </w:tc>
        <w:tc>
          <w:tcPr>
            <w:tcW w:w="835" w:type="pct"/>
            <w:vAlign w:val="center"/>
          </w:tcPr>
          <w:p w14:paraId="1ACBAFCB" w14:textId="77777777" w:rsidR="005D6D39" w:rsidRPr="00102634" w:rsidRDefault="005D6D39" w:rsidP="008A11E8">
            <w:pPr>
              <w:pStyle w:val="TableText"/>
              <w:keepNext/>
              <w:jc w:val="center"/>
            </w:pPr>
            <w:r w:rsidRPr="00102634">
              <w:t>0.59 (0.35, 0.98); 0.042</w:t>
            </w:r>
          </w:p>
        </w:tc>
      </w:tr>
      <w:tr w:rsidR="005D6D39" w:rsidRPr="00102634" w14:paraId="7EFD7322" w14:textId="77777777">
        <w:trPr>
          <w:trHeight w:val="20"/>
        </w:trPr>
        <w:tc>
          <w:tcPr>
            <w:tcW w:w="1019" w:type="pct"/>
            <w:vAlign w:val="center"/>
          </w:tcPr>
          <w:p w14:paraId="601F10D6" w14:textId="77777777" w:rsidR="005D6D39" w:rsidRPr="00102634" w:rsidRDefault="005D6D39" w:rsidP="008A11E8">
            <w:pPr>
              <w:pStyle w:val="TableText"/>
              <w:keepNext/>
            </w:pPr>
            <w:r w:rsidRPr="00102634">
              <w:t>Expanded pathway non-altered (n=64)</w:t>
            </w:r>
          </w:p>
        </w:tc>
        <w:tc>
          <w:tcPr>
            <w:tcW w:w="746" w:type="pct"/>
            <w:vAlign w:val="center"/>
          </w:tcPr>
          <w:p w14:paraId="22D5CF5D" w14:textId="77777777" w:rsidR="005D6D39" w:rsidRPr="00102634" w:rsidRDefault="005D6D39" w:rsidP="008A11E8">
            <w:pPr>
              <w:pStyle w:val="TableText"/>
              <w:keepNext/>
              <w:jc w:val="center"/>
            </w:pPr>
            <w:r w:rsidRPr="00102634">
              <w:t>24/30 (80)</w:t>
            </w:r>
          </w:p>
        </w:tc>
        <w:tc>
          <w:tcPr>
            <w:tcW w:w="825" w:type="pct"/>
            <w:vAlign w:val="center"/>
          </w:tcPr>
          <w:p w14:paraId="7F80F2A8" w14:textId="77777777" w:rsidR="005D6D39" w:rsidRPr="00102634" w:rsidRDefault="005D6D39" w:rsidP="008A11E8">
            <w:pPr>
              <w:pStyle w:val="TableText"/>
              <w:keepNext/>
              <w:jc w:val="center"/>
            </w:pPr>
            <w:r w:rsidRPr="00102634">
              <w:t>7.7 (3.1, 13.2)</w:t>
            </w:r>
          </w:p>
        </w:tc>
        <w:tc>
          <w:tcPr>
            <w:tcW w:w="787" w:type="pct"/>
            <w:vAlign w:val="center"/>
          </w:tcPr>
          <w:p w14:paraId="10EA0900" w14:textId="77777777" w:rsidR="005D6D39" w:rsidRPr="00102634" w:rsidRDefault="005D6D39" w:rsidP="008A11E8">
            <w:pPr>
              <w:pStyle w:val="TableText"/>
              <w:keepNext/>
              <w:jc w:val="center"/>
            </w:pPr>
            <w:r w:rsidRPr="00102634">
              <w:t>28/34 (82)</w:t>
            </w:r>
          </w:p>
        </w:tc>
        <w:tc>
          <w:tcPr>
            <w:tcW w:w="787" w:type="pct"/>
            <w:vAlign w:val="center"/>
          </w:tcPr>
          <w:p w14:paraId="7D68031D" w14:textId="77777777" w:rsidR="005D6D39" w:rsidRPr="00102634" w:rsidRDefault="005D6D39" w:rsidP="008A11E8">
            <w:pPr>
              <w:pStyle w:val="TableText"/>
              <w:keepNext/>
              <w:jc w:val="center"/>
            </w:pPr>
            <w:r w:rsidRPr="00102634">
              <w:t>4.9 (3.2, 10.5)</w:t>
            </w:r>
          </w:p>
        </w:tc>
        <w:tc>
          <w:tcPr>
            <w:tcW w:w="835" w:type="pct"/>
            <w:vAlign w:val="center"/>
          </w:tcPr>
          <w:p w14:paraId="1A4C5FA1" w14:textId="77777777" w:rsidR="005D6D39" w:rsidRPr="00102634" w:rsidRDefault="005D6D39" w:rsidP="008A11E8">
            <w:pPr>
              <w:pStyle w:val="TableText"/>
              <w:keepNext/>
              <w:jc w:val="center"/>
            </w:pPr>
            <w:r w:rsidRPr="00102634">
              <w:t>0.70 (0.40, 1.25); 0.23</w:t>
            </w:r>
          </w:p>
        </w:tc>
      </w:tr>
      <w:tr w:rsidR="005D6D39" w:rsidRPr="00102634" w14:paraId="4CE10991" w14:textId="77777777">
        <w:trPr>
          <w:trHeight w:val="20"/>
        </w:trPr>
        <w:tc>
          <w:tcPr>
            <w:tcW w:w="1019" w:type="pct"/>
            <w:vAlign w:val="center"/>
          </w:tcPr>
          <w:p w14:paraId="5C36E2C6" w14:textId="77777777" w:rsidR="005D6D39" w:rsidRPr="00102634" w:rsidRDefault="005D6D39" w:rsidP="008A11E8">
            <w:pPr>
              <w:pStyle w:val="TableText"/>
              <w:keepNext/>
            </w:pPr>
            <w:r w:rsidRPr="00102634">
              <w:t>NGS-identified pathway non-altered (n=49)</w:t>
            </w:r>
          </w:p>
        </w:tc>
        <w:tc>
          <w:tcPr>
            <w:tcW w:w="746" w:type="pct"/>
            <w:vAlign w:val="center"/>
          </w:tcPr>
          <w:p w14:paraId="40A6B6D9" w14:textId="77777777" w:rsidR="005D6D39" w:rsidRPr="00102634" w:rsidRDefault="005D6D39" w:rsidP="008A11E8">
            <w:pPr>
              <w:pStyle w:val="TableText"/>
              <w:keepNext/>
              <w:jc w:val="center"/>
            </w:pPr>
            <w:r w:rsidRPr="00102634">
              <w:t>18/22 (82)</w:t>
            </w:r>
          </w:p>
        </w:tc>
        <w:tc>
          <w:tcPr>
            <w:tcW w:w="825" w:type="pct"/>
            <w:vAlign w:val="center"/>
          </w:tcPr>
          <w:p w14:paraId="56C17268" w14:textId="77777777" w:rsidR="005D6D39" w:rsidRPr="00102634" w:rsidRDefault="005D6D39" w:rsidP="008A11E8">
            <w:pPr>
              <w:pStyle w:val="TableText"/>
              <w:keepNext/>
              <w:jc w:val="center"/>
            </w:pPr>
            <w:r w:rsidRPr="00102634">
              <w:t>4.8 (1.3, 10.3)</w:t>
            </w:r>
          </w:p>
        </w:tc>
        <w:tc>
          <w:tcPr>
            <w:tcW w:w="787" w:type="pct"/>
            <w:vAlign w:val="center"/>
          </w:tcPr>
          <w:p w14:paraId="564ED5DF" w14:textId="77777777" w:rsidR="005D6D39" w:rsidRPr="00102634" w:rsidRDefault="005D6D39" w:rsidP="008A11E8">
            <w:pPr>
              <w:pStyle w:val="TableText"/>
              <w:keepNext/>
              <w:jc w:val="center"/>
            </w:pPr>
            <w:r w:rsidRPr="00102634">
              <w:t>22/27 (81)</w:t>
            </w:r>
          </w:p>
        </w:tc>
        <w:tc>
          <w:tcPr>
            <w:tcW w:w="787" w:type="pct"/>
            <w:vAlign w:val="center"/>
          </w:tcPr>
          <w:p w14:paraId="296FC0E7" w14:textId="77777777" w:rsidR="005D6D39" w:rsidRPr="00102634" w:rsidRDefault="005D6D39" w:rsidP="008A11E8">
            <w:pPr>
              <w:pStyle w:val="TableText"/>
              <w:keepNext/>
              <w:jc w:val="center"/>
            </w:pPr>
            <w:r w:rsidRPr="00102634">
              <w:t>5.2 (2.2, 10.5)</w:t>
            </w:r>
          </w:p>
        </w:tc>
        <w:tc>
          <w:tcPr>
            <w:tcW w:w="835" w:type="pct"/>
            <w:vAlign w:val="center"/>
          </w:tcPr>
          <w:p w14:paraId="3F481F2E" w14:textId="77777777" w:rsidR="005D6D39" w:rsidRPr="00102634" w:rsidRDefault="005D6D39" w:rsidP="008A11E8">
            <w:pPr>
              <w:pStyle w:val="TableText"/>
              <w:keepNext/>
              <w:jc w:val="center"/>
            </w:pPr>
            <w:r w:rsidRPr="00102634">
              <w:t>0.95 (0.49, 1.82); 0.87</w:t>
            </w:r>
          </w:p>
        </w:tc>
      </w:tr>
      <w:tr w:rsidR="005D6D39" w:rsidRPr="00102634" w14:paraId="51451FE2" w14:textId="77777777">
        <w:trPr>
          <w:trHeight w:val="20"/>
        </w:trPr>
        <w:tc>
          <w:tcPr>
            <w:tcW w:w="5000" w:type="pct"/>
            <w:gridSpan w:val="6"/>
            <w:vAlign w:val="center"/>
          </w:tcPr>
          <w:p w14:paraId="7038E20E" w14:textId="4AB8D10F" w:rsidR="005D6D39" w:rsidRPr="00814BFA" w:rsidRDefault="005D6D39" w:rsidP="008A11E8">
            <w:pPr>
              <w:pStyle w:val="TableText"/>
              <w:keepNext/>
              <w:rPr>
                <w:b/>
                <w:i/>
              </w:rPr>
            </w:pPr>
            <w:r w:rsidRPr="00814BFA">
              <w:rPr>
                <w:b/>
                <w:i/>
              </w:rPr>
              <w:t>Test for interaction</w:t>
            </w:r>
            <w:r w:rsidR="00814BFA">
              <w:rPr>
                <w:b/>
                <w:bCs/>
                <w:i/>
                <w:iCs/>
              </w:rPr>
              <w:t xml:space="preserve"> conducted </w:t>
            </w:r>
            <w:r w:rsidR="006D6C81">
              <w:rPr>
                <w:b/>
                <w:bCs/>
                <w:i/>
                <w:iCs/>
              </w:rPr>
              <w:t xml:space="preserve">in FAKTION and </w:t>
            </w:r>
            <w:r w:rsidR="00814BFA">
              <w:rPr>
                <w:b/>
                <w:bCs/>
                <w:i/>
                <w:iCs/>
              </w:rPr>
              <w:t xml:space="preserve">during the </w:t>
            </w:r>
            <w:r w:rsidR="00E32545">
              <w:rPr>
                <w:b/>
                <w:bCs/>
                <w:i/>
                <w:iCs/>
              </w:rPr>
              <w:t>evaluation</w:t>
            </w:r>
          </w:p>
        </w:tc>
      </w:tr>
      <w:tr w:rsidR="005D6D39" w:rsidRPr="00102634" w14:paraId="6461E787" w14:textId="77777777">
        <w:trPr>
          <w:trHeight w:val="20"/>
        </w:trPr>
        <w:tc>
          <w:tcPr>
            <w:tcW w:w="4165" w:type="pct"/>
            <w:gridSpan w:val="5"/>
            <w:vAlign w:val="center"/>
          </w:tcPr>
          <w:p w14:paraId="63E4F10C" w14:textId="007FF3EE" w:rsidR="005D6D39" w:rsidRPr="00102634" w:rsidRDefault="005D6D39" w:rsidP="008A11E8">
            <w:pPr>
              <w:pStyle w:val="TableText"/>
              <w:keepNext/>
              <w:jc w:val="right"/>
              <w:rPr>
                <w:vertAlign w:val="superscript"/>
              </w:rPr>
            </w:pPr>
            <w:r w:rsidRPr="00102634">
              <w:rPr>
                <w:i/>
                <w:iCs/>
              </w:rPr>
              <w:t xml:space="preserve">‘Original’ AKT pathway altered vs </w:t>
            </w:r>
            <w:r w:rsidR="001D42C7" w:rsidRPr="00102634">
              <w:rPr>
                <w:i/>
                <w:iCs/>
              </w:rPr>
              <w:t>non AKT</w:t>
            </w:r>
            <w:r w:rsidRPr="00102634">
              <w:rPr>
                <w:i/>
                <w:iCs/>
              </w:rPr>
              <w:t xml:space="preserve"> pathway altered (Complement) </w:t>
            </w:r>
            <w:r w:rsidRPr="00102634">
              <w:rPr>
                <w:i/>
                <w:iCs/>
                <w:vertAlign w:val="superscript"/>
              </w:rPr>
              <w:t>f</w:t>
            </w:r>
          </w:p>
        </w:tc>
        <w:tc>
          <w:tcPr>
            <w:tcW w:w="835" w:type="pct"/>
            <w:vAlign w:val="center"/>
          </w:tcPr>
          <w:p w14:paraId="6100524B" w14:textId="77777777" w:rsidR="005D6D39" w:rsidRPr="00102634" w:rsidRDefault="005D6D39" w:rsidP="008A11E8">
            <w:pPr>
              <w:pStyle w:val="TableText"/>
              <w:keepNext/>
              <w:jc w:val="center"/>
              <w:rPr>
                <w:i/>
                <w:iCs/>
              </w:rPr>
            </w:pPr>
            <w:r w:rsidRPr="00102634">
              <w:rPr>
                <w:i/>
                <w:iCs/>
              </w:rPr>
              <w:t>p=0.18</w:t>
            </w:r>
          </w:p>
        </w:tc>
      </w:tr>
      <w:tr w:rsidR="005D6D39" w:rsidRPr="00102634" w14:paraId="6CB4C277" w14:textId="77777777">
        <w:trPr>
          <w:trHeight w:val="20"/>
        </w:trPr>
        <w:tc>
          <w:tcPr>
            <w:tcW w:w="4165" w:type="pct"/>
            <w:gridSpan w:val="5"/>
            <w:vAlign w:val="center"/>
          </w:tcPr>
          <w:p w14:paraId="1AFC0F8B" w14:textId="4FD80F18" w:rsidR="005D6D39" w:rsidRPr="00102634" w:rsidRDefault="005D6D39" w:rsidP="008A11E8">
            <w:pPr>
              <w:pStyle w:val="TableText"/>
              <w:keepNext/>
              <w:jc w:val="right"/>
              <w:rPr>
                <w:vertAlign w:val="superscript"/>
              </w:rPr>
            </w:pPr>
            <w:r w:rsidRPr="00102634">
              <w:rPr>
                <w:i/>
                <w:iCs/>
              </w:rPr>
              <w:t xml:space="preserve">‘Expanded’ AKT pathway altered vs </w:t>
            </w:r>
            <w:r w:rsidR="001D42C7" w:rsidRPr="00102634">
              <w:rPr>
                <w:i/>
                <w:iCs/>
              </w:rPr>
              <w:t>non AKT</w:t>
            </w:r>
            <w:r w:rsidRPr="00102634">
              <w:rPr>
                <w:i/>
                <w:iCs/>
              </w:rPr>
              <w:t xml:space="preserve"> pathway altered (Complement) </w:t>
            </w:r>
            <w:r w:rsidRPr="00102634">
              <w:rPr>
                <w:i/>
                <w:iCs/>
                <w:vertAlign w:val="superscript"/>
              </w:rPr>
              <w:t>d</w:t>
            </w:r>
          </w:p>
        </w:tc>
        <w:tc>
          <w:tcPr>
            <w:tcW w:w="835" w:type="pct"/>
            <w:vAlign w:val="center"/>
          </w:tcPr>
          <w:p w14:paraId="52ED17BE" w14:textId="77777777" w:rsidR="005D6D39" w:rsidRPr="00102634" w:rsidRDefault="005D6D39" w:rsidP="008A11E8">
            <w:pPr>
              <w:pStyle w:val="TableText"/>
              <w:keepNext/>
              <w:jc w:val="center"/>
              <w:rPr>
                <w:i/>
                <w:iCs/>
              </w:rPr>
            </w:pPr>
            <w:r w:rsidRPr="00102634">
              <w:rPr>
                <w:i/>
                <w:iCs/>
              </w:rPr>
              <w:t>p=0.2337</w:t>
            </w:r>
          </w:p>
        </w:tc>
      </w:tr>
      <w:tr w:rsidR="005D6D39" w:rsidRPr="00102634" w14:paraId="51AD509F" w14:textId="77777777">
        <w:trPr>
          <w:trHeight w:val="20"/>
        </w:trPr>
        <w:tc>
          <w:tcPr>
            <w:tcW w:w="4165" w:type="pct"/>
            <w:gridSpan w:val="5"/>
            <w:vAlign w:val="center"/>
          </w:tcPr>
          <w:p w14:paraId="6D954564" w14:textId="483C93E9" w:rsidR="005D6D39" w:rsidRPr="00102634" w:rsidRDefault="005D6D39" w:rsidP="008A11E8">
            <w:pPr>
              <w:pStyle w:val="TableText"/>
              <w:keepNext/>
              <w:jc w:val="right"/>
              <w:rPr>
                <w:i/>
                <w:iCs/>
                <w:vertAlign w:val="superscript"/>
              </w:rPr>
            </w:pPr>
            <w:r w:rsidRPr="00102634">
              <w:rPr>
                <w:i/>
                <w:iCs/>
              </w:rPr>
              <w:t xml:space="preserve">‘NGS’ AKT pathway altered vs </w:t>
            </w:r>
            <w:r w:rsidR="001D42C7" w:rsidRPr="00102634">
              <w:rPr>
                <w:i/>
                <w:iCs/>
              </w:rPr>
              <w:t>non AKT</w:t>
            </w:r>
            <w:r w:rsidRPr="00102634">
              <w:rPr>
                <w:i/>
                <w:iCs/>
              </w:rPr>
              <w:t xml:space="preserve"> pathway altered (Complement) </w:t>
            </w:r>
            <w:r w:rsidRPr="00102634">
              <w:rPr>
                <w:i/>
                <w:iCs/>
                <w:vertAlign w:val="superscript"/>
              </w:rPr>
              <w:t>f</w:t>
            </w:r>
          </w:p>
        </w:tc>
        <w:tc>
          <w:tcPr>
            <w:tcW w:w="835" w:type="pct"/>
            <w:vAlign w:val="center"/>
          </w:tcPr>
          <w:p w14:paraId="1293F867" w14:textId="77777777" w:rsidR="005D6D39" w:rsidRPr="00102634" w:rsidRDefault="005D6D39" w:rsidP="008A11E8">
            <w:pPr>
              <w:pStyle w:val="TableText"/>
              <w:keepNext/>
              <w:jc w:val="center"/>
              <w:rPr>
                <w:b/>
                <w:bCs/>
                <w:i/>
                <w:iCs/>
                <w:vertAlign w:val="superscript"/>
              </w:rPr>
            </w:pPr>
            <w:r w:rsidRPr="00102634">
              <w:rPr>
                <w:b/>
                <w:bCs/>
                <w:i/>
                <w:iCs/>
              </w:rPr>
              <w:t xml:space="preserve">p=0.046 </w:t>
            </w:r>
            <w:r w:rsidRPr="00102634">
              <w:rPr>
                <w:b/>
                <w:bCs/>
                <w:i/>
                <w:iCs/>
                <w:vertAlign w:val="superscript"/>
              </w:rPr>
              <w:t>e</w:t>
            </w:r>
          </w:p>
        </w:tc>
      </w:tr>
    </w:tbl>
    <w:p w14:paraId="00FACF5D" w14:textId="77777777" w:rsidR="005D6D39" w:rsidRPr="00102634" w:rsidRDefault="005D6D39" w:rsidP="008A11E8">
      <w:pPr>
        <w:pStyle w:val="TableFigureFooter"/>
        <w:keepNext/>
      </w:pPr>
      <w:r w:rsidRPr="00102634">
        <w:t>Source: adapted from Table 2.31, p82; Table 2.33, p85; Table 2.72, p151 of the submission</w:t>
      </w:r>
    </w:p>
    <w:p w14:paraId="30F1CFF8" w14:textId="43DEAA13" w:rsidR="005D6D39" w:rsidRPr="00102634" w:rsidRDefault="005D6D39" w:rsidP="008A11E8">
      <w:pPr>
        <w:pStyle w:val="TableFigureFooter"/>
        <w:keepNext/>
      </w:pPr>
      <w:r w:rsidRPr="00102634">
        <w:t xml:space="preserve">CAPI = capivasertib; CI = confidence interval; DCO = data </w:t>
      </w:r>
      <w:r w:rsidR="006D6C81">
        <w:t>cutoff</w:t>
      </w:r>
      <w:r w:rsidRPr="00102634">
        <w:t xml:space="preserve">; HR = hazard ratio; ITT = intention to treat; n = number of participants reporting data; N = total participants in group; NGS = next generation sequencing; </w:t>
      </w:r>
      <w:r w:rsidR="008B6DC2">
        <w:t xml:space="preserve">NR = not reported; </w:t>
      </w:r>
      <w:r w:rsidR="00CF2410">
        <w:t>PBO</w:t>
      </w:r>
      <w:r w:rsidRPr="00102634">
        <w:t xml:space="preserve"> = placebo; PFS = progression free survival</w:t>
      </w:r>
    </w:p>
    <w:p w14:paraId="47C424E0" w14:textId="77777777" w:rsidR="005D6D39" w:rsidRPr="00102634" w:rsidRDefault="005D6D39" w:rsidP="008A11E8">
      <w:pPr>
        <w:pStyle w:val="TableFigureFooter"/>
        <w:keepNext/>
      </w:pPr>
      <w:r w:rsidRPr="00102634">
        <w:rPr>
          <w:vertAlign w:val="superscript"/>
        </w:rPr>
        <w:t>a</w:t>
      </w:r>
      <w:r w:rsidRPr="00102634">
        <w:t xml:space="preserve"> 2-sided p-value. Stratified log-rank test. FAKTION was only powered to detect differences in the ITT population and did not adjust for multiplicity. </w:t>
      </w:r>
    </w:p>
    <w:p w14:paraId="4AC78B2A" w14:textId="462069AD" w:rsidR="005D6D39" w:rsidRPr="00102634" w:rsidRDefault="005D6D39" w:rsidP="008A11E8">
      <w:pPr>
        <w:pStyle w:val="TableFigureFooter"/>
        <w:keepNext/>
      </w:pPr>
      <w:r w:rsidRPr="00102634">
        <w:rPr>
          <w:vertAlign w:val="superscript"/>
        </w:rPr>
        <w:t>b</w:t>
      </w:r>
      <w:r w:rsidRPr="00102634">
        <w:t xml:space="preserve"> stratified Cox proportional hazards model. A hazard ratio &lt;1 favours capivasertib + </w:t>
      </w:r>
      <w:proofErr w:type="spellStart"/>
      <w:r w:rsidRPr="00102634">
        <w:t>fulvestrant</w:t>
      </w:r>
      <w:proofErr w:type="spellEnd"/>
      <w:r w:rsidRPr="00102634">
        <w:t xml:space="preserve">. In CAPItello-291, for the Overall Population, the log-rank test and Cox model are stratified by presence of liver metastases (yes vs no), prior use of CDK4/6 inhibitors (yes vs no) and geographic region (Region 1: United States, Canada, Western Europe, Australia and Israel, Region 2: Latin America, Eastern </w:t>
      </w:r>
      <w:r w:rsidRPr="00102634">
        <w:lastRenderedPageBreak/>
        <w:t xml:space="preserve">Europe and Russia vs Region 3: Asia). In FAKTION HR was adjusted for pathway status, primary or secondary </w:t>
      </w:r>
      <w:r w:rsidR="00E723B5">
        <w:t>aromatase inhibitor</w:t>
      </w:r>
      <w:r w:rsidR="00E723B5" w:rsidRPr="00102634">
        <w:t xml:space="preserve"> </w:t>
      </w:r>
      <w:r w:rsidRPr="00102634">
        <w:t>resistance, and measurable and non-measurable disease.</w:t>
      </w:r>
    </w:p>
    <w:p w14:paraId="6432AE0F" w14:textId="35FE332D" w:rsidR="005D6D39" w:rsidRPr="00102634" w:rsidRDefault="005D6D39" w:rsidP="008A11E8">
      <w:pPr>
        <w:pStyle w:val="TableFigureFooter"/>
        <w:keepNext/>
      </w:pPr>
      <w:r w:rsidRPr="00102634">
        <w:rPr>
          <w:vertAlign w:val="superscript"/>
        </w:rPr>
        <w:t>c</w:t>
      </w:r>
      <w:r w:rsidRPr="00102634">
        <w:t xml:space="preserve"> the </w:t>
      </w:r>
      <w:r w:rsidR="001D42C7" w:rsidRPr="00102634">
        <w:t xml:space="preserve">non </w:t>
      </w:r>
      <w:r w:rsidR="001D42C7" w:rsidRPr="00102634" w:rsidDel="006F41D3">
        <w:t>AKT</w:t>
      </w:r>
      <w:r w:rsidR="006F41D3">
        <w:t xml:space="preserve"> pathway</w:t>
      </w:r>
      <w:r w:rsidRPr="00102634">
        <w:t xml:space="preserve"> altered </w:t>
      </w:r>
      <w:r w:rsidR="003F2E7B">
        <w:t>p</w:t>
      </w:r>
      <w:r w:rsidRPr="00102634">
        <w:t xml:space="preserve">opulation comprised of the Known </w:t>
      </w:r>
      <w:r w:rsidR="003F2E7B">
        <w:t>n</w:t>
      </w:r>
      <w:r w:rsidR="001D42C7" w:rsidRPr="00102634">
        <w:t>on</w:t>
      </w:r>
      <w:r w:rsidR="1A2EFA63">
        <w:t xml:space="preserve"> </w:t>
      </w:r>
      <w:r w:rsidR="001D42C7" w:rsidRPr="00102634" w:rsidDel="006F41D3">
        <w:t>AKT</w:t>
      </w:r>
      <w:r w:rsidR="006F41D3">
        <w:t xml:space="preserve"> pathway</w:t>
      </w:r>
      <w:r w:rsidRPr="00102634">
        <w:t xml:space="preserve"> altered Population and the Unknown AKT</w:t>
      </w:r>
      <w:r w:rsidR="003F2E7B">
        <w:t xml:space="preserve"> r</w:t>
      </w:r>
      <w:r w:rsidRPr="00102634">
        <w:t xml:space="preserve">esult </w:t>
      </w:r>
      <w:r w:rsidR="003F2E7B">
        <w:t>p</w:t>
      </w:r>
      <w:r w:rsidRPr="00102634">
        <w:t>opulation</w:t>
      </w:r>
    </w:p>
    <w:p w14:paraId="074C738F" w14:textId="77777777" w:rsidR="005D6D39" w:rsidRPr="00102634" w:rsidRDefault="005D6D39" w:rsidP="008A11E8">
      <w:pPr>
        <w:pStyle w:val="TableFigureFooter"/>
        <w:keepNext/>
      </w:pPr>
      <w:r w:rsidRPr="00102634">
        <w:rPr>
          <w:vertAlign w:val="superscript"/>
        </w:rPr>
        <w:t>d</w:t>
      </w:r>
      <w:r w:rsidRPr="00102634">
        <w:t xml:space="preserve"> </w:t>
      </w:r>
      <w:r w:rsidRPr="002D72CC">
        <w:rPr>
          <w:i/>
        </w:rPr>
        <w:t>Test for interaction conducted during the evaluation</w:t>
      </w:r>
      <w:r w:rsidRPr="00102634">
        <w:t xml:space="preserve"> </w:t>
      </w:r>
    </w:p>
    <w:p w14:paraId="1AF9DCF7" w14:textId="77777777" w:rsidR="005D6D39" w:rsidRPr="00102634" w:rsidRDefault="005D6D39" w:rsidP="008A11E8">
      <w:pPr>
        <w:pStyle w:val="TableFigureFooter"/>
        <w:keepNext/>
        <w:keepLines/>
      </w:pPr>
      <w:r w:rsidRPr="00102634">
        <w:rPr>
          <w:i/>
          <w:iCs/>
          <w:vertAlign w:val="superscript"/>
        </w:rPr>
        <w:t>e</w:t>
      </w:r>
      <w:r w:rsidRPr="00102634">
        <w:rPr>
          <w:i/>
          <w:iCs/>
        </w:rPr>
        <w:t xml:space="preserve"> </w:t>
      </w:r>
      <w:r w:rsidRPr="00102634">
        <w:t>p value &lt; 0.05 suggesting that AKT pathway alteration status was a potentially significant treatment effect modifier</w:t>
      </w:r>
    </w:p>
    <w:p w14:paraId="7E9EA30E" w14:textId="77777777" w:rsidR="005D6D39" w:rsidRPr="00102634" w:rsidRDefault="005D6D39" w:rsidP="008A11E8">
      <w:pPr>
        <w:pStyle w:val="TableFigureFooter"/>
        <w:keepNext/>
        <w:keepLines/>
      </w:pPr>
      <w:r w:rsidRPr="00102634">
        <w:rPr>
          <w:vertAlign w:val="superscript"/>
        </w:rPr>
        <w:t>f</w:t>
      </w:r>
      <w:r w:rsidRPr="00102634">
        <w:t xml:space="preserve"> Test for interaction was conducted in FAKTION </w:t>
      </w:r>
    </w:p>
    <w:p w14:paraId="26E23A30" w14:textId="77777777" w:rsidR="005D6D39" w:rsidRPr="00102634" w:rsidRDefault="005D6D39" w:rsidP="008A11E8">
      <w:pPr>
        <w:pStyle w:val="TableFigureFooter"/>
        <w:keepNext/>
      </w:pPr>
      <w:r w:rsidRPr="00102634">
        <w:t>Progression determined by RECIST v1.1.</w:t>
      </w:r>
    </w:p>
    <w:p w14:paraId="4FDEFEB5" w14:textId="0EDD5636" w:rsidR="005D6D39" w:rsidRPr="00102634" w:rsidRDefault="005D6D39" w:rsidP="008A11E8">
      <w:pPr>
        <w:pStyle w:val="TableFigureFooter"/>
        <w:keepNext/>
      </w:pPr>
      <w:r w:rsidRPr="00102634">
        <w:rPr>
          <w:b/>
          <w:bCs/>
        </w:rPr>
        <w:t>Bold</w:t>
      </w:r>
      <w:r w:rsidRPr="00102634">
        <w:t xml:space="preserve"> text indicates a statistically significant result (p&lt;0.05)</w:t>
      </w:r>
      <w:r w:rsidR="00670E56">
        <w:t>.</w:t>
      </w:r>
      <w:r w:rsidR="00670E56" w:rsidRPr="00670E56">
        <w:t xml:space="preserve"> </w:t>
      </w:r>
      <w:r w:rsidR="00670E56">
        <w:t xml:space="preserve">In FAKTION, the </w:t>
      </w:r>
      <w:r w:rsidR="00EE2CB6">
        <w:t xml:space="preserve">HRs for the </w:t>
      </w:r>
      <w:r w:rsidR="00670E56">
        <w:t xml:space="preserve">AKT pathway subgroups were not adjusted for multiplicity and therefore </w:t>
      </w:r>
      <w:r w:rsidR="00EE2CB6">
        <w:t xml:space="preserve">the HRs </w:t>
      </w:r>
      <w:r w:rsidR="00365DA4">
        <w:t xml:space="preserve">that </w:t>
      </w:r>
      <w:r w:rsidR="00BB7D37">
        <w:t>appear to be statistically significant</w:t>
      </w:r>
      <w:r w:rsidR="00365DA4">
        <w:t xml:space="preserve"> </w:t>
      </w:r>
      <w:r w:rsidR="00BB7D37">
        <w:t>(</w:t>
      </w:r>
      <w:r w:rsidR="00365DA4">
        <w:t>p&lt;0.05</w:t>
      </w:r>
      <w:r w:rsidR="00BB7D37">
        <w:t>)</w:t>
      </w:r>
      <w:r w:rsidR="00670E56">
        <w:t xml:space="preserve"> are left un-bolded.</w:t>
      </w:r>
    </w:p>
    <w:p w14:paraId="38DE333B" w14:textId="77777777" w:rsidR="005D6D39" w:rsidRPr="00102634" w:rsidRDefault="005D6D39" w:rsidP="008A11E8">
      <w:pPr>
        <w:pStyle w:val="TableFigureFooter"/>
        <w:keepNext/>
      </w:pPr>
      <w:r w:rsidRPr="00102634">
        <w:t>Note:</w:t>
      </w:r>
    </w:p>
    <w:p w14:paraId="3F60313B" w14:textId="0A09E437" w:rsidR="005D6D39" w:rsidRPr="00102634" w:rsidRDefault="005D6D39" w:rsidP="008A11E8">
      <w:pPr>
        <w:pStyle w:val="TableFigureFooter"/>
        <w:keepNext/>
      </w:pPr>
      <w:r w:rsidRPr="00102634">
        <w:t xml:space="preserve">In CAPItello-291 at DCO1 15 August 2022 the median follow up was 14.9 months CAPI+FULV arm and 14.3 months </w:t>
      </w:r>
      <w:r w:rsidR="00CF2410">
        <w:t>PBO</w:t>
      </w:r>
      <w:r w:rsidRPr="00102634">
        <w:t xml:space="preserve">+FULV arm </w:t>
      </w:r>
    </w:p>
    <w:p w14:paraId="684D7342" w14:textId="47543D42" w:rsidR="005D6D39" w:rsidRPr="00102634" w:rsidRDefault="005D6D39" w:rsidP="008A11E8">
      <w:pPr>
        <w:pStyle w:val="TableFigureFooter"/>
        <w:keepNext/>
      </w:pPr>
      <w:r w:rsidRPr="00102634">
        <w:t xml:space="preserve">In FAKTION, at DCO 25 November 2021 the median follow up was 58.5 months in CAPI+FULV arm and 62.3 months in </w:t>
      </w:r>
      <w:r w:rsidR="00CF2410">
        <w:t>PBO</w:t>
      </w:r>
      <w:r w:rsidRPr="00102634">
        <w:t>+FULV arm</w:t>
      </w:r>
    </w:p>
    <w:p w14:paraId="7E4B881C" w14:textId="77777777" w:rsidR="005D6D39" w:rsidRPr="00C24C30" w:rsidRDefault="005D6D39" w:rsidP="005D6D39">
      <w:pPr>
        <w:rPr>
          <w:rFonts w:ascii="Franklin Gothic Book" w:hAnsi="Franklin Gothic Book"/>
          <w:sz w:val="22"/>
          <w:u w:val="single"/>
        </w:rPr>
      </w:pPr>
      <w:r w:rsidRPr="00C24C30">
        <w:rPr>
          <w:rFonts w:ascii="Franklin Gothic Book" w:hAnsi="Franklin Gothic Book"/>
          <w:sz w:val="22"/>
          <w:u w:val="single"/>
        </w:rPr>
        <w:t>CAPItello-291</w:t>
      </w:r>
    </w:p>
    <w:p w14:paraId="184A0ED9" w14:textId="549095C1" w:rsidR="003F2E7B" w:rsidRPr="00C24C30" w:rsidRDefault="005D6D39" w:rsidP="005D6D39">
      <w:pPr>
        <w:rPr>
          <w:rFonts w:ascii="Franklin Gothic Book" w:hAnsi="Franklin Gothic Book"/>
          <w:sz w:val="22"/>
        </w:rPr>
      </w:pPr>
      <w:r w:rsidRPr="00C24C30">
        <w:rPr>
          <w:rFonts w:ascii="Franklin Gothic Book" w:hAnsi="Franklin Gothic Book"/>
          <w:sz w:val="22"/>
        </w:rPr>
        <w:t>In CAPItello-291, at the data cutoff 1 (DCO1;15 August 2022), in the ITT population the median duration of follow-up was 14.9 months in the CAPI+FULV arm and 14.3 months in the placebo + FULV arm</w:t>
      </w:r>
      <w:r w:rsidR="68A1E5F2" w:rsidRPr="00C24C30">
        <w:rPr>
          <w:rFonts w:ascii="Franklin Gothic Book" w:hAnsi="Franklin Gothic Book"/>
          <w:sz w:val="22"/>
        </w:rPr>
        <w:t>,</w:t>
      </w:r>
      <w:r w:rsidRPr="00C24C30">
        <w:rPr>
          <w:rFonts w:ascii="Franklin Gothic Book" w:hAnsi="Franklin Gothic Book"/>
          <w:sz w:val="22"/>
        </w:rPr>
        <w:t xml:space="preserve"> and in the A</w:t>
      </w:r>
      <w:r w:rsidR="007C218D" w:rsidRPr="00C24C30">
        <w:rPr>
          <w:rFonts w:ascii="Franklin Gothic Book" w:hAnsi="Franklin Gothic Book"/>
          <w:sz w:val="22"/>
        </w:rPr>
        <w:t>KT pathway a</w:t>
      </w:r>
      <w:r w:rsidRPr="00C24C30">
        <w:rPr>
          <w:rFonts w:ascii="Franklin Gothic Book" w:hAnsi="Franklin Gothic Book"/>
          <w:sz w:val="22"/>
        </w:rPr>
        <w:t xml:space="preserve">ltered population was 14.4 months in the CAPI+FULV arm and 13.8 months in the placebo + FULV arm. </w:t>
      </w:r>
    </w:p>
    <w:p w14:paraId="6137554F" w14:textId="39A1B274"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CAPItello-291 showed a statistically significant PFS improvement in the CAPI+FULV arm compared to the placebo + FULV arm in the ITT cohort (hazard ratio [HR]=0.60, 95% CI 0.51, 0.71, p&lt;0.001) and the AKT pathway altered subgroup (HR=0.5, 95% CI: 0.38-0.65, p&lt;0.001). There were also point estimate PFS improvements favouring CAPI+FULV over placebo + FULV in the </w:t>
      </w:r>
      <w:r w:rsidR="001D42C7" w:rsidRPr="00C24C30">
        <w:rPr>
          <w:rFonts w:ascii="Franklin Gothic Book" w:hAnsi="Franklin Gothic Book"/>
          <w:sz w:val="22"/>
        </w:rPr>
        <w:t>non AKT</w:t>
      </w:r>
      <w:r w:rsidRPr="00C24C30">
        <w:rPr>
          <w:rFonts w:ascii="Franklin Gothic Book" w:hAnsi="Franklin Gothic Book"/>
          <w:sz w:val="22"/>
        </w:rPr>
        <w:t xml:space="preserve"> pathway (HR=0.7, 95% CI 0.56, 0.88) and unknown AKT status subgroups (HR=0.52, 95% CI 0.32, 0.83). When the unknown results were excluded from the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 resulting PFS HR in the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 was 0.79 (95% CI 0.61, 1.02) and included the null. </w:t>
      </w:r>
    </w:p>
    <w:p w14:paraId="22D0A459" w14:textId="1F0A8B86"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commentary noted that PFS results from CAPItello-291 suggested that AKT pathway altered patients had a greater PFS improvement compared to </w:t>
      </w:r>
      <w:r w:rsidR="00903883" w:rsidRPr="00C24C30">
        <w:rPr>
          <w:rFonts w:ascii="Franklin Gothic Book" w:hAnsi="Franklin Gothic Book"/>
          <w:sz w:val="22"/>
        </w:rPr>
        <w:t>k</w:t>
      </w:r>
      <w:r w:rsidRPr="00C24C30">
        <w:rPr>
          <w:rFonts w:ascii="Franklin Gothic Book" w:hAnsi="Franklin Gothic Book"/>
          <w:sz w:val="22"/>
        </w:rPr>
        <w:t xml:space="preserve">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patients after treatment with CAPI+FULV (median PFS 7.3 vs 5.3 months).</w:t>
      </w:r>
      <w:r w:rsidRPr="00C24C30">
        <w:rPr>
          <w:rFonts w:ascii="Franklin Gothic Book" w:hAnsi="Franklin Gothic Book"/>
          <w:i/>
          <w:iCs/>
          <w:sz w:val="22"/>
        </w:rPr>
        <w:t xml:space="preserve"> </w:t>
      </w:r>
      <w:r w:rsidRPr="00C24C30">
        <w:rPr>
          <w:rFonts w:ascii="Franklin Gothic Book" w:hAnsi="Franklin Gothic Book"/>
          <w:sz w:val="22"/>
        </w:rPr>
        <w:t xml:space="preserve">The commentary considered this may be indicative of a predictive effect from AKT pathway altered after treatment with CAPI+FULV when compared to placebo + FULV and this was also noted by the PASC (p11, 1766 Ratified PICO Confirmation, April 2024 PASC Meeting). </w:t>
      </w:r>
    </w:p>
    <w:p w14:paraId="393DAC58" w14:textId="14B32B38"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A key issue identified by the commentary is that the actual complement to the AKT pathway altered subgroup in clinical practice are patients without a positive AKT pathway alteration result - represented in CAPItello-291 by the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 that includes patients from both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and the unknown AKT pathway status subgroups. The commentary considered that since the proposed test and treatment algorithm did not require these two subgroups to be treated separately, it would be unreasonable to ignore the results of the unknown AKT pathway alteration subgroup in the consideration of the predictive validity of the biomarker using the clinical utility standard. The actual complement to the requested population of AKT pathway altered was the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 which reported a PFS HR that also favoured CAPI+FULV (PFS HR = 0.70, 95% CI 0.56, 0.88) and as such it may not be reasonable to exclude these patients from treatment.</w:t>
      </w:r>
    </w:p>
    <w:p w14:paraId="0E0986C9" w14:textId="4B4B78E7"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As noted in Section </w:t>
      </w:r>
      <w:r w:rsidR="00F77580">
        <w:rPr>
          <w:rFonts w:ascii="Franklin Gothic Book" w:hAnsi="Franklin Gothic Book"/>
          <w:sz w:val="22"/>
        </w:rPr>
        <w:t>10</w:t>
      </w:r>
      <w:r w:rsidRPr="00C24C30">
        <w:rPr>
          <w:rFonts w:ascii="Franklin Gothic Book" w:hAnsi="Franklin Gothic Book"/>
          <w:sz w:val="22"/>
        </w:rPr>
        <w:t xml:space="preserve">, the commentary noted this should be considered alongside the analyses of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and unknown AKT status subgroups being exploratory analyses conducted </w:t>
      </w:r>
      <w:r w:rsidRPr="00C24C30">
        <w:rPr>
          <w:rFonts w:ascii="Franklin Gothic Book" w:hAnsi="Franklin Gothic Book"/>
          <w:i/>
          <w:iCs/>
          <w:sz w:val="22"/>
        </w:rPr>
        <w:t>post hoc</w:t>
      </w:r>
      <w:r w:rsidRPr="00C24C30">
        <w:rPr>
          <w:rFonts w:ascii="Franklin Gothic Book" w:hAnsi="Franklin Gothic Book"/>
          <w:sz w:val="22"/>
        </w:rPr>
        <w:t xml:space="preserve"> and not adjusted for multiplicity.</w:t>
      </w:r>
      <w:r w:rsidRPr="00C24C30">
        <w:rPr>
          <w:rFonts w:ascii="Franklin Gothic Book" w:hAnsi="Franklin Gothic Book"/>
          <w:i/>
          <w:iCs/>
          <w:sz w:val="22"/>
        </w:rPr>
        <w:t xml:space="preserve"> </w:t>
      </w:r>
      <w:r w:rsidRPr="00C24C30">
        <w:rPr>
          <w:rFonts w:ascii="Franklin Gothic Book" w:hAnsi="Franklin Gothic Book"/>
          <w:sz w:val="22"/>
        </w:rPr>
        <w:t xml:space="preserve">The results in the unknown subgroup were noted by the commentary to be more favourable towards CAPI+FULV (median PFS 10 months) and less favourable towards placebo + FULV (median PFS 1.9 months) compared to the PFS in the other AKT pathway subgroups. Even under the assumption that all patients with an unknown result were AKT pathway altered, the commentary noted the magnitude of the difference in median PFS was not consistent with the results from the AKT pathway altered subgroup in either arm. For example, the median PFS of the AKT pathway altered subgroup compared to the unknown AKT status subgroup in the CAPI+FULV arm was 7.3 and 10 months, respectively; and in the placebo + </w:t>
      </w:r>
      <w:r w:rsidRPr="00C24C30">
        <w:rPr>
          <w:rFonts w:ascii="Franklin Gothic Book" w:hAnsi="Franklin Gothic Book"/>
          <w:sz w:val="22"/>
        </w:rPr>
        <w:lastRenderedPageBreak/>
        <w:t xml:space="preserve">FULV arm was 3.1 and 1.9 months, respectively. </w:t>
      </w:r>
      <w:r w:rsidR="2D1E9E8A" w:rsidRPr="00C24C30">
        <w:rPr>
          <w:rFonts w:ascii="Franklin Gothic Book" w:hAnsi="Franklin Gothic Book"/>
          <w:sz w:val="22"/>
        </w:rPr>
        <w:t>However,</w:t>
      </w:r>
      <w:r w:rsidRPr="00C24C30">
        <w:rPr>
          <w:rFonts w:ascii="Franklin Gothic Book" w:hAnsi="Franklin Gothic Book"/>
          <w:sz w:val="22"/>
        </w:rPr>
        <w:t xml:space="preserve"> this variation </w:t>
      </w:r>
      <w:r w:rsidR="002E0027" w:rsidRPr="00C24C30">
        <w:rPr>
          <w:rFonts w:ascii="Franklin Gothic Book" w:hAnsi="Franklin Gothic Book"/>
          <w:sz w:val="22"/>
        </w:rPr>
        <w:t xml:space="preserve">could be </w:t>
      </w:r>
      <w:r w:rsidRPr="00C24C30">
        <w:rPr>
          <w:rFonts w:ascii="Franklin Gothic Book" w:hAnsi="Franklin Gothic Book"/>
          <w:sz w:val="22"/>
        </w:rPr>
        <w:t>due to chance given the smaller sample size of this subgroup.</w:t>
      </w:r>
    </w:p>
    <w:p w14:paraId="1E848631" w14:textId="57EC36C7"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Tests for interaction conducted during the evaluation suggested a significant treatment effect modifier (p=0.0158) in the AKT pathway altered and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subgroups (excluding unknown AKT status); but not in the AKT pathway altered and the true complement (p=0.0602).</w:t>
      </w:r>
      <w:r w:rsidRPr="00C24C30">
        <w:rPr>
          <w:rFonts w:ascii="Franklin Gothic Book" w:hAnsi="Franklin Gothic Book"/>
          <w:i/>
          <w:iCs/>
          <w:sz w:val="22"/>
        </w:rPr>
        <w:t xml:space="preserve"> </w:t>
      </w:r>
      <w:r w:rsidRPr="00C24C30">
        <w:rPr>
          <w:rFonts w:ascii="Franklin Gothic Book" w:hAnsi="Franklin Gothic Book"/>
          <w:sz w:val="22"/>
        </w:rPr>
        <w:t>The commentary considered it unreasonable to exclude results of the unknown AKT pathway altered patients from the complement when they would be part of the complement in clinical practice; however, this may have arisen from the imperfect testing procedures of the clinical utility standard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resulting in a considerable number of unknown results (15% of CAPItello-291) rather than the lack of predictive value of the biomarker.</w:t>
      </w:r>
      <w:r w:rsidRPr="00C24C30">
        <w:rPr>
          <w:rFonts w:ascii="Franklin Gothic Book" w:hAnsi="Franklin Gothic Book"/>
          <w:i/>
          <w:iCs/>
          <w:sz w:val="22"/>
        </w:rPr>
        <w:t xml:space="preserve"> </w:t>
      </w:r>
    </w:p>
    <w:p w14:paraId="5D1CCFFA" w14:textId="77777777" w:rsidR="005D6D39" w:rsidRPr="00C24C30" w:rsidRDefault="005D6D39" w:rsidP="005D6D39">
      <w:pPr>
        <w:rPr>
          <w:rFonts w:ascii="Franklin Gothic Book" w:hAnsi="Franklin Gothic Book"/>
          <w:sz w:val="22"/>
          <w:u w:val="single"/>
        </w:rPr>
      </w:pPr>
      <w:r w:rsidRPr="00C24C30">
        <w:rPr>
          <w:rFonts w:ascii="Franklin Gothic Book" w:hAnsi="Franklin Gothic Book"/>
          <w:sz w:val="22"/>
          <w:u w:val="single"/>
        </w:rPr>
        <w:t>FAKTION</w:t>
      </w:r>
    </w:p>
    <w:p w14:paraId="3563A348" w14:textId="2945E3D7" w:rsidR="005D6D39" w:rsidRPr="00C24C30" w:rsidRDefault="005D6D39" w:rsidP="005D6D39">
      <w:pPr>
        <w:rPr>
          <w:rFonts w:ascii="Franklin Gothic Book" w:hAnsi="Franklin Gothic Book"/>
          <w:iCs/>
          <w:sz w:val="22"/>
        </w:rPr>
      </w:pPr>
      <w:r w:rsidRPr="00C24C30">
        <w:rPr>
          <w:rFonts w:ascii="Franklin Gothic Book" w:hAnsi="Franklin Gothic Book"/>
          <w:iCs/>
          <w:sz w:val="22"/>
        </w:rPr>
        <w:t>In FAKTION</w:t>
      </w:r>
      <w:r w:rsidR="45F6DC9B" w:rsidRPr="00C24C30">
        <w:rPr>
          <w:rFonts w:ascii="Franklin Gothic Book" w:hAnsi="Franklin Gothic Book"/>
          <w:sz w:val="22"/>
        </w:rPr>
        <w:t>,</w:t>
      </w:r>
      <w:r w:rsidRPr="00C24C30">
        <w:rPr>
          <w:rFonts w:ascii="Franklin Gothic Book" w:hAnsi="Franklin Gothic Book"/>
          <w:iCs/>
          <w:sz w:val="22"/>
        </w:rPr>
        <w:t xml:space="preserve"> at the DCO </w:t>
      </w:r>
      <w:r w:rsidR="79D2F671" w:rsidRPr="00C24C30">
        <w:rPr>
          <w:rFonts w:ascii="Franklin Gothic Book" w:hAnsi="Franklin Gothic Book"/>
          <w:sz w:val="22"/>
        </w:rPr>
        <w:t>(</w:t>
      </w:r>
      <w:r w:rsidRPr="00C24C30">
        <w:rPr>
          <w:rFonts w:ascii="Franklin Gothic Book" w:hAnsi="Franklin Gothic Book"/>
          <w:iCs/>
          <w:sz w:val="22"/>
        </w:rPr>
        <w:t>25 November 2021</w:t>
      </w:r>
      <w:r w:rsidR="334D656A" w:rsidRPr="00C24C30">
        <w:rPr>
          <w:rFonts w:ascii="Franklin Gothic Book" w:hAnsi="Franklin Gothic Book"/>
          <w:sz w:val="22"/>
        </w:rPr>
        <w:t>)</w:t>
      </w:r>
      <w:r w:rsidRPr="00C24C30">
        <w:rPr>
          <w:rFonts w:ascii="Franklin Gothic Book" w:hAnsi="Franklin Gothic Book"/>
          <w:iCs/>
          <w:sz w:val="22"/>
        </w:rPr>
        <w:t xml:space="preserve"> the median follow up was 58.5 months in the CAPI+FULV arm and 62.3 months in the placebo + FULV arm. </w:t>
      </w:r>
    </w:p>
    <w:p w14:paraId="4A7BC57E" w14:textId="5EA42CE4" w:rsidR="005D6D39" w:rsidRPr="00C24C30" w:rsidRDefault="005D6D39" w:rsidP="005D6D39">
      <w:pPr>
        <w:rPr>
          <w:rFonts w:ascii="Franklin Gothic Book" w:hAnsi="Franklin Gothic Book"/>
          <w:sz w:val="22"/>
        </w:rPr>
      </w:pPr>
      <w:r w:rsidRPr="00C24C30">
        <w:rPr>
          <w:rFonts w:ascii="Franklin Gothic Book" w:hAnsi="Franklin Gothic Book"/>
          <w:iCs/>
          <w:sz w:val="22"/>
        </w:rPr>
        <w:t xml:space="preserve">In FAKTION, a point estimate PFS benefit was observed in the AKT pathway altered patients identified using the ‘Original’ protocol (PFS HR = 0.47, 95% CI 0.26, 0.84); the ‘Expanded’ protocol (PFS HR = 0.44, 95% CI 0.26, 0.72); and the ‘NGS-identified’ protocol (PFS HR=0.36, 95% CI 0.2, 0.65). In the </w:t>
      </w:r>
      <w:r w:rsidR="001D42C7" w:rsidRPr="00C24C30">
        <w:rPr>
          <w:rFonts w:ascii="Franklin Gothic Book" w:hAnsi="Franklin Gothic Book"/>
          <w:iCs/>
          <w:sz w:val="22"/>
        </w:rPr>
        <w:t>non AKT</w:t>
      </w:r>
      <w:r w:rsidRPr="00C24C30">
        <w:rPr>
          <w:rFonts w:ascii="Franklin Gothic Book" w:hAnsi="Franklin Gothic Book"/>
          <w:iCs/>
          <w:sz w:val="22"/>
        </w:rPr>
        <w:t xml:space="preserve"> pathway subgroups, only the ‘Original’ subgroup showed a PFS benefit (PFS HR = 0.59, 95% CI 0.35, 0.98); the PFS HR in the ‘Expanded’ (PFS HR=0.7, 95% CI 0.4, 1.25) and ‘NGS-identified’ subgroups (PFS HR=0.95, 95% CI 0.49, 1.82) included the null. </w:t>
      </w:r>
    </w:p>
    <w:p w14:paraId="09543F6E" w14:textId="54FED63B" w:rsidR="005D6D39" w:rsidRPr="00C24C30" w:rsidRDefault="005D6D39" w:rsidP="005D6D39">
      <w:pPr>
        <w:rPr>
          <w:rFonts w:ascii="Franklin Gothic Book" w:hAnsi="Franklin Gothic Book"/>
          <w:i/>
          <w:sz w:val="22"/>
        </w:rPr>
      </w:pPr>
      <w:r w:rsidRPr="00C24C30">
        <w:rPr>
          <w:rFonts w:ascii="Franklin Gothic Book" w:hAnsi="Franklin Gothic Book"/>
          <w:iCs/>
          <w:sz w:val="22"/>
        </w:rPr>
        <w:t xml:space="preserve">The commentary considered the results from FAKTION may suggest that patients who are AKT pathway altered as identified by NGS may have improved PFS and OS benefit from CAPI+FULV compared to placebo + FULV; and there may be no additional benefit from CAPI+FULV in NGS identified </w:t>
      </w:r>
      <w:r w:rsidR="001D42C7" w:rsidRPr="00C24C30">
        <w:rPr>
          <w:rFonts w:ascii="Franklin Gothic Book" w:hAnsi="Franklin Gothic Book"/>
          <w:iCs/>
          <w:sz w:val="22"/>
        </w:rPr>
        <w:t>non AKT</w:t>
      </w:r>
      <w:r w:rsidRPr="00C24C30">
        <w:rPr>
          <w:rFonts w:ascii="Franklin Gothic Book" w:hAnsi="Franklin Gothic Book"/>
          <w:iCs/>
          <w:sz w:val="22"/>
        </w:rPr>
        <w:t xml:space="preserve"> pathway altered patients.</w:t>
      </w:r>
      <w:r w:rsidRPr="00C24C30">
        <w:rPr>
          <w:rFonts w:ascii="Franklin Gothic Book" w:hAnsi="Franklin Gothic Book"/>
          <w:i/>
          <w:sz w:val="22"/>
        </w:rPr>
        <w:t xml:space="preserve"> </w:t>
      </w:r>
      <w:r w:rsidRPr="00C24C30">
        <w:rPr>
          <w:rFonts w:ascii="Franklin Gothic Book" w:hAnsi="Franklin Gothic Book"/>
          <w:sz w:val="22"/>
        </w:rPr>
        <w:t xml:space="preserve">A test for interaction conducted during the evaluation in FAKTION suggested a significant treatment effect modifier in the ‘NGS-identified’ AKT pathway altered subgroup. However, results are interpreted with caution as the sample sizes informing these subgroups were small; the ‘Expanded’ and ‘NGS-identified’ AKT pathway subgroups were included as exploratory </w:t>
      </w:r>
      <w:r w:rsidRPr="00C24C30">
        <w:rPr>
          <w:rFonts w:ascii="Franklin Gothic Book" w:hAnsi="Franklin Gothic Book"/>
          <w:i/>
          <w:iCs/>
          <w:sz w:val="22"/>
        </w:rPr>
        <w:t>post hoc</w:t>
      </w:r>
      <w:r w:rsidRPr="00C24C30">
        <w:rPr>
          <w:rFonts w:ascii="Franklin Gothic Book" w:hAnsi="Franklin Gothic Book"/>
          <w:sz w:val="22"/>
        </w:rPr>
        <w:t xml:space="preserve"> analyses, which alongside tests for interaction, were not adjusted for multiplicity; and NGS testing was conducted in tissue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and plasma (</w:t>
      </w:r>
      <w:proofErr w:type="spellStart"/>
      <w:r w:rsidRPr="00C24C30">
        <w:rPr>
          <w:rFonts w:ascii="Franklin Gothic Book" w:hAnsi="Franklin Gothic Book"/>
          <w:sz w:val="22"/>
        </w:rPr>
        <w:t>Guar</w:t>
      </w:r>
      <w:r w:rsidR="004A429E" w:rsidRPr="00C24C30">
        <w:rPr>
          <w:rFonts w:ascii="Franklin Gothic Book" w:hAnsi="Franklin Gothic Book"/>
          <w:sz w:val="22"/>
        </w:rPr>
        <w:t>d</w:t>
      </w:r>
      <w:r w:rsidRPr="00C24C30">
        <w:rPr>
          <w:rFonts w:ascii="Franklin Gothic Book" w:hAnsi="Franklin Gothic Book"/>
          <w:sz w:val="22"/>
        </w:rPr>
        <w:t>antOMNI</w:t>
      </w:r>
      <w:proofErr w:type="spellEnd"/>
      <w:r w:rsidRPr="00C24C30">
        <w:rPr>
          <w:rFonts w:ascii="Franklin Gothic Book" w:hAnsi="Franklin Gothic Book"/>
          <w:sz w:val="22"/>
        </w:rPr>
        <w:t xml:space="preserve"> RUO) samples and the predictive effect from detecting alterations from either method could not be differentiated which reduces the applicability of results to the proposed test setting.</w:t>
      </w:r>
    </w:p>
    <w:p w14:paraId="00120B79" w14:textId="66636F58" w:rsidR="005D6D39" w:rsidRPr="00C24C30" w:rsidRDefault="005D6D39" w:rsidP="005D6D39">
      <w:pPr>
        <w:rPr>
          <w:rFonts w:ascii="Franklin Gothic Book" w:hAnsi="Franklin Gothic Book"/>
          <w:i/>
          <w:iCs/>
          <w:sz w:val="22"/>
        </w:rPr>
      </w:pPr>
      <w:r w:rsidRPr="00C24C30">
        <w:rPr>
          <w:rFonts w:ascii="Franklin Gothic Book" w:hAnsi="Franklin Gothic Book"/>
          <w:sz w:val="22"/>
        </w:rPr>
        <w:t>Overall, the commentary noted it was likely that CAPI+FULV was more effective than placebo + FULV in AKT pathway altered patients. However, based on available evidence, the efficacy (or lack thereof) in patients without a positive AKT pathway alteration was less clear and therefore it was not immediately apparent that patients from the true complement subgroup should be excluded from CAPI+FULV treatment.</w:t>
      </w:r>
      <w:r w:rsidRPr="00C24C30">
        <w:rPr>
          <w:rFonts w:ascii="Franklin Gothic Book" w:hAnsi="Franklin Gothic Book"/>
          <w:i/>
          <w:iCs/>
          <w:sz w:val="22"/>
        </w:rPr>
        <w:t xml:space="preserve"> </w:t>
      </w:r>
      <w:r w:rsidRPr="00C24C30">
        <w:rPr>
          <w:rFonts w:ascii="Franklin Gothic Book" w:hAnsi="Franklin Gothic Book"/>
          <w:sz w:val="22"/>
        </w:rPr>
        <w:t xml:space="preserve">The commentary noted that in CAPItello-291, results in the complement subgroup (i.e., </w:t>
      </w:r>
      <w:r w:rsidR="001D42C7" w:rsidRPr="00C24C30">
        <w:rPr>
          <w:rFonts w:ascii="Franklin Gothic Book" w:hAnsi="Franklin Gothic Book"/>
          <w:sz w:val="22"/>
        </w:rPr>
        <w:t>non AKT</w:t>
      </w:r>
      <w:r w:rsidRPr="00C24C30">
        <w:rPr>
          <w:rFonts w:ascii="Franklin Gothic Book" w:hAnsi="Franklin Gothic Book"/>
          <w:sz w:val="22"/>
        </w:rPr>
        <w:t xml:space="preserve"> pathway altered and unknown patients) suggested that CAPI+FULV may be more effective than placebo + FULV (95% CI does not include 1.0) and that AKT pathway alteration was not a treatment effect modifier (p=0.0602). In FAKTION, the lack of multiplicity adjustment and different results from test for interaction depending on the testing methods also increased the uncertainty of the subgroup results.</w:t>
      </w:r>
    </w:p>
    <w:p w14:paraId="4F4ED063" w14:textId="77777777"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Change in management in practice</w:t>
      </w:r>
    </w:p>
    <w:p w14:paraId="1D9D3EFC" w14:textId="021E66AA" w:rsidR="005D6D39" w:rsidRPr="00C24C30" w:rsidRDefault="005D6D39" w:rsidP="005D6D39">
      <w:pPr>
        <w:rPr>
          <w:rFonts w:ascii="Franklin Gothic Book" w:hAnsi="Franklin Gothic Book"/>
          <w:sz w:val="22"/>
        </w:rPr>
      </w:pPr>
      <w:r w:rsidRPr="00C24C30">
        <w:rPr>
          <w:rFonts w:ascii="Franklin Gothic Book" w:hAnsi="Franklin Gothic Book"/>
          <w:sz w:val="22"/>
        </w:rPr>
        <w:t>The submission did not present any formal evidence to inform change in clinical management for patients identified as having a AKT pathway alteration (</w:t>
      </w:r>
      <w:r w:rsidRPr="00C24C30">
        <w:rPr>
          <w:rFonts w:ascii="Franklin Gothic Book" w:hAnsi="Franklin Gothic Book"/>
          <w:i/>
          <w:iCs/>
          <w:sz w:val="22"/>
        </w:rPr>
        <w:t>PIK3CA, AKT1, PTEN</w:t>
      </w:r>
      <w:r w:rsidRPr="00C24C30">
        <w:rPr>
          <w:rFonts w:ascii="Franklin Gothic Book" w:hAnsi="Franklin Gothic Book"/>
          <w:sz w:val="22"/>
        </w:rPr>
        <w:t xml:space="preserve">). The submission appeared to make </w:t>
      </w:r>
      <w:proofErr w:type="gramStart"/>
      <w:r w:rsidRPr="00C24C30">
        <w:rPr>
          <w:rFonts w:ascii="Franklin Gothic Book" w:hAnsi="Franklin Gothic Book"/>
          <w:sz w:val="22"/>
        </w:rPr>
        <w:t>a number of</w:t>
      </w:r>
      <w:proofErr w:type="gramEnd"/>
      <w:r w:rsidRPr="00C24C30">
        <w:rPr>
          <w:rFonts w:ascii="Franklin Gothic Book" w:hAnsi="Franklin Gothic Book"/>
          <w:sz w:val="22"/>
        </w:rPr>
        <w:t xml:space="preserve"> assumptions about the change in clinical management based on results from the concordance evidence (</w:t>
      </w:r>
      <w:r w:rsidRPr="00C24C30" w:rsidDel="00E80366">
        <w:rPr>
          <w:rFonts w:ascii="Franklin Gothic Book" w:hAnsi="Franklin Gothic Book"/>
          <w:sz w:val="22"/>
        </w:rPr>
        <w:t xml:space="preserve">Monash </w:t>
      </w:r>
      <w:r w:rsidR="00E80366" w:rsidRPr="00C24C30">
        <w:rPr>
          <w:rFonts w:ascii="Franklin Gothic Book" w:hAnsi="Franklin Gothic Book"/>
          <w:sz w:val="22"/>
        </w:rPr>
        <w:t>Health Pathology 2024</w:t>
      </w:r>
      <w:r w:rsidRPr="00C24C30">
        <w:rPr>
          <w:rFonts w:ascii="Franklin Gothic Book" w:hAnsi="Franklin Gothic Book"/>
          <w:sz w:val="22"/>
        </w:rPr>
        <w:t>) and CAPItello-291</w:t>
      </w:r>
      <w:r w:rsidRPr="00C24C30" w:rsidDel="009F4B7F">
        <w:rPr>
          <w:rFonts w:ascii="Franklin Gothic Book" w:hAnsi="Franklin Gothic Book"/>
          <w:sz w:val="22"/>
        </w:rPr>
        <w:t>.</w:t>
      </w:r>
      <w:r w:rsidRPr="00C24C30" w:rsidDel="00B772D7">
        <w:rPr>
          <w:rFonts w:ascii="Franklin Gothic Book" w:hAnsi="Franklin Gothic Book"/>
          <w:sz w:val="22"/>
        </w:rPr>
        <w:t xml:space="preserve"> </w:t>
      </w:r>
      <w:r w:rsidRPr="00C24C30">
        <w:rPr>
          <w:rFonts w:ascii="Franklin Gothic Book" w:hAnsi="Franklin Gothic Book"/>
          <w:sz w:val="22"/>
        </w:rPr>
        <w:t>The commentary noted that CAPItello-291 was relied upon to inform co-dependency between AKT pathway testing and treatment with CAPI+FULV</w:t>
      </w:r>
      <w:r w:rsidR="6B717AB3" w:rsidRPr="00C24C30">
        <w:rPr>
          <w:rFonts w:ascii="Franklin Gothic Book" w:hAnsi="Franklin Gothic Book"/>
          <w:sz w:val="22"/>
        </w:rPr>
        <w:t>.</w:t>
      </w:r>
      <w:r w:rsidR="0038C535" w:rsidRPr="00C24C30">
        <w:rPr>
          <w:rFonts w:ascii="Franklin Gothic Book" w:hAnsi="Franklin Gothic Book"/>
          <w:sz w:val="22"/>
        </w:rPr>
        <w:t xml:space="preserve"> </w:t>
      </w:r>
      <w:r w:rsidR="040188B5" w:rsidRPr="00C24C30">
        <w:rPr>
          <w:rFonts w:ascii="Franklin Gothic Book" w:hAnsi="Franklin Gothic Book"/>
          <w:sz w:val="22"/>
        </w:rPr>
        <w:t>H</w:t>
      </w:r>
      <w:r w:rsidRPr="00C24C30">
        <w:rPr>
          <w:rFonts w:ascii="Franklin Gothic Book" w:hAnsi="Franklin Gothic Book"/>
          <w:sz w:val="22"/>
        </w:rPr>
        <w:t>owever, in CAPItello-291</w:t>
      </w:r>
      <w:r w:rsidR="2D988BE5" w:rsidRPr="00C24C30">
        <w:rPr>
          <w:rFonts w:ascii="Franklin Gothic Book" w:hAnsi="Franklin Gothic Book"/>
          <w:sz w:val="22"/>
        </w:rPr>
        <w:t>,</w:t>
      </w:r>
      <w:r w:rsidRPr="00C24C30">
        <w:rPr>
          <w:rFonts w:ascii="Franklin Gothic Book" w:hAnsi="Franklin Gothic Book"/>
          <w:sz w:val="22"/>
        </w:rPr>
        <w:t xml:space="preserve"> patients received CAPI+FULV or placebo + FULV irrespective of their AKT pathway alteration status</w:t>
      </w:r>
      <w:r w:rsidR="210D72C3" w:rsidRPr="00C24C30">
        <w:rPr>
          <w:rFonts w:ascii="Franklin Gothic Book" w:hAnsi="Franklin Gothic Book"/>
          <w:sz w:val="22"/>
        </w:rPr>
        <w:t xml:space="preserve">, and therefore </w:t>
      </w:r>
      <w:r w:rsidRPr="00C24C30">
        <w:rPr>
          <w:rFonts w:ascii="Franklin Gothic Book" w:hAnsi="Franklin Gothic Book"/>
          <w:sz w:val="22"/>
        </w:rPr>
        <w:lastRenderedPageBreak/>
        <w:t xml:space="preserve">this did not explicitly inform changes in clinical management. </w:t>
      </w:r>
      <w:r w:rsidR="00B772D7" w:rsidRPr="00C24C30">
        <w:rPr>
          <w:rFonts w:ascii="Franklin Gothic Book" w:hAnsi="Franklin Gothic Book"/>
          <w:sz w:val="22"/>
        </w:rPr>
        <w:t>The TGA indication for CAPI+FULV also did not limit treatment to patients with an AKT pathway alteration.</w:t>
      </w:r>
    </w:p>
    <w:p w14:paraId="34860291" w14:textId="16A8188E" w:rsidR="005D6D39" w:rsidRPr="00C24C30" w:rsidRDefault="005D6D39" w:rsidP="005D6D39">
      <w:pPr>
        <w:rPr>
          <w:rFonts w:ascii="Franklin Gothic Book" w:hAnsi="Franklin Gothic Book"/>
          <w:i/>
          <w:iCs/>
          <w:sz w:val="22"/>
        </w:rPr>
      </w:pPr>
      <w:r w:rsidRPr="00C24C30">
        <w:rPr>
          <w:rFonts w:ascii="Franklin Gothic Book" w:hAnsi="Franklin Gothic Book"/>
          <w:sz w:val="22"/>
        </w:rPr>
        <w:t>The commentary noted the requested test and treatment population were locally advanced (inoperable) or metastatic HR+/HER2- breast cancer following recurrence or progression on or after ET, with or without a CDK4/6 inhibitor</w:t>
      </w:r>
      <w:r w:rsidR="3D5B800C" w:rsidRPr="00C24C30">
        <w:rPr>
          <w:rFonts w:ascii="Franklin Gothic Book" w:hAnsi="Franklin Gothic Book"/>
          <w:sz w:val="22"/>
        </w:rPr>
        <w:t>.</w:t>
      </w:r>
      <w:r w:rsidR="0038C535" w:rsidRPr="00C24C30">
        <w:rPr>
          <w:rFonts w:ascii="Franklin Gothic Book" w:hAnsi="Franklin Gothic Book"/>
          <w:sz w:val="22"/>
        </w:rPr>
        <w:t xml:space="preserve"> </w:t>
      </w:r>
      <w:r w:rsidR="1706672F" w:rsidRPr="00C24C30">
        <w:rPr>
          <w:rFonts w:ascii="Franklin Gothic Book" w:hAnsi="Franklin Gothic Book"/>
          <w:sz w:val="22"/>
        </w:rPr>
        <w:t>T</w:t>
      </w:r>
      <w:r w:rsidRPr="00C24C30">
        <w:rPr>
          <w:rFonts w:ascii="Franklin Gothic Book" w:hAnsi="Franklin Gothic Book"/>
          <w:sz w:val="22"/>
        </w:rPr>
        <w:t>he proposed MBS item descriptor</w:t>
      </w:r>
      <w:r w:rsidR="0007436D" w:rsidRPr="00C24C30">
        <w:rPr>
          <w:rFonts w:ascii="Franklin Gothic Book" w:hAnsi="Franklin Gothic Book"/>
          <w:sz w:val="22"/>
        </w:rPr>
        <w:t xml:space="preserve"> and</w:t>
      </w:r>
      <w:r w:rsidRPr="00C24C30">
        <w:rPr>
          <w:rFonts w:ascii="Franklin Gothic Book" w:hAnsi="Franklin Gothic Book"/>
          <w:sz w:val="22"/>
        </w:rPr>
        <w:t xml:space="preserve"> requested PBS restriction</w:t>
      </w:r>
      <w:r w:rsidR="0007436D" w:rsidRPr="00C24C30">
        <w:rPr>
          <w:rFonts w:ascii="Franklin Gothic Book" w:hAnsi="Franklin Gothic Book"/>
          <w:sz w:val="22"/>
        </w:rPr>
        <w:t xml:space="preserve"> suggest that testing and treatment with CAPI+FULV occur at the 1L and beyond advanced</w:t>
      </w:r>
      <w:r w:rsidR="00F256B0" w:rsidRPr="00C24C30">
        <w:rPr>
          <w:rFonts w:ascii="Franklin Gothic Book" w:hAnsi="Franklin Gothic Book"/>
          <w:sz w:val="22"/>
        </w:rPr>
        <w:t xml:space="preserve"> or metastatic</w:t>
      </w:r>
      <w:r w:rsidR="0007436D" w:rsidRPr="00C24C30">
        <w:rPr>
          <w:rFonts w:ascii="Franklin Gothic Book" w:hAnsi="Franklin Gothic Book"/>
          <w:sz w:val="22"/>
        </w:rPr>
        <w:t xml:space="preserve"> setting, although t</w:t>
      </w:r>
      <w:r w:rsidRPr="00C24C30">
        <w:rPr>
          <w:rFonts w:ascii="Franklin Gothic Book" w:hAnsi="Franklin Gothic Book"/>
          <w:sz w:val="22"/>
        </w:rPr>
        <w:t>he description in the submission (e.g. p89)</w:t>
      </w:r>
      <w:r w:rsidR="0038C535" w:rsidRPr="00C24C30">
        <w:rPr>
          <w:rFonts w:ascii="Franklin Gothic Book" w:hAnsi="Franklin Gothic Book"/>
          <w:sz w:val="22"/>
        </w:rPr>
        <w:t xml:space="preserve"> </w:t>
      </w:r>
      <w:r w:rsidRPr="00C24C30">
        <w:rPr>
          <w:rFonts w:ascii="Franklin Gothic Book" w:hAnsi="Franklin Gothic Book"/>
          <w:sz w:val="22"/>
        </w:rPr>
        <w:t xml:space="preserve">suggest that CAPI+FULV may be used in 1L or 2L. However, the commentary </w:t>
      </w:r>
      <w:r w:rsidR="009F4B7F" w:rsidRPr="00C24C30">
        <w:rPr>
          <w:rFonts w:ascii="Franklin Gothic Book" w:hAnsi="Franklin Gothic Book"/>
          <w:sz w:val="22"/>
        </w:rPr>
        <w:t>noted that</w:t>
      </w:r>
      <w:r w:rsidRPr="00C24C30">
        <w:rPr>
          <w:rFonts w:ascii="Franklin Gothic Book" w:hAnsi="Franklin Gothic Book"/>
          <w:sz w:val="22"/>
        </w:rPr>
        <w:t xml:space="preserve"> the PASC previous</w:t>
      </w:r>
      <w:r w:rsidR="009F4B7F" w:rsidRPr="00C24C30">
        <w:rPr>
          <w:rFonts w:ascii="Franklin Gothic Book" w:hAnsi="Franklin Gothic Book"/>
          <w:sz w:val="22"/>
        </w:rPr>
        <w:t>ly</w:t>
      </w:r>
      <w:r w:rsidRPr="00C24C30">
        <w:rPr>
          <w:rFonts w:ascii="Franklin Gothic Book" w:hAnsi="Franklin Gothic Book"/>
          <w:sz w:val="22"/>
        </w:rPr>
        <w:t xml:space="preserve"> </w:t>
      </w:r>
      <w:r w:rsidR="008A11E8" w:rsidRPr="00C24C30">
        <w:rPr>
          <w:rFonts w:ascii="Franklin Gothic Book" w:hAnsi="Franklin Gothic Book"/>
          <w:sz w:val="22"/>
        </w:rPr>
        <w:t xml:space="preserve">considered </w:t>
      </w:r>
      <w:r w:rsidRPr="00C24C30">
        <w:rPr>
          <w:rFonts w:ascii="Franklin Gothic Book" w:hAnsi="Franklin Gothic Book"/>
          <w:sz w:val="22"/>
        </w:rPr>
        <w:t>that testing is mainly for assessing eligibility for 2L treatment with CAPI+FULV.</w:t>
      </w:r>
      <w:r w:rsidRPr="00C24C30">
        <w:rPr>
          <w:rFonts w:ascii="Franklin Gothic Book" w:hAnsi="Franklin Gothic Book"/>
          <w:i/>
          <w:iCs/>
          <w:sz w:val="22"/>
        </w:rPr>
        <w:t xml:space="preserve"> </w:t>
      </w:r>
      <w:r w:rsidRPr="00C24C30">
        <w:rPr>
          <w:rFonts w:ascii="Franklin Gothic Book" w:hAnsi="Franklin Gothic Book"/>
          <w:sz w:val="22"/>
        </w:rPr>
        <w:t>Additionally, the commentary noted that PASC considered patients who have previously undergone germline</w:t>
      </w:r>
      <w:r w:rsidRPr="00C24C30">
        <w:rPr>
          <w:rFonts w:ascii="Franklin Gothic Book" w:hAnsi="Franklin Gothic Book"/>
          <w:i/>
          <w:iCs/>
          <w:sz w:val="22"/>
        </w:rPr>
        <w:t xml:space="preserve"> PTEN </w:t>
      </w:r>
      <w:r w:rsidRPr="00C24C30">
        <w:rPr>
          <w:rFonts w:ascii="Franklin Gothic Book" w:hAnsi="Franklin Gothic Book"/>
          <w:sz w:val="22"/>
        </w:rPr>
        <w:t xml:space="preserve">testing (via MBS 73296 and 73297) would also be eligible for AKT pathway testing for somatic gene variants, and that </w:t>
      </w:r>
      <w:r w:rsidR="003424B5" w:rsidRPr="00C24C30">
        <w:rPr>
          <w:rFonts w:ascii="Franklin Gothic Book" w:hAnsi="Franklin Gothic Book"/>
          <w:sz w:val="22"/>
        </w:rPr>
        <w:t xml:space="preserve">testing positive to </w:t>
      </w:r>
      <w:r w:rsidRPr="00C24C30">
        <w:rPr>
          <w:rFonts w:ascii="Franklin Gothic Book" w:hAnsi="Franklin Gothic Book"/>
          <w:sz w:val="22"/>
        </w:rPr>
        <w:t>germline</w:t>
      </w:r>
      <w:r w:rsidRPr="00C24C30">
        <w:rPr>
          <w:rFonts w:ascii="Franklin Gothic Book" w:hAnsi="Franklin Gothic Book"/>
          <w:i/>
          <w:iCs/>
          <w:sz w:val="22"/>
        </w:rPr>
        <w:t xml:space="preserve"> PTEN </w:t>
      </w:r>
      <w:r w:rsidRPr="00C24C30">
        <w:rPr>
          <w:rFonts w:ascii="Franklin Gothic Book" w:hAnsi="Franklin Gothic Book"/>
          <w:sz w:val="22"/>
        </w:rPr>
        <w:t xml:space="preserve">testing may not be sufficient to establish eligibility for CAPI+FULV. </w:t>
      </w:r>
    </w:p>
    <w:p w14:paraId="141D5749" w14:textId="32412A30" w:rsidR="005D6D39" w:rsidRPr="00C24C30" w:rsidRDefault="005D6D39" w:rsidP="005D6D39">
      <w:pPr>
        <w:rPr>
          <w:rFonts w:ascii="Franklin Gothic Book" w:hAnsi="Franklin Gothic Book"/>
          <w:i/>
          <w:iCs/>
          <w:sz w:val="22"/>
        </w:rPr>
      </w:pPr>
      <w:r w:rsidRPr="00C24C30">
        <w:rPr>
          <w:rFonts w:ascii="Franklin Gothic Book" w:hAnsi="Franklin Gothic Book"/>
          <w:sz w:val="22"/>
        </w:rPr>
        <w:t>The commentary noted the Roche AVENIO CGP is the proposed test, however, it was not clear whether this test would be used in clinical practice as the submission (p60) noted that other in-house accredited IVD NGS gene panels could be used for the detection of</w:t>
      </w:r>
      <w:r w:rsidRPr="00C24C30">
        <w:rPr>
          <w:rFonts w:ascii="Franklin Gothic Book" w:hAnsi="Franklin Gothic Book"/>
          <w:i/>
          <w:iCs/>
          <w:sz w:val="22"/>
        </w:rPr>
        <w:t xml:space="preserve"> PIK3CA, AKT1, </w:t>
      </w:r>
      <w:r w:rsidRPr="00C24C30">
        <w:rPr>
          <w:rFonts w:ascii="Franklin Gothic Book" w:hAnsi="Franklin Gothic Book"/>
          <w:sz w:val="22"/>
        </w:rPr>
        <w:t>or</w:t>
      </w:r>
      <w:r w:rsidRPr="00C24C30">
        <w:rPr>
          <w:rFonts w:ascii="Franklin Gothic Book" w:hAnsi="Franklin Gothic Book"/>
          <w:i/>
          <w:iCs/>
          <w:sz w:val="22"/>
        </w:rPr>
        <w:t xml:space="preserve"> PTEN </w:t>
      </w:r>
      <w:r w:rsidRPr="00C24C30">
        <w:rPr>
          <w:rFonts w:ascii="Franklin Gothic Book" w:hAnsi="Franklin Gothic Book"/>
          <w:sz w:val="22"/>
        </w:rPr>
        <w:t xml:space="preserve">alterations. Overall, the commentary considered it was unclear if testing of AKT pathway alterations using the Roche AVENIO CGP or other in-house NGS assays </w:t>
      </w:r>
      <w:r w:rsidR="4984AD72" w:rsidRPr="00C24C30">
        <w:rPr>
          <w:rFonts w:ascii="Franklin Gothic Book" w:hAnsi="Franklin Gothic Book"/>
          <w:sz w:val="22"/>
        </w:rPr>
        <w:t xml:space="preserve">that </w:t>
      </w:r>
      <w:r w:rsidRPr="00C24C30">
        <w:rPr>
          <w:rFonts w:ascii="Franklin Gothic Book" w:hAnsi="Franklin Gothic Book"/>
          <w:sz w:val="22"/>
        </w:rPr>
        <w:t xml:space="preserve">may be used for the detection of </w:t>
      </w:r>
      <w:r w:rsidRPr="00C24C30">
        <w:rPr>
          <w:rFonts w:ascii="Franklin Gothic Book" w:hAnsi="Franklin Gothic Book"/>
          <w:i/>
          <w:iCs/>
          <w:sz w:val="22"/>
        </w:rPr>
        <w:t>PIKC3CA, AKT1</w:t>
      </w:r>
      <w:r w:rsidRPr="00C24C30">
        <w:rPr>
          <w:rFonts w:ascii="Franklin Gothic Book" w:hAnsi="Franklin Gothic Book"/>
          <w:sz w:val="22"/>
        </w:rPr>
        <w:t xml:space="preserve">, and </w:t>
      </w:r>
      <w:r w:rsidRPr="00C24C30">
        <w:rPr>
          <w:rFonts w:ascii="Franklin Gothic Book" w:hAnsi="Franklin Gothic Book"/>
          <w:i/>
          <w:iCs/>
          <w:sz w:val="22"/>
        </w:rPr>
        <w:t>PTEN</w:t>
      </w:r>
      <w:r w:rsidRPr="00C24C30">
        <w:rPr>
          <w:rFonts w:ascii="Franklin Gothic Book" w:hAnsi="Franklin Gothic Book"/>
          <w:sz w:val="22"/>
        </w:rPr>
        <w:t xml:space="preserve"> gene variants in Australian clinical practice would identify the same patients as the clinical utility standard</w:t>
      </w:r>
      <w:r w:rsidR="029BDFF9" w:rsidRPr="00C24C30">
        <w:rPr>
          <w:rFonts w:ascii="Franklin Gothic Book" w:hAnsi="Franklin Gothic Book"/>
          <w:sz w:val="22"/>
        </w:rPr>
        <w:t>,</w:t>
      </w:r>
      <w:r w:rsidRPr="00C24C30">
        <w:rPr>
          <w:rFonts w:ascii="Franklin Gothic Book" w:hAnsi="Franklin Gothic Book"/>
          <w:sz w:val="22"/>
        </w:rPr>
        <w:t xml:space="preserve"> </w:t>
      </w:r>
      <w:proofErr w:type="spellStart"/>
      <w:r w:rsidRPr="00C24C30">
        <w:rPr>
          <w:rFonts w:ascii="Franklin Gothic Book" w:hAnsi="Franklin Gothic Book"/>
          <w:sz w:val="22"/>
        </w:rPr>
        <w:t>FoundationOneCDx</w:t>
      </w:r>
      <w:proofErr w:type="spellEnd"/>
      <w:r w:rsidR="5008812D" w:rsidRPr="00C24C30">
        <w:rPr>
          <w:rFonts w:ascii="Franklin Gothic Book" w:hAnsi="Franklin Gothic Book"/>
          <w:sz w:val="22"/>
        </w:rPr>
        <w:t>. This is</w:t>
      </w:r>
      <w:r w:rsidRPr="00C24C30">
        <w:rPr>
          <w:rFonts w:ascii="Franklin Gothic Book" w:hAnsi="Franklin Gothic Book"/>
          <w:sz w:val="22"/>
        </w:rPr>
        <w:t xml:space="preserve"> due to</w:t>
      </w:r>
      <w:r w:rsidR="3428F2E7" w:rsidRPr="00C24C30">
        <w:rPr>
          <w:rFonts w:ascii="Franklin Gothic Book" w:hAnsi="Franklin Gothic Book"/>
          <w:sz w:val="22"/>
        </w:rPr>
        <w:t xml:space="preserve"> the</w:t>
      </w:r>
      <w:r w:rsidRPr="00C24C30">
        <w:rPr>
          <w:rFonts w:ascii="Franklin Gothic Book" w:hAnsi="Franklin Gothic Book"/>
          <w:sz w:val="22"/>
        </w:rPr>
        <w:t xml:space="preserve"> uncertainty around the results of the main concordance study (</w:t>
      </w:r>
      <w:r w:rsidRPr="00C24C30" w:rsidDel="00E80366">
        <w:rPr>
          <w:rFonts w:ascii="Franklin Gothic Book" w:hAnsi="Franklin Gothic Book"/>
          <w:sz w:val="22"/>
        </w:rPr>
        <w:t xml:space="preserve">Monash </w:t>
      </w:r>
      <w:r w:rsidR="00E80366" w:rsidRPr="00C24C30">
        <w:rPr>
          <w:rFonts w:ascii="Franklin Gothic Book" w:hAnsi="Franklin Gothic Book"/>
          <w:sz w:val="22"/>
        </w:rPr>
        <w:t>Health Pathology 2024</w:t>
      </w:r>
      <w:r w:rsidRPr="00C24C30">
        <w:rPr>
          <w:rFonts w:ascii="Franklin Gothic Book" w:hAnsi="Franklin Gothic Book"/>
          <w:sz w:val="22"/>
        </w:rPr>
        <w:t xml:space="preserve">) as well as uncertainty around which tests will </w:t>
      </w:r>
      <w:proofErr w:type="gramStart"/>
      <w:r w:rsidRPr="00C24C30">
        <w:rPr>
          <w:rFonts w:ascii="Franklin Gothic Book" w:hAnsi="Franklin Gothic Book"/>
          <w:sz w:val="22"/>
        </w:rPr>
        <w:t>actually be</w:t>
      </w:r>
      <w:proofErr w:type="gramEnd"/>
      <w:r w:rsidRPr="00C24C30">
        <w:rPr>
          <w:rFonts w:ascii="Franklin Gothic Book" w:hAnsi="Franklin Gothic Book"/>
          <w:sz w:val="22"/>
        </w:rPr>
        <w:t xml:space="preserve"> used in Australia.</w:t>
      </w:r>
      <w:r w:rsidRPr="00C24C30">
        <w:rPr>
          <w:rFonts w:ascii="Franklin Gothic Book" w:hAnsi="Franklin Gothic Book"/>
          <w:i/>
          <w:iCs/>
          <w:sz w:val="22"/>
        </w:rPr>
        <w:t xml:space="preserve"> </w:t>
      </w:r>
    </w:p>
    <w:p w14:paraId="44AA407E" w14:textId="151C7F0D"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commentary acknowledged that the clinical evidence from CAPItello-291 suggested that patients who </w:t>
      </w:r>
      <w:r w:rsidR="00EE035A" w:rsidRPr="00C24C30">
        <w:rPr>
          <w:rFonts w:ascii="Franklin Gothic Book" w:hAnsi="Franklin Gothic Book"/>
          <w:sz w:val="22"/>
        </w:rPr>
        <w:t xml:space="preserve">have a </w:t>
      </w:r>
      <w:r w:rsidRPr="00C24C30">
        <w:rPr>
          <w:rFonts w:ascii="Franklin Gothic Book" w:hAnsi="Franklin Gothic Book"/>
          <w:sz w:val="22"/>
        </w:rPr>
        <w:t>confirmed AKT pathway altered</w:t>
      </w:r>
      <w:r w:rsidR="00EE035A" w:rsidRPr="00C24C30">
        <w:rPr>
          <w:rFonts w:ascii="Franklin Gothic Book" w:hAnsi="Franklin Gothic Book"/>
          <w:sz w:val="22"/>
        </w:rPr>
        <w:t xml:space="preserve"> </w:t>
      </w:r>
      <w:r w:rsidR="00A371C6" w:rsidRPr="00C24C30">
        <w:rPr>
          <w:rFonts w:ascii="Franklin Gothic Book" w:hAnsi="Franklin Gothic Book"/>
          <w:sz w:val="22"/>
        </w:rPr>
        <w:t xml:space="preserve">tumour </w:t>
      </w:r>
      <w:r w:rsidRPr="00C24C30">
        <w:rPr>
          <w:rFonts w:ascii="Franklin Gothic Book" w:hAnsi="Franklin Gothic Book"/>
          <w:sz w:val="22"/>
        </w:rPr>
        <w:t xml:space="preserve">derive a PFS benefit from treatment with CAPI+FULV compared to placebo + FULV; but the PFS HR in patients who </w:t>
      </w:r>
      <w:r w:rsidR="00CD569F" w:rsidRPr="00C24C30">
        <w:rPr>
          <w:rFonts w:ascii="Franklin Gothic Book" w:hAnsi="Franklin Gothic Book"/>
          <w:sz w:val="22"/>
        </w:rPr>
        <w:t xml:space="preserve">have </w:t>
      </w:r>
      <w:r w:rsidRPr="00C24C30">
        <w:rPr>
          <w:rFonts w:ascii="Franklin Gothic Book" w:hAnsi="Franklin Gothic Book"/>
          <w:sz w:val="22"/>
        </w:rPr>
        <w:t xml:space="preserve">known </w:t>
      </w:r>
      <w:r w:rsidR="001D42C7" w:rsidRPr="00C24C30">
        <w:rPr>
          <w:rFonts w:ascii="Franklin Gothic Book" w:hAnsi="Franklin Gothic Book"/>
          <w:sz w:val="22"/>
        </w:rPr>
        <w:t>non</w:t>
      </w:r>
      <w:r w:rsidR="64343FD9" w:rsidRPr="00C24C30">
        <w:rPr>
          <w:rFonts w:ascii="Franklin Gothic Book" w:hAnsi="Franklin Gothic Book"/>
          <w:sz w:val="22"/>
        </w:rPr>
        <w:t xml:space="preserve"> </w:t>
      </w:r>
      <w:r w:rsidR="001D42C7" w:rsidRPr="00C24C30">
        <w:rPr>
          <w:rFonts w:ascii="Franklin Gothic Book" w:hAnsi="Franklin Gothic Book"/>
          <w:sz w:val="22"/>
        </w:rPr>
        <w:t>AKT</w:t>
      </w:r>
      <w:r w:rsidRPr="00C24C30">
        <w:rPr>
          <w:rFonts w:ascii="Franklin Gothic Book" w:hAnsi="Franklin Gothic Book"/>
          <w:sz w:val="22"/>
        </w:rPr>
        <w:t xml:space="preserve"> pathway altered </w:t>
      </w:r>
      <w:r w:rsidR="00CD569F" w:rsidRPr="00C24C30">
        <w:rPr>
          <w:rFonts w:ascii="Franklin Gothic Book" w:hAnsi="Franklin Gothic Book"/>
          <w:sz w:val="22"/>
        </w:rPr>
        <w:t xml:space="preserve">tumours </w:t>
      </w:r>
      <w:r w:rsidRPr="00C24C30">
        <w:rPr>
          <w:rFonts w:ascii="Franklin Gothic Book" w:hAnsi="Franklin Gothic Book"/>
          <w:sz w:val="22"/>
        </w:rPr>
        <w:t xml:space="preserve">included the null in the 95% confidence interval. However, the commentary noted the PFS HR in the true complement to positive AKT pathway altered patients (i.e., known </w:t>
      </w:r>
      <w:r w:rsidR="001D42C7" w:rsidRPr="00C24C30">
        <w:rPr>
          <w:rFonts w:ascii="Franklin Gothic Book" w:hAnsi="Franklin Gothic Book"/>
          <w:sz w:val="22"/>
        </w:rPr>
        <w:t>non</w:t>
      </w:r>
      <w:r w:rsidR="2965585F" w:rsidRPr="00C24C30">
        <w:rPr>
          <w:rFonts w:ascii="Franklin Gothic Book" w:hAnsi="Franklin Gothic Book"/>
          <w:sz w:val="22"/>
        </w:rPr>
        <w:t xml:space="preserve"> </w:t>
      </w:r>
      <w:r w:rsidR="001D42C7" w:rsidRPr="00C24C30">
        <w:rPr>
          <w:rFonts w:ascii="Franklin Gothic Book" w:hAnsi="Franklin Gothic Book"/>
          <w:sz w:val="22"/>
        </w:rPr>
        <w:t>AKT</w:t>
      </w:r>
      <w:r w:rsidRPr="00C24C30">
        <w:rPr>
          <w:rFonts w:ascii="Franklin Gothic Book" w:hAnsi="Franklin Gothic Book"/>
          <w:sz w:val="22"/>
        </w:rPr>
        <w:t xml:space="preserve"> pathway altered and unknown AKT pathway status subgroups) suggested that CAPI+FULV was still effective and therefore it may not be reasonable to exclude patients who were not classified as confirmed AKT pathway altered from treatment with CAPI+FULV. </w:t>
      </w:r>
    </w:p>
    <w:p w14:paraId="52790BB9" w14:textId="4F49917B"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Tests for interaction conducted during the evaluation suggested that AKT pathway alteration status was a potentially significant PFS treatment effect modifier. However, this was considered alongside the fact that the PFS data that informed the predictive effect of AKT pathway alterations </w:t>
      </w:r>
      <w:r w:rsidR="00B5472E" w:rsidRPr="00C24C30">
        <w:rPr>
          <w:rFonts w:ascii="Franklin Gothic Book" w:hAnsi="Franklin Gothic Book"/>
          <w:sz w:val="22"/>
        </w:rPr>
        <w:t xml:space="preserve">was </w:t>
      </w:r>
      <w:r w:rsidRPr="00C24C30">
        <w:rPr>
          <w:rFonts w:ascii="Franklin Gothic Book" w:hAnsi="Franklin Gothic Book"/>
          <w:sz w:val="22"/>
        </w:rPr>
        <w:t xml:space="preserve">exploratory data; and there was uncertainty in the prognostic effect of AKT pathway alterations that may have overestimated the predictive effect. </w:t>
      </w:r>
    </w:p>
    <w:p w14:paraId="08C38BE8" w14:textId="77777777"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As such, the commentary contends there remains uncertainty to unequivocally exclude patients who did not test positive to AKT pathway alteration from treatment with CAPI+FULV. In fact, the submission (p89) proposed that these patients would benefit from and therefore elect for treatment with CAPI+FULV, though this was inconsistent with the claims made throughout the submission. The submission did not describe the clinical pathway for patients who receive ‘no result’ or a false result from testing, which was not reasonable as mismanagement of these patients poses a risk of wastage and safety concerns for patients (e.g., re-testing, re-biopsy, delayed time to treatment, or sub-optimal treatment delivered). </w:t>
      </w:r>
    </w:p>
    <w:p w14:paraId="50DAF2A3" w14:textId="5061231C"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commentary noted the TGA approved indication allows for treatment with CAPI+FULV irrespective of AKT pathway alteration status. </w:t>
      </w:r>
      <w:r w:rsidR="17DCEBD3" w:rsidRPr="00C24C30">
        <w:rPr>
          <w:rFonts w:ascii="Franklin Gothic Book" w:hAnsi="Franklin Gothic Book"/>
          <w:sz w:val="22"/>
        </w:rPr>
        <w:t>However,</w:t>
      </w:r>
      <w:r w:rsidRPr="00C24C30">
        <w:rPr>
          <w:rFonts w:ascii="Franklin Gothic Book" w:hAnsi="Franklin Gothic Book"/>
          <w:sz w:val="22"/>
        </w:rPr>
        <w:t xml:space="preserve"> the TGA Delegate Overview had reservations with respect to the uncertainty in the point estimate benefit observed in the known </w:t>
      </w:r>
      <w:r w:rsidR="001D42C7" w:rsidRPr="00C24C30">
        <w:rPr>
          <w:rFonts w:ascii="Franklin Gothic Book" w:hAnsi="Franklin Gothic Book"/>
          <w:sz w:val="22"/>
        </w:rPr>
        <w:t>non AKT</w:t>
      </w:r>
      <w:r w:rsidRPr="00C24C30">
        <w:rPr>
          <w:rFonts w:ascii="Franklin Gothic Book" w:hAnsi="Franklin Gothic Book"/>
          <w:sz w:val="22"/>
        </w:rPr>
        <w:t xml:space="preserve"> pathway altered </w:t>
      </w:r>
      <w:proofErr w:type="gramStart"/>
      <w:r w:rsidRPr="00C24C30">
        <w:rPr>
          <w:rFonts w:ascii="Franklin Gothic Book" w:hAnsi="Franklin Gothic Book"/>
          <w:sz w:val="22"/>
        </w:rPr>
        <w:t>subgroup</w:t>
      </w:r>
      <w:proofErr w:type="gramEnd"/>
      <w:r w:rsidRPr="00C24C30">
        <w:rPr>
          <w:rFonts w:ascii="Franklin Gothic Book" w:hAnsi="Franklin Gothic Book"/>
          <w:sz w:val="22"/>
        </w:rPr>
        <w:t xml:space="preserve"> and the higher rates of complications associated with CAPI+FULV.</w:t>
      </w:r>
    </w:p>
    <w:p w14:paraId="7A9B2942" w14:textId="3F9E9E4B"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Notably, the commentary noted there was no statistically significant OS benefit demonstrated between CAPI+FULV and placebo + FULV in the ITT cohort or any of the AKT pathway alteration subgroups in CAPItello-291 at the latest data cut. The commentary acknowledges the immaturity </w:t>
      </w:r>
      <w:r w:rsidRPr="00C24C30">
        <w:rPr>
          <w:rFonts w:ascii="Franklin Gothic Book" w:hAnsi="Franklin Gothic Book"/>
          <w:sz w:val="22"/>
        </w:rPr>
        <w:lastRenderedPageBreak/>
        <w:t xml:space="preserve">of OS data in CAPItello-291; the current evidence suggests that irrespective of AKT pathway alteration status, there is no significant OS benefit observed from CAPI+FULV in </w:t>
      </w:r>
      <w:r w:rsidR="4CA2AF1C" w:rsidRPr="00C24C30">
        <w:rPr>
          <w:rFonts w:ascii="Franklin Gothic Book" w:hAnsi="Franklin Gothic Book"/>
          <w:sz w:val="22"/>
        </w:rPr>
        <w:t>patients with</w:t>
      </w:r>
      <w:r w:rsidR="0038C535" w:rsidRPr="00C24C30">
        <w:rPr>
          <w:rFonts w:ascii="Franklin Gothic Book" w:hAnsi="Franklin Gothic Book"/>
          <w:sz w:val="22"/>
        </w:rPr>
        <w:t xml:space="preserve"> </w:t>
      </w:r>
      <w:r w:rsidRPr="00C24C30">
        <w:rPr>
          <w:rFonts w:ascii="Franklin Gothic Book" w:hAnsi="Franklin Gothic Book"/>
          <w:sz w:val="22"/>
        </w:rPr>
        <w:t>HR+/HER2- locally advanced or metastatic breast cancer.</w:t>
      </w:r>
    </w:p>
    <w:p w14:paraId="2D8AC536" w14:textId="133A7631" w:rsidR="005D6D39" w:rsidRPr="00C24C30" w:rsidRDefault="005D6D39" w:rsidP="005D6D39">
      <w:pPr>
        <w:pStyle w:val="Heading4"/>
        <w:rPr>
          <w:rFonts w:ascii="Franklin Gothic Book" w:hAnsi="Franklin Gothic Book"/>
          <w:sz w:val="22"/>
          <w:szCs w:val="22"/>
        </w:rPr>
      </w:pPr>
      <w:r w:rsidRPr="00C24C30">
        <w:rPr>
          <w:rFonts w:ascii="Franklin Gothic Book" w:hAnsi="Franklin Gothic Book"/>
          <w:sz w:val="22"/>
          <w:szCs w:val="22"/>
        </w:rPr>
        <w:t xml:space="preserve">Claim of </w:t>
      </w:r>
      <w:proofErr w:type="spellStart"/>
      <w:r w:rsidRPr="00C24C30">
        <w:rPr>
          <w:rFonts w:ascii="Franklin Gothic Book" w:hAnsi="Franklin Gothic Book"/>
          <w:sz w:val="22"/>
          <w:szCs w:val="22"/>
        </w:rPr>
        <w:t>codependence</w:t>
      </w:r>
      <w:proofErr w:type="spellEnd"/>
      <w:r w:rsidRPr="00C24C30">
        <w:rPr>
          <w:rFonts w:ascii="Franklin Gothic Book" w:hAnsi="Franklin Gothic Book"/>
          <w:sz w:val="22"/>
          <w:szCs w:val="22"/>
        </w:rPr>
        <w:t xml:space="preserve"> </w:t>
      </w:r>
    </w:p>
    <w:p w14:paraId="5142D116" w14:textId="77777777" w:rsidR="00C24C30" w:rsidRPr="00C24C30" w:rsidRDefault="00C24C30" w:rsidP="00C24C30">
      <w:pPr>
        <w:rPr>
          <w:rFonts w:ascii="Franklin Gothic Book" w:hAnsi="Franklin Gothic Book"/>
          <w:sz w:val="22"/>
        </w:rPr>
      </w:pPr>
      <w:r w:rsidRPr="00C24C30">
        <w:rPr>
          <w:rFonts w:ascii="Franklin Gothic Book" w:hAnsi="Franklin Gothic Book"/>
          <w:sz w:val="22"/>
        </w:rPr>
        <w:t xml:space="preserve">The commentary considered the evidence informing the diagnostic accuracy of the Roche AVENIO CGP and the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for the detection of</w:t>
      </w:r>
      <w:r w:rsidRPr="00C24C30">
        <w:rPr>
          <w:rFonts w:ascii="Franklin Gothic Book" w:hAnsi="Franklin Gothic Book"/>
          <w:i/>
          <w:iCs/>
          <w:sz w:val="22"/>
        </w:rPr>
        <w:t xml:space="preserve"> PIK3CA, AKT1, </w:t>
      </w:r>
      <w:r w:rsidRPr="00C24C30">
        <w:rPr>
          <w:rFonts w:ascii="Franklin Gothic Book" w:hAnsi="Franklin Gothic Book"/>
          <w:sz w:val="22"/>
        </w:rPr>
        <w:t xml:space="preserve">or </w:t>
      </w:r>
      <w:r w:rsidRPr="00C24C30">
        <w:rPr>
          <w:rFonts w:ascii="Franklin Gothic Book" w:hAnsi="Franklin Gothic Book"/>
          <w:i/>
          <w:iCs/>
          <w:sz w:val="22"/>
        </w:rPr>
        <w:t xml:space="preserve">PTEN </w:t>
      </w:r>
      <w:r w:rsidRPr="00C24C30">
        <w:rPr>
          <w:rFonts w:ascii="Franklin Gothic Book" w:hAnsi="Franklin Gothic Book"/>
          <w:sz w:val="22"/>
        </w:rPr>
        <w:t>alterations was highly uncertain as:</w:t>
      </w:r>
    </w:p>
    <w:p w14:paraId="0B5C298A" w14:textId="3225A264" w:rsidR="00C24C30" w:rsidRPr="00C24C30" w:rsidRDefault="00C24C30" w:rsidP="00C24C30">
      <w:pPr>
        <w:pStyle w:val="MainBodyBulletPoint"/>
        <w:jc w:val="both"/>
        <w:rPr>
          <w:rFonts w:ascii="Franklin Gothic Book" w:hAnsi="Franklin Gothic Book"/>
          <w:i/>
          <w:iCs/>
          <w:sz w:val="22"/>
        </w:rPr>
      </w:pPr>
      <w:r w:rsidRPr="00C24C30">
        <w:rPr>
          <w:rFonts w:ascii="Franklin Gothic Book" w:hAnsi="Franklin Gothic Book"/>
          <w:sz w:val="22"/>
        </w:rPr>
        <w:t xml:space="preserve">The </w:t>
      </w:r>
      <w:r w:rsidRPr="00C24C30" w:rsidDel="00E80366">
        <w:rPr>
          <w:rFonts w:ascii="Franklin Gothic Book" w:hAnsi="Franklin Gothic Book"/>
          <w:sz w:val="22"/>
        </w:rPr>
        <w:t>Monash</w:t>
      </w:r>
      <w:r w:rsidRPr="00C24C30">
        <w:rPr>
          <w:rFonts w:ascii="Franklin Gothic Book" w:hAnsi="Franklin Gothic Book"/>
          <w:sz w:val="22"/>
        </w:rPr>
        <w:t xml:space="preserve"> Health Pathology 2024 report was a concordance analysis based on 16/21 tissue samples, where </w:t>
      </w:r>
      <w:r w:rsidR="000804D1">
        <w:rPr>
          <w:rFonts w:ascii="Franklin Gothic Book" w:hAnsi="Franklin Gothic Book"/>
          <w:b/>
          <w:bCs/>
          <w:sz w:val="22"/>
        </w:rPr>
        <w:t>redacted</w:t>
      </w:r>
      <w:r w:rsidR="3E95FE9E" w:rsidRPr="002215B2">
        <w:rPr>
          <w:rFonts w:ascii="Franklin Gothic Book" w:hAnsi="Franklin Gothic Book"/>
          <w:sz w:val="22"/>
        </w:rPr>
        <w:t>%</w:t>
      </w:r>
      <w:r w:rsidRPr="00C24C30">
        <w:rPr>
          <w:rFonts w:ascii="Franklin Gothic Book" w:hAnsi="Franklin Gothic Book"/>
          <w:sz w:val="22"/>
        </w:rPr>
        <w:t xml:space="preserve"> were unsuccessfully tested on the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all samples were known positive for</w:t>
      </w:r>
      <w:r w:rsidRPr="00C24C30">
        <w:rPr>
          <w:rFonts w:ascii="Franklin Gothic Book" w:hAnsi="Franklin Gothic Book"/>
          <w:i/>
          <w:iCs/>
          <w:sz w:val="22"/>
        </w:rPr>
        <w:t xml:space="preserve"> PIK3CA, AKT1, </w:t>
      </w:r>
      <w:r w:rsidRPr="00C24C30">
        <w:rPr>
          <w:rFonts w:ascii="Franklin Gothic Book" w:hAnsi="Franklin Gothic Book"/>
          <w:sz w:val="22"/>
        </w:rPr>
        <w:t xml:space="preserve">or </w:t>
      </w:r>
      <w:r w:rsidRPr="00C24C30">
        <w:rPr>
          <w:rFonts w:ascii="Franklin Gothic Book" w:hAnsi="Franklin Gothic Book"/>
          <w:i/>
          <w:iCs/>
          <w:sz w:val="22"/>
        </w:rPr>
        <w:t xml:space="preserve">PTEN </w:t>
      </w:r>
      <w:r w:rsidRPr="00C24C30">
        <w:rPr>
          <w:rFonts w:ascii="Franklin Gothic Book" w:hAnsi="Franklin Gothic Book"/>
          <w:sz w:val="22"/>
        </w:rPr>
        <w:t xml:space="preserve">variants and thus the interpretation of negative concordance was uncertain. PASC previously considered the results from </w:t>
      </w:r>
      <w:r w:rsidRPr="00C24C30" w:rsidDel="00E80366">
        <w:rPr>
          <w:rFonts w:ascii="Franklin Gothic Book" w:hAnsi="Franklin Gothic Book"/>
          <w:sz w:val="22"/>
        </w:rPr>
        <w:t xml:space="preserve">Monash </w:t>
      </w:r>
      <w:r w:rsidRPr="00C24C30">
        <w:rPr>
          <w:rFonts w:ascii="Franklin Gothic Book" w:hAnsi="Franklin Gothic Book"/>
          <w:sz w:val="22"/>
        </w:rPr>
        <w:t>Health Pathology 2024 report to be uncertain, noting that tumour enrichment data of samples were not provided,</w:t>
      </w:r>
      <w:r w:rsidRPr="00C24C30">
        <w:rPr>
          <w:rFonts w:ascii="Franklin Gothic Book" w:hAnsi="Franklin Gothic Book"/>
          <w:i/>
          <w:iCs/>
          <w:sz w:val="22"/>
        </w:rPr>
        <w:t xml:space="preserve"> PTEN </w:t>
      </w:r>
      <w:r w:rsidRPr="00C24C30">
        <w:rPr>
          <w:rFonts w:ascii="Franklin Gothic Book" w:hAnsi="Franklin Gothic Book"/>
          <w:sz w:val="22"/>
        </w:rPr>
        <w:t xml:space="preserve">deletions were not detected by either test, </w:t>
      </w:r>
      <w:proofErr w:type="gramStart"/>
      <w:r w:rsidRPr="00C24C30">
        <w:rPr>
          <w:rFonts w:ascii="Franklin Gothic Book" w:hAnsi="Franklin Gothic Book"/>
          <w:sz w:val="22"/>
        </w:rPr>
        <w:t>and</w:t>
      </w:r>
      <w:proofErr w:type="gramEnd"/>
      <w:r w:rsidRPr="00C24C30">
        <w:rPr>
          <w:rFonts w:ascii="Franklin Gothic Book" w:hAnsi="Franklin Gothic Book"/>
          <w:sz w:val="22"/>
        </w:rPr>
        <w:t xml:space="preserve">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did not identify a</w:t>
      </w:r>
      <w:r w:rsidRPr="00C24C30">
        <w:rPr>
          <w:rFonts w:ascii="Franklin Gothic Book" w:hAnsi="Franklin Gothic Book"/>
          <w:i/>
          <w:iCs/>
          <w:sz w:val="22"/>
        </w:rPr>
        <w:t xml:space="preserve"> PTEN </w:t>
      </w:r>
      <w:r w:rsidRPr="00C24C30">
        <w:rPr>
          <w:rFonts w:ascii="Franklin Gothic Book" w:hAnsi="Franklin Gothic Book"/>
          <w:sz w:val="22"/>
        </w:rPr>
        <w:t>point variation (p.D268E)</w:t>
      </w:r>
      <w:r w:rsidRPr="00C24C30">
        <w:rPr>
          <w:rFonts w:ascii="Franklin Gothic Book" w:hAnsi="Franklin Gothic Book"/>
          <w:i/>
          <w:iCs/>
          <w:sz w:val="22"/>
        </w:rPr>
        <w:t>.</w:t>
      </w:r>
    </w:p>
    <w:p w14:paraId="69B23FDD"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There were applicability concerns in the Food and Drug Administration (FDA) 2019 and FDA 2023 concordance analyses, because the FDA 2019 report only tested for </w:t>
      </w:r>
      <w:r w:rsidRPr="00C24C30">
        <w:rPr>
          <w:rFonts w:ascii="Franklin Gothic Book" w:hAnsi="Franklin Gothic Book"/>
          <w:i/>
          <w:iCs/>
          <w:sz w:val="22"/>
        </w:rPr>
        <w:t>PIKC3CA</w:t>
      </w:r>
      <w:r w:rsidRPr="00C24C30">
        <w:rPr>
          <w:rFonts w:ascii="Franklin Gothic Book" w:hAnsi="Franklin Gothic Book"/>
          <w:sz w:val="22"/>
        </w:rPr>
        <w:t xml:space="preserve"> gene variants; the FDA 2023 report included tumour tissue samples from patients with metastatic triple negative breast cancer (TNBC); and neither FDA report specified the externally validated next-generation sequencing (NGS) test used.</w:t>
      </w:r>
    </w:p>
    <w:p w14:paraId="7648EBFB" w14:textId="3F917C79"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It was not clear whether the Roche AVENIO CGP would be the test adopted in Australian clinical practice since the submission noted that other in-house NGS </w:t>
      </w:r>
      <w:r w:rsidRPr="00C24C30">
        <w:rPr>
          <w:rFonts w:ascii="Franklin Gothic Book" w:hAnsi="Franklin Gothic Book"/>
          <w:i/>
          <w:iCs/>
          <w:sz w:val="22"/>
        </w:rPr>
        <w:t>in vitro</w:t>
      </w:r>
      <w:r w:rsidRPr="00C24C30">
        <w:rPr>
          <w:rFonts w:ascii="Franklin Gothic Book" w:hAnsi="Franklin Gothic Book"/>
          <w:sz w:val="22"/>
        </w:rPr>
        <w:t xml:space="preserve"> diagnostic (IVD) devices could be used for AKT pathway testing. Importantly, it was not clear whether in-house IVD NGS would be standardised for AKT pathway testing to account for variability across laboratories.</w:t>
      </w:r>
    </w:p>
    <w:p w14:paraId="6691EF32" w14:textId="77777777" w:rsidR="00C24C30" w:rsidRPr="00C24C30" w:rsidRDefault="00C24C30" w:rsidP="00C24C30">
      <w:pPr>
        <w:rPr>
          <w:rFonts w:ascii="Franklin Gothic Book" w:hAnsi="Franklin Gothic Book"/>
          <w:sz w:val="22"/>
        </w:rPr>
      </w:pPr>
      <w:r w:rsidRPr="00C24C30">
        <w:rPr>
          <w:rFonts w:ascii="Franklin Gothic Book" w:hAnsi="Franklin Gothic Book"/>
          <w:sz w:val="22"/>
        </w:rPr>
        <w:t xml:space="preserve">The commentary considered the evidence supporting the prognostic effect of AKT pathway alterations was also uncertain and it was not clearly apparent whether a prognostic effect existed or could be reasonably quantified because: </w:t>
      </w:r>
    </w:p>
    <w:p w14:paraId="07924A7A"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The median PFS between AKT pathway altered and non AKT pathway altered patients varied across trials (e.g. in altered pathway, ranged from 1.4 months in BELLE-3 using polymerase chain reaction [PCR] to 5.2 months in FAKTION using droplet digital PCR [</w:t>
      </w:r>
      <w:proofErr w:type="spellStart"/>
      <w:r w:rsidRPr="00C24C30">
        <w:rPr>
          <w:rFonts w:ascii="Franklin Gothic Book" w:hAnsi="Franklin Gothic Book"/>
          <w:sz w:val="22"/>
        </w:rPr>
        <w:t>ddPCR</w:t>
      </w:r>
      <w:proofErr w:type="spellEnd"/>
      <w:r w:rsidRPr="00C24C30">
        <w:rPr>
          <w:rFonts w:ascii="Franklin Gothic Book" w:hAnsi="Franklin Gothic Book"/>
          <w:sz w:val="22"/>
        </w:rPr>
        <w:t>] or immunohistochemistry [IHC]) and there was no clear signal of a prognostic effect with the median PFS in the AKT pathway altered and non AKT pathway altered subgroups within each trial showed overlapping 95% confidence intervals (CIs).</w:t>
      </w:r>
    </w:p>
    <w:p w14:paraId="123FE0B9"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The non AKT pathway altered subgroup from CAPItello-291, and the AKT pathway altered subgroups from FAKTION, SOLAR-1, and BELLE-3, were exploratory </w:t>
      </w:r>
      <w:r w:rsidRPr="00C24C30">
        <w:rPr>
          <w:rFonts w:ascii="Franklin Gothic Book" w:hAnsi="Franklin Gothic Book"/>
          <w:i/>
          <w:iCs/>
          <w:sz w:val="22"/>
        </w:rPr>
        <w:t>post hoc</w:t>
      </w:r>
      <w:r w:rsidRPr="00C24C30">
        <w:rPr>
          <w:rFonts w:ascii="Franklin Gothic Book" w:hAnsi="Franklin Gothic Book"/>
          <w:sz w:val="22"/>
        </w:rPr>
        <w:t xml:space="preserve"> analyses.</w:t>
      </w:r>
    </w:p>
    <w:p w14:paraId="379CC7BD"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FAKTION, SOLAR-1, and BELLE-3 lacked applicability to the proposed test setting (e.g., used different assays [PCR, IHC, or NGS], tested tumour tissue and or blood samples; tested different gene variants [tested </w:t>
      </w:r>
      <w:r w:rsidRPr="00C24C30">
        <w:rPr>
          <w:rFonts w:ascii="Franklin Gothic Book" w:hAnsi="Franklin Gothic Book"/>
          <w:i/>
          <w:iCs/>
          <w:sz w:val="22"/>
        </w:rPr>
        <w:t>PIK3CA, AKT1</w:t>
      </w:r>
      <w:r w:rsidRPr="00C24C30">
        <w:rPr>
          <w:rFonts w:ascii="Franklin Gothic Book" w:hAnsi="Franklin Gothic Book"/>
          <w:sz w:val="22"/>
        </w:rPr>
        <w:t xml:space="preserve"> and </w:t>
      </w:r>
      <w:r w:rsidRPr="00C24C30">
        <w:rPr>
          <w:rFonts w:ascii="Franklin Gothic Book" w:hAnsi="Franklin Gothic Book"/>
          <w:i/>
          <w:iCs/>
          <w:sz w:val="22"/>
        </w:rPr>
        <w:t>PTEN</w:t>
      </w:r>
      <w:r w:rsidRPr="00C24C30">
        <w:rPr>
          <w:rFonts w:ascii="Franklin Gothic Book" w:hAnsi="Franklin Gothic Book"/>
          <w:sz w:val="22"/>
        </w:rPr>
        <w:t xml:space="preserve"> gene variants or </w:t>
      </w:r>
      <w:r w:rsidRPr="00C24C30">
        <w:rPr>
          <w:rFonts w:ascii="Franklin Gothic Book" w:hAnsi="Franklin Gothic Book"/>
          <w:i/>
          <w:iCs/>
          <w:sz w:val="22"/>
        </w:rPr>
        <w:t>PIK3CA</w:t>
      </w:r>
      <w:r w:rsidRPr="00C24C30">
        <w:rPr>
          <w:rFonts w:ascii="Franklin Gothic Book" w:hAnsi="Franklin Gothic Book"/>
          <w:sz w:val="22"/>
        </w:rPr>
        <w:t xml:space="preserve"> gene variants only]). </w:t>
      </w:r>
    </w:p>
    <w:p w14:paraId="14A76FC9" w14:textId="77777777" w:rsidR="00C24C30" w:rsidRPr="009B0A34" w:rsidRDefault="00C24C30" w:rsidP="00C24C30">
      <w:pPr>
        <w:rPr>
          <w:rFonts w:ascii="Franklin Gothic Book" w:hAnsi="Franklin Gothic Book"/>
          <w:sz w:val="22"/>
        </w:rPr>
      </w:pPr>
      <w:r w:rsidRPr="009B0A34">
        <w:rPr>
          <w:rFonts w:ascii="Franklin Gothic Book" w:hAnsi="Franklin Gothic Book"/>
          <w:sz w:val="22"/>
        </w:rPr>
        <w:t xml:space="preserve">The pre-sub-committee response (PSCR) (p5-6) noted that as this co-dependent submission requests an MBS listing testing of AKT pathway alterations by NGS in tumour tissue to inform access to PBS subsidised capivasertib in combination with </w:t>
      </w:r>
      <w:proofErr w:type="spellStart"/>
      <w:r w:rsidRPr="009B0A34">
        <w:rPr>
          <w:rFonts w:ascii="Franklin Gothic Book" w:hAnsi="Franklin Gothic Book"/>
          <w:sz w:val="22"/>
        </w:rPr>
        <w:t>fulvestrant</w:t>
      </w:r>
      <w:proofErr w:type="spellEnd"/>
      <w:r w:rsidRPr="009B0A34">
        <w:rPr>
          <w:rFonts w:ascii="Franklin Gothic Book" w:hAnsi="Franklin Gothic Book"/>
          <w:sz w:val="22"/>
        </w:rPr>
        <w:t xml:space="preserve"> (CAPI + FULV) the impact of the prognostic effect of AKT pathway alterations is of less relevance.</w:t>
      </w:r>
    </w:p>
    <w:p w14:paraId="7678287D" w14:textId="77777777" w:rsidR="00C24C30" w:rsidRPr="00C24C30" w:rsidRDefault="00C24C30" w:rsidP="00C24C30">
      <w:pPr>
        <w:rPr>
          <w:rFonts w:ascii="Franklin Gothic Book" w:hAnsi="Franklin Gothic Book"/>
          <w:i/>
          <w:iCs/>
          <w:sz w:val="22"/>
        </w:rPr>
      </w:pPr>
      <w:r w:rsidRPr="00C24C30">
        <w:rPr>
          <w:rFonts w:ascii="Franklin Gothic Book" w:hAnsi="Franklin Gothic Book"/>
          <w:sz w:val="22"/>
        </w:rPr>
        <w:t>The commentary noted that PASC previously considered that AKT pathway testing appeared to predict response in patients treated with CAPI+FULV based on PFS results from CAPItello-291 and FAKTION. CAPItello-291 and FAKTION indicated a greater PFS improvement in AKT pathway altered patients compared to non AKT pathway altered patients, and tests for interaction suggested that AKT pathway alteration was a potential PFS treatment effect modifier. However, the predictive effect of AKT pathway alterations was considered uncertain by the commentary because</w:t>
      </w:r>
      <w:r w:rsidRPr="00C24C30">
        <w:rPr>
          <w:rFonts w:ascii="Franklin Gothic Book" w:hAnsi="Franklin Gothic Book"/>
          <w:i/>
          <w:iCs/>
          <w:sz w:val="22"/>
        </w:rPr>
        <w:t>:</w:t>
      </w:r>
    </w:p>
    <w:p w14:paraId="7AB645A2" w14:textId="4C679152" w:rsidR="00C24C30" w:rsidRPr="00C24C30" w:rsidRDefault="00C24C30" w:rsidP="00C24C30">
      <w:pPr>
        <w:pStyle w:val="MainBodyBulletPoint"/>
        <w:rPr>
          <w:rFonts w:ascii="Franklin Gothic Book" w:hAnsi="Franklin Gothic Book"/>
          <w:sz w:val="22"/>
        </w:rPr>
      </w:pPr>
      <w:r w:rsidRPr="00C24C30">
        <w:rPr>
          <w:rFonts w:ascii="Franklin Gothic Book" w:hAnsi="Franklin Gothic Book"/>
          <w:sz w:val="22"/>
        </w:rPr>
        <w:lastRenderedPageBreak/>
        <w:t xml:space="preserve">The PFS benefit remained equivocal in the known non AKT pathway altered and unknown AKT status subgroups as these were conducted </w:t>
      </w:r>
      <w:r w:rsidRPr="00C24C30">
        <w:rPr>
          <w:rFonts w:ascii="Franklin Gothic Book" w:hAnsi="Franklin Gothic Book"/>
          <w:i/>
          <w:sz w:val="22"/>
        </w:rPr>
        <w:t>post hoc</w:t>
      </w:r>
      <w:r w:rsidRPr="00C24C30">
        <w:rPr>
          <w:rFonts w:ascii="Franklin Gothic Book" w:hAnsi="Franklin Gothic Book"/>
          <w:sz w:val="22"/>
        </w:rPr>
        <w:t>, were not adjusted for multiplicity, and characteristics for these subgroups were not presented in the submission.</w:t>
      </w:r>
      <w:r w:rsidR="00F27AAA">
        <w:rPr>
          <w:rFonts w:ascii="Franklin Gothic Book" w:hAnsi="Franklin Gothic Book"/>
          <w:sz w:val="22"/>
        </w:rPr>
        <w:t xml:space="preserve"> </w:t>
      </w:r>
      <w:r w:rsidR="00F27AAA">
        <w:rPr>
          <w:rFonts w:ascii="Franklin Gothic Book" w:hAnsi="Franklin Gothic Book"/>
          <w:i/>
          <w:iCs/>
          <w:sz w:val="22"/>
        </w:rPr>
        <w:t xml:space="preserve">The pre-MSAC response </w:t>
      </w:r>
      <w:r w:rsidR="006E29DF">
        <w:rPr>
          <w:rFonts w:ascii="Franklin Gothic Book" w:hAnsi="Franklin Gothic Book"/>
          <w:i/>
          <w:iCs/>
          <w:sz w:val="22"/>
        </w:rPr>
        <w:t xml:space="preserve">maintained that because </w:t>
      </w:r>
      <w:r w:rsidR="006E29DF" w:rsidRPr="006E29DF">
        <w:rPr>
          <w:rFonts w:ascii="Franklin Gothic Book" w:hAnsi="Franklin Gothic Book"/>
          <w:i/>
          <w:iCs/>
          <w:sz w:val="22"/>
        </w:rPr>
        <w:t>baseline characteristics were balanced across the subgroups in both treatment arms</w:t>
      </w:r>
      <w:r w:rsidR="006E29DF">
        <w:rPr>
          <w:rFonts w:ascii="Franklin Gothic Book" w:hAnsi="Franklin Gothic Book"/>
          <w:i/>
          <w:iCs/>
          <w:sz w:val="22"/>
        </w:rPr>
        <w:t xml:space="preserve"> in the </w:t>
      </w:r>
      <w:proofErr w:type="spellStart"/>
      <w:r w:rsidR="006E29DF">
        <w:rPr>
          <w:rFonts w:ascii="Franklin Gothic Book" w:hAnsi="Franklin Gothic Book"/>
          <w:i/>
          <w:iCs/>
          <w:sz w:val="22"/>
        </w:rPr>
        <w:t>Capitello</w:t>
      </w:r>
      <w:proofErr w:type="spellEnd"/>
      <w:r w:rsidR="006E29DF">
        <w:rPr>
          <w:rFonts w:ascii="Franklin Gothic Book" w:hAnsi="Franklin Gothic Book"/>
          <w:i/>
          <w:iCs/>
          <w:sz w:val="22"/>
        </w:rPr>
        <w:t xml:space="preserve"> study, t</w:t>
      </w:r>
      <w:r w:rsidR="006E29DF" w:rsidRPr="006E29DF">
        <w:rPr>
          <w:rFonts w:ascii="Franklin Gothic Book" w:hAnsi="Franklin Gothic Book"/>
          <w:i/>
          <w:iCs/>
          <w:sz w:val="22"/>
        </w:rPr>
        <w:t>his support</w:t>
      </w:r>
      <w:r w:rsidR="006E29DF">
        <w:rPr>
          <w:rFonts w:ascii="Franklin Gothic Book" w:hAnsi="Franklin Gothic Book"/>
          <w:i/>
          <w:iCs/>
          <w:sz w:val="22"/>
        </w:rPr>
        <w:t>ed</w:t>
      </w:r>
      <w:r w:rsidR="006E29DF" w:rsidRPr="006E29DF">
        <w:rPr>
          <w:rFonts w:ascii="Franklin Gothic Book" w:hAnsi="Franklin Gothic Book"/>
          <w:i/>
          <w:iCs/>
          <w:sz w:val="22"/>
        </w:rPr>
        <w:t xml:space="preserve"> the robustness of the post hoc analysis</w:t>
      </w:r>
      <w:r w:rsidR="006E29DF">
        <w:rPr>
          <w:rFonts w:ascii="Franklin Gothic Book" w:hAnsi="Franklin Gothic Book"/>
          <w:i/>
          <w:iCs/>
          <w:sz w:val="22"/>
        </w:rPr>
        <w:t>.</w:t>
      </w:r>
    </w:p>
    <w:p w14:paraId="3D9A4C5E"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CAPItello-291 and FAKTION did not use the proposed test, Roche AVENIO CGP, to detect AKT pathway alterations and the concordance analysis against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was uncertain.</w:t>
      </w:r>
    </w:p>
    <w:p w14:paraId="63707701" w14:textId="77777777" w:rsidR="00C24C30" w:rsidRPr="00C24C30" w:rsidRDefault="00C24C30" w:rsidP="00C24C30">
      <w:pPr>
        <w:pStyle w:val="MainBodyBulletPoint"/>
        <w:jc w:val="both"/>
        <w:rPr>
          <w:rFonts w:ascii="Franklin Gothic Book" w:hAnsi="Franklin Gothic Book"/>
          <w:sz w:val="22"/>
        </w:rPr>
      </w:pPr>
      <w:r w:rsidRPr="00C24C30">
        <w:rPr>
          <w:rFonts w:ascii="Franklin Gothic Book" w:hAnsi="Franklin Gothic Book"/>
          <w:sz w:val="22"/>
        </w:rPr>
        <w:t xml:space="preserve">Placebo + FULV is not the only 2L SOC and may not be representative of 2L treatments. Therefore, the comparative treatment effect of CAPI+FULV compared to placebo + FULV may not be applicable to inform the predictive significance of AKT pathway alteration status treated with current 2L+ SOC. </w:t>
      </w:r>
    </w:p>
    <w:p w14:paraId="769A82D3" w14:textId="77777777" w:rsidR="00C77CC9" w:rsidRDefault="00C24C30" w:rsidP="00C24C30">
      <w:pPr>
        <w:rPr>
          <w:rFonts w:ascii="Franklin Gothic Book" w:hAnsi="Franklin Gothic Book"/>
          <w:i/>
          <w:iCs/>
          <w:sz w:val="22"/>
        </w:rPr>
      </w:pPr>
      <w:r w:rsidRPr="00C24C30">
        <w:rPr>
          <w:rFonts w:ascii="Franklin Gothic Book" w:hAnsi="Franklin Gothic Book"/>
          <w:sz w:val="22"/>
        </w:rPr>
        <w:t xml:space="preserve">The commentary noted that results from CAPItello-291 and tests for interaction conducted during the evaluation suggested AKT pathway alteration was predictive of a PFS benefit when compared to patients with known non AKT pathway alterations (excluding all patients with an unknown AKT alteration test result). This was not observed when compared to all patients who did not have a positive AKT pathway alteration test result. In clinical practice, the complement to the requested population of patients with positive AKT alteration test results would be any patient without a positive AKT alteration test result, which </w:t>
      </w:r>
      <w:proofErr w:type="gramStart"/>
      <w:r w:rsidRPr="00C24C30">
        <w:rPr>
          <w:rFonts w:ascii="Franklin Gothic Book" w:hAnsi="Franklin Gothic Book"/>
          <w:sz w:val="22"/>
        </w:rPr>
        <w:t>by definition would</w:t>
      </w:r>
      <w:proofErr w:type="gramEnd"/>
      <w:r w:rsidRPr="00C24C30">
        <w:rPr>
          <w:rFonts w:ascii="Franklin Gothic Book" w:hAnsi="Franklin Gothic Book"/>
          <w:sz w:val="22"/>
        </w:rPr>
        <w:t xml:space="preserve"> include all patients with an unknown result. However, the lack of a treatment effect modification in this comparison could be related to the performance of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as the clinical utility standard (15% of all patients were classified as having unknown AKT pathway alteration in CAPItello-291) as opposed to the predictive validity of the biomarker. </w:t>
      </w:r>
      <w:r w:rsidRPr="00C24C30">
        <w:rPr>
          <w:rFonts w:ascii="Franklin Gothic Book" w:hAnsi="Franklin Gothic Book"/>
          <w:i/>
          <w:iCs/>
          <w:sz w:val="22"/>
        </w:rPr>
        <w:t xml:space="preserve">The ESCs noted that the lack of predictive effect might also reflect the limitations of testing on archival tissue potentially collected prior to progression on endocrine therapy. </w:t>
      </w:r>
      <w:r w:rsidR="00ED5E58">
        <w:rPr>
          <w:rFonts w:ascii="Franklin Gothic Book" w:hAnsi="Franklin Gothic Book"/>
          <w:i/>
          <w:iCs/>
          <w:sz w:val="22"/>
        </w:rPr>
        <w:t>The pre-MSAC response argued in</w:t>
      </w:r>
      <w:r w:rsidR="00ED5E58" w:rsidRPr="00B82758">
        <w:rPr>
          <w:rFonts w:ascii="Franklin Gothic Book" w:hAnsi="Franklin Gothic Book"/>
          <w:i/>
          <w:iCs/>
          <w:sz w:val="22"/>
        </w:rPr>
        <w:t xml:space="preserve"> Australia, the rigorous standards for biopsy handling and analysis are expected to result in lower rates of pre-analytical failures, ensuring more accurate and reliable testing results</w:t>
      </w:r>
      <w:r w:rsidR="00C77CC9">
        <w:rPr>
          <w:rFonts w:ascii="Franklin Gothic Book" w:hAnsi="Franklin Gothic Book"/>
          <w:i/>
          <w:iCs/>
          <w:sz w:val="22"/>
        </w:rPr>
        <w:t>.</w:t>
      </w:r>
    </w:p>
    <w:p w14:paraId="02857007" w14:textId="2FBA7ED6" w:rsidR="00A64096" w:rsidRPr="006E3210" w:rsidRDefault="00C24C30" w:rsidP="00C24C30">
      <w:pPr>
        <w:rPr>
          <w:rFonts w:ascii="Franklin Gothic Book" w:hAnsi="Franklin Gothic Book"/>
          <w:i/>
          <w:iCs/>
          <w:sz w:val="22"/>
        </w:rPr>
      </w:pPr>
      <w:r w:rsidRPr="00C24C30">
        <w:rPr>
          <w:rFonts w:ascii="Franklin Gothic Book" w:hAnsi="Franklin Gothic Book"/>
          <w:i/>
          <w:iCs/>
          <w:sz w:val="22"/>
        </w:rPr>
        <w:t xml:space="preserve">The ESCs noted that AKT pathway alterations, particularly </w:t>
      </w:r>
      <w:r w:rsidRPr="00C24C30">
        <w:rPr>
          <w:rFonts w:ascii="Franklin Gothic Book" w:hAnsi="Franklin Gothic Book"/>
          <w:sz w:val="22"/>
        </w:rPr>
        <w:t>PIK3CA</w:t>
      </w:r>
      <w:r w:rsidRPr="00C24C30">
        <w:rPr>
          <w:rFonts w:ascii="Franklin Gothic Book" w:hAnsi="Franklin Gothic Book"/>
          <w:i/>
          <w:iCs/>
          <w:sz w:val="22"/>
        </w:rPr>
        <w:t xml:space="preserve"> mutations, could be acquired over time. Therefore, a proportion of patients identified as known non AKT pathway status in CAPItello-291 might have harboured an acquired mutation (i.e. were false negatives). Although the submission noted that fresh tissue samples were preferred for testing, this was not a requirement in the trial or in the proposed item descriptor.</w:t>
      </w:r>
      <w:r w:rsidR="00C77CC9">
        <w:rPr>
          <w:rFonts w:ascii="Franklin Gothic Book" w:hAnsi="Franklin Gothic Book"/>
          <w:i/>
          <w:iCs/>
          <w:sz w:val="22"/>
        </w:rPr>
        <w:t xml:space="preserve"> The pre-MSAC response noted a</w:t>
      </w:r>
      <w:r w:rsidR="00C77CC9" w:rsidRPr="0075401E">
        <w:rPr>
          <w:rFonts w:ascii="Franklin Gothic Book" w:hAnsi="Franklin Gothic Book"/>
          <w:i/>
          <w:iCs/>
          <w:sz w:val="22"/>
        </w:rPr>
        <w:t>dvice from Australian pathologists suggest that it is uncommon for patients to acquire additional AKT pathway alterations following the diagnosis of metastatic disease</w:t>
      </w:r>
      <w:r w:rsidR="00C77CC9">
        <w:rPr>
          <w:rFonts w:ascii="Franklin Gothic Book" w:hAnsi="Franklin Gothic Book"/>
          <w:i/>
          <w:iCs/>
          <w:sz w:val="22"/>
        </w:rPr>
        <w:t>s</w:t>
      </w:r>
      <w:r w:rsidR="006E3210">
        <w:rPr>
          <w:rFonts w:ascii="Franklin Gothic Book" w:hAnsi="Franklin Gothic Book"/>
          <w:i/>
          <w:iCs/>
          <w:sz w:val="22"/>
        </w:rPr>
        <w:t>.</w:t>
      </w:r>
    </w:p>
    <w:p w14:paraId="464B6E22" w14:textId="77777777" w:rsidR="00C24C30" w:rsidRDefault="00C24C30" w:rsidP="00C24C30">
      <w:pPr>
        <w:rPr>
          <w:rFonts w:ascii="Franklin Gothic Book" w:hAnsi="Franklin Gothic Book"/>
          <w:i/>
          <w:iCs/>
          <w:sz w:val="22"/>
        </w:rPr>
      </w:pPr>
      <w:r w:rsidRPr="00C24C30">
        <w:rPr>
          <w:rFonts w:ascii="Franklin Gothic Book" w:hAnsi="Franklin Gothic Book"/>
          <w:sz w:val="22"/>
        </w:rPr>
        <w:t>The submission considered that AKT pathway testing was not expected to introduce additional safety concerns for patients. The commentary noted that testing was permitted once per primary tumour diagnosis under the proposed MBS item descriptor. However, there remained a possibility of re-testing for test failures or false test results, and it might not be reasonable to claim that there would be no additional safety concerns if re-biopsy is required. There would also be a risk that test failures might delay timely access to optimal treatment.</w:t>
      </w:r>
      <w:r w:rsidRPr="00C24C30">
        <w:rPr>
          <w:rFonts w:ascii="Franklin Gothic Book" w:hAnsi="Franklin Gothic Book"/>
          <w:i/>
          <w:iCs/>
          <w:sz w:val="22"/>
        </w:rPr>
        <w:t xml:space="preserve"> The ESCs considered that testing of fresh tissue (i.e. collected after recurrence or progression on or after endocrine therapy) would be preferable </w:t>
      </w:r>
      <w:proofErr w:type="gramStart"/>
      <w:r w:rsidRPr="00C24C30">
        <w:rPr>
          <w:rFonts w:ascii="Franklin Gothic Book" w:hAnsi="Franklin Gothic Book"/>
          <w:i/>
          <w:iCs/>
          <w:sz w:val="22"/>
        </w:rPr>
        <w:t>in order to</w:t>
      </w:r>
      <w:proofErr w:type="gramEnd"/>
      <w:r w:rsidRPr="00C24C30">
        <w:rPr>
          <w:rFonts w:ascii="Franklin Gothic Book" w:hAnsi="Franklin Gothic Book"/>
          <w:i/>
          <w:iCs/>
          <w:sz w:val="22"/>
        </w:rPr>
        <w:t xml:space="preserve"> detect any acquired mutations that may be relevant to treatment eligibility.</w:t>
      </w:r>
    </w:p>
    <w:p w14:paraId="17BFB316" w14:textId="6C034451" w:rsidR="00707130" w:rsidRPr="00C80028" w:rsidRDefault="00C24C30" w:rsidP="00C24C30">
      <w:pPr>
        <w:rPr>
          <w:rFonts w:ascii="Franklin Gothic Book" w:hAnsi="Franklin Gothic Book"/>
          <w:i/>
          <w:sz w:val="22"/>
        </w:rPr>
      </w:pPr>
      <w:r w:rsidRPr="00C24C30">
        <w:rPr>
          <w:rFonts w:ascii="Franklin Gothic Book" w:hAnsi="Franklin Gothic Book"/>
          <w:sz w:val="22"/>
        </w:rPr>
        <w:t xml:space="preserve">Overall, the commentary considered it was likely that CAPI+FULV was more effective than placebo + FULV in AKT pathway altered patients. However, the commentary considered there might not be sufficient evidence to support exclusion of patients without a positive AKT alteration test result (i.e., patients without a positive AKT pathway result) from CAPI+FULV treatment. The PSCR (p1) argued that “identifying AKT pathway alterations through comprehensive genomic profiling using next generation sequencing (NGS) is pivotal in personalising treatment plans for these patients”. </w:t>
      </w:r>
      <w:r w:rsidRPr="00C24C30">
        <w:rPr>
          <w:rFonts w:ascii="Franklin Gothic Book" w:hAnsi="Franklin Gothic Book"/>
          <w:i/>
          <w:iCs/>
          <w:sz w:val="22"/>
        </w:rPr>
        <w:t>The ESCs agreed with the commentary that</w:t>
      </w:r>
      <w:r w:rsidRPr="00C24C30">
        <w:rPr>
          <w:rFonts w:ascii="Franklin Gothic Book" w:hAnsi="Franklin Gothic Book"/>
          <w:i/>
          <w:sz w:val="22"/>
        </w:rPr>
        <w:t xml:space="preserve"> there remained some uncertainty </w:t>
      </w:r>
      <w:r w:rsidRPr="00C24C30">
        <w:rPr>
          <w:rFonts w:ascii="Franklin Gothic Book" w:hAnsi="Franklin Gothic Book"/>
          <w:i/>
          <w:iCs/>
          <w:sz w:val="22"/>
        </w:rPr>
        <w:t>regarding the rationale behind excluding</w:t>
      </w:r>
      <w:r w:rsidRPr="00C24C30">
        <w:rPr>
          <w:rFonts w:ascii="Franklin Gothic Book" w:hAnsi="Franklin Gothic Book"/>
          <w:i/>
          <w:sz w:val="22"/>
        </w:rPr>
        <w:t xml:space="preserve"> patients who did not test positive to AKT pathway alteration from treatment with CAPI+FULV. </w:t>
      </w:r>
      <w:r w:rsidRPr="00C24C30">
        <w:rPr>
          <w:rFonts w:ascii="Franklin Gothic Book" w:hAnsi="Franklin Gothic Book"/>
          <w:i/>
          <w:iCs/>
          <w:sz w:val="22"/>
        </w:rPr>
        <w:t xml:space="preserve">However, the ESCs advised that consideration should also be given to </w:t>
      </w:r>
      <w:r w:rsidRPr="00C24C30">
        <w:rPr>
          <w:rFonts w:ascii="Franklin Gothic Book" w:hAnsi="Franklin Gothic Book"/>
          <w:i/>
          <w:iCs/>
          <w:sz w:val="22"/>
        </w:rPr>
        <w:lastRenderedPageBreak/>
        <w:t>the fact that CAPI+FULV has inferior safety compared with FULV monotherapy. Given potential safety concerns, treating patients without AKT pathway alterations, who are less likely to benefit from CAPI+FULV, may not be clinically appropriate.</w:t>
      </w:r>
      <w:r w:rsidRPr="00C24C30">
        <w:rPr>
          <w:rFonts w:ascii="Franklin Gothic Book" w:hAnsi="Franklin Gothic Book"/>
          <w:i/>
          <w:sz w:val="22"/>
        </w:rPr>
        <w:t xml:space="preserve"> </w:t>
      </w:r>
    </w:p>
    <w:p w14:paraId="658E8B20" w14:textId="179B42DE" w:rsidR="005D6D39" w:rsidRPr="00C24C30" w:rsidRDefault="005D6D39"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41" w:name="_Toc177560714"/>
      <w:r w:rsidRPr="00C24C30">
        <w:rPr>
          <w:rFonts w:ascii="Franklin Gothic Medium" w:hAnsi="Franklin Gothic Medium"/>
          <w:b w:val="0"/>
          <w:i w:val="0"/>
          <w:snapToGrid/>
          <w:color w:val="000000" w:themeColor="text1"/>
          <w:sz w:val="32"/>
          <w:szCs w:val="26"/>
        </w:rPr>
        <w:t>Economic evaluation</w:t>
      </w:r>
      <w:bookmarkEnd w:id="41"/>
    </w:p>
    <w:p w14:paraId="287C412A" w14:textId="0D191FD6" w:rsidR="005D6D39" w:rsidRPr="00C24C30" w:rsidRDefault="005D6D39" w:rsidP="005D6D39">
      <w:pPr>
        <w:rPr>
          <w:rFonts w:ascii="Franklin Gothic Book" w:hAnsi="Franklin Gothic Book"/>
          <w:sz w:val="22"/>
        </w:rPr>
      </w:pPr>
      <w:r w:rsidRPr="00C24C30">
        <w:rPr>
          <w:rFonts w:ascii="Franklin Gothic Book" w:hAnsi="Franklin Gothic Book"/>
          <w:sz w:val="22"/>
        </w:rPr>
        <w:t>The submission presented a modelled economic evaluation, based on the direct randomised trial, CAPItello-291, comparing the proposed test scenario (NGS tumour tissue testing for the detection of AKT pathway alterations [</w:t>
      </w:r>
      <w:r w:rsidRPr="00C24C30">
        <w:rPr>
          <w:rFonts w:ascii="Franklin Gothic Book" w:hAnsi="Franklin Gothic Book"/>
          <w:i/>
          <w:iCs/>
          <w:sz w:val="22"/>
        </w:rPr>
        <w:t>PIK3CA</w:t>
      </w:r>
      <w:r w:rsidRPr="00C24C30">
        <w:rPr>
          <w:rFonts w:ascii="Franklin Gothic Book" w:hAnsi="Franklin Gothic Book"/>
          <w:sz w:val="22"/>
        </w:rPr>
        <w:t xml:space="preserve">, </w:t>
      </w:r>
      <w:r w:rsidRPr="00C24C30">
        <w:rPr>
          <w:rFonts w:ascii="Franklin Gothic Book" w:hAnsi="Franklin Gothic Book"/>
          <w:i/>
          <w:iCs/>
          <w:sz w:val="22"/>
        </w:rPr>
        <w:t>AKT1</w:t>
      </w:r>
      <w:r w:rsidRPr="00C24C30">
        <w:rPr>
          <w:rFonts w:ascii="Franklin Gothic Book" w:hAnsi="Franklin Gothic Book"/>
          <w:sz w:val="22"/>
        </w:rPr>
        <w:t xml:space="preserve">, or </w:t>
      </w:r>
      <w:r w:rsidRPr="00C24C30">
        <w:rPr>
          <w:rFonts w:ascii="Franklin Gothic Book" w:hAnsi="Franklin Gothic Book"/>
          <w:i/>
          <w:iCs/>
          <w:sz w:val="22"/>
        </w:rPr>
        <w:t>PTEN</w:t>
      </w:r>
      <w:r w:rsidRPr="00C24C30">
        <w:rPr>
          <w:rFonts w:ascii="Franklin Gothic Book" w:hAnsi="Franklin Gothic Book"/>
          <w:sz w:val="22"/>
        </w:rPr>
        <w:t xml:space="preserve">]) with the comparator test scenario (no testing) in </w:t>
      </w:r>
      <w:r w:rsidR="5A53CE37" w:rsidRPr="00C24C30">
        <w:rPr>
          <w:rFonts w:ascii="Franklin Gothic Book" w:hAnsi="Franklin Gothic Book"/>
          <w:sz w:val="22"/>
        </w:rPr>
        <w:t xml:space="preserve">patients with </w:t>
      </w:r>
      <w:r w:rsidRPr="00C24C30">
        <w:rPr>
          <w:rFonts w:ascii="Franklin Gothic Book" w:hAnsi="Franklin Gothic Book"/>
          <w:sz w:val="22"/>
        </w:rPr>
        <w:t>HR+/HER2- locally advanced or metastatic breast cancer who progressed on or after an ET with or without a CDK4/6 inhibitor.</w:t>
      </w:r>
    </w:p>
    <w:p w14:paraId="41DCA95F" w14:textId="35B1F77D" w:rsidR="005D6D39" w:rsidRPr="00C24C30" w:rsidRDefault="005D6D39" w:rsidP="005D6D39">
      <w:pPr>
        <w:rPr>
          <w:rFonts w:ascii="Franklin Gothic Book" w:hAnsi="Franklin Gothic Book"/>
          <w:sz w:val="22"/>
        </w:rPr>
      </w:pP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_Ref174965794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13</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presents the summary of the economic model components</w:t>
      </w:r>
      <w:r w:rsidR="008C4DE2" w:rsidRPr="00C24C30">
        <w:rPr>
          <w:rFonts w:ascii="Franklin Gothic Book" w:hAnsi="Franklin Gothic Book"/>
          <w:sz w:val="22"/>
        </w:rPr>
        <w:t>.</w:t>
      </w:r>
    </w:p>
    <w:p w14:paraId="495A756E" w14:textId="1F02F868" w:rsidR="005D6D39" w:rsidRPr="00102634" w:rsidRDefault="005D6D39" w:rsidP="003F6F2A">
      <w:pPr>
        <w:pStyle w:val="Caption"/>
      </w:pPr>
      <w:bookmarkStart w:id="42" w:name="_Ref174965794"/>
      <w:r w:rsidRPr="00102634">
        <w:t xml:space="preserve">Table </w:t>
      </w:r>
      <w:r w:rsidR="0016064D">
        <w:fldChar w:fldCharType="begin"/>
      </w:r>
      <w:r w:rsidR="0016064D">
        <w:instrText xml:space="preserve"> SEQ Table_MSAC. \* ARABIC </w:instrText>
      </w:r>
      <w:r w:rsidR="0016064D">
        <w:fldChar w:fldCharType="separate"/>
      </w:r>
      <w:r w:rsidR="0016064D">
        <w:rPr>
          <w:noProof/>
        </w:rPr>
        <w:t>13</w:t>
      </w:r>
      <w:r w:rsidR="0016064D">
        <w:rPr>
          <w:noProof/>
        </w:rPr>
        <w:fldChar w:fldCharType="end"/>
      </w:r>
      <w:bookmarkEnd w:id="42"/>
      <w:r w:rsidRPr="00102634">
        <w:t>: Summary of model structure, key inputs and rationale</w:t>
      </w:r>
    </w:p>
    <w:tbl>
      <w:tblPr>
        <w:tblW w:w="496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9"/>
        <w:gridCol w:w="6452"/>
      </w:tblGrid>
      <w:tr w:rsidR="005D6D39" w:rsidRPr="00102634" w14:paraId="53F13457" w14:textId="77777777">
        <w:trPr>
          <w:tblHeader/>
        </w:trPr>
        <w:tc>
          <w:tcPr>
            <w:tcW w:w="1396" w:type="pct"/>
            <w:shd w:val="clear" w:color="auto" w:fill="auto"/>
            <w:vAlign w:val="center"/>
          </w:tcPr>
          <w:p w14:paraId="2E57E796" w14:textId="77777777" w:rsidR="005D6D39" w:rsidRPr="00102634" w:rsidRDefault="005D6D39">
            <w:pPr>
              <w:pStyle w:val="In-tableHeading"/>
              <w:rPr>
                <w:lang w:val="en-AU"/>
              </w:rPr>
            </w:pPr>
            <w:r w:rsidRPr="00102634">
              <w:rPr>
                <w:lang w:val="en-AU"/>
              </w:rPr>
              <w:t>Component</w:t>
            </w:r>
          </w:p>
        </w:tc>
        <w:tc>
          <w:tcPr>
            <w:tcW w:w="3604" w:type="pct"/>
            <w:shd w:val="clear" w:color="auto" w:fill="auto"/>
            <w:vAlign w:val="center"/>
          </w:tcPr>
          <w:p w14:paraId="7D5C2B2C" w14:textId="77777777" w:rsidR="005D6D39" w:rsidRPr="00102634" w:rsidRDefault="005D6D39">
            <w:pPr>
              <w:pStyle w:val="In-tableHeading"/>
              <w:rPr>
                <w:lang w:val="en-AU"/>
              </w:rPr>
            </w:pPr>
            <w:r w:rsidRPr="00102634">
              <w:rPr>
                <w:lang w:val="en-AU"/>
              </w:rPr>
              <w:t>Summary</w:t>
            </w:r>
          </w:p>
        </w:tc>
      </w:tr>
      <w:tr w:rsidR="005D6D39" w:rsidRPr="00102634" w14:paraId="3246355E" w14:textId="77777777">
        <w:tc>
          <w:tcPr>
            <w:tcW w:w="1396" w:type="pct"/>
            <w:shd w:val="clear" w:color="auto" w:fill="auto"/>
            <w:vAlign w:val="center"/>
          </w:tcPr>
          <w:p w14:paraId="6771C319" w14:textId="77777777" w:rsidR="005D6D39" w:rsidRPr="00102634" w:rsidRDefault="005D6D39">
            <w:pPr>
              <w:pStyle w:val="TableText"/>
            </w:pPr>
            <w:r w:rsidRPr="00102634">
              <w:t>Comparison modelled</w:t>
            </w:r>
          </w:p>
        </w:tc>
        <w:tc>
          <w:tcPr>
            <w:tcW w:w="3604" w:type="pct"/>
            <w:shd w:val="clear" w:color="auto" w:fill="auto"/>
            <w:vAlign w:val="center"/>
          </w:tcPr>
          <w:p w14:paraId="12567997" w14:textId="43194A6A" w:rsidR="005D6D39" w:rsidRPr="00102634" w:rsidRDefault="005D6D39">
            <w:pPr>
              <w:pStyle w:val="TableText"/>
            </w:pPr>
            <w:r w:rsidRPr="00102634">
              <w:rPr>
                <w:u w:val="single"/>
              </w:rPr>
              <w:t>Proposed test scenario</w:t>
            </w:r>
            <w:r w:rsidRPr="00102634">
              <w:t>: NGS tumour tissue testing for AKT pathway alterations (</w:t>
            </w:r>
            <w:r w:rsidRPr="00102634">
              <w:rPr>
                <w:i/>
                <w:iCs/>
              </w:rPr>
              <w:t xml:space="preserve">PIK3CA, AKT1, </w:t>
            </w:r>
            <w:r w:rsidRPr="00102634">
              <w:t>or</w:t>
            </w:r>
            <w:r w:rsidRPr="00102634">
              <w:rPr>
                <w:i/>
                <w:iCs/>
              </w:rPr>
              <w:t xml:space="preserve"> PTEN</w:t>
            </w:r>
            <w:r w:rsidRPr="00102634">
              <w:t xml:space="preserve">). AKT pathway altered patients are treated with CAPI+FULV, </w:t>
            </w:r>
            <w:r w:rsidR="001D42C7" w:rsidRPr="00102634">
              <w:t>non AKT</w:t>
            </w:r>
            <w:r w:rsidRPr="00102634">
              <w:t xml:space="preserve"> pathway altered </w:t>
            </w:r>
            <w:proofErr w:type="gramStart"/>
            <w:r w:rsidRPr="00102634">
              <w:t>patients</w:t>
            </w:r>
            <w:proofErr w:type="gramEnd"/>
            <w:r w:rsidRPr="00102634">
              <w:t xml:space="preserve"> and unknown AKT status patients are treated with placebo + FULV</w:t>
            </w:r>
          </w:p>
          <w:p w14:paraId="1A8351BA" w14:textId="77777777" w:rsidR="005D6D39" w:rsidRPr="00102634" w:rsidRDefault="005D6D39">
            <w:pPr>
              <w:pStyle w:val="TableText"/>
              <w:rPr>
                <w:u w:val="single"/>
              </w:rPr>
            </w:pPr>
          </w:p>
          <w:p w14:paraId="3AE30511" w14:textId="77777777" w:rsidR="005D6D39" w:rsidRPr="00102634" w:rsidRDefault="005D6D39">
            <w:pPr>
              <w:pStyle w:val="TableText"/>
            </w:pPr>
            <w:r w:rsidRPr="00102634">
              <w:rPr>
                <w:u w:val="single"/>
              </w:rPr>
              <w:t>Comparator test scenario</w:t>
            </w:r>
            <w:r w:rsidRPr="00102634">
              <w:t>: No testing. All patients treated with placebo + FULV.</w:t>
            </w:r>
          </w:p>
        </w:tc>
      </w:tr>
      <w:tr w:rsidR="005D6D39" w:rsidRPr="00102634" w14:paraId="6C448A37" w14:textId="77777777">
        <w:tc>
          <w:tcPr>
            <w:tcW w:w="1396" w:type="pct"/>
            <w:shd w:val="clear" w:color="auto" w:fill="auto"/>
            <w:vAlign w:val="center"/>
          </w:tcPr>
          <w:p w14:paraId="4A7A28F8" w14:textId="77777777" w:rsidR="005D6D39" w:rsidRPr="00102634" w:rsidRDefault="005D6D39">
            <w:pPr>
              <w:pStyle w:val="TableText"/>
            </w:pPr>
            <w:r w:rsidRPr="00102634">
              <w:t>Time horizon</w:t>
            </w:r>
          </w:p>
        </w:tc>
        <w:tc>
          <w:tcPr>
            <w:tcW w:w="3604" w:type="pct"/>
            <w:shd w:val="clear" w:color="auto" w:fill="auto"/>
            <w:vAlign w:val="center"/>
          </w:tcPr>
          <w:p w14:paraId="4B82996B" w14:textId="5EEF856A" w:rsidR="005D6D39" w:rsidRPr="00102634" w:rsidRDefault="005D6D39">
            <w:pPr>
              <w:pStyle w:val="TableText"/>
            </w:pPr>
            <w:r w:rsidRPr="00102634">
              <w:t>15 years in the model; median follow up was 14.9 months (CAPI+FULV arm) and 14.3 months (</w:t>
            </w:r>
            <w:r w:rsidR="00CF2410">
              <w:t>PBO</w:t>
            </w:r>
            <w:r w:rsidRPr="00102634">
              <w:t>+FULV arm) in CAPItello-291</w:t>
            </w:r>
          </w:p>
        </w:tc>
      </w:tr>
      <w:tr w:rsidR="005D6D39" w:rsidRPr="00102634" w14:paraId="52B0041C" w14:textId="77777777">
        <w:tc>
          <w:tcPr>
            <w:tcW w:w="1396" w:type="pct"/>
            <w:shd w:val="clear" w:color="auto" w:fill="auto"/>
            <w:vAlign w:val="center"/>
          </w:tcPr>
          <w:p w14:paraId="1C7752D9" w14:textId="77777777" w:rsidR="005D6D39" w:rsidRPr="00102634" w:rsidRDefault="005D6D39">
            <w:pPr>
              <w:pStyle w:val="TableText"/>
            </w:pPr>
            <w:r w:rsidRPr="00102634">
              <w:t>Outcomes</w:t>
            </w:r>
          </w:p>
        </w:tc>
        <w:tc>
          <w:tcPr>
            <w:tcW w:w="3604" w:type="pct"/>
            <w:shd w:val="clear" w:color="auto" w:fill="auto"/>
            <w:vAlign w:val="center"/>
          </w:tcPr>
          <w:p w14:paraId="28B213D8" w14:textId="77777777" w:rsidR="005D6D39" w:rsidRPr="00102634" w:rsidRDefault="005D6D39">
            <w:pPr>
              <w:pStyle w:val="TableText"/>
            </w:pPr>
            <w:r w:rsidRPr="00102634">
              <w:t xml:space="preserve">PFS years gained, LYG, QALYs gained </w:t>
            </w:r>
          </w:p>
        </w:tc>
      </w:tr>
      <w:tr w:rsidR="005D6D39" w:rsidRPr="00102634" w14:paraId="60FAD68A" w14:textId="77777777">
        <w:tc>
          <w:tcPr>
            <w:tcW w:w="1396" w:type="pct"/>
            <w:shd w:val="clear" w:color="auto" w:fill="auto"/>
            <w:vAlign w:val="center"/>
          </w:tcPr>
          <w:p w14:paraId="459A7A51" w14:textId="77777777" w:rsidR="005D6D39" w:rsidRPr="00102634" w:rsidRDefault="005D6D39">
            <w:pPr>
              <w:pStyle w:val="TableText"/>
            </w:pPr>
            <w:r w:rsidRPr="00102634">
              <w:t>Methods used to generate results</w:t>
            </w:r>
          </w:p>
        </w:tc>
        <w:tc>
          <w:tcPr>
            <w:tcW w:w="3604" w:type="pct"/>
            <w:shd w:val="clear" w:color="auto" w:fill="auto"/>
            <w:vAlign w:val="center"/>
          </w:tcPr>
          <w:p w14:paraId="52534E97" w14:textId="77777777" w:rsidR="005D6D39" w:rsidRPr="00102634" w:rsidRDefault="005D6D39">
            <w:pPr>
              <w:pStyle w:val="TableText"/>
            </w:pPr>
            <w:r w:rsidRPr="00102634">
              <w:t xml:space="preserve">Partitioned survival model </w:t>
            </w:r>
          </w:p>
        </w:tc>
      </w:tr>
      <w:tr w:rsidR="005D6D39" w:rsidRPr="00102634" w14:paraId="0A14CEE5" w14:textId="77777777">
        <w:tc>
          <w:tcPr>
            <w:tcW w:w="1396" w:type="pct"/>
            <w:shd w:val="clear" w:color="auto" w:fill="auto"/>
            <w:vAlign w:val="center"/>
          </w:tcPr>
          <w:p w14:paraId="12054440" w14:textId="77777777" w:rsidR="005D6D39" w:rsidRPr="00102634" w:rsidRDefault="005D6D39">
            <w:pPr>
              <w:pStyle w:val="TableText"/>
            </w:pPr>
            <w:r w:rsidRPr="00102634">
              <w:t>Health states</w:t>
            </w:r>
          </w:p>
        </w:tc>
        <w:tc>
          <w:tcPr>
            <w:tcW w:w="3604" w:type="pct"/>
            <w:shd w:val="clear" w:color="auto" w:fill="auto"/>
            <w:vAlign w:val="center"/>
          </w:tcPr>
          <w:p w14:paraId="6F18161A" w14:textId="77777777" w:rsidR="005D6D39" w:rsidRPr="00102634" w:rsidRDefault="005D6D39">
            <w:pPr>
              <w:pStyle w:val="TableText"/>
            </w:pPr>
            <w:r w:rsidRPr="00102634">
              <w:t>PF, PD, Death</w:t>
            </w:r>
          </w:p>
        </w:tc>
      </w:tr>
      <w:tr w:rsidR="005D6D39" w:rsidRPr="00102634" w14:paraId="0F3B6976" w14:textId="77777777">
        <w:tc>
          <w:tcPr>
            <w:tcW w:w="1396" w:type="pct"/>
            <w:shd w:val="clear" w:color="auto" w:fill="auto"/>
            <w:vAlign w:val="center"/>
          </w:tcPr>
          <w:p w14:paraId="5B51ECF3" w14:textId="77777777" w:rsidR="005D6D39" w:rsidRPr="00102634" w:rsidRDefault="005D6D39">
            <w:pPr>
              <w:pStyle w:val="TableText"/>
            </w:pPr>
            <w:r w:rsidRPr="00102634">
              <w:t>Cycle length</w:t>
            </w:r>
          </w:p>
        </w:tc>
        <w:tc>
          <w:tcPr>
            <w:tcW w:w="3604" w:type="pct"/>
            <w:shd w:val="clear" w:color="auto" w:fill="auto"/>
            <w:vAlign w:val="center"/>
          </w:tcPr>
          <w:p w14:paraId="70FC043C" w14:textId="77777777" w:rsidR="005D6D39" w:rsidRPr="00102634" w:rsidRDefault="005D6D39">
            <w:pPr>
              <w:pStyle w:val="TableText"/>
            </w:pPr>
            <w:r w:rsidRPr="00102634">
              <w:t>28-day cycle-length</w:t>
            </w:r>
          </w:p>
        </w:tc>
      </w:tr>
      <w:tr w:rsidR="005D6D39" w:rsidRPr="00102634" w14:paraId="44E76ECD" w14:textId="77777777">
        <w:tc>
          <w:tcPr>
            <w:tcW w:w="1396" w:type="pct"/>
            <w:shd w:val="clear" w:color="auto" w:fill="auto"/>
            <w:vAlign w:val="center"/>
          </w:tcPr>
          <w:p w14:paraId="75498A7D" w14:textId="77777777" w:rsidR="005D6D39" w:rsidRPr="00102634" w:rsidRDefault="005D6D39">
            <w:pPr>
              <w:pStyle w:val="TableText"/>
            </w:pPr>
            <w:r w:rsidRPr="00102634">
              <w:t>Test parameters</w:t>
            </w:r>
          </w:p>
        </w:tc>
        <w:tc>
          <w:tcPr>
            <w:tcW w:w="3604" w:type="pct"/>
            <w:shd w:val="clear" w:color="auto" w:fill="auto"/>
            <w:vAlign w:val="center"/>
          </w:tcPr>
          <w:p w14:paraId="2152C736" w14:textId="77777777" w:rsidR="005D6D39" w:rsidRPr="00102634" w:rsidRDefault="005D6D39">
            <w:pPr>
              <w:pStyle w:val="TableText"/>
            </w:pPr>
            <w:r w:rsidRPr="00102634">
              <w:t>Based on assumptions:</w:t>
            </w:r>
          </w:p>
          <w:p w14:paraId="7FB1285F" w14:textId="77777777" w:rsidR="005D6D39" w:rsidRPr="00102634" w:rsidRDefault="005D6D39">
            <w:pPr>
              <w:pStyle w:val="TableText"/>
            </w:pPr>
            <w:r w:rsidRPr="00102634">
              <w:t>Prevalence = 50%</w:t>
            </w:r>
          </w:p>
          <w:p w14:paraId="4A66C8D6" w14:textId="77777777" w:rsidR="005D6D39" w:rsidRPr="00102634" w:rsidRDefault="005D6D39">
            <w:pPr>
              <w:pStyle w:val="TableText"/>
            </w:pPr>
            <w:r w:rsidRPr="00102634">
              <w:t>Sensitivity = 99%</w:t>
            </w:r>
          </w:p>
          <w:p w14:paraId="64338B30" w14:textId="77777777" w:rsidR="005D6D39" w:rsidRPr="00102634" w:rsidRDefault="005D6D39">
            <w:pPr>
              <w:pStyle w:val="TableText"/>
            </w:pPr>
            <w:r w:rsidRPr="00102634">
              <w:t>Specificity = 99%</w:t>
            </w:r>
          </w:p>
          <w:p w14:paraId="286F9B49" w14:textId="77777777" w:rsidR="005D6D39" w:rsidRPr="00102634" w:rsidRDefault="005D6D39">
            <w:pPr>
              <w:pStyle w:val="TableText"/>
            </w:pPr>
            <w:r w:rsidRPr="00102634">
              <w:t xml:space="preserve">Test failure rate </w:t>
            </w:r>
            <w:r w:rsidRPr="000804D1">
              <w:t>= 5%</w:t>
            </w:r>
          </w:p>
          <w:p w14:paraId="5CA51A1B" w14:textId="68D39BDC" w:rsidR="005D6D39" w:rsidRPr="00102634" w:rsidRDefault="005D6D39">
            <w:pPr>
              <w:pStyle w:val="TableText"/>
            </w:pPr>
            <w:r w:rsidRPr="00102634">
              <w:t xml:space="preserve">Test uptake rate = </w:t>
            </w:r>
            <w:r w:rsidR="6ED4BD7E" w:rsidRPr="10812078">
              <w:rPr>
                <w:b/>
                <w:bCs/>
              </w:rPr>
              <w:t>redacted</w:t>
            </w:r>
            <w:r w:rsidR="680C9684">
              <w:t>%</w:t>
            </w:r>
          </w:p>
        </w:tc>
      </w:tr>
      <w:tr w:rsidR="005D6D39" w:rsidRPr="00102634" w14:paraId="4D605C0F" w14:textId="77777777">
        <w:tc>
          <w:tcPr>
            <w:tcW w:w="1396" w:type="pct"/>
            <w:shd w:val="clear" w:color="auto" w:fill="auto"/>
            <w:vAlign w:val="center"/>
          </w:tcPr>
          <w:p w14:paraId="7D928503" w14:textId="77777777" w:rsidR="005D6D39" w:rsidRPr="00102634" w:rsidRDefault="005D6D39">
            <w:pPr>
              <w:pStyle w:val="TableText"/>
            </w:pPr>
            <w:r w:rsidRPr="00102634">
              <w:t>Implications of false positive and false negative results</w:t>
            </w:r>
          </w:p>
        </w:tc>
        <w:tc>
          <w:tcPr>
            <w:tcW w:w="3604" w:type="pct"/>
            <w:shd w:val="clear" w:color="auto" w:fill="auto"/>
            <w:vAlign w:val="center"/>
          </w:tcPr>
          <w:p w14:paraId="7905BC6C" w14:textId="77777777" w:rsidR="005D6D39" w:rsidRPr="00102634" w:rsidRDefault="005D6D39">
            <w:pPr>
              <w:pStyle w:val="TableText"/>
            </w:pPr>
            <w:r w:rsidRPr="00102634">
              <w:rPr>
                <w:u w:val="single"/>
              </w:rPr>
              <w:t>False positive patients</w:t>
            </w:r>
            <w:r w:rsidRPr="00102634">
              <w:t>: treated with and incur costs associated with CAPI+FULV but are assumed to experience PFS and OS of placebo + FULV arm in the ITT cohort from CAPItello-291.</w:t>
            </w:r>
          </w:p>
          <w:p w14:paraId="6C1A70A5" w14:textId="77777777" w:rsidR="005D6D39" w:rsidRPr="00102634" w:rsidRDefault="005D6D39">
            <w:pPr>
              <w:pStyle w:val="TableText"/>
            </w:pPr>
            <w:r w:rsidRPr="00102634">
              <w:rPr>
                <w:u w:val="single"/>
              </w:rPr>
              <w:t>False negative and Test failure patients</w:t>
            </w:r>
            <w:r w:rsidRPr="00102634">
              <w:t>: treated with and incur costs associated with placebo + FULV but are assumed to experience PFS and OS of placebo + FULV arm in the ITT cohort from CAPItello-291</w:t>
            </w:r>
          </w:p>
        </w:tc>
      </w:tr>
      <w:tr w:rsidR="005D6D39" w:rsidRPr="00102634" w14:paraId="7D18ED0C" w14:textId="77777777">
        <w:tc>
          <w:tcPr>
            <w:tcW w:w="1396" w:type="pct"/>
            <w:shd w:val="clear" w:color="auto" w:fill="auto"/>
            <w:vAlign w:val="center"/>
          </w:tcPr>
          <w:p w14:paraId="04B87781" w14:textId="77777777" w:rsidR="005D6D39" w:rsidRPr="00102634" w:rsidRDefault="005D6D39">
            <w:pPr>
              <w:pStyle w:val="TableText"/>
            </w:pPr>
            <w:r w:rsidRPr="00102634">
              <w:t>Transition probabilities or</w:t>
            </w:r>
          </w:p>
          <w:p w14:paraId="33CD515A" w14:textId="77777777" w:rsidR="005D6D39" w:rsidRPr="00102634" w:rsidRDefault="005D6D39">
            <w:pPr>
              <w:pStyle w:val="TableText"/>
            </w:pPr>
            <w:r w:rsidRPr="00102634">
              <w:t>Allocation to health states (if partitioned survival model)</w:t>
            </w:r>
          </w:p>
        </w:tc>
        <w:tc>
          <w:tcPr>
            <w:tcW w:w="3604" w:type="pct"/>
            <w:shd w:val="clear" w:color="auto" w:fill="auto"/>
            <w:vAlign w:val="center"/>
          </w:tcPr>
          <w:p w14:paraId="66B6BA17" w14:textId="77777777" w:rsidR="005D6D39" w:rsidRPr="00102634" w:rsidRDefault="005D6D39">
            <w:pPr>
              <w:pStyle w:val="TableText"/>
            </w:pPr>
            <w:r w:rsidRPr="00102634">
              <w:t>The allocation of patients to the branches in the proposed and comparator test scenarios were informed by the test parameters. CAPItello-291 was used to inform the PFS and OS curves. The proportion allocated to each branch and data sources informing PFS and OS curves are shown in the table below.</w:t>
            </w:r>
          </w:p>
          <w:p w14:paraId="0B0E00BD" w14:textId="77777777" w:rsidR="005D6D39" w:rsidRPr="00102634" w:rsidRDefault="005D6D39">
            <w:pPr>
              <w:pStyle w:val="TableText"/>
            </w:pPr>
          </w:p>
          <w:tbl>
            <w:tblPr>
              <w:tblStyle w:val="HTATableshaded"/>
              <w:tblW w:w="5000" w:type="pct"/>
              <w:tblCellMar>
                <w:left w:w="0" w:type="dxa"/>
                <w:right w:w="0" w:type="dxa"/>
              </w:tblCellMar>
              <w:tblLook w:val="04A0" w:firstRow="1" w:lastRow="0" w:firstColumn="1" w:lastColumn="0" w:noHBand="0" w:noVBand="1"/>
            </w:tblPr>
            <w:tblGrid>
              <w:gridCol w:w="2536"/>
              <w:gridCol w:w="974"/>
              <w:gridCol w:w="2876"/>
            </w:tblGrid>
            <w:tr w:rsidR="005D6D39" w:rsidRPr="00102634" w14:paraId="39F0A8A0" w14:textId="77777777">
              <w:trPr>
                <w:cnfStyle w:val="100000000000" w:firstRow="1" w:lastRow="0" w:firstColumn="0" w:lastColumn="0" w:oddVBand="0" w:evenVBand="0" w:oddHBand="0" w:evenHBand="0" w:firstRowFirstColumn="0" w:firstRowLastColumn="0" w:lastRowFirstColumn="0" w:lastRowLastColumn="0"/>
              </w:trPr>
              <w:tc>
                <w:tcPr>
                  <w:tcW w:w="2536" w:type="dxa"/>
                  <w:vAlign w:val="center"/>
                </w:tcPr>
                <w:p w14:paraId="333F1A38" w14:textId="77777777" w:rsidR="005D6D39" w:rsidRPr="00102634" w:rsidRDefault="005D6D39">
                  <w:pPr>
                    <w:pStyle w:val="TableText"/>
                    <w:rPr>
                      <w:b/>
                      <w:bCs/>
                    </w:rPr>
                  </w:pPr>
                  <w:r w:rsidRPr="00102634">
                    <w:rPr>
                      <w:b/>
                      <w:bCs/>
                    </w:rPr>
                    <w:t>Branch</w:t>
                  </w:r>
                </w:p>
              </w:tc>
              <w:tc>
                <w:tcPr>
                  <w:tcW w:w="974" w:type="dxa"/>
                  <w:vAlign w:val="center"/>
                </w:tcPr>
                <w:p w14:paraId="16DD9BBB" w14:textId="77777777" w:rsidR="005D6D39" w:rsidRPr="00102634" w:rsidRDefault="005D6D39">
                  <w:pPr>
                    <w:pStyle w:val="TableText"/>
                    <w:rPr>
                      <w:b/>
                      <w:bCs/>
                    </w:rPr>
                  </w:pPr>
                  <w:r w:rsidRPr="00102634">
                    <w:rPr>
                      <w:b/>
                      <w:bCs/>
                    </w:rPr>
                    <w:t>% allocation</w:t>
                  </w:r>
                </w:p>
              </w:tc>
              <w:tc>
                <w:tcPr>
                  <w:tcW w:w="2876" w:type="dxa"/>
                  <w:vAlign w:val="center"/>
                </w:tcPr>
                <w:p w14:paraId="4EAC100D" w14:textId="77777777" w:rsidR="005D6D39" w:rsidRPr="00102634" w:rsidRDefault="005D6D39">
                  <w:pPr>
                    <w:pStyle w:val="TableText"/>
                    <w:rPr>
                      <w:b/>
                      <w:bCs/>
                    </w:rPr>
                  </w:pPr>
                  <w:r w:rsidRPr="00102634">
                    <w:rPr>
                      <w:b/>
                      <w:bCs/>
                    </w:rPr>
                    <w:t xml:space="preserve">Data source informing PFS and OS </w:t>
                  </w:r>
                </w:p>
              </w:tc>
            </w:tr>
            <w:tr w:rsidR="005D6D39" w:rsidRPr="00102634" w14:paraId="710E6255" w14:textId="77777777">
              <w:tc>
                <w:tcPr>
                  <w:tcW w:w="6386" w:type="dxa"/>
                  <w:gridSpan w:val="3"/>
                  <w:vAlign w:val="center"/>
                </w:tcPr>
                <w:p w14:paraId="6081DD29" w14:textId="77777777" w:rsidR="005D6D39" w:rsidRPr="00102634" w:rsidRDefault="005D6D39">
                  <w:pPr>
                    <w:pStyle w:val="TableText"/>
                    <w:rPr>
                      <w:b/>
                      <w:bCs/>
                    </w:rPr>
                  </w:pPr>
                  <w:r w:rsidRPr="00102634">
                    <w:rPr>
                      <w:b/>
                      <w:bCs/>
                    </w:rPr>
                    <w:t>Proposed test scenario</w:t>
                  </w:r>
                </w:p>
              </w:tc>
            </w:tr>
            <w:tr w:rsidR="005D6D39" w:rsidRPr="00102634" w14:paraId="40AA9511" w14:textId="77777777">
              <w:tc>
                <w:tcPr>
                  <w:tcW w:w="2536" w:type="dxa"/>
                  <w:vAlign w:val="center"/>
                </w:tcPr>
                <w:p w14:paraId="4FDF3B0F" w14:textId="77777777" w:rsidR="005D6D39" w:rsidRPr="00102634" w:rsidRDefault="005D6D39">
                  <w:pPr>
                    <w:pStyle w:val="TableText"/>
                    <w:rPr>
                      <w:rFonts w:eastAsiaTheme="majorEastAsia" w:cs="Arial"/>
                      <w:szCs w:val="20"/>
                      <w:lang w:bidi="en-US"/>
                    </w:rPr>
                  </w:pPr>
                  <w:r w:rsidRPr="00102634">
                    <w:rPr>
                      <w:rFonts w:eastAsiaTheme="majorEastAsia" w:cs="Arial"/>
                      <w:szCs w:val="20"/>
                      <w:lang w:bidi="en-US"/>
                    </w:rPr>
                    <w:t>P1: True positives (Altered)</w:t>
                  </w:r>
                </w:p>
              </w:tc>
              <w:tc>
                <w:tcPr>
                  <w:tcW w:w="974" w:type="dxa"/>
                  <w:vAlign w:val="center"/>
                </w:tcPr>
                <w:p w14:paraId="41E982BE" w14:textId="77777777" w:rsidR="005D6D39" w:rsidRPr="00BD6B2A" w:rsidRDefault="005D6D39">
                  <w:pPr>
                    <w:pStyle w:val="TableText"/>
                  </w:pPr>
                  <w:r w:rsidRPr="00BD6B2A">
                    <w:t>44.7%</w:t>
                  </w:r>
                </w:p>
              </w:tc>
              <w:tc>
                <w:tcPr>
                  <w:tcW w:w="2876" w:type="dxa"/>
                  <w:vAlign w:val="center"/>
                </w:tcPr>
                <w:p w14:paraId="36499A20" w14:textId="77777777" w:rsidR="005D6D39" w:rsidRPr="00102634" w:rsidRDefault="005D6D39">
                  <w:pPr>
                    <w:pStyle w:val="TableText"/>
                    <w:rPr>
                      <w:rFonts w:eastAsiaTheme="majorEastAsia" w:cs="Arial"/>
                      <w:szCs w:val="20"/>
                      <w:lang w:bidi="en-US"/>
                    </w:rPr>
                  </w:pPr>
                  <w:r w:rsidRPr="00102634">
                    <w:rPr>
                      <w:rFonts w:eastAsiaTheme="majorEastAsia" w:cs="Arial"/>
                      <w:szCs w:val="20"/>
                      <w:lang w:bidi="en-US"/>
                    </w:rPr>
                    <w:t xml:space="preserve">CAPI+FULV arm from the Altered subgroup </w:t>
                  </w:r>
                </w:p>
              </w:tc>
            </w:tr>
            <w:tr w:rsidR="005D6D39" w:rsidRPr="00102634" w14:paraId="0CD2CBEB" w14:textId="77777777">
              <w:tc>
                <w:tcPr>
                  <w:tcW w:w="2536" w:type="dxa"/>
                  <w:vAlign w:val="center"/>
                </w:tcPr>
                <w:p w14:paraId="6B25860A" w14:textId="77777777" w:rsidR="005D6D39" w:rsidRPr="00102634" w:rsidRDefault="005D6D39">
                  <w:pPr>
                    <w:pStyle w:val="TableText"/>
                  </w:pPr>
                  <w:r w:rsidRPr="00102634">
                    <w:rPr>
                      <w:rFonts w:eastAsiaTheme="majorEastAsia" w:cs="Arial"/>
                      <w:szCs w:val="20"/>
                      <w:lang w:bidi="en-US"/>
                    </w:rPr>
                    <w:t>P2: False negatives (Altered)</w:t>
                  </w:r>
                </w:p>
              </w:tc>
              <w:tc>
                <w:tcPr>
                  <w:tcW w:w="974" w:type="dxa"/>
                  <w:vAlign w:val="center"/>
                </w:tcPr>
                <w:p w14:paraId="199417CF" w14:textId="77777777" w:rsidR="005D6D39" w:rsidRPr="00BD6B2A" w:rsidRDefault="005D6D39">
                  <w:pPr>
                    <w:pStyle w:val="TableText"/>
                  </w:pPr>
                  <w:r w:rsidRPr="00BD6B2A">
                    <w:t>0.45%</w:t>
                  </w:r>
                </w:p>
              </w:tc>
              <w:tc>
                <w:tcPr>
                  <w:tcW w:w="2876" w:type="dxa"/>
                  <w:vAlign w:val="center"/>
                </w:tcPr>
                <w:p w14:paraId="61622282" w14:textId="2FE0D8B7"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Altered subgroup </w:t>
                  </w:r>
                </w:p>
              </w:tc>
            </w:tr>
            <w:tr w:rsidR="005D6D39" w:rsidRPr="00102634" w14:paraId="5748F7A4" w14:textId="77777777">
              <w:tc>
                <w:tcPr>
                  <w:tcW w:w="2536" w:type="dxa"/>
                  <w:vAlign w:val="center"/>
                </w:tcPr>
                <w:p w14:paraId="0DE59F0F" w14:textId="77777777" w:rsidR="005D6D39" w:rsidRPr="00102634" w:rsidRDefault="005D6D39">
                  <w:pPr>
                    <w:pStyle w:val="TableText"/>
                  </w:pPr>
                  <w:r w:rsidRPr="00102634">
                    <w:rPr>
                      <w:rFonts w:eastAsiaTheme="majorEastAsia" w:cs="Arial"/>
                      <w:szCs w:val="20"/>
                      <w:lang w:bidi="en-US"/>
                    </w:rPr>
                    <w:t>P3: False positives (non-Altered)</w:t>
                  </w:r>
                </w:p>
              </w:tc>
              <w:tc>
                <w:tcPr>
                  <w:tcW w:w="974" w:type="dxa"/>
                  <w:vAlign w:val="center"/>
                </w:tcPr>
                <w:p w14:paraId="3D13CE21" w14:textId="77777777" w:rsidR="005D6D39" w:rsidRPr="00BD6B2A" w:rsidRDefault="005D6D39">
                  <w:pPr>
                    <w:pStyle w:val="TableText"/>
                  </w:pPr>
                  <w:r w:rsidRPr="00BD6B2A">
                    <w:t>0.45%</w:t>
                  </w:r>
                </w:p>
              </w:tc>
              <w:tc>
                <w:tcPr>
                  <w:tcW w:w="2876" w:type="dxa"/>
                  <w:vAlign w:val="center"/>
                </w:tcPr>
                <w:p w14:paraId="3BD78CFF" w14:textId="2A1CF5CA"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ITT cohort </w:t>
                  </w:r>
                </w:p>
              </w:tc>
            </w:tr>
            <w:tr w:rsidR="005D6D39" w:rsidRPr="00102634" w14:paraId="51DFCE47" w14:textId="77777777">
              <w:tc>
                <w:tcPr>
                  <w:tcW w:w="2536" w:type="dxa"/>
                  <w:vAlign w:val="center"/>
                </w:tcPr>
                <w:p w14:paraId="255122B9" w14:textId="77777777" w:rsidR="005D6D39" w:rsidRPr="000804D1" w:rsidRDefault="005D6D39">
                  <w:pPr>
                    <w:pStyle w:val="TableText"/>
                  </w:pPr>
                  <w:r w:rsidRPr="000804D1">
                    <w:rPr>
                      <w:rFonts w:eastAsiaTheme="majorEastAsia" w:cs="Arial"/>
                      <w:szCs w:val="20"/>
                      <w:lang w:bidi="en-US"/>
                    </w:rPr>
                    <w:t>P4: True negatives (non-Altered)</w:t>
                  </w:r>
                </w:p>
              </w:tc>
              <w:tc>
                <w:tcPr>
                  <w:tcW w:w="974" w:type="dxa"/>
                  <w:vAlign w:val="center"/>
                </w:tcPr>
                <w:p w14:paraId="34ADEC5F" w14:textId="5C1BEFDE" w:rsidR="005D6D39" w:rsidRPr="000804D1" w:rsidRDefault="005D6D39">
                  <w:pPr>
                    <w:pStyle w:val="TableText"/>
                  </w:pPr>
                  <w:r w:rsidRPr="000804D1">
                    <w:t>44.7%</w:t>
                  </w:r>
                </w:p>
              </w:tc>
              <w:tc>
                <w:tcPr>
                  <w:tcW w:w="2876" w:type="dxa"/>
                  <w:vAlign w:val="center"/>
                </w:tcPr>
                <w:p w14:paraId="0F51D833" w14:textId="6B66124F"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ITT cohort </w:t>
                  </w:r>
                </w:p>
              </w:tc>
            </w:tr>
            <w:tr w:rsidR="005D6D39" w:rsidRPr="00102634" w14:paraId="04EA2D08" w14:textId="77777777">
              <w:tc>
                <w:tcPr>
                  <w:tcW w:w="2536" w:type="dxa"/>
                  <w:vAlign w:val="center"/>
                </w:tcPr>
                <w:p w14:paraId="11F96B03" w14:textId="77777777" w:rsidR="005D6D39" w:rsidRPr="000804D1" w:rsidRDefault="005D6D39">
                  <w:pPr>
                    <w:pStyle w:val="TableText"/>
                  </w:pPr>
                  <w:r w:rsidRPr="000804D1">
                    <w:rPr>
                      <w:rFonts w:eastAsiaTheme="majorEastAsia" w:cs="Arial"/>
                      <w:szCs w:val="20"/>
                      <w:lang w:bidi="en-US"/>
                    </w:rPr>
                    <w:t>P5: Test failure (Altered)</w:t>
                  </w:r>
                </w:p>
              </w:tc>
              <w:tc>
                <w:tcPr>
                  <w:tcW w:w="974" w:type="dxa"/>
                  <w:vAlign w:val="center"/>
                </w:tcPr>
                <w:p w14:paraId="288B172D" w14:textId="77777777" w:rsidR="005D6D39" w:rsidRPr="000804D1" w:rsidRDefault="005D6D39">
                  <w:pPr>
                    <w:pStyle w:val="TableText"/>
                  </w:pPr>
                  <w:r w:rsidRPr="000804D1">
                    <w:t>4.9%</w:t>
                  </w:r>
                </w:p>
              </w:tc>
              <w:tc>
                <w:tcPr>
                  <w:tcW w:w="2876" w:type="dxa"/>
                  <w:vAlign w:val="center"/>
                </w:tcPr>
                <w:p w14:paraId="7B04DEF4" w14:textId="3CBEAE74"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ITT cohort </w:t>
                  </w:r>
                </w:p>
              </w:tc>
            </w:tr>
            <w:tr w:rsidR="005D6D39" w:rsidRPr="00102634" w14:paraId="024DC7B5" w14:textId="77777777">
              <w:tc>
                <w:tcPr>
                  <w:tcW w:w="2536" w:type="dxa"/>
                  <w:vAlign w:val="center"/>
                </w:tcPr>
                <w:p w14:paraId="26CE3F16" w14:textId="77777777" w:rsidR="005D6D39" w:rsidRPr="000804D1" w:rsidRDefault="005D6D39">
                  <w:pPr>
                    <w:pStyle w:val="TableText"/>
                  </w:pPr>
                  <w:r w:rsidRPr="000804D1">
                    <w:rPr>
                      <w:rFonts w:eastAsiaTheme="majorEastAsia" w:cs="Arial"/>
                      <w:szCs w:val="20"/>
                      <w:lang w:bidi="en-US"/>
                    </w:rPr>
                    <w:t>P6: Test failure (non-Altered)</w:t>
                  </w:r>
                </w:p>
              </w:tc>
              <w:tc>
                <w:tcPr>
                  <w:tcW w:w="974" w:type="dxa"/>
                  <w:vAlign w:val="center"/>
                </w:tcPr>
                <w:p w14:paraId="5156E4CA" w14:textId="36CDF157" w:rsidR="005D6D39" w:rsidRPr="000804D1" w:rsidRDefault="005D6D39">
                  <w:pPr>
                    <w:pStyle w:val="TableText"/>
                  </w:pPr>
                  <w:r w:rsidRPr="000804D1">
                    <w:t>4.9%</w:t>
                  </w:r>
                </w:p>
              </w:tc>
              <w:tc>
                <w:tcPr>
                  <w:tcW w:w="2876" w:type="dxa"/>
                  <w:vAlign w:val="center"/>
                </w:tcPr>
                <w:p w14:paraId="0D940343" w14:textId="31337B2D"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ITT cohort </w:t>
                  </w:r>
                </w:p>
              </w:tc>
            </w:tr>
            <w:tr w:rsidR="005D6D39" w:rsidRPr="00102634" w14:paraId="15DB8F1C" w14:textId="77777777">
              <w:tc>
                <w:tcPr>
                  <w:tcW w:w="6386" w:type="dxa"/>
                  <w:gridSpan w:val="3"/>
                  <w:vAlign w:val="center"/>
                </w:tcPr>
                <w:p w14:paraId="7CF31E3A" w14:textId="77777777" w:rsidR="005D6D39" w:rsidRPr="00102634" w:rsidRDefault="005D6D39">
                  <w:pPr>
                    <w:pStyle w:val="TableText"/>
                  </w:pPr>
                  <w:r w:rsidRPr="00102634">
                    <w:rPr>
                      <w:b/>
                      <w:bCs/>
                    </w:rPr>
                    <w:t>Comparator test scenario</w:t>
                  </w:r>
                </w:p>
              </w:tc>
            </w:tr>
            <w:tr w:rsidR="005D6D39" w:rsidRPr="00102634" w14:paraId="138CC415" w14:textId="77777777">
              <w:tc>
                <w:tcPr>
                  <w:tcW w:w="2536" w:type="dxa"/>
                  <w:vAlign w:val="center"/>
                </w:tcPr>
                <w:p w14:paraId="230DEF47" w14:textId="77777777" w:rsidR="005D6D39" w:rsidRPr="00102634" w:rsidRDefault="005D6D39">
                  <w:pPr>
                    <w:pStyle w:val="TableText"/>
                    <w:rPr>
                      <w:rFonts w:eastAsiaTheme="majorEastAsia" w:cs="Arial"/>
                      <w:szCs w:val="20"/>
                      <w:lang w:bidi="en-US"/>
                    </w:rPr>
                  </w:pPr>
                  <w:r w:rsidRPr="00102634">
                    <w:rPr>
                      <w:rFonts w:eastAsiaTheme="majorEastAsia" w:cs="Arial"/>
                      <w:szCs w:val="20"/>
                      <w:lang w:bidi="en-US"/>
                    </w:rPr>
                    <w:t>C1: Not tested (Altered)</w:t>
                  </w:r>
                </w:p>
              </w:tc>
              <w:tc>
                <w:tcPr>
                  <w:tcW w:w="974" w:type="dxa"/>
                  <w:vAlign w:val="center"/>
                </w:tcPr>
                <w:p w14:paraId="68A142EB" w14:textId="77777777" w:rsidR="005D6D39" w:rsidRPr="00102634" w:rsidRDefault="005D6D39">
                  <w:pPr>
                    <w:pStyle w:val="TableText"/>
                  </w:pPr>
                  <w:r w:rsidRPr="00102634">
                    <w:t>50%</w:t>
                  </w:r>
                </w:p>
              </w:tc>
              <w:tc>
                <w:tcPr>
                  <w:tcW w:w="2876" w:type="dxa"/>
                  <w:vAlign w:val="center"/>
                </w:tcPr>
                <w:p w14:paraId="0D912032" w14:textId="02CEE78C"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+FULV arm from the ITT cohort</w:t>
                  </w:r>
                </w:p>
              </w:tc>
            </w:tr>
            <w:tr w:rsidR="005D6D39" w:rsidRPr="00102634" w14:paraId="756C2BCC" w14:textId="77777777">
              <w:tc>
                <w:tcPr>
                  <w:tcW w:w="2536" w:type="dxa"/>
                  <w:vAlign w:val="center"/>
                </w:tcPr>
                <w:p w14:paraId="1A4B09A9" w14:textId="77777777" w:rsidR="005D6D39" w:rsidRPr="00102634" w:rsidRDefault="005D6D39">
                  <w:pPr>
                    <w:pStyle w:val="TableText"/>
                    <w:rPr>
                      <w:rFonts w:eastAsiaTheme="majorEastAsia" w:cs="Arial"/>
                      <w:szCs w:val="20"/>
                      <w:lang w:bidi="en-US"/>
                    </w:rPr>
                  </w:pPr>
                  <w:r w:rsidRPr="00102634">
                    <w:rPr>
                      <w:rFonts w:eastAsiaTheme="majorEastAsia" w:cs="Arial"/>
                      <w:szCs w:val="20"/>
                      <w:lang w:bidi="en-US"/>
                    </w:rPr>
                    <w:t>C2: Not tested (non-Altered)</w:t>
                  </w:r>
                </w:p>
              </w:tc>
              <w:tc>
                <w:tcPr>
                  <w:tcW w:w="974" w:type="dxa"/>
                  <w:vAlign w:val="center"/>
                </w:tcPr>
                <w:p w14:paraId="4BBE5C6E" w14:textId="77777777" w:rsidR="005D6D39" w:rsidRPr="00102634" w:rsidRDefault="005D6D39">
                  <w:pPr>
                    <w:pStyle w:val="TableText"/>
                  </w:pPr>
                  <w:r w:rsidRPr="00102634">
                    <w:t>50%</w:t>
                  </w:r>
                </w:p>
              </w:tc>
              <w:tc>
                <w:tcPr>
                  <w:tcW w:w="2876" w:type="dxa"/>
                  <w:vAlign w:val="center"/>
                </w:tcPr>
                <w:p w14:paraId="60ECBF1A" w14:textId="2F897B51" w:rsidR="005D6D39" w:rsidRPr="00102634" w:rsidRDefault="00CF2410">
                  <w:pPr>
                    <w:pStyle w:val="TableText"/>
                  </w:pPr>
                  <w:r>
                    <w:rPr>
                      <w:rFonts w:eastAsiaTheme="majorEastAsia" w:cs="Arial"/>
                      <w:szCs w:val="20"/>
                      <w:lang w:bidi="en-US"/>
                    </w:rPr>
                    <w:t>PBO</w:t>
                  </w:r>
                  <w:r w:rsidR="005D6D39" w:rsidRPr="00102634">
                    <w:rPr>
                      <w:rFonts w:eastAsiaTheme="majorEastAsia" w:cs="Arial"/>
                      <w:szCs w:val="20"/>
                      <w:lang w:bidi="en-US"/>
                    </w:rPr>
                    <w:t xml:space="preserve">+FULV arm from the ITT cohort </w:t>
                  </w:r>
                </w:p>
              </w:tc>
            </w:tr>
          </w:tbl>
          <w:p w14:paraId="51D92BC4" w14:textId="77777777" w:rsidR="005D6D39" w:rsidRPr="00102634" w:rsidRDefault="005D6D39">
            <w:pPr>
              <w:pStyle w:val="TableFigureFooter"/>
            </w:pPr>
            <w:r w:rsidRPr="00102634">
              <w:lastRenderedPageBreak/>
              <w:t>Source: constructed during the evaluation from Section 3.2.2 of the submission; Table 3.5, p190 of the submission</w:t>
            </w:r>
          </w:p>
          <w:p w14:paraId="1370E562" w14:textId="77777777" w:rsidR="005D6D39" w:rsidRPr="00102634" w:rsidRDefault="005D6D39">
            <w:pPr>
              <w:pStyle w:val="TableFigureFooter"/>
            </w:pPr>
          </w:p>
          <w:p w14:paraId="6D1C98A5" w14:textId="77777777" w:rsidR="005D6D39" w:rsidRPr="00102634" w:rsidRDefault="005D6D39">
            <w:pPr>
              <w:pStyle w:val="TableFigureFooter"/>
            </w:pPr>
            <w:r w:rsidRPr="2C973C4D">
              <w:rPr>
                <w:i/>
                <w:sz w:val="20"/>
                <w:szCs w:val="20"/>
              </w:rPr>
              <w:t>The model was not sensitive to the changes in the cost and outcomes in branches representing the false negatives (P2), false positives (P3), or test failures (P5 and P6) since these contributed to &lt;5% of the total model cohort.</w:t>
            </w:r>
          </w:p>
        </w:tc>
      </w:tr>
      <w:tr w:rsidR="005D6D39" w:rsidRPr="00102634" w14:paraId="30FC6F2E" w14:textId="77777777">
        <w:tc>
          <w:tcPr>
            <w:tcW w:w="1396" w:type="pct"/>
            <w:shd w:val="clear" w:color="auto" w:fill="auto"/>
            <w:vAlign w:val="center"/>
          </w:tcPr>
          <w:p w14:paraId="404ACFFC" w14:textId="77777777" w:rsidR="005D6D39" w:rsidRPr="00102634" w:rsidRDefault="005D6D39">
            <w:pPr>
              <w:pStyle w:val="TableText"/>
            </w:pPr>
            <w:r w:rsidRPr="00102634">
              <w:lastRenderedPageBreak/>
              <w:t>Extrapolation method</w:t>
            </w:r>
          </w:p>
        </w:tc>
        <w:tc>
          <w:tcPr>
            <w:tcW w:w="3604" w:type="pct"/>
            <w:shd w:val="clear" w:color="auto" w:fill="auto"/>
            <w:vAlign w:val="center"/>
          </w:tcPr>
          <w:p w14:paraId="1119BC4F" w14:textId="77777777" w:rsidR="005D6D39" w:rsidRPr="00102634" w:rsidRDefault="005D6D39">
            <w:pPr>
              <w:pStyle w:val="TableText"/>
            </w:pPr>
            <w:r w:rsidRPr="00102634">
              <w:t>KM data used until only 20% of patients remained at risk then parametric distributions applied to extrapolate to 15 years. Base case extrapolations are shown in the table below.</w:t>
            </w:r>
          </w:p>
          <w:p w14:paraId="2359DA4C" w14:textId="77777777" w:rsidR="005D6D39" w:rsidRPr="00102634" w:rsidRDefault="005D6D39">
            <w:pPr>
              <w:pStyle w:val="TableText"/>
            </w:pPr>
          </w:p>
          <w:tbl>
            <w:tblPr>
              <w:tblStyle w:val="HTATableshaded"/>
              <w:tblW w:w="5000" w:type="pct"/>
              <w:tblCellMar>
                <w:left w:w="0" w:type="dxa"/>
                <w:right w:w="0" w:type="dxa"/>
              </w:tblCellMar>
              <w:tblLook w:val="04A0" w:firstRow="1" w:lastRow="0" w:firstColumn="1" w:lastColumn="0" w:noHBand="0" w:noVBand="1"/>
            </w:tblPr>
            <w:tblGrid>
              <w:gridCol w:w="1122"/>
              <w:gridCol w:w="1981"/>
              <w:gridCol w:w="1094"/>
              <w:gridCol w:w="1094"/>
              <w:gridCol w:w="1095"/>
            </w:tblGrid>
            <w:tr w:rsidR="005D6D39" w:rsidRPr="00102634" w14:paraId="228689BC" w14:textId="77777777" w:rsidTr="00FF7246">
              <w:trPr>
                <w:cnfStyle w:val="100000000000" w:firstRow="1" w:lastRow="0" w:firstColumn="0" w:lastColumn="0" w:oddVBand="0" w:evenVBand="0" w:oddHBand="0" w:evenHBand="0" w:firstRowFirstColumn="0" w:firstRowLastColumn="0" w:lastRowFirstColumn="0" w:lastRowLastColumn="0"/>
              </w:trPr>
              <w:tc>
                <w:tcPr>
                  <w:tcW w:w="1122" w:type="dxa"/>
                  <w:vMerge w:val="restart"/>
                  <w:vAlign w:val="center"/>
                </w:tcPr>
                <w:p w14:paraId="491866E8" w14:textId="77777777" w:rsidR="005D6D39" w:rsidRPr="00102634" w:rsidRDefault="005D6D39">
                  <w:pPr>
                    <w:pStyle w:val="TableText"/>
                    <w:rPr>
                      <w:b/>
                      <w:bCs/>
                    </w:rPr>
                  </w:pPr>
                  <w:r w:rsidRPr="00102634">
                    <w:rPr>
                      <w:b/>
                      <w:bCs/>
                    </w:rPr>
                    <w:t>Branch</w:t>
                  </w:r>
                </w:p>
              </w:tc>
              <w:tc>
                <w:tcPr>
                  <w:tcW w:w="1981" w:type="dxa"/>
                  <w:vMerge w:val="restart"/>
                  <w:vAlign w:val="center"/>
                </w:tcPr>
                <w:p w14:paraId="4830AF31" w14:textId="77777777" w:rsidR="005D6D39" w:rsidRPr="00102634" w:rsidRDefault="005D6D39">
                  <w:pPr>
                    <w:pStyle w:val="TableText"/>
                    <w:rPr>
                      <w:b/>
                      <w:bCs/>
                    </w:rPr>
                  </w:pPr>
                  <w:r w:rsidRPr="00102634">
                    <w:rPr>
                      <w:b/>
                      <w:bCs/>
                    </w:rPr>
                    <w:t>Data source</w:t>
                  </w:r>
                </w:p>
              </w:tc>
              <w:tc>
                <w:tcPr>
                  <w:tcW w:w="3283" w:type="dxa"/>
                  <w:gridSpan w:val="3"/>
                  <w:vAlign w:val="center"/>
                </w:tcPr>
                <w:p w14:paraId="0EBDCDA2" w14:textId="77777777" w:rsidR="005D6D39" w:rsidRPr="00102634" w:rsidRDefault="005D6D39" w:rsidP="00FF7246">
                  <w:pPr>
                    <w:pStyle w:val="TableText"/>
                    <w:jc w:val="center"/>
                    <w:rPr>
                      <w:b/>
                      <w:bCs/>
                    </w:rPr>
                  </w:pPr>
                  <w:r w:rsidRPr="00102634">
                    <w:rPr>
                      <w:b/>
                      <w:bCs/>
                    </w:rPr>
                    <w:t>Parametric distribution</w:t>
                  </w:r>
                </w:p>
              </w:tc>
            </w:tr>
            <w:tr w:rsidR="005D6D39" w:rsidRPr="00102634" w14:paraId="6488F9A1" w14:textId="77777777" w:rsidTr="00FF7246">
              <w:tc>
                <w:tcPr>
                  <w:tcW w:w="1122" w:type="dxa"/>
                  <w:vMerge/>
                </w:tcPr>
                <w:p w14:paraId="1E5EA885" w14:textId="77777777" w:rsidR="005D6D39" w:rsidRPr="00102634" w:rsidRDefault="005D6D39">
                  <w:pPr>
                    <w:pStyle w:val="TableText"/>
                    <w:rPr>
                      <w:b/>
                      <w:bCs/>
                    </w:rPr>
                  </w:pPr>
                </w:p>
              </w:tc>
              <w:tc>
                <w:tcPr>
                  <w:tcW w:w="1981" w:type="dxa"/>
                  <w:vMerge/>
                </w:tcPr>
                <w:p w14:paraId="3073CB23" w14:textId="77777777" w:rsidR="005D6D39" w:rsidRPr="00102634" w:rsidRDefault="005D6D39">
                  <w:pPr>
                    <w:pStyle w:val="TableText"/>
                    <w:rPr>
                      <w:b/>
                      <w:bCs/>
                    </w:rPr>
                  </w:pPr>
                </w:p>
              </w:tc>
              <w:tc>
                <w:tcPr>
                  <w:tcW w:w="1094" w:type="dxa"/>
                  <w:vAlign w:val="center"/>
                </w:tcPr>
                <w:p w14:paraId="6544C8DE" w14:textId="77777777" w:rsidR="005D6D39" w:rsidRPr="00102634" w:rsidRDefault="005D6D39" w:rsidP="00FF7246">
                  <w:pPr>
                    <w:pStyle w:val="TableText"/>
                    <w:jc w:val="center"/>
                    <w:rPr>
                      <w:b/>
                      <w:bCs/>
                    </w:rPr>
                  </w:pPr>
                  <w:r w:rsidRPr="00102634">
                    <w:rPr>
                      <w:b/>
                      <w:bCs/>
                    </w:rPr>
                    <w:t>PFS</w:t>
                  </w:r>
                </w:p>
              </w:tc>
              <w:tc>
                <w:tcPr>
                  <w:tcW w:w="1094" w:type="dxa"/>
                  <w:vAlign w:val="center"/>
                </w:tcPr>
                <w:p w14:paraId="1ADACD9C" w14:textId="77777777" w:rsidR="005D6D39" w:rsidRPr="00102634" w:rsidRDefault="005D6D39" w:rsidP="00FF7246">
                  <w:pPr>
                    <w:pStyle w:val="TableText"/>
                    <w:jc w:val="center"/>
                    <w:rPr>
                      <w:b/>
                      <w:bCs/>
                    </w:rPr>
                  </w:pPr>
                  <w:r w:rsidRPr="00102634">
                    <w:rPr>
                      <w:b/>
                      <w:bCs/>
                    </w:rPr>
                    <w:t>OS</w:t>
                  </w:r>
                </w:p>
              </w:tc>
              <w:tc>
                <w:tcPr>
                  <w:tcW w:w="1095" w:type="dxa"/>
                  <w:vAlign w:val="center"/>
                </w:tcPr>
                <w:p w14:paraId="570E8ECC" w14:textId="77777777" w:rsidR="005D6D39" w:rsidRPr="00102634" w:rsidRDefault="005D6D39" w:rsidP="00FF7246">
                  <w:pPr>
                    <w:pStyle w:val="TableText"/>
                    <w:jc w:val="center"/>
                    <w:rPr>
                      <w:b/>
                      <w:bCs/>
                    </w:rPr>
                  </w:pPr>
                  <w:r w:rsidRPr="00102634">
                    <w:rPr>
                      <w:b/>
                      <w:bCs/>
                    </w:rPr>
                    <w:t>TTD</w:t>
                  </w:r>
                </w:p>
              </w:tc>
            </w:tr>
            <w:tr w:rsidR="005D6D39" w:rsidRPr="00102634" w14:paraId="1EA1F850" w14:textId="77777777" w:rsidTr="00FF7246">
              <w:tc>
                <w:tcPr>
                  <w:tcW w:w="1122" w:type="dxa"/>
                </w:tcPr>
                <w:p w14:paraId="75DD874D" w14:textId="77777777" w:rsidR="005D6D39" w:rsidRPr="00102634" w:rsidRDefault="005D6D39">
                  <w:pPr>
                    <w:pStyle w:val="TableText"/>
                  </w:pPr>
                  <w:r w:rsidRPr="00102634">
                    <w:t>-</w:t>
                  </w:r>
                </w:p>
              </w:tc>
              <w:tc>
                <w:tcPr>
                  <w:tcW w:w="1981" w:type="dxa"/>
                </w:tcPr>
                <w:p w14:paraId="4E9C91CD" w14:textId="77777777" w:rsidR="005D6D39" w:rsidRPr="00102634" w:rsidRDefault="005D6D39">
                  <w:pPr>
                    <w:pStyle w:val="TableText"/>
                  </w:pPr>
                  <w:r w:rsidRPr="00102634">
                    <w:t>Point of truncation</w:t>
                  </w:r>
                </w:p>
              </w:tc>
              <w:tc>
                <w:tcPr>
                  <w:tcW w:w="1094" w:type="dxa"/>
                  <w:vAlign w:val="center"/>
                </w:tcPr>
                <w:p w14:paraId="679256FD" w14:textId="77777777" w:rsidR="005D6D39" w:rsidRPr="00102634" w:rsidRDefault="005D6D39" w:rsidP="00FF7246">
                  <w:pPr>
                    <w:pStyle w:val="TableText"/>
                    <w:jc w:val="center"/>
                  </w:pPr>
                  <w:r w:rsidRPr="00102634">
                    <w:t>11 months</w:t>
                  </w:r>
                </w:p>
              </w:tc>
              <w:tc>
                <w:tcPr>
                  <w:tcW w:w="1094" w:type="dxa"/>
                  <w:vAlign w:val="center"/>
                </w:tcPr>
                <w:p w14:paraId="742008DD" w14:textId="77777777" w:rsidR="005D6D39" w:rsidRPr="00102634" w:rsidRDefault="005D6D39" w:rsidP="00FF7246">
                  <w:pPr>
                    <w:pStyle w:val="TableText"/>
                    <w:jc w:val="center"/>
                  </w:pPr>
                  <w:r w:rsidRPr="00102634">
                    <w:t>19 months</w:t>
                  </w:r>
                </w:p>
              </w:tc>
              <w:tc>
                <w:tcPr>
                  <w:tcW w:w="1095" w:type="dxa"/>
                  <w:vAlign w:val="center"/>
                </w:tcPr>
                <w:p w14:paraId="0C010824" w14:textId="77777777" w:rsidR="005D6D39" w:rsidRPr="00102634" w:rsidRDefault="005D6D39" w:rsidP="00FF7246">
                  <w:pPr>
                    <w:pStyle w:val="TableText"/>
                    <w:jc w:val="center"/>
                  </w:pPr>
                  <w:r w:rsidRPr="00102634">
                    <w:t>12 months</w:t>
                  </w:r>
                </w:p>
              </w:tc>
            </w:tr>
            <w:tr w:rsidR="005D6D39" w:rsidRPr="00102634" w14:paraId="58F3E51F" w14:textId="77777777" w:rsidTr="00FF7246">
              <w:tc>
                <w:tcPr>
                  <w:tcW w:w="1122" w:type="dxa"/>
                </w:tcPr>
                <w:p w14:paraId="46BFE77C" w14:textId="77777777" w:rsidR="005D6D39" w:rsidRPr="00102634" w:rsidRDefault="005D6D39">
                  <w:pPr>
                    <w:pStyle w:val="TableText"/>
                  </w:pPr>
                  <w:r w:rsidRPr="00102634">
                    <w:t>P1</w:t>
                  </w:r>
                </w:p>
              </w:tc>
              <w:tc>
                <w:tcPr>
                  <w:tcW w:w="1981" w:type="dxa"/>
                </w:tcPr>
                <w:p w14:paraId="4B205265" w14:textId="77777777" w:rsidR="005D6D39" w:rsidRPr="00102634" w:rsidRDefault="005D6D39">
                  <w:pPr>
                    <w:pStyle w:val="TableText"/>
                  </w:pPr>
                  <w:r w:rsidRPr="00102634">
                    <w:t>CAPI+FULV (Altered)</w:t>
                  </w:r>
                </w:p>
              </w:tc>
              <w:tc>
                <w:tcPr>
                  <w:tcW w:w="1094" w:type="dxa"/>
                  <w:vAlign w:val="center"/>
                </w:tcPr>
                <w:p w14:paraId="3205B812" w14:textId="77777777" w:rsidR="005D6D39" w:rsidRPr="00102634" w:rsidRDefault="005D6D39" w:rsidP="00FF7246">
                  <w:pPr>
                    <w:pStyle w:val="TableText"/>
                    <w:jc w:val="center"/>
                  </w:pPr>
                  <w:r w:rsidRPr="00102634">
                    <w:t>Log normal</w:t>
                  </w:r>
                </w:p>
              </w:tc>
              <w:tc>
                <w:tcPr>
                  <w:tcW w:w="1094" w:type="dxa"/>
                  <w:vAlign w:val="center"/>
                </w:tcPr>
                <w:p w14:paraId="20735A0A" w14:textId="77777777" w:rsidR="005D6D39" w:rsidRPr="00102634" w:rsidRDefault="005D6D39" w:rsidP="00FF7246">
                  <w:pPr>
                    <w:pStyle w:val="TableText"/>
                    <w:jc w:val="center"/>
                  </w:pPr>
                  <w:r w:rsidRPr="00102634">
                    <w:t>Log normal</w:t>
                  </w:r>
                </w:p>
              </w:tc>
              <w:tc>
                <w:tcPr>
                  <w:tcW w:w="1095" w:type="dxa"/>
                  <w:vAlign w:val="center"/>
                </w:tcPr>
                <w:p w14:paraId="045200C3" w14:textId="77777777" w:rsidR="005D6D39" w:rsidRPr="00102634" w:rsidRDefault="005D6D39" w:rsidP="00FF7246">
                  <w:pPr>
                    <w:pStyle w:val="TableText"/>
                    <w:jc w:val="center"/>
                  </w:pPr>
                  <w:r w:rsidRPr="00102634">
                    <w:t>Log normal</w:t>
                  </w:r>
                </w:p>
              </w:tc>
            </w:tr>
            <w:tr w:rsidR="005D6D39" w:rsidRPr="00102634" w14:paraId="35F6BD33" w14:textId="77777777" w:rsidTr="00FF7246">
              <w:tc>
                <w:tcPr>
                  <w:tcW w:w="1122" w:type="dxa"/>
                </w:tcPr>
                <w:p w14:paraId="1FA9BD84" w14:textId="77777777" w:rsidR="005D6D39" w:rsidRPr="00102634" w:rsidRDefault="005D6D39">
                  <w:pPr>
                    <w:pStyle w:val="TableText"/>
                  </w:pPr>
                  <w:r w:rsidRPr="00102634">
                    <w:t>P2</w:t>
                  </w:r>
                </w:p>
              </w:tc>
              <w:tc>
                <w:tcPr>
                  <w:tcW w:w="1981" w:type="dxa"/>
                </w:tcPr>
                <w:p w14:paraId="4DD82FF8" w14:textId="77777777" w:rsidR="005D6D39" w:rsidRPr="00102634" w:rsidRDefault="005D6D39">
                  <w:pPr>
                    <w:pStyle w:val="TableText"/>
                  </w:pPr>
                  <w:r w:rsidRPr="00102634">
                    <w:t>Placebo + FULV (Altered)</w:t>
                  </w:r>
                </w:p>
              </w:tc>
              <w:tc>
                <w:tcPr>
                  <w:tcW w:w="1094" w:type="dxa"/>
                  <w:vAlign w:val="center"/>
                </w:tcPr>
                <w:p w14:paraId="79B50DB7" w14:textId="77777777" w:rsidR="005D6D39" w:rsidRPr="00102634" w:rsidRDefault="005D6D39" w:rsidP="00FF7246">
                  <w:pPr>
                    <w:pStyle w:val="TableText"/>
                    <w:jc w:val="center"/>
                  </w:pPr>
                  <w:r w:rsidRPr="00102634">
                    <w:t>Log normal</w:t>
                  </w:r>
                </w:p>
              </w:tc>
              <w:tc>
                <w:tcPr>
                  <w:tcW w:w="1094" w:type="dxa"/>
                  <w:vAlign w:val="center"/>
                </w:tcPr>
                <w:p w14:paraId="31DC1068" w14:textId="77777777" w:rsidR="005D6D39" w:rsidRPr="00102634" w:rsidRDefault="005D6D39" w:rsidP="00FF7246">
                  <w:pPr>
                    <w:pStyle w:val="TableText"/>
                    <w:jc w:val="center"/>
                  </w:pPr>
                  <w:r w:rsidRPr="00102634">
                    <w:t>Exponential</w:t>
                  </w:r>
                </w:p>
              </w:tc>
              <w:tc>
                <w:tcPr>
                  <w:tcW w:w="1095" w:type="dxa"/>
                  <w:vAlign w:val="center"/>
                </w:tcPr>
                <w:p w14:paraId="626E210C" w14:textId="77777777" w:rsidR="005D6D39" w:rsidRPr="00102634" w:rsidRDefault="005D6D39" w:rsidP="00FF7246">
                  <w:pPr>
                    <w:pStyle w:val="TableText"/>
                    <w:jc w:val="center"/>
                  </w:pPr>
                  <w:r w:rsidRPr="00102634">
                    <w:t>NA</w:t>
                  </w:r>
                </w:p>
              </w:tc>
            </w:tr>
            <w:tr w:rsidR="005D6D39" w:rsidRPr="00102634" w14:paraId="18279D91" w14:textId="77777777" w:rsidTr="00FF7246">
              <w:tc>
                <w:tcPr>
                  <w:tcW w:w="1122" w:type="dxa"/>
                </w:tcPr>
                <w:p w14:paraId="55C52052" w14:textId="77777777" w:rsidR="005D6D39" w:rsidRPr="00102634" w:rsidRDefault="005D6D39">
                  <w:pPr>
                    <w:pStyle w:val="TableText"/>
                  </w:pPr>
                  <w:r w:rsidRPr="00102634">
                    <w:t>P3-P6; C1-C2</w:t>
                  </w:r>
                </w:p>
              </w:tc>
              <w:tc>
                <w:tcPr>
                  <w:tcW w:w="1981" w:type="dxa"/>
                </w:tcPr>
                <w:p w14:paraId="0675DEFB" w14:textId="77777777" w:rsidR="005D6D39" w:rsidRPr="00102634" w:rsidRDefault="005D6D39">
                  <w:pPr>
                    <w:pStyle w:val="TableText"/>
                  </w:pPr>
                  <w:r w:rsidRPr="00102634">
                    <w:t>Placebo + FULV (ITT)</w:t>
                  </w:r>
                </w:p>
              </w:tc>
              <w:tc>
                <w:tcPr>
                  <w:tcW w:w="1094" w:type="dxa"/>
                  <w:vAlign w:val="center"/>
                </w:tcPr>
                <w:p w14:paraId="72F7F9F4" w14:textId="77777777" w:rsidR="005D6D39" w:rsidRPr="00102634" w:rsidRDefault="005D6D39" w:rsidP="00FF7246">
                  <w:pPr>
                    <w:pStyle w:val="TableText"/>
                    <w:jc w:val="center"/>
                  </w:pPr>
                  <w:r w:rsidRPr="00102634">
                    <w:t>Log normal</w:t>
                  </w:r>
                </w:p>
              </w:tc>
              <w:tc>
                <w:tcPr>
                  <w:tcW w:w="1094" w:type="dxa"/>
                  <w:vAlign w:val="center"/>
                </w:tcPr>
                <w:p w14:paraId="2E3CFD61" w14:textId="77777777" w:rsidR="005D6D39" w:rsidRPr="00102634" w:rsidRDefault="005D6D39" w:rsidP="00FF7246">
                  <w:pPr>
                    <w:pStyle w:val="TableText"/>
                    <w:jc w:val="center"/>
                  </w:pPr>
                  <w:r w:rsidRPr="00102634">
                    <w:t>Exponential</w:t>
                  </w:r>
                </w:p>
              </w:tc>
              <w:tc>
                <w:tcPr>
                  <w:tcW w:w="1095" w:type="dxa"/>
                  <w:vAlign w:val="center"/>
                </w:tcPr>
                <w:p w14:paraId="74D12FE7" w14:textId="77777777" w:rsidR="005D6D39" w:rsidRPr="00102634" w:rsidRDefault="005D6D39" w:rsidP="00FF7246">
                  <w:pPr>
                    <w:pStyle w:val="TableText"/>
                    <w:jc w:val="center"/>
                  </w:pPr>
                  <w:r w:rsidRPr="00102634">
                    <w:t>NA</w:t>
                  </w:r>
                </w:p>
              </w:tc>
            </w:tr>
          </w:tbl>
          <w:p w14:paraId="42D485D6" w14:textId="77777777" w:rsidR="005D6D39" w:rsidRPr="00102634" w:rsidRDefault="005D6D39">
            <w:pPr>
              <w:pStyle w:val="TableFigureFooter"/>
            </w:pPr>
            <w:r w:rsidRPr="00102634">
              <w:t>Source: Section 3.4.2 and 3.4.3 of the submission</w:t>
            </w:r>
          </w:p>
          <w:p w14:paraId="6E1F4B7D" w14:textId="77777777" w:rsidR="005D6D39" w:rsidRPr="00102634" w:rsidRDefault="005D6D39">
            <w:pPr>
              <w:pStyle w:val="TableText"/>
            </w:pPr>
          </w:p>
          <w:p w14:paraId="419FF811" w14:textId="77777777" w:rsidR="005D6D39" w:rsidRPr="00102634" w:rsidRDefault="005D6D39">
            <w:pPr>
              <w:pStyle w:val="TableText"/>
            </w:pPr>
            <w:r w:rsidRPr="00102634">
              <w:t>In the test scenario (branches P1-P6), 71% of QALYs gained and 34% of total costs occur in the extrapolated period. In the no test scenario (branches C1-C2), 68% of QALYs gained and 39% of total costs occur in the extrapolated period.</w:t>
            </w:r>
          </w:p>
        </w:tc>
      </w:tr>
      <w:tr w:rsidR="005D6D39" w:rsidRPr="00102634" w14:paraId="616A00F5" w14:textId="77777777">
        <w:tc>
          <w:tcPr>
            <w:tcW w:w="1396" w:type="pct"/>
            <w:shd w:val="clear" w:color="auto" w:fill="auto"/>
            <w:vAlign w:val="center"/>
          </w:tcPr>
          <w:p w14:paraId="5F420ABB" w14:textId="77777777" w:rsidR="005D6D39" w:rsidRPr="00102634" w:rsidRDefault="005D6D39">
            <w:pPr>
              <w:pStyle w:val="TableText"/>
            </w:pPr>
            <w:r w:rsidRPr="00102634">
              <w:t>Health related quality of life</w:t>
            </w:r>
          </w:p>
        </w:tc>
        <w:tc>
          <w:tcPr>
            <w:tcW w:w="3604" w:type="pct"/>
            <w:shd w:val="clear" w:color="auto" w:fill="auto"/>
            <w:vAlign w:val="center"/>
          </w:tcPr>
          <w:p w14:paraId="03A28BAB" w14:textId="77777777" w:rsidR="005D6D39" w:rsidRPr="00102634" w:rsidRDefault="005D6D39">
            <w:pPr>
              <w:pStyle w:val="TableText"/>
            </w:pPr>
            <w:r w:rsidRPr="00102634">
              <w:t>PF = 0.784. Based on EQ-5D-5L data from CAPItello-291 transformed using algorithm by Viney 2011.</w:t>
            </w:r>
          </w:p>
          <w:p w14:paraId="0DD4C989" w14:textId="77777777" w:rsidR="005D6D39" w:rsidRPr="00102634" w:rsidRDefault="005D6D39">
            <w:pPr>
              <w:pStyle w:val="TableText"/>
            </w:pPr>
          </w:p>
          <w:p w14:paraId="374438E7" w14:textId="77777777" w:rsidR="005D6D39" w:rsidRPr="00102634" w:rsidRDefault="005D6D39">
            <w:pPr>
              <w:pStyle w:val="TableText"/>
            </w:pPr>
            <w:r w:rsidRPr="00102634">
              <w:t xml:space="preserve">PD = 0.623. Based on the average of PD utility values from CAPitello-291 (transformed using Viney 2011) and external sources (Lloyd 2006, previous PBAC considerations including: Olaparib PSD March 2023/November 2023, Olaparib PSD July 2024, Atezolizumab PSD March 2021, Pembrolizumab PSD March 2023, Trastuzumab PSD July 2022, and Sacituzumab </w:t>
            </w:r>
            <w:proofErr w:type="spellStart"/>
            <w:r w:rsidRPr="00102634">
              <w:t>govitecan</w:t>
            </w:r>
            <w:proofErr w:type="spellEnd"/>
            <w:r w:rsidRPr="00102634">
              <w:t xml:space="preserve"> PSD July 2023)</w:t>
            </w:r>
          </w:p>
          <w:p w14:paraId="4F47CF3B" w14:textId="77777777" w:rsidR="005D6D39" w:rsidRPr="00102634" w:rsidRDefault="005D6D39">
            <w:pPr>
              <w:pStyle w:val="TableText"/>
            </w:pPr>
          </w:p>
          <w:p w14:paraId="10E5F80F" w14:textId="1EE9C62E" w:rsidR="005D6D39" w:rsidRPr="00102634" w:rsidRDefault="005D6D39">
            <w:pPr>
              <w:pStyle w:val="TableText"/>
            </w:pPr>
            <w:r w:rsidRPr="00102634">
              <w:t xml:space="preserve">AE </w:t>
            </w:r>
            <w:proofErr w:type="spellStart"/>
            <w:r w:rsidRPr="00102634">
              <w:t>disutilities</w:t>
            </w:r>
            <w:proofErr w:type="spellEnd"/>
            <w:r w:rsidRPr="00102634">
              <w:t xml:space="preserve"> included diarrhoea, rash maculopapular, rash, hyperglycaemia, hypokalaemia. AE rates were from CAPItello-291, and disutility values informed by Nafees 2008, Evans 2023, and Huxley 2017.</w:t>
            </w:r>
            <w:r w:rsidR="0022747C">
              <w:t xml:space="preserve"> </w:t>
            </w:r>
            <w:proofErr w:type="spellStart"/>
            <w:r w:rsidR="0022747C">
              <w:t>Disutilities</w:t>
            </w:r>
            <w:proofErr w:type="spellEnd"/>
            <w:r w:rsidR="0022747C">
              <w:t xml:space="preserve"> associated false positive or false negative test results were not considered by the submission.</w:t>
            </w:r>
          </w:p>
        </w:tc>
      </w:tr>
      <w:tr w:rsidR="005D6D39" w:rsidRPr="00102634" w14:paraId="5ECAD2C5" w14:textId="77777777">
        <w:tc>
          <w:tcPr>
            <w:tcW w:w="1396" w:type="pct"/>
            <w:shd w:val="clear" w:color="auto" w:fill="auto"/>
            <w:vAlign w:val="center"/>
          </w:tcPr>
          <w:p w14:paraId="3AB3A8F8" w14:textId="77777777" w:rsidR="005D6D39" w:rsidRPr="00102634" w:rsidRDefault="005D6D39">
            <w:pPr>
              <w:pStyle w:val="TableText"/>
            </w:pPr>
            <w:r w:rsidRPr="00102634">
              <w:t>Healthcare resource use and costs</w:t>
            </w:r>
          </w:p>
        </w:tc>
        <w:tc>
          <w:tcPr>
            <w:tcW w:w="3604" w:type="pct"/>
            <w:shd w:val="clear" w:color="auto" w:fill="auto"/>
            <w:vAlign w:val="center"/>
          </w:tcPr>
          <w:p w14:paraId="19661680" w14:textId="77777777" w:rsidR="005D6D39" w:rsidRPr="00102634" w:rsidRDefault="005D6D39">
            <w:pPr>
              <w:pStyle w:val="TableText"/>
            </w:pPr>
            <w:r w:rsidRPr="00102634">
              <w:t>The submission included the following:</w:t>
            </w:r>
          </w:p>
          <w:p w14:paraId="7C79EF42" w14:textId="77777777" w:rsidR="005D6D39" w:rsidRPr="00102634" w:rsidRDefault="005D6D39" w:rsidP="0045462B">
            <w:pPr>
              <w:pStyle w:val="TableText"/>
              <w:numPr>
                <w:ilvl w:val="0"/>
                <w:numId w:val="17"/>
              </w:numPr>
            </w:pPr>
            <w:r w:rsidRPr="00102634">
              <w:t xml:space="preserve">Testing costs (proposed </w:t>
            </w:r>
            <w:r w:rsidRPr="000804D1">
              <w:t>fee $2,200 per</w:t>
            </w:r>
            <w:r w:rsidRPr="00102634">
              <w:t xml:space="preserve"> test) </w:t>
            </w:r>
          </w:p>
          <w:p w14:paraId="6CDCB11B" w14:textId="77777777" w:rsidR="005D6D39" w:rsidRPr="00102634" w:rsidRDefault="005D6D39" w:rsidP="0045462B">
            <w:pPr>
              <w:pStyle w:val="TableText"/>
              <w:numPr>
                <w:ilvl w:val="0"/>
                <w:numId w:val="17"/>
              </w:numPr>
            </w:pPr>
            <w:r w:rsidRPr="00102634">
              <w:t>CAPI costs (Treatment duration informed by TTD curves from CAPItello-291)</w:t>
            </w:r>
          </w:p>
          <w:p w14:paraId="69835C01" w14:textId="3F377C4E" w:rsidR="005D6D39" w:rsidRPr="00102634" w:rsidRDefault="005D6D39" w:rsidP="0045462B">
            <w:pPr>
              <w:pStyle w:val="TableText"/>
              <w:numPr>
                <w:ilvl w:val="0"/>
                <w:numId w:val="17"/>
              </w:numPr>
            </w:pPr>
            <w:r w:rsidRPr="00102634">
              <w:t>FULV costs (Treatment duration from CAPItello-291)</w:t>
            </w:r>
          </w:p>
          <w:p w14:paraId="6F6D94A9" w14:textId="77777777" w:rsidR="005D6D39" w:rsidRPr="00102634" w:rsidRDefault="005D6D39" w:rsidP="0045462B">
            <w:pPr>
              <w:pStyle w:val="TableText"/>
              <w:numPr>
                <w:ilvl w:val="0"/>
                <w:numId w:val="17"/>
              </w:numPr>
            </w:pPr>
            <w:r w:rsidRPr="00102634">
              <w:t>Disease monitoring costs (PF and PD health states; clinical expert opinion)</w:t>
            </w:r>
          </w:p>
          <w:p w14:paraId="59ED12BA" w14:textId="77777777" w:rsidR="005D6D39" w:rsidRPr="00102634" w:rsidRDefault="005D6D39" w:rsidP="0045462B">
            <w:pPr>
              <w:pStyle w:val="TableText"/>
              <w:numPr>
                <w:ilvl w:val="0"/>
                <w:numId w:val="17"/>
              </w:numPr>
            </w:pPr>
            <w:r w:rsidRPr="00102634">
              <w:t>Subsequent anti-cancer therapies (CAPItello-291)</w:t>
            </w:r>
          </w:p>
          <w:p w14:paraId="76F442CF" w14:textId="4D424C65" w:rsidR="005D6D39" w:rsidRPr="00102634" w:rsidRDefault="005D6D39" w:rsidP="0045462B">
            <w:pPr>
              <w:pStyle w:val="TableText"/>
              <w:numPr>
                <w:ilvl w:val="0"/>
                <w:numId w:val="17"/>
              </w:numPr>
            </w:pPr>
            <w:r w:rsidRPr="00102634">
              <w:t xml:space="preserve">Radiotherapy (clinical expert </w:t>
            </w:r>
            <w:r w:rsidR="002642CE" w:rsidRPr="00102634">
              <w:t>opini</w:t>
            </w:r>
            <w:r w:rsidR="002642CE">
              <w:t>o</w:t>
            </w:r>
            <w:r w:rsidR="002642CE" w:rsidRPr="00102634">
              <w:t>n</w:t>
            </w:r>
            <w:r w:rsidRPr="00102634">
              <w:t>)</w:t>
            </w:r>
          </w:p>
          <w:p w14:paraId="13B3E5DB" w14:textId="11347CFE" w:rsidR="005D6D39" w:rsidRPr="00102634" w:rsidRDefault="005D6D39" w:rsidP="0045462B">
            <w:pPr>
              <w:pStyle w:val="TableText"/>
              <w:numPr>
                <w:ilvl w:val="0"/>
                <w:numId w:val="17"/>
              </w:numPr>
            </w:pPr>
            <w:r w:rsidRPr="00102634">
              <w:t>Terminal care costs (informed by Reeve 2018 and T-</w:t>
            </w:r>
            <w:proofErr w:type="spellStart"/>
            <w:r w:rsidRPr="00102634">
              <w:t>D</w:t>
            </w:r>
            <w:r w:rsidR="00FF7246" w:rsidRPr="00102634">
              <w:t>X</w:t>
            </w:r>
            <w:r w:rsidRPr="00102634">
              <w:t>d</w:t>
            </w:r>
            <w:proofErr w:type="spellEnd"/>
            <w:r w:rsidRPr="00102634">
              <w:t xml:space="preserve"> PSD July 2022)</w:t>
            </w:r>
          </w:p>
          <w:p w14:paraId="7785B056" w14:textId="20A5B6F3" w:rsidR="005D6D39" w:rsidRPr="00102634" w:rsidRDefault="005D6D39" w:rsidP="0045462B">
            <w:pPr>
              <w:pStyle w:val="TableText"/>
              <w:numPr>
                <w:ilvl w:val="0"/>
                <w:numId w:val="17"/>
              </w:numPr>
            </w:pPr>
            <w:r w:rsidRPr="00102634">
              <w:t xml:space="preserve">AE management costs on CAPI or FULV (AE frequency in CAPItello-291) and AE management costs post-progression (AE frequency of chemotherapy in </w:t>
            </w:r>
            <w:proofErr w:type="spellStart"/>
            <w:r w:rsidRPr="00102634">
              <w:t>OlympiAD</w:t>
            </w:r>
            <w:proofErr w:type="spellEnd"/>
            <w:r w:rsidRPr="00102634">
              <w:t xml:space="preserve"> </w:t>
            </w:r>
            <w:proofErr w:type="gramStart"/>
            <w:r w:rsidRPr="00102634">
              <w:t>trial)</w:t>
            </w:r>
            <w:r w:rsidR="004E7B83">
              <w:rPr>
                <w:vertAlign w:val="superscript"/>
              </w:rPr>
              <w:t>a</w:t>
            </w:r>
            <w:proofErr w:type="gramEnd"/>
          </w:p>
        </w:tc>
      </w:tr>
    </w:tbl>
    <w:p w14:paraId="2604AF67" w14:textId="77777777" w:rsidR="005D6D39" w:rsidRPr="00102634" w:rsidRDefault="005D6D39" w:rsidP="005D6D39">
      <w:pPr>
        <w:pStyle w:val="TableFooter"/>
      </w:pPr>
      <w:r w:rsidRPr="00102634">
        <w:t>Source: Section 3.2, 3.4, 3.5 of the submission</w:t>
      </w:r>
    </w:p>
    <w:p w14:paraId="1CC9C21C" w14:textId="7E21629E" w:rsidR="005D6D39" w:rsidRDefault="005D6D39" w:rsidP="005D6D39">
      <w:pPr>
        <w:pStyle w:val="TableFooter"/>
      </w:pPr>
      <w:r w:rsidRPr="00102634">
        <w:t xml:space="preserve">AE = adverse event; AKT = </w:t>
      </w:r>
      <w:r w:rsidRPr="2C973C4D">
        <w:rPr>
          <w:color w:val="000000" w:themeColor="text1"/>
        </w:rPr>
        <w:t>serine/threonine kinase</w:t>
      </w:r>
      <w:r w:rsidRPr="00102634">
        <w:t xml:space="preserve">; CAPI = capivasertib; DCO1 = data cutoff 1; EQ-5D = Euro-QoL 5 dimension; FULV = </w:t>
      </w:r>
      <w:proofErr w:type="spellStart"/>
      <w:r w:rsidRPr="00102634">
        <w:t>fulvestrant</w:t>
      </w:r>
      <w:proofErr w:type="spellEnd"/>
      <w:r w:rsidRPr="00102634">
        <w:t xml:space="preserve">; ICER = incremental cost effectiveness ratio; ITT = intention to treat; KM = Kaplan Meier; LYG = life year gained; NA = not applicable; OS = overall survival; </w:t>
      </w:r>
      <w:r w:rsidR="00CF2410">
        <w:t>PBO</w:t>
      </w:r>
      <w:r w:rsidRPr="00102634">
        <w:t xml:space="preserve"> = placebo; PD = progressed disease; PF = progression free; PFS = progression free survival; PSD = Public Summary Document; PSM = partitioned survival model; QALY = quality adjusted life years; T-</w:t>
      </w:r>
      <w:proofErr w:type="spellStart"/>
      <w:r w:rsidRPr="00102634">
        <w:t>D</w:t>
      </w:r>
      <w:r w:rsidR="00FF7246" w:rsidRPr="00102634">
        <w:t>X</w:t>
      </w:r>
      <w:r w:rsidRPr="00102634">
        <w:t>d</w:t>
      </w:r>
      <w:proofErr w:type="spellEnd"/>
      <w:r w:rsidRPr="00102634">
        <w:t xml:space="preserve"> = trastuzumab </w:t>
      </w:r>
      <w:proofErr w:type="spellStart"/>
      <w:r w:rsidRPr="00102634">
        <w:t>deruxtecan</w:t>
      </w:r>
      <w:proofErr w:type="spellEnd"/>
      <w:r w:rsidRPr="00102634">
        <w:t>; TTD = time to treatment discontinuation</w:t>
      </w:r>
    </w:p>
    <w:p w14:paraId="435CCC61" w14:textId="35A8B90F" w:rsidR="0022747C" w:rsidRPr="00102634" w:rsidRDefault="004E7B83" w:rsidP="005D6D39">
      <w:pPr>
        <w:pStyle w:val="TableFooter"/>
      </w:pPr>
      <w:r>
        <w:rPr>
          <w:vertAlign w:val="superscript"/>
        </w:rPr>
        <w:t xml:space="preserve">a </w:t>
      </w:r>
      <w:proofErr w:type="spellStart"/>
      <w:r w:rsidR="0022747C">
        <w:t>OlympiAD</w:t>
      </w:r>
      <w:proofErr w:type="spellEnd"/>
      <w:r w:rsidR="0022747C">
        <w:t xml:space="preserve"> trial wa</w:t>
      </w:r>
      <w:r w:rsidR="00D10969">
        <w:t xml:space="preserve">s a randomised controlled trial that compared olaparib with standard therapy in patients with a germline </w:t>
      </w:r>
      <w:r w:rsidR="00D10969" w:rsidRPr="00D10969">
        <w:rPr>
          <w:i/>
          <w:iCs/>
        </w:rPr>
        <w:t>BRCA</w:t>
      </w:r>
      <w:r w:rsidR="00D10969">
        <w:t xml:space="preserve"> mutation and </w:t>
      </w:r>
      <w:r w:rsidR="00C86A91">
        <w:t>hormone receptor-positive/</w:t>
      </w:r>
      <w:r w:rsidR="00D10969">
        <w:t>human epidermal growth factor receptor type 2-negative metastatic breast cancer w</w:t>
      </w:r>
      <w:r w:rsidR="00D10969" w:rsidRPr="00D10969">
        <w:t>ho had received no more than two previous chemotherapy regimens for metastatic disease</w:t>
      </w:r>
      <w:r w:rsidR="00D10969">
        <w:t>.</w:t>
      </w:r>
    </w:p>
    <w:p w14:paraId="03286ECA" w14:textId="5C7D9050"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structure of the economic model is shown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_Ref174965837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Figure </w:t>
      </w:r>
      <w:r w:rsidR="0016064D" w:rsidRPr="00C24C30">
        <w:rPr>
          <w:rFonts w:ascii="Franklin Gothic Book" w:hAnsi="Franklin Gothic Book"/>
          <w:noProof/>
          <w:sz w:val="22"/>
        </w:rPr>
        <w:t>1</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w:t>
      </w:r>
    </w:p>
    <w:p w14:paraId="02882A86" w14:textId="19C4908C" w:rsidR="00231ADA" w:rsidRPr="00102634" w:rsidRDefault="00231ADA" w:rsidP="003F6F2A">
      <w:pPr>
        <w:pStyle w:val="Caption"/>
      </w:pPr>
      <w:bookmarkStart w:id="43" w:name="_Ref174965837"/>
      <w:r w:rsidRPr="00102634">
        <w:lastRenderedPageBreak/>
        <w:t xml:space="preserve">Figure </w:t>
      </w:r>
      <w:r w:rsidR="0016064D">
        <w:fldChar w:fldCharType="begin"/>
      </w:r>
      <w:r w:rsidR="0016064D">
        <w:instrText xml:space="preserve"> SEQ Figure_MSAC. \* ARABIC </w:instrText>
      </w:r>
      <w:r w:rsidR="0016064D">
        <w:fldChar w:fldCharType="separate"/>
      </w:r>
      <w:r w:rsidR="0016064D">
        <w:rPr>
          <w:noProof/>
        </w:rPr>
        <w:t>1</w:t>
      </w:r>
      <w:r w:rsidR="0016064D">
        <w:rPr>
          <w:noProof/>
        </w:rPr>
        <w:fldChar w:fldCharType="end"/>
      </w:r>
      <w:bookmarkEnd w:id="43"/>
      <w:r w:rsidRPr="00102634">
        <w:t xml:space="preserve">: Model structure </w:t>
      </w:r>
    </w:p>
    <w:p w14:paraId="412EDADA" w14:textId="77777777" w:rsidR="005D6D39" w:rsidRPr="00102634" w:rsidRDefault="005D6D39" w:rsidP="005D6D39">
      <w:r w:rsidRPr="00102634">
        <w:rPr>
          <w:noProof/>
          <w:color w:val="2B579A"/>
          <w:shd w:val="clear" w:color="auto" w:fill="E6E6E6"/>
          <w:lang w:eastAsia="en-AU"/>
        </w:rPr>
        <w:drawing>
          <wp:inline distT="0" distB="0" distL="0" distR="0" wp14:anchorId="037667E2" wp14:editId="29D836C0">
            <wp:extent cx="5731510" cy="1973580"/>
            <wp:effectExtent l="0" t="0" r="0" b="0"/>
            <wp:docPr id="1204438965" name="Picture 1" descr="Model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38965" name="Picture 1" descr="Model structure "/>
                    <pic:cNvPicPr/>
                  </pic:nvPicPr>
                  <pic:blipFill>
                    <a:blip r:embed="rId9"/>
                    <a:stretch>
                      <a:fillRect/>
                    </a:stretch>
                  </pic:blipFill>
                  <pic:spPr>
                    <a:xfrm>
                      <a:off x="0" y="0"/>
                      <a:ext cx="5731510" cy="1973580"/>
                    </a:xfrm>
                    <a:prstGeom prst="rect">
                      <a:avLst/>
                    </a:prstGeom>
                  </pic:spPr>
                </pic:pic>
              </a:graphicData>
            </a:graphic>
          </wp:inline>
        </w:drawing>
      </w:r>
    </w:p>
    <w:p w14:paraId="28BA29CE" w14:textId="77777777" w:rsidR="005D6D39" w:rsidRPr="00102634" w:rsidRDefault="005D6D39" w:rsidP="005D6D39">
      <w:pPr>
        <w:pStyle w:val="TableFigureFooter"/>
      </w:pPr>
      <w:r w:rsidRPr="00102634">
        <w:t>Source: ’Model Outline’ worksheet from the economic model</w:t>
      </w:r>
    </w:p>
    <w:p w14:paraId="08E2980F" w14:textId="77777777" w:rsidR="005D6D39" w:rsidRPr="00102634" w:rsidRDefault="005D6D39" w:rsidP="005D6D39">
      <w:pPr>
        <w:pStyle w:val="TableFigureFooter"/>
      </w:pPr>
      <w:r w:rsidRPr="00102634">
        <w:t xml:space="preserve">CAPI = capivasertib; FULV = </w:t>
      </w:r>
      <w:proofErr w:type="spellStart"/>
      <w:r w:rsidRPr="00102634">
        <w:t>fulvestrant</w:t>
      </w:r>
      <w:proofErr w:type="spellEnd"/>
      <w:r w:rsidRPr="00102634">
        <w:t>; HR+ = hormone receptor positive; HER2- = Human epidermal growth factor receptor 2 negative; ITT = intention to treat</w:t>
      </w:r>
    </w:p>
    <w:p w14:paraId="77F03137" w14:textId="08C66318"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submission (p178) assumed that patients eligible for AKT pathway testing enter the model and testing occurs </w:t>
      </w:r>
      <w:r w:rsidRPr="00C24C30">
        <w:rPr>
          <w:rFonts w:ascii="Franklin Gothic Book" w:hAnsi="Franklin Gothic Book"/>
          <w:sz w:val="22"/>
          <w:lang w:eastAsia="zh-CN"/>
        </w:rPr>
        <w:t xml:space="preserve">at or soon after </w:t>
      </w:r>
      <w:r w:rsidRPr="00C24C30">
        <w:rPr>
          <w:rFonts w:ascii="Franklin Gothic Book" w:hAnsi="Franklin Gothic Book"/>
          <w:sz w:val="22"/>
        </w:rPr>
        <w:t>diagnosis of HR+/HER2- locally advanced or metastatic disease</w:t>
      </w:r>
      <w:r w:rsidR="78C17A73" w:rsidRPr="00C24C30">
        <w:rPr>
          <w:rFonts w:ascii="Franklin Gothic Book" w:hAnsi="Franklin Gothic Book"/>
          <w:sz w:val="22"/>
        </w:rPr>
        <w:t>,</w:t>
      </w:r>
      <w:r w:rsidRPr="00C24C30">
        <w:rPr>
          <w:rFonts w:ascii="Franklin Gothic Book" w:hAnsi="Franklin Gothic Book"/>
          <w:sz w:val="22"/>
        </w:rPr>
        <w:t xml:space="preserve"> or at disease progression to metastatic disease setting. Under the proposed test scenario, patients undergo AKT pathway testing and will either receive a test result or the test fails (due to insufficient sample). Positive patients are treated with CAPI+FULV; negative patients are treated with placebo + FULV; and test failure patients are treated with placebo + FULV. Under the comparator scenario, patients do no</w:t>
      </w:r>
      <w:r w:rsidR="00623B9C" w:rsidRPr="00C24C30">
        <w:rPr>
          <w:rFonts w:ascii="Franklin Gothic Book" w:hAnsi="Franklin Gothic Book"/>
          <w:sz w:val="22"/>
        </w:rPr>
        <w:t>t</w:t>
      </w:r>
      <w:r w:rsidRPr="00C24C30">
        <w:rPr>
          <w:rFonts w:ascii="Franklin Gothic Book" w:hAnsi="Franklin Gothic Book"/>
          <w:sz w:val="22"/>
        </w:rPr>
        <w:t xml:space="preserve"> undergo </w:t>
      </w:r>
      <w:proofErr w:type="gramStart"/>
      <w:r w:rsidRPr="00C24C30">
        <w:rPr>
          <w:rFonts w:ascii="Franklin Gothic Book" w:hAnsi="Franklin Gothic Book"/>
          <w:sz w:val="22"/>
        </w:rPr>
        <w:t>testing</w:t>
      </w:r>
      <w:proofErr w:type="gramEnd"/>
      <w:r w:rsidRPr="00C24C30">
        <w:rPr>
          <w:rFonts w:ascii="Franklin Gothic Book" w:hAnsi="Franklin Gothic Book"/>
          <w:sz w:val="22"/>
        </w:rPr>
        <w:t xml:space="preserve"> and all patients are treated with placebo + FULV.</w:t>
      </w:r>
    </w:p>
    <w:p w14:paraId="549D0CE8" w14:textId="190F3658"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commentary considered the comparison between the proposed test scenario and comparator test scenario was appropriate for the claims made in the submission. However, the commentary noted there was uncertainty </w:t>
      </w:r>
      <w:r w:rsidR="7D49E4BB" w:rsidRPr="00C24C30">
        <w:rPr>
          <w:rFonts w:ascii="Franklin Gothic Book" w:hAnsi="Franklin Gothic Book"/>
          <w:sz w:val="22"/>
        </w:rPr>
        <w:t xml:space="preserve">in </w:t>
      </w:r>
      <w:r w:rsidRPr="00C24C30">
        <w:rPr>
          <w:rFonts w:ascii="Franklin Gothic Book" w:hAnsi="Franklin Gothic Book"/>
          <w:sz w:val="22"/>
        </w:rPr>
        <w:t>unequivocally excluding the complement subgroup (non-positive AKT pathway altered patients) from treatment with CAPI+FULV. A scenario analysis</w:t>
      </w:r>
      <w:r w:rsidRPr="00C24C30" w:rsidDel="00FD1237">
        <w:rPr>
          <w:rFonts w:ascii="Franklin Gothic Book" w:hAnsi="Franklin Gothic Book"/>
          <w:sz w:val="22"/>
        </w:rPr>
        <w:t xml:space="preserve"> </w:t>
      </w:r>
      <w:r w:rsidR="00623FC7" w:rsidRPr="00C24C30">
        <w:rPr>
          <w:rFonts w:ascii="Franklin Gothic Book" w:hAnsi="Franklin Gothic Book"/>
          <w:sz w:val="22"/>
        </w:rPr>
        <w:t>was performed</w:t>
      </w:r>
      <w:r w:rsidR="00FD1237" w:rsidRPr="00C24C30">
        <w:rPr>
          <w:rFonts w:ascii="Franklin Gothic Book" w:hAnsi="Franklin Gothic Book"/>
          <w:sz w:val="22"/>
        </w:rPr>
        <w:t xml:space="preserve"> during the evaluation</w:t>
      </w:r>
      <w:r w:rsidR="00623FC7" w:rsidRPr="00C24C30">
        <w:rPr>
          <w:rFonts w:ascii="Franklin Gothic Book" w:hAnsi="Franklin Gothic Book"/>
          <w:sz w:val="22"/>
        </w:rPr>
        <w:t xml:space="preserve">, </w:t>
      </w:r>
      <w:r w:rsidR="00FD1237" w:rsidRPr="00C24C30">
        <w:rPr>
          <w:rFonts w:ascii="Franklin Gothic Book" w:hAnsi="Franklin Gothic Book"/>
          <w:sz w:val="22"/>
        </w:rPr>
        <w:t xml:space="preserve">that assumed no AKT pathway testing and </w:t>
      </w:r>
      <w:r w:rsidRPr="00C24C30">
        <w:rPr>
          <w:rFonts w:ascii="Franklin Gothic Book" w:hAnsi="Franklin Gothic Book"/>
          <w:sz w:val="22"/>
        </w:rPr>
        <w:t>the non-biomarker select</w:t>
      </w:r>
      <w:r w:rsidR="00FD1237" w:rsidRPr="00C24C30">
        <w:rPr>
          <w:rFonts w:ascii="Franklin Gothic Book" w:hAnsi="Franklin Gothic Book"/>
          <w:sz w:val="22"/>
        </w:rPr>
        <w:t>ed</w:t>
      </w:r>
      <w:r w:rsidRPr="00C24C30">
        <w:rPr>
          <w:rFonts w:ascii="Franklin Gothic Book" w:hAnsi="Franklin Gothic Book"/>
          <w:sz w:val="22"/>
        </w:rPr>
        <w:t xml:space="preserve"> population were treated with CAPI+FULV </w:t>
      </w:r>
      <w:r w:rsidR="00FD1237" w:rsidRPr="00C24C30">
        <w:rPr>
          <w:rFonts w:ascii="Franklin Gothic Book" w:hAnsi="Franklin Gothic Book"/>
          <w:sz w:val="22"/>
        </w:rPr>
        <w:t xml:space="preserve">(this </w:t>
      </w:r>
      <w:r w:rsidRPr="00C24C30">
        <w:rPr>
          <w:rFonts w:ascii="Franklin Gothic Book" w:hAnsi="Franklin Gothic Book"/>
          <w:sz w:val="22"/>
        </w:rPr>
        <w:t>was not conducted in the submission</w:t>
      </w:r>
      <w:r w:rsidR="00FD1237" w:rsidRPr="00C24C30">
        <w:rPr>
          <w:rFonts w:ascii="Franklin Gothic Book" w:hAnsi="Franklin Gothic Book"/>
          <w:sz w:val="22"/>
        </w:rPr>
        <w:t>)</w:t>
      </w:r>
      <w:r w:rsidRPr="00C24C30">
        <w:rPr>
          <w:rFonts w:ascii="Franklin Gothic Book" w:hAnsi="Franklin Gothic Book"/>
          <w:sz w:val="22"/>
        </w:rPr>
        <w:t xml:space="preserve">. This </w:t>
      </w:r>
      <w:r w:rsidR="0008670A" w:rsidRPr="00C24C30">
        <w:rPr>
          <w:rFonts w:ascii="Franklin Gothic Book" w:hAnsi="Franklin Gothic Book"/>
          <w:sz w:val="22"/>
        </w:rPr>
        <w:t xml:space="preserve">scenario analysis </w:t>
      </w:r>
      <w:r w:rsidRPr="00C24C30">
        <w:rPr>
          <w:rFonts w:ascii="Franklin Gothic Book" w:hAnsi="Franklin Gothic Book"/>
          <w:sz w:val="22"/>
        </w:rPr>
        <w:t xml:space="preserve">led to a </w:t>
      </w:r>
      <w:r w:rsidR="6ED4BD7E" w:rsidRPr="10812078">
        <w:rPr>
          <w:rFonts w:ascii="Franklin Gothic Book" w:hAnsi="Franklin Gothic Book"/>
          <w:b/>
          <w:bCs/>
          <w:sz w:val="22"/>
        </w:rPr>
        <w:t>redacted</w:t>
      </w:r>
      <w:r w:rsidR="28A13AA3" w:rsidRPr="10812078">
        <w:rPr>
          <w:rFonts w:ascii="Franklin Gothic Book" w:hAnsi="Franklin Gothic Book"/>
          <w:sz w:val="22"/>
        </w:rPr>
        <w:t>%</w:t>
      </w:r>
      <w:r w:rsidRPr="00C24C30">
        <w:rPr>
          <w:rFonts w:ascii="Franklin Gothic Book" w:hAnsi="Franklin Gothic Book"/>
          <w:sz w:val="22"/>
        </w:rPr>
        <w:t xml:space="preserve"> increase in the incremental cost effectiveness ratio (ICER). </w:t>
      </w:r>
    </w:p>
    <w:p w14:paraId="2804F8EC" w14:textId="461C7CF2" w:rsidR="005D6D39" w:rsidRPr="00C24C30" w:rsidRDefault="005D6D39" w:rsidP="005D6D39">
      <w:pPr>
        <w:rPr>
          <w:rFonts w:ascii="Franklin Gothic Book" w:hAnsi="Franklin Gothic Book"/>
          <w:sz w:val="22"/>
        </w:rPr>
      </w:pPr>
      <w:r w:rsidRPr="00C24C30">
        <w:rPr>
          <w:rFonts w:ascii="Franklin Gothic Book" w:hAnsi="Franklin Gothic Book"/>
          <w:sz w:val="22"/>
        </w:rPr>
        <w:t>The commentary considered the data sources informing the test branches were broadly reasonable</w:t>
      </w:r>
      <w:r w:rsidR="702D2465" w:rsidRPr="00C24C30">
        <w:rPr>
          <w:rFonts w:ascii="Franklin Gothic Book" w:hAnsi="Franklin Gothic Book"/>
          <w:sz w:val="22"/>
        </w:rPr>
        <w:t>;</w:t>
      </w:r>
      <w:r w:rsidRPr="00C24C30">
        <w:rPr>
          <w:rFonts w:ascii="Franklin Gothic Book" w:hAnsi="Franklin Gothic Book"/>
          <w:sz w:val="22"/>
        </w:rPr>
        <w:t xml:space="preserve"> however, </w:t>
      </w:r>
      <w:proofErr w:type="gramStart"/>
      <w:r w:rsidRPr="00C24C30">
        <w:rPr>
          <w:rFonts w:ascii="Franklin Gothic Book" w:hAnsi="Franklin Gothic Book"/>
          <w:sz w:val="22"/>
        </w:rPr>
        <w:t>assuming that</w:t>
      </w:r>
      <w:proofErr w:type="gramEnd"/>
      <w:r w:rsidRPr="00C24C30">
        <w:rPr>
          <w:rFonts w:ascii="Franklin Gothic Book" w:hAnsi="Franklin Gothic Book"/>
          <w:sz w:val="22"/>
        </w:rPr>
        <w:t xml:space="preserve"> non-positive AKT pathway altered patients and patients who do not test would elect treatment with placebo + FULV may not be representative of clinical practice. The commentary acknowledge</w:t>
      </w:r>
      <w:r w:rsidR="00872208" w:rsidRPr="00C24C30">
        <w:rPr>
          <w:rFonts w:ascii="Franklin Gothic Book" w:hAnsi="Franklin Gothic Book"/>
          <w:sz w:val="22"/>
        </w:rPr>
        <w:t>d</w:t>
      </w:r>
      <w:r w:rsidRPr="00C24C30">
        <w:rPr>
          <w:rFonts w:ascii="Franklin Gothic Book" w:hAnsi="Franklin Gothic Book"/>
          <w:sz w:val="22"/>
        </w:rPr>
        <w:t xml:space="preserve"> that the comparator in CAPItello-291 was placebo + FULV</w:t>
      </w:r>
      <w:r w:rsidR="64E0DD0D" w:rsidRPr="00C24C30">
        <w:rPr>
          <w:rFonts w:ascii="Franklin Gothic Book" w:hAnsi="Franklin Gothic Book"/>
          <w:sz w:val="22"/>
        </w:rPr>
        <w:t>;</w:t>
      </w:r>
      <w:r w:rsidRPr="00C24C30">
        <w:rPr>
          <w:rFonts w:ascii="Franklin Gothic Book" w:hAnsi="Franklin Gothic Book"/>
          <w:sz w:val="22"/>
        </w:rPr>
        <w:t xml:space="preserve"> however, in clinical practice, patients may elect </w:t>
      </w:r>
      <w:r w:rsidR="1D57883B" w:rsidRPr="00C24C30">
        <w:rPr>
          <w:rFonts w:ascii="Franklin Gothic Book" w:hAnsi="Franklin Gothic Book"/>
          <w:sz w:val="22"/>
        </w:rPr>
        <w:t xml:space="preserve">for </w:t>
      </w:r>
      <w:r w:rsidRPr="00C24C30">
        <w:rPr>
          <w:rFonts w:ascii="Franklin Gothic Book" w:hAnsi="Franklin Gothic Book"/>
          <w:sz w:val="22"/>
        </w:rPr>
        <w:t>other therapies since FULV monotherapy is not the established SOC in the 1L or 2L setting and beyond (e.g., ET+CDK4/6 inhibitor, EVE+EXE, T-</w:t>
      </w:r>
      <w:proofErr w:type="spellStart"/>
      <w:r w:rsidRPr="00C24C30">
        <w:rPr>
          <w:rFonts w:ascii="Franklin Gothic Book" w:hAnsi="Franklin Gothic Book"/>
          <w:sz w:val="22"/>
        </w:rPr>
        <w:t>DXd</w:t>
      </w:r>
      <w:proofErr w:type="spellEnd"/>
      <w:r w:rsidRPr="00C24C30">
        <w:rPr>
          <w:rFonts w:ascii="Franklin Gothic Book" w:hAnsi="Franklin Gothic Book"/>
          <w:sz w:val="22"/>
        </w:rPr>
        <w:t xml:space="preserve">, olaparib). The incremental benefit is considered potentially </w:t>
      </w:r>
      <w:r w:rsidR="00623FC7" w:rsidRPr="00C24C30">
        <w:rPr>
          <w:rFonts w:ascii="Franklin Gothic Book" w:hAnsi="Franklin Gothic Book"/>
          <w:sz w:val="22"/>
        </w:rPr>
        <w:t xml:space="preserve">overestimated </w:t>
      </w:r>
      <w:r w:rsidRPr="00C24C30">
        <w:rPr>
          <w:rFonts w:ascii="Franklin Gothic Book" w:hAnsi="Franklin Gothic Book"/>
          <w:sz w:val="22"/>
        </w:rPr>
        <w:t xml:space="preserve">compared to clinical practice by the commentary. </w:t>
      </w:r>
    </w:p>
    <w:p w14:paraId="61CE4B00" w14:textId="46B39F7F" w:rsidR="005D6D39" w:rsidRPr="00C24C30" w:rsidRDefault="005D6D39" w:rsidP="005D6D39">
      <w:pPr>
        <w:rPr>
          <w:rFonts w:ascii="Franklin Gothic Book" w:hAnsi="Franklin Gothic Book"/>
          <w:sz w:val="22"/>
        </w:rPr>
      </w:pPr>
      <w:r w:rsidRPr="00C24C30">
        <w:rPr>
          <w:rFonts w:ascii="Franklin Gothic Book" w:hAnsi="Franklin Gothic Book"/>
          <w:sz w:val="22"/>
        </w:rPr>
        <w:t>Furthermore, the submission inconsistently defined the test setting as being in the 1L only (page 217), 1L and 2L (page 186), or in all lines of the advanced or metastatic setting (p178). This created confusion as to the time at which patients are intended to undergo testing and treatment with CAPI+FULV. The MBS item descriptor required patients to have progressed on an ET prior to being eligible for testing and would technically allow patients to be test</w:t>
      </w:r>
      <w:r w:rsidR="45439FFD" w:rsidRPr="00C24C30">
        <w:rPr>
          <w:rFonts w:ascii="Franklin Gothic Book" w:hAnsi="Franklin Gothic Book"/>
          <w:sz w:val="22"/>
        </w:rPr>
        <w:t>ed</w:t>
      </w:r>
      <w:r w:rsidRPr="00C24C30">
        <w:rPr>
          <w:rFonts w:ascii="Franklin Gothic Book" w:hAnsi="Franklin Gothic Book"/>
          <w:sz w:val="22"/>
        </w:rPr>
        <w:t xml:space="preserve"> at any stage of the advanced or metastatic setting (the MBS item descriptor as it stands would also allow </w:t>
      </w:r>
      <w:r w:rsidRPr="00C24C30">
        <w:rPr>
          <w:rFonts w:ascii="Franklin Gothic Book" w:hAnsi="Franklin Gothic Book"/>
          <w:i/>
          <w:iCs/>
          <w:sz w:val="22"/>
        </w:rPr>
        <w:t>de novo</w:t>
      </w:r>
      <w:r w:rsidRPr="00C24C30">
        <w:rPr>
          <w:rFonts w:ascii="Franklin Gothic Book" w:hAnsi="Franklin Gothic Book"/>
          <w:sz w:val="22"/>
        </w:rPr>
        <w:t xml:space="preserve"> patients, but this requires clarification from the </w:t>
      </w:r>
      <w:r w:rsidR="044E8D98" w:rsidRPr="00C24C30">
        <w:rPr>
          <w:rFonts w:ascii="Franklin Gothic Book" w:hAnsi="Franklin Gothic Book"/>
          <w:sz w:val="22"/>
        </w:rPr>
        <w:t>s</w:t>
      </w:r>
      <w:r w:rsidR="0038C535" w:rsidRPr="00C24C30">
        <w:rPr>
          <w:rFonts w:ascii="Franklin Gothic Book" w:hAnsi="Franklin Gothic Book"/>
          <w:sz w:val="22"/>
        </w:rPr>
        <w:t>ponsor).</w:t>
      </w:r>
      <w:r w:rsidRPr="00C24C30">
        <w:rPr>
          <w:rFonts w:ascii="Franklin Gothic Book" w:hAnsi="Franklin Gothic Book"/>
          <w:sz w:val="22"/>
        </w:rPr>
        <w:t xml:space="preserve"> Based on the distribution in CAPItello-291, which was the basis for most of the efficacy inputs in the model, this may suggest that patients were predominantly treated in the 2L setting (~62-64%), </w:t>
      </w:r>
      <w:r w:rsidR="5EA8FCCF" w:rsidRPr="00C24C30">
        <w:rPr>
          <w:rFonts w:ascii="Franklin Gothic Book" w:hAnsi="Franklin Gothic Book"/>
          <w:sz w:val="22"/>
        </w:rPr>
        <w:t>al</w:t>
      </w:r>
      <w:r w:rsidR="0038C535" w:rsidRPr="00C24C30">
        <w:rPr>
          <w:rFonts w:ascii="Franklin Gothic Book" w:hAnsi="Franklin Gothic Book"/>
          <w:sz w:val="22"/>
        </w:rPr>
        <w:t>though</w:t>
      </w:r>
      <w:r w:rsidRPr="00C24C30">
        <w:rPr>
          <w:rFonts w:ascii="Franklin Gothic Book" w:hAnsi="Franklin Gothic Book"/>
          <w:sz w:val="22"/>
        </w:rPr>
        <w:t xml:space="preserve"> ~21% </w:t>
      </w:r>
      <w:r w:rsidR="2851F7B7" w:rsidRPr="00C24C30">
        <w:rPr>
          <w:rFonts w:ascii="Franklin Gothic Book" w:hAnsi="Franklin Gothic Book"/>
          <w:sz w:val="22"/>
        </w:rPr>
        <w:t xml:space="preserve">of patients </w:t>
      </w:r>
      <w:r w:rsidRPr="00C24C30">
        <w:rPr>
          <w:rFonts w:ascii="Franklin Gothic Book" w:hAnsi="Franklin Gothic Book"/>
          <w:sz w:val="22"/>
        </w:rPr>
        <w:t xml:space="preserve">were tested and treated in the 3L and ~4% in the 4L setting. Nonetheless, the treatment line at which patients are intended to be tested and treated was not made clear in the submission, and this added uncertainty to the applicability of incremental costs and benefits from the model to clinical practice (e.g., the comparative benefit may vary across treatment lines). </w:t>
      </w:r>
    </w:p>
    <w:p w14:paraId="422033F7" w14:textId="6E215AC5" w:rsidR="005D6D39" w:rsidRPr="00C24C30" w:rsidRDefault="005D6D39" w:rsidP="005D6D39">
      <w:pPr>
        <w:rPr>
          <w:rFonts w:ascii="Franklin Gothic Book" w:hAnsi="Franklin Gothic Book"/>
          <w:sz w:val="22"/>
        </w:rPr>
      </w:pPr>
      <w:r w:rsidRPr="00C24C30">
        <w:rPr>
          <w:rFonts w:ascii="Franklin Gothic Book" w:hAnsi="Franklin Gothic Book"/>
          <w:sz w:val="22"/>
        </w:rPr>
        <w:lastRenderedPageBreak/>
        <w:t xml:space="preserve">The test parameters </w:t>
      </w:r>
      <w:r w:rsidR="6573ACA3" w:rsidRPr="00C24C30">
        <w:rPr>
          <w:rFonts w:ascii="Franklin Gothic Book" w:hAnsi="Franklin Gothic Book"/>
          <w:sz w:val="22"/>
        </w:rPr>
        <w:t xml:space="preserve">that </w:t>
      </w:r>
      <w:r w:rsidRPr="00C24C30">
        <w:rPr>
          <w:rFonts w:ascii="Franklin Gothic Book" w:hAnsi="Franklin Gothic Book"/>
          <w:sz w:val="22"/>
        </w:rPr>
        <w:t>informed the proportion of patients within each branch were all based on assumptions that were considered highly uncertain and potentially optimistic by the commentary. In particular</w:t>
      </w:r>
      <w:r w:rsidR="37DFDAD1" w:rsidRPr="00C24C30">
        <w:rPr>
          <w:rFonts w:ascii="Franklin Gothic Book" w:hAnsi="Franklin Gothic Book"/>
          <w:sz w:val="22"/>
        </w:rPr>
        <w:t>:</w:t>
      </w:r>
    </w:p>
    <w:p w14:paraId="687652F6" w14:textId="65696166"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 xml:space="preserve">The diagnostic accuracy was assumed to be </w:t>
      </w:r>
      <w:proofErr w:type="gramStart"/>
      <w:r w:rsidRPr="00C24C30">
        <w:rPr>
          <w:rFonts w:ascii="Franklin Gothic Book" w:hAnsi="Franklin Gothic Book"/>
          <w:sz w:val="22"/>
        </w:rPr>
        <w:t>similar to</w:t>
      </w:r>
      <w:proofErr w:type="gramEnd"/>
      <w:r w:rsidRPr="00C24C30">
        <w:rPr>
          <w:rFonts w:ascii="Franklin Gothic Book" w:hAnsi="Franklin Gothic Book"/>
          <w:sz w:val="22"/>
        </w:rPr>
        <w:t xml:space="preserve"> </w:t>
      </w:r>
      <w:r w:rsidRPr="00C24C30">
        <w:rPr>
          <w:rFonts w:ascii="Franklin Gothic Book" w:hAnsi="Franklin Gothic Book"/>
          <w:i/>
          <w:iCs/>
          <w:sz w:val="22"/>
        </w:rPr>
        <w:t>BRCA</w:t>
      </w:r>
      <w:r w:rsidRPr="00C24C30">
        <w:rPr>
          <w:rFonts w:ascii="Franklin Gothic Book" w:hAnsi="Franklin Gothic Book"/>
          <w:sz w:val="22"/>
        </w:rPr>
        <w:t xml:space="preserve"> tumour testing</w:t>
      </w:r>
      <w:r w:rsidR="0D722D7F" w:rsidRPr="00C24C30">
        <w:rPr>
          <w:rFonts w:ascii="Franklin Gothic Book" w:hAnsi="Franklin Gothic Book"/>
          <w:sz w:val="22"/>
        </w:rPr>
        <w:t>;</w:t>
      </w:r>
      <w:r w:rsidRPr="00C24C30">
        <w:rPr>
          <w:rFonts w:ascii="Franklin Gothic Book" w:hAnsi="Franklin Gothic Book"/>
          <w:sz w:val="22"/>
        </w:rPr>
        <w:t xml:space="preserve"> however, PASC has previously considered the diagnostic accuracy evidence supporting the Roche AVENIO CGP to be uncertain; the Roche AVENIO CGP is not TGA approved</w:t>
      </w:r>
      <w:r w:rsidR="7E8DEC30" w:rsidRPr="00C24C30">
        <w:rPr>
          <w:rFonts w:ascii="Franklin Gothic Book" w:hAnsi="Franklin Gothic Book"/>
          <w:sz w:val="22"/>
        </w:rPr>
        <w:t>;</w:t>
      </w:r>
      <w:r w:rsidRPr="00C24C30">
        <w:rPr>
          <w:rFonts w:ascii="Franklin Gothic Book" w:hAnsi="Franklin Gothic Book"/>
          <w:sz w:val="22"/>
        </w:rPr>
        <w:t xml:space="preserve"> and the NGS assay intended for use in clinical practice and its diagnostic accuracy remains unclear</w:t>
      </w:r>
      <w:r w:rsidR="0DAED939" w:rsidRPr="00C24C30">
        <w:rPr>
          <w:rFonts w:ascii="Franklin Gothic Book" w:hAnsi="Franklin Gothic Book"/>
          <w:sz w:val="22"/>
        </w:rPr>
        <w:t>.</w:t>
      </w:r>
    </w:p>
    <w:p w14:paraId="1E59851B" w14:textId="15B05A58"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 xml:space="preserve">The test failure rate was assumed to </w:t>
      </w:r>
      <w:r w:rsidRPr="000804D1">
        <w:rPr>
          <w:rFonts w:ascii="Franklin Gothic Book" w:hAnsi="Franklin Gothic Book"/>
          <w:sz w:val="22"/>
        </w:rPr>
        <w:t>be 5%</w:t>
      </w:r>
      <w:r w:rsidRPr="00C24C30">
        <w:rPr>
          <w:rFonts w:ascii="Franklin Gothic Book" w:hAnsi="Franklin Gothic Book"/>
          <w:sz w:val="22"/>
        </w:rPr>
        <w:t xml:space="preserve"> despite 15% of patients in CAPItello-291 having an unknown AKT pathway alteration result.</w:t>
      </w:r>
    </w:p>
    <w:p w14:paraId="5E477445" w14:textId="7D995D7D" w:rsidR="00FE7A23" w:rsidRPr="00C24C30" w:rsidRDefault="0FC9123C" w:rsidP="005D6D39">
      <w:pPr>
        <w:rPr>
          <w:rFonts w:ascii="Franklin Gothic Book" w:hAnsi="Franklin Gothic Book"/>
          <w:sz w:val="22"/>
        </w:rPr>
      </w:pPr>
      <w:r w:rsidRPr="00C24C30">
        <w:rPr>
          <w:rFonts w:ascii="Franklin Gothic Book" w:hAnsi="Franklin Gothic Book"/>
          <w:sz w:val="22"/>
        </w:rPr>
        <w:t>However</w:t>
      </w:r>
      <w:r w:rsidR="005D6D39" w:rsidRPr="00C24C30">
        <w:rPr>
          <w:rFonts w:ascii="Franklin Gothic Book" w:hAnsi="Franklin Gothic Book"/>
          <w:sz w:val="22"/>
        </w:rPr>
        <w:t xml:space="preserve">, the model was not sensitive to changes </w:t>
      </w:r>
      <w:r w:rsidR="5CBAB1BA" w:rsidRPr="00C24C30">
        <w:rPr>
          <w:rFonts w:ascii="Franklin Gothic Book" w:hAnsi="Franklin Gothic Book"/>
          <w:sz w:val="22"/>
        </w:rPr>
        <w:t xml:space="preserve">in </w:t>
      </w:r>
      <w:r w:rsidR="005D6D39" w:rsidRPr="00C24C30">
        <w:rPr>
          <w:rFonts w:ascii="Franklin Gothic Book" w:hAnsi="Franklin Gothic Book"/>
          <w:sz w:val="22"/>
        </w:rPr>
        <w:t xml:space="preserve">test </w:t>
      </w:r>
      <w:r w:rsidR="005D6D39" w:rsidRPr="000804D1">
        <w:rPr>
          <w:rFonts w:ascii="Franklin Gothic Book" w:hAnsi="Franklin Gothic Book"/>
          <w:sz w:val="22"/>
        </w:rPr>
        <w:t>parameters (</w:t>
      </w:r>
      <w:r w:rsidR="000804D1" w:rsidRPr="000804D1">
        <w:rPr>
          <w:rFonts w:ascii="Franklin Gothic Book" w:hAnsi="Franklin Gothic Book"/>
          <w:b/>
          <w:bCs/>
          <w:sz w:val="22"/>
        </w:rPr>
        <w:t>redacted</w:t>
      </w:r>
      <w:r w:rsidR="6CD6F1DB" w:rsidRPr="10812078">
        <w:rPr>
          <w:rFonts w:ascii="Franklin Gothic Book" w:hAnsi="Franklin Gothic Book"/>
          <w:sz w:val="22"/>
        </w:rPr>
        <w:t>%</w:t>
      </w:r>
      <w:r w:rsidR="005D6D39" w:rsidRPr="000804D1">
        <w:rPr>
          <w:rFonts w:ascii="Franklin Gothic Book" w:hAnsi="Franklin Gothic Book"/>
          <w:sz w:val="22"/>
        </w:rPr>
        <w:t xml:space="preserve"> </w:t>
      </w:r>
      <w:r w:rsidR="005B7CA5" w:rsidRPr="000804D1">
        <w:rPr>
          <w:rFonts w:ascii="Franklin Gothic Book" w:hAnsi="Franklin Gothic Book"/>
          <w:sz w:val="22"/>
        </w:rPr>
        <w:t xml:space="preserve">change </w:t>
      </w:r>
      <w:r w:rsidR="005D6D39" w:rsidRPr="000804D1">
        <w:rPr>
          <w:rFonts w:ascii="Franklin Gothic Book" w:hAnsi="Franklin Gothic Book"/>
          <w:sz w:val="22"/>
        </w:rPr>
        <w:t xml:space="preserve">in </w:t>
      </w:r>
      <w:r w:rsidR="005B7CA5" w:rsidRPr="000804D1">
        <w:rPr>
          <w:rFonts w:ascii="Franklin Gothic Book" w:hAnsi="Franklin Gothic Book"/>
          <w:sz w:val="22"/>
        </w:rPr>
        <w:t>the ICER</w:t>
      </w:r>
      <w:r w:rsidR="005D6D39" w:rsidRPr="000804D1">
        <w:rPr>
          <w:rFonts w:ascii="Franklin Gothic Book" w:hAnsi="Franklin Gothic Book"/>
          <w:sz w:val="22"/>
        </w:rPr>
        <w:t xml:space="preserve">, with </w:t>
      </w:r>
      <w:r w:rsidR="009617C4" w:rsidRPr="000804D1">
        <w:rPr>
          <w:rFonts w:ascii="Franklin Gothic Book" w:hAnsi="Franklin Gothic Book"/>
          <w:sz w:val="22"/>
        </w:rPr>
        <w:t xml:space="preserve">the largest impact being </w:t>
      </w:r>
      <w:r w:rsidR="005D6D39" w:rsidRPr="000804D1">
        <w:rPr>
          <w:rFonts w:ascii="Franklin Gothic Book" w:hAnsi="Franklin Gothic Book"/>
          <w:sz w:val="22"/>
        </w:rPr>
        <w:t>a reduction of sensitivity/specificity from 99% to 90%</w:t>
      </w:r>
      <w:r w:rsidR="005D6D39" w:rsidRPr="00C24C30">
        <w:rPr>
          <w:rFonts w:ascii="Franklin Gothic Book" w:hAnsi="Franklin Gothic Book"/>
          <w:sz w:val="22"/>
        </w:rPr>
        <w:t xml:space="preserve"> leading to </w:t>
      </w:r>
      <w:r w:rsidR="005D6D39" w:rsidRPr="002215B2">
        <w:rPr>
          <w:rFonts w:ascii="Franklin Gothic Book" w:hAnsi="Franklin Gothic Book"/>
          <w:sz w:val="22"/>
        </w:rPr>
        <w:t>a</w:t>
      </w:r>
      <w:r w:rsidR="005D6D39" w:rsidRPr="00C24C30">
        <w:rPr>
          <w:rFonts w:ascii="Franklin Gothic Book" w:hAnsi="Franklin Gothic Book"/>
          <w:sz w:val="22"/>
        </w:rPr>
        <w:t xml:space="preserve"> </w:t>
      </w:r>
      <w:r w:rsidR="6ED4BD7E" w:rsidRPr="10812078">
        <w:rPr>
          <w:rFonts w:ascii="Franklin Gothic Book" w:hAnsi="Franklin Gothic Book"/>
          <w:b/>
          <w:bCs/>
          <w:sz w:val="22"/>
        </w:rPr>
        <w:t>redacted</w:t>
      </w:r>
      <w:r w:rsidR="5810B90E" w:rsidRPr="10812078">
        <w:rPr>
          <w:rFonts w:ascii="Franklin Gothic Book" w:hAnsi="Franklin Gothic Book"/>
          <w:sz w:val="22"/>
        </w:rPr>
        <w:t>%</w:t>
      </w:r>
      <w:r w:rsidR="005D6D39" w:rsidRPr="000804D1">
        <w:rPr>
          <w:rFonts w:ascii="Franklin Gothic Book" w:hAnsi="Franklin Gothic Book"/>
          <w:sz w:val="22"/>
        </w:rPr>
        <w:t xml:space="preserve"> increase</w:t>
      </w:r>
      <w:r w:rsidR="005D6D39" w:rsidRPr="00C24C30">
        <w:rPr>
          <w:rFonts w:ascii="Franklin Gothic Book" w:hAnsi="Franklin Gothic Book"/>
          <w:sz w:val="22"/>
        </w:rPr>
        <w:t>).</w:t>
      </w:r>
      <w:r w:rsidR="005D6D39" w:rsidRPr="00C24C30">
        <w:rPr>
          <w:rFonts w:ascii="Franklin Gothic Book" w:hAnsi="Franklin Gothic Book"/>
          <w:i/>
          <w:iCs/>
          <w:sz w:val="22"/>
        </w:rPr>
        <w:t xml:space="preserve"> </w:t>
      </w:r>
    </w:p>
    <w:p w14:paraId="03624A00" w14:textId="62B1AD1D"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The proposed fee for testing </w:t>
      </w:r>
      <w:r w:rsidRPr="000804D1">
        <w:rPr>
          <w:rFonts w:ascii="Franklin Gothic Book" w:hAnsi="Franklin Gothic Book"/>
          <w:sz w:val="22"/>
        </w:rPr>
        <w:t>was $2,200 per test. The commentary noted this is considerably more expensive compared to the proposed cost</w:t>
      </w:r>
      <w:r w:rsidRPr="00C24C30">
        <w:rPr>
          <w:rFonts w:ascii="Franklin Gothic Book" w:hAnsi="Franklin Gothic Book"/>
          <w:sz w:val="22"/>
        </w:rPr>
        <w:t xml:space="preserve"> for NGS testing for </w:t>
      </w:r>
      <w:r w:rsidRPr="00C24C30">
        <w:rPr>
          <w:rFonts w:ascii="Franklin Gothic Book" w:hAnsi="Franklin Gothic Book"/>
          <w:i/>
          <w:iCs/>
          <w:sz w:val="22"/>
        </w:rPr>
        <w:t xml:space="preserve">PIK3CA </w:t>
      </w:r>
      <w:r w:rsidRPr="00C24C30">
        <w:rPr>
          <w:rFonts w:ascii="Franklin Gothic Book" w:hAnsi="Franklin Gothic Book"/>
          <w:sz w:val="22"/>
        </w:rPr>
        <w:t xml:space="preserve">alterations as well as testing based on </w:t>
      </w:r>
      <w:proofErr w:type="spellStart"/>
      <w:r w:rsidRPr="00C24C30">
        <w:rPr>
          <w:rFonts w:ascii="Franklin Gothic Book" w:hAnsi="Franklin Gothic Book"/>
          <w:sz w:val="22"/>
        </w:rPr>
        <w:t>ctDNA</w:t>
      </w:r>
      <w:proofErr w:type="spellEnd"/>
      <w:r w:rsidRPr="00C24C30">
        <w:rPr>
          <w:rFonts w:ascii="Franklin Gothic Book" w:hAnsi="Franklin Gothic Book"/>
          <w:sz w:val="22"/>
        </w:rPr>
        <w:t xml:space="preserve"> samples (indicative cost = $350 to $400 per test). </w:t>
      </w:r>
      <w:r w:rsidR="001C3782">
        <w:rPr>
          <w:rFonts w:ascii="Franklin Gothic Book" w:hAnsi="Franklin Gothic Book"/>
          <w:sz w:val="22"/>
        </w:rPr>
        <w:t>T</w:t>
      </w:r>
      <w:r w:rsidRPr="00C24C30">
        <w:rPr>
          <w:rFonts w:ascii="Franklin Gothic Book" w:hAnsi="Franklin Gothic Book"/>
          <w:sz w:val="22"/>
        </w:rPr>
        <w:t xml:space="preserve">he submission cited MBS item 73296 for </w:t>
      </w:r>
      <w:r w:rsidRPr="00C24C30">
        <w:rPr>
          <w:rFonts w:ascii="Franklin Gothic Book" w:hAnsi="Franklin Gothic Book"/>
          <w:i/>
          <w:iCs/>
          <w:sz w:val="22"/>
        </w:rPr>
        <w:t xml:space="preserve">BRCA </w:t>
      </w:r>
      <w:r w:rsidRPr="00C24C30">
        <w:rPr>
          <w:rFonts w:ascii="Franklin Gothic Book" w:hAnsi="Franklin Gothic Book"/>
          <w:sz w:val="22"/>
        </w:rPr>
        <w:t xml:space="preserve">mutation testing with a fee of $1,200. Applying a test cost of $350 led to a </w:t>
      </w:r>
      <w:r w:rsidR="000804D1">
        <w:rPr>
          <w:rFonts w:ascii="Franklin Gothic Book" w:hAnsi="Franklin Gothic Book"/>
          <w:b/>
          <w:bCs/>
          <w:sz w:val="22"/>
        </w:rPr>
        <w:t>redacted</w:t>
      </w:r>
      <w:r w:rsidR="4412D558" w:rsidRPr="10812078">
        <w:rPr>
          <w:rFonts w:ascii="Franklin Gothic Book" w:hAnsi="Franklin Gothic Book"/>
          <w:sz w:val="22"/>
        </w:rPr>
        <w:t>%</w:t>
      </w:r>
      <w:r w:rsidRPr="00C24C30">
        <w:rPr>
          <w:rFonts w:ascii="Franklin Gothic Book" w:hAnsi="Franklin Gothic Book"/>
          <w:sz w:val="22"/>
        </w:rPr>
        <w:t xml:space="preserve"> decrease in the ICER and a test cost of $1,200 led to a </w:t>
      </w:r>
      <w:r w:rsidR="000804D1">
        <w:rPr>
          <w:rFonts w:ascii="Franklin Gothic Book" w:hAnsi="Franklin Gothic Book"/>
          <w:b/>
          <w:bCs/>
          <w:sz w:val="22"/>
        </w:rPr>
        <w:t>redacted</w:t>
      </w:r>
      <w:r w:rsidR="62333302" w:rsidRPr="10812078">
        <w:rPr>
          <w:rFonts w:ascii="Franklin Gothic Book" w:hAnsi="Franklin Gothic Book"/>
          <w:sz w:val="22"/>
        </w:rPr>
        <w:t>%</w:t>
      </w:r>
      <w:r w:rsidRPr="00C24C30">
        <w:rPr>
          <w:rFonts w:ascii="Franklin Gothic Book" w:hAnsi="Franklin Gothic Book"/>
          <w:sz w:val="22"/>
        </w:rPr>
        <w:t xml:space="preserve"> decrease in the ICER.</w:t>
      </w:r>
    </w:p>
    <w:p w14:paraId="6CBD92B3" w14:textId="5D73A016" w:rsidR="005D6D39" w:rsidRPr="00C24C30" w:rsidRDefault="005D6D39" w:rsidP="005D6D39">
      <w:pPr>
        <w:rPr>
          <w:rFonts w:ascii="Franklin Gothic Book" w:hAnsi="Franklin Gothic Book"/>
          <w:i/>
          <w:iCs/>
          <w:sz w:val="22"/>
        </w:rPr>
      </w:pPr>
      <w:r w:rsidRPr="00C24C30">
        <w:rPr>
          <w:rFonts w:ascii="Franklin Gothic Book" w:hAnsi="Franklin Gothic Book"/>
          <w:sz w:val="22"/>
        </w:rPr>
        <w:t>The commentary considered the testing costs were potentially underestimated. The submission did not consider re-testing costs for patients with an unknown test result or false test result</w:t>
      </w:r>
      <w:r w:rsidR="113E3097" w:rsidRPr="00C24C30">
        <w:rPr>
          <w:rFonts w:ascii="Franklin Gothic Book" w:hAnsi="Franklin Gothic Book"/>
          <w:sz w:val="22"/>
        </w:rPr>
        <w:t>,</w:t>
      </w:r>
      <w:r w:rsidRPr="00C24C30">
        <w:rPr>
          <w:rFonts w:ascii="Franklin Gothic Book" w:hAnsi="Franklin Gothic Book"/>
          <w:sz w:val="22"/>
        </w:rPr>
        <w:t xml:space="preserve"> or the associated cost of biopsy or re-biopsy</w:t>
      </w:r>
      <w:r w:rsidR="6B069405" w:rsidRPr="00C24C30">
        <w:rPr>
          <w:rFonts w:ascii="Franklin Gothic Book" w:hAnsi="Franklin Gothic Book"/>
          <w:sz w:val="22"/>
        </w:rPr>
        <w:t>.</w:t>
      </w:r>
      <w:r w:rsidR="27BAD4FD" w:rsidRPr="00C24C30">
        <w:rPr>
          <w:rFonts w:ascii="Franklin Gothic Book" w:hAnsi="Franklin Gothic Book"/>
          <w:sz w:val="22"/>
        </w:rPr>
        <w:t xml:space="preserve"> S</w:t>
      </w:r>
      <w:r w:rsidRPr="00C24C30">
        <w:rPr>
          <w:rFonts w:ascii="Franklin Gothic Book" w:hAnsi="Franklin Gothic Book"/>
          <w:sz w:val="22"/>
        </w:rPr>
        <w:t>ince the submission assumed a lower test failure rate than CAPItello-291 (15%), these costs are further underestimated</w:t>
      </w:r>
      <w:r w:rsidRPr="00C24C30">
        <w:rPr>
          <w:rFonts w:ascii="Franklin Gothic Book" w:hAnsi="Franklin Gothic Book"/>
          <w:i/>
          <w:iCs/>
          <w:sz w:val="22"/>
        </w:rPr>
        <w:t xml:space="preserve">. </w:t>
      </w:r>
      <w:r w:rsidR="008B1D3C" w:rsidRPr="00C24C30">
        <w:rPr>
          <w:rFonts w:ascii="Franklin Gothic Book" w:hAnsi="Franklin Gothic Book"/>
          <w:sz w:val="22"/>
        </w:rPr>
        <w:t>F</w:t>
      </w:r>
      <w:r w:rsidRPr="00C24C30">
        <w:rPr>
          <w:rFonts w:ascii="Franklin Gothic Book" w:hAnsi="Franklin Gothic Book"/>
          <w:sz w:val="22"/>
        </w:rPr>
        <w:t>or patients who initially test negative but are eligible for a second test post-progression</w:t>
      </w:r>
      <w:r w:rsidR="008B1D3C" w:rsidRPr="00C24C30">
        <w:rPr>
          <w:rFonts w:ascii="Franklin Gothic Book" w:hAnsi="Franklin Gothic Book"/>
          <w:sz w:val="22"/>
        </w:rPr>
        <w:t xml:space="preserve"> the associated re-testing/re-biopsy costs were also not considered by the submission</w:t>
      </w:r>
      <w:r w:rsidRPr="00C24C30">
        <w:rPr>
          <w:rFonts w:ascii="Franklin Gothic Book" w:hAnsi="Franklin Gothic Book"/>
          <w:sz w:val="22"/>
        </w:rPr>
        <w:t>.</w:t>
      </w:r>
      <w:r w:rsidRPr="00C24C30">
        <w:rPr>
          <w:rFonts w:ascii="Franklin Gothic Book" w:hAnsi="Franklin Gothic Book"/>
          <w:i/>
          <w:iCs/>
          <w:sz w:val="22"/>
        </w:rPr>
        <w:t xml:space="preserve"> </w:t>
      </w:r>
      <w:r w:rsidR="706076BB" w:rsidRPr="00C24C30">
        <w:rPr>
          <w:rFonts w:ascii="Franklin Gothic Book" w:hAnsi="Franklin Gothic Book"/>
          <w:sz w:val="22"/>
        </w:rPr>
        <w:t>However</w:t>
      </w:r>
      <w:r w:rsidRPr="00C24C30">
        <w:rPr>
          <w:rFonts w:ascii="Franklin Gothic Book" w:hAnsi="Franklin Gothic Book"/>
          <w:sz w:val="22"/>
        </w:rPr>
        <w:t xml:space="preserve">, the commentary acknowledged that testing under the MBS item descriptor is once per primary tumour diagnosis, </w:t>
      </w:r>
      <w:r w:rsidR="4AD65BC2" w:rsidRPr="00C24C30">
        <w:rPr>
          <w:rFonts w:ascii="Franklin Gothic Book" w:hAnsi="Franklin Gothic Book"/>
          <w:sz w:val="22"/>
        </w:rPr>
        <w:t xml:space="preserve">so secondary testing </w:t>
      </w:r>
      <w:r w:rsidRPr="00C24C30">
        <w:rPr>
          <w:rFonts w:ascii="Franklin Gothic Book" w:hAnsi="Franklin Gothic Book"/>
          <w:sz w:val="22"/>
        </w:rPr>
        <w:t xml:space="preserve">may present as an out-of-pocket expense for these patients.  </w:t>
      </w:r>
    </w:p>
    <w:p w14:paraId="3FB1DFC7" w14:textId="3B2871BD"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The undiscounted CAPI cost per treatment course in true </w:t>
      </w:r>
      <w:r w:rsidRPr="000804D1">
        <w:rPr>
          <w:rFonts w:ascii="Franklin Gothic Book" w:hAnsi="Franklin Gothic Book"/>
          <w:sz w:val="22"/>
        </w:rPr>
        <w:t>positive patients (branch P1) was $</w:t>
      </w:r>
      <w:r w:rsidR="000804D1" w:rsidRPr="000804D1">
        <w:rPr>
          <w:rFonts w:ascii="Franklin Gothic Book" w:hAnsi="Franklin Gothic Book"/>
          <w:b/>
          <w:bCs/>
          <w:sz w:val="22"/>
        </w:rPr>
        <w:t>redacted</w:t>
      </w:r>
      <w:r w:rsidRPr="000804D1">
        <w:rPr>
          <w:rFonts w:ascii="Franklin Gothic Book" w:hAnsi="Franklin Gothic Book"/>
          <w:sz w:val="22"/>
        </w:rPr>
        <w:t xml:space="preserve"> (discounted cost was $</w:t>
      </w:r>
      <w:r w:rsidR="000804D1" w:rsidRPr="000804D1">
        <w:rPr>
          <w:rFonts w:ascii="Franklin Gothic Book" w:hAnsi="Franklin Gothic Book"/>
          <w:b/>
          <w:bCs/>
          <w:sz w:val="22"/>
        </w:rPr>
        <w:t>redacted</w:t>
      </w:r>
      <w:r w:rsidRPr="000804D1">
        <w:rPr>
          <w:rFonts w:ascii="Franklin Gothic Book" w:hAnsi="Franklin Gothic Book"/>
          <w:sz w:val="22"/>
        </w:rPr>
        <w:t>) and was estimated from the time to treatment discontinuation (TTD) curve from CAPI+FULV (Altered) data extrapolated</w:t>
      </w:r>
      <w:r w:rsidRPr="00C24C30">
        <w:rPr>
          <w:rFonts w:ascii="Franklin Gothic Book" w:hAnsi="Franklin Gothic Book"/>
          <w:sz w:val="22"/>
        </w:rPr>
        <w:t xml:space="preserve"> using the log normal</w:t>
      </w:r>
      <w:r w:rsidR="00D25FA8" w:rsidRPr="00C24C30">
        <w:rPr>
          <w:rFonts w:ascii="Franklin Gothic Book" w:hAnsi="Franklin Gothic Book"/>
          <w:sz w:val="22"/>
        </w:rPr>
        <w:t xml:space="preserve"> function</w:t>
      </w:r>
      <w:r w:rsidRPr="00C24C30">
        <w:rPr>
          <w:rFonts w:ascii="Franklin Gothic Book" w:hAnsi="Franklin Gothic Book"/>
          <w:sz w:val="22"/>
        </w:rPr>
        <w:t>. Treatment duration was 10.6 months (including adjustment for 0.14 months of dose interruption). This was considered reasonable by the commentary.</w:t>
      </w:r>
      <w:r w:rsidRPr="00C24C30">
        <w:rPr>
          <w:rFonts w:ascii="Franklin Gothic Book" w:hAnsi="Franklin Gothic Book"/>
          <w:i/>
          <w:iCs/>
          <w:sz w:val="22"/>
        </w:rPr>
        <w:t xml:space="preserve"> </w:t>
      </w:r>
    </w:p>
    <w:p w14:paraId="25E2ADC9" w14:textId="4D4A8878" w:rsidR="005D6D39" w:rsidRPr="00C24C30" w:rsidRDefault="005D6D39" w:rsidP="005D6D39">
      <w:pPr>
        <w:rPr>
          <w:rFonts w:ascii="Franklin Gothic Book" w:hAnsi="Franklin Gothic Book"/>
          <w:i/>
          <w:iCs/>
          <w:sz w:val="22"/>
        </w:rPr>
      </w:pPr>
      <w:r w:rsidRPr="00C24C30">
        <w:rPr>
          <w:rFonts w:ascii="Franklin Gothic Book" w:hAnsi="Franklin Gothic Book"/>
          <w:sz w:val="22"/>
        </w:rPr>
        <w:t xml:space="preserve">The CAPI costs per treatment course in false positives (branch P3) </w:t>
      </w:r>
      <w:r w:rsidRPr="000804D1">
        <w:rPr>
          <w:rFonts w:ascii="Franklin Gothic Book" w:hAnsi="Franklin Gothic Book"/>
          <w:sz w:val="22"/>
        </w:rPr>
        <w:t>was $</w:t>
      </w:r>
      <w:r w:rsidR="000804D1" w:rsidRPr="000804D1">
        <w:rPr>
          <w:rFonts w:ascii="Franklin Gothic Book" w:hAnsi="Franklin Gothic Book"/>
          <w:b/>
          <w:bCs/>
          <w:sz w:val="22"/>
        </w:rPr>
        <w:t>redacted</w:t>
      </w:r>
      <w:r w:rsidRPr="000804D1">
        <w:rPr>
          <w:rFonts w:ascii="Franklin Gothic Book" w:hAnsi="Franklin Gothic Book"/>
          <w:sz w:val="22"/>
        </w:rPr>
        <w:t xml:space="preserve"> and was estimated by multiplying the cost per cycle of CAPI ($</w:t>
      </w:r>
      <w:r w:rsidR="000804D1" w:rsidRPr="000804D1">
        <w:rPr>
          <w:rFonts w:ascii="Franklin Gothic Book" w:hAnsi="Franklin Gothic Book"/>
          <w:b/>
          <w:bCs/>
          <w:sz w:val="22"/>
        </w:rPr>
        <w:t>redacted</w:t>
      </w:r>
      <w:r w:rsidRPr="000804D1">
        <w:rPr>
          <w:rFonts w:ascii="Franklin Gothic Book" w:hAnsi="Franklin Gothic Book"/>
          <w:sz w:val="22"/>
        </w:rPr>
        <w:t xml:space="preserve">) by the median PFS (3.7 months) of the </w:t>
      </w:r>
      <w:r w:rsidR="001D42C7" w:rsidRPr="000804D1">
        <w:rPr>
          <w:rFonts w:ascii="Franklin Gothic Book" w:hAnsi="Franklin Gothic Book"/>
          <w:sz w:val="22"/>
        </w:rPr>
        <w:t>non AKT</w:t>
      </w:r>
      <w:r w:rsidRPr="000804D1">
        <w:rPr>
          <w:rFonts w:ascii="Franklin Gothic Book" w:hAnsi="Franklin Gothic Book"/>
          <w:sz w:val="22"/>
        </w:rPr>
        <w:t xml:space="preserve"> pathway altered subgroup who received placebo + FULV in CAPItello</w:t>
      </w:r>
      <w:r w:rsidRPr="00C24C30">
        <w:rPr>
          <w:rFonts w:ascii="Franklin Gothic Book" w:hAnsi="Franklin Gothic Book"/>
          <w:sz w:val="22"/>
        </w:rPr>
        <w:t>-291.</w:t>
      </w:r>
      <w:r w:rsidRPr="00C24C30">
        <w:rPr>
          <w:rFonts w:ascii="Franklin Gothic Book" w:hAnsi="Franklin Gothic Book"/>
          <w:i/>
          <w:iCs/>
          <w:sz w:val="22"/>
        </w:rPr>
        <w:t xml:space="preserve"> </w:t>
      </w:r>
      <w:r w:rsidRPr="00C24C30">
        <w:rPr>
          <w:rFonts w:ascii="Franklin Gothic Book" w:hAnsi="Franklin Gothic Book"/>
          <w:sz w:val="22"/>
        </w:rPr>
        <w:t xml:space="preserve">This was considered a crude assumption by the commentary; however, it is acknowledged that data to inform the treatment duration of false positive patients was not available. An alternative method of using the PFS curve as a proxy for the TTD curve in false positive patients was tested during the evaluation. This increased the cost of CAPI </w:t>
      </w:r>
      <w:r w:rsidRPr="000804D1">
        <w:rPr>
          <w:rFonts w:ascii="Franklin Gothic Book" w:hAnsi="Franklin Gothic Book"/>
          <w:sz w:val="22"/>
        </w:rPr>
        <w:t>to $</w:t>
      </w:r>
      <w:r w:rsidR="000804D1">
        <w:rPr>
          <w:rFonts w:ascii="Franklin Gothic Book" w:hAnsi="Franklin Gothic Book"/>
          <w:b/>
          <w:bCs/>
          <w:sz w:val="22"/>
        </w:rPr>
        <w:t>redacted</w:t>
      </w:r>
      <w:r w:rsidRPr="000804D1">
        <w:rPr>
          <w:rFonts w:ascii="Franklin Gothic Book" w:hAnsi="Franklin Gothic Book"/>
          <w:sz w:val="22"/>
        </w:rPr>
        <w:t xml:space="preserve"> over</w:t>
      </w:r>
      <w:r w:rsidRPr="00C24C30">
        <w:rPr>
          <w:rFonts w:ascii="Franklin Gothic Book" w:hAnsi="Franklin Gothic Book"/>
          <w:sz w:val="22"/>
        </w:rPr>
        <w:t xml:space="preserve"> a 15-year time horizon; however, due to the small number of false positive patients assumed in the base </w:t>
      </w:r>
      <w:r w:rsidRPr="000804D1">
        <w:rPr>
          <w:rFonts w:ascii="Franklin Gothic Book" w:hAnsi="Franklin Gothic Book"/>
          <w:sz w:val="22"/>
        </w:rPr>
        <w:t>case (0.45% of all patients)</w:t>
      </w:r>
      <w:r w:rsidRPr="00C24C30">
        <w:rPr>
          <w:rFonts w:ascii="Franklin Gothic Book" w:hAnsi="Franklin Gothic Book"/>
          <w:sz w:val="22"/>
        </w:rPr>
        <w:t xml:space="preserve"> this had a very small </w:t>
      </w:r>
      <w:r w:rsidRPr="000804D1">
        <w:rPr>
          <w:rFonts w:ascii="Franklin Gothic Book" w:hAnsi="Franklin Gothic Book"/>
          <w:sz w:val="22"/>
        </w:rPr>
        <w:t>impact (</w:t>
      </w:r>
      <w:r w:rsidR="000804D1" w:rsidRPr="000804D1">
        <w:rPr>
          <w:rFonts w:ascii="Franklin Gothic Book" w:hAnsi="Franklin Gothic Book"/>
          <w:b/>
          <w:bCs/>
          <w:sz w:val="22"/>
        </w:rPr>
        <w:t>redacted</w:t>
      </w:r>
      <w:r w:rsidR="002215B2">
        <w:rPr>
          <w:rFonts w:ascii="Franklin Gothic Book" w:hAnsi="Franklin Gothic Book"/>
          <w:sz w:val="22"/>
        </w:rPr>
        <w:t>%</w:t>
      </w:r>
      <w:r w:rsidRPr="000804D1">
        <w:rPr>
          <w:rFonts w:ascii="Franklin Gothic Book" w:hAnsi="Franklin Gothic Book"/>
          <w:sz w:val="22"/>
        </w:rPr>
        <w:t>) on the</w:t>
      </w:r>
      <w:r w:rsidRPr="00C24C30">
        <w:rPr>
          <w:rFonts w:ascii="Franklin Gothic Book" w:hAnsi="Franklin Gothic Book"/>
          <w:sz w:val="22"/>
        </w:rPr>
        <w:t xml:space="preserve"> ICER.</w:t>
      </w:r>
    </w:p>
    <w:p w14:paraId="0386B68B" w14:textId="393E717A"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submission </w:t>
      </w:r>
      <w:r w:rsidR="001E4307" w:rsidRPr="00C24C30">
        <w:rPr>
          <w:rFonts w:ascii="Franklin Gothic Book" w:hAnsi="Franklin Gothic Book"/>
          <w:sz w:val="22"/>
        </w:rPr>
        <w:t xml:space="preserve">inappropriately </w:t>
      </w:r>
      <w:r w:rsidRPr="000804D1">
        <w:rPr>
          <w:rFonts w:ascii="Franklin Gothic Book" w:hAnsi="Franklin Gothic Book"/>
          <w:sz w:val="22"/>
        </w:rPr>
        <w:t xml:space="preserve">applied </w:t>
      </w:r>
      <w:r w:rsidR="3532C1FE" w:rsidRPr="000804D1">
        <w:rPr>
          <w:rFonts w:ascii="Franklin Gothic Book" w:hAnsi="Franklin Gothic Book"/>
          <w:sz w:val="22"/>
        </w:rPr>
        <w:t>an</w:t>
      </w:r>
      <w:r w:rsidR="0038C535" w:rsidRPr="000804D1">
        <w:rPr>
          <w:rFonts w:ascii="Franklin Gothic Book" w:hAnsi="Franklin Gothic Book"/>
          <w:sz w:val="22"/>
        </w:rPr>
        <w:t xml:space="preserve"> </w:t>
      </w:r>
      <w:r w:rsidRPr="000804D1">
        <w:rPr>
          <w:rFonts w:ascii="Franklin Gothic Book" w:hAnsi="Franklin Gothic Book"/>
          <w:sz w:val="22"/>
        </w:rPr>
        <w:t xml:space="preserve">86.2% </w:t>
      </w:r>
      <w:r w:rsidR="174938E9" w:rsidRPr="000804D1">
        <w:rPr>
          <w:rFonts w:ascii="Franklin Gothic Book" w:hAnsi="Franklin Gothic Book"/>
          <w:sz w:val="22"/>
        </w:rPr>
        <w:t>relative</w:t>
      </w:r>
      <w:r w:rsidR="174938E9" w:rsidRPr="00C24C30">
        <w:rPr>
          <w:rFonts w:ascii="Franklin Gothic Book" w:hAnsi="Franklin Gothic Book"/>
          <w:sz w:val="22"/>
        </w:rPr>
        <w:t xml:space="preserve"> dose intensity (</w:t>
      </w:r>
      <w:r w:rsidRPr="00C24C30">
        <w:rPr>
          <w:rFonts w:ascii="Franklin Gothic Book" w:hAnsi="Franklin Gothic Book"/>
          <w:sz w:val="22"/>
        </w:rPr>
        <w:t>RDI</w:t>
      </w:r>
      <w:r w:rsidR="7470CF43" w:rsidRPr="00C24C30">
        <w:rPr>
          <w:rFonts w:ascii="Franklin Gothic Book" w:hAnsi="Franklin Gothic Book"/>
          <w:sz w:val="22"/>
        </w:rPr>
        <w:t>)</w:t>
      </w:r>
      <w:r w:rsidRPr="00C24C30">
        <w:rPr>
          <w:rFonts w:ascii="Franklin Gothic Book" w:hAnsi="Franklin Gothic Book"/>
          <w:sz w:val="22"/>
        </w:rPr>
        <w:t xml:space="preserve"> to CAPI costs based on the AKT pathway altered subgroup from CAPItello-291</w:t>
      </w:r>
      <w:r w:rsidR="003254ED" w:rsidRPr="00C24C30">
        <w:rPr>
          <w:rFonts w:ascii="Franklin Gothic Book" w:hAnsi="Franklin Gothic Book"/>
          <w:sz w:val="22"/>
        </w:rPr>
        <w:t>;</w:t>
      </w:r>
      <w:r w:rsidR="001E4307" w:rsidRPr="00C24C30">
        <w:rPr>
          <w:rFonts w:ascii="Franklin Gothic Book" w:hAnsi="Franklin Gothic Book"/>
          <w:sz w:val="22"/>
        </w:rPr>
        <w:t xml:space="preserve"> </w:t>
      </w:r>
      <w:r w:rsidR="1EBBBC11" w:rsidRPr="00C24C30">
        <w:rPr>
          <w:rFonts w:ascii="Franklin Gothic Book" w:hAnsi="Franklin Gothic Book"/>
          <w:sz w:val="22"/>
        </w:rPr>
        <w:t>s</w:t>
      </w:r>
      <w:r w:rsidR="0038C535" w:rsidRPr="00C24C30">
        <w:rPr>
          <w:rFonts w:ascii="Franklin Gothic Book" w:hAnsi="Franklin Gothic Book"/>
          <w:sz w:val="22"/>
        </w:rPr>
        <w:t>ince</w:t>
      </w:r>
      <w:r w:rsidRPr="00C24C30">
        <w:rPr>
          <w:rFonts w:ascii="Franklin Gothic Book" w:hAnsi="Franklin Gothic Book"/>
          <w:sz w:val="22"/>
        </w:rPr>
        <w:t xml:space="preserve"> the proposed price for the 200 mg and 160 mg tablets were identical, patients who have a dose reduction will be incurring the same cost for CAPI treatment</w:t>
      </w:r>
      <w:r w:rsidR="001E4307" w:rsidRPr="00C24C30">
        <w:rPr>
          <w:rFonts w:ascii="Franklin Gothic Book" w:hAnsi="Franklin Gothic Book"/>
          <w:sz w:val="22"/>
        </w:rPr>
        <w:t>. This</w:t>
      </w:r>
      <w:r w:rsidRPr="00C24C30">
        <w:rPr>
          <w:rFonts w:ascii="Franklin Gothic Book" w:hAnsi="Franklin Gothic Book"/>
          <w:sz w:val="22"/>
        </w:rPr>
        <w:t xml:space="preserve"> underestimated CAPI costs</w:t>
      </w:r>
      <w:r w:rsidR="001E4307" w:rsidRPr="00C24C30">
        <w:rPr>
          <w:rFonts w:ascii="Franklin Gothic Book" w:hAnsi="Franklin Gothic Book"/>
          <w:sz w:val="22"/>
        </w:rPr>
        <w:t xml:space="preserve"> and</w:t>
      </w:r>
      <w:r w:rsidRPr="00C24C30">
        <w:rPr>
          <w:rFonts w:ascii="Franklin Gothic Book" w:hAnsi="Franklin Gothic Book"/>
          <w:sz w:val="22"/>
        </w:rPr>
        <w:t xml:space="preserve"> </w:t>
      </w:r>
      <w:r w:rsidR="001E4307" w:rsidRPr="00C24C30">
        <w:rPr>
          <w:rFonts w:ascii="Franklin Gothic Book" w:hAnsi="Franklin Gothic Book"/>
          <w:sz w:val="22"/>
        </w:rPr>
        <w:t>r</w:t>
      </w:r>
      <w:r w:rsidRPr="00C24C30">
        <w:rPr>
          <w:rFonts w:ascii="Franklin Gothic Book" w:hAnsi="Franklin Gothic Book"/>
          <w:sz w:val="22"/>
        </w:rPr>
        <w:t xml:space="preserve">emoving the RDI led to a </w:t>
      </w:r>
      <w:r w:rsidR="000804D1">
        <w:rPr>
          <w:rFonts w:ascii="Franklin Gothic Book" w:hAnsi="Franklin Gothic Book"/>
          <w:b/>
          <w:bCs/>
          <w:sz w:val="22"/>
        </w:rPr>
        <w:t>redacted</w:t>
      </w:r>
      <w:r w:rsidR="45718A7C" w:rsidRPr="10812078">
        <w:rPr>
          <w:rFonts w:ascii="Franklin Gothic Book" w:hAnsi="Franklin Gothic Book"/>
          <w:sz w:val="22"/>
        </w:rPr>
        <w:t xml:space="preserve">% </w:t>
      </w:r>
      <w:r w:rsidRPr="00C24C30">
        <w:rPr>
          <w:rFonts w:ascii="Franklin Gothic Book" w:hAnsi="Franklin Gothic Book"/>
          <w:sz w:val="22"/>
        </w:rPr>
        <w:t>increase in the ICER.</w:t>
      </w:r>
      <w:r w:rsidR="001E4307" w:rsidRPr="00C24C30">
        <w:rPr>
          <w:rFonts w:ascii="Franklin Gothic Book" w:hAnsi="Franklin Gothic Book"/>
          <w:sz w:val="22"/>
        </w:rPr>
        <w:t xml:space="preserve"> </w:t>
      </w:r>
      <w:r w:rsidRPr="00C24C30">
        <w:rPr>
          <w:rFonts w:ascii="Franklin Gothic Book" w:hAnsi="Franklin Gothic Book"/>
          <w:sz w:val="22"/>
        </w:rPr>
        <w:t>The model was not sensitive to changes in AE management costs, disease monitoring costs, post-progression costs, and terminal care costs.</w:t>
      </w:r>
    </w:p>
    <w:p w14:paraId="1AE3928F" w14:textId="32706AF8" w:rsidR="00FE7A23" w:rsidRPr="00C24C30" w:rsidRDefault="00FE7A23" w:rsidP="005D6D39">
      <w:pPr>
        <w:rPr>
          <w:rFonts w:ascii="Franklin Gothic Book" w:hAnsi="Franklin Gothic Book"/>
          <w:sz w:val="22"/>
        </w:rPr>
      </w:pPr>
      <w:r w:rsidRPr="00C24C30">
        <w:rPr>
          <w:rFonts w:ascii="Franklin Gothic Book" w:hAnsi="Franklin Gothic Book"/>
          <w:sz w:val="22"/>
        </w:rPr>
        <w:t xml:space="preserve">The key drivers of the model were the OS extrapolations </w:t>
      </w:r>
      <w:r w:rsidR="00934D58" w:rsidRPr="00C24C30">
        <w:rPr>
          <w:rFonts w:ascii="Franklin Gothic Book" w:hAnsi="Franklin Gothic Book"/>
          <w:sz w:val="22"/>
        </w:rPr>
        <w:t xml:space="preserve">of the CAPI+FULV (Altered) branch P1 and of the placebo + FULV (ITT) branches P3-C2, </w:t>
      </w:r>
      <w:r w:rsidRPr="00C24C30">
        <w:rPr>
          <w:rFonts w:ascii="Franklin Gothic Book" w:hAnsi="Franklin Gothic Book"/>
          <w:sz w:val="22"/>
        </w:rPr>
        <w:t xml:space="preserve">and </w:t>
      </w:r>
      <w:r w:rsidR="00934D58" w:rsidRPr="00C24C30">
        <w:rPr>
          <w:rFonts w:ascii="Franklin Gothic Book" w:hAnsi="Franklin Gothic Book"/>
          <w:sz w:val="22"/>
        </w:rPr>
        <w:t xml:space="preserve">the </w:t>
      </w:r>
      <w:r w:rsidRPr="00C24C30">
        <w:rPr>
          <w:rFonts w:ascii="Franklin Gothic Book" w:hAnsi="Franklin Gothic Book"/>
          <w:sz w:val="22"/>
        </w:rPr>
        <w:t>time horizon. Modelling of OS was considered optimistic by the commentary and favoured the CAPI+FULV branch over the placebo + FULV branches</w:t>
      </w:r>
      <w:r w:rsidR="00D1302D" w:rsidRPr="00C24C30">
        <w:rPr>
          <w:rFonts w:ascii="Franklin Gothic Book" w:hAnsi="Franklin Gothic Book"/>
          <w:sz w:val="22"/>
        </w:rPr>
        <w:t>.</w:t>
      </w:r>
      <w:r w:rsidRPr="00C24C30">
        <w:rPr>
          <w:rFonts w:ascii="Franklin Gothic Book" w:hAnsi="Franklin Gothic Book"/>
          <w:sz w:val="22"/>
        </w:rPr>
        <w:t xml:space="preserve"> </w:t>
      </w:r>
      <w:r w:rsidR="00D1302D" w:rsidRPr="00C24C30">
        <w:rPr>
          <w:rFonts w:ascii="Franklin Gothic Book" w:hAnsi="Franklin Gothic Book"/>
          <w:sz w:val="22"/>
        </w:rPr>
        <w:t>T</w:t>
      </w:r>
      <w:r w:rsidRPr="00C24C30">
        <w:rPr>
          <w:rFonts w:ascii="Franklin Gothic Book" w:hAnsi="Franklin Gothic Book"/>
          <w:sz w:val="22"/>
        </w:rPr>
        <w:t>he base case time horizon of 15-years was longer than time horizons previously considered by the PBAC in the same population</w:t>
      </w:r>
      <w:r w:rsidR="00D1302D" w:rsidRPr="00C24C30">
        <w:rPr>
          <w:rFonts w:ascii="Franklin Gothic Book" w:hAnsi="Franklin Gothic Book"/>
          <w:sz w:val="22"/>
        </w:rPr>
        <w:t xml:space="preserve"> (a 10-year time horizon was considered but a 7-</w:t>
      </w:r>
      <w:r w:rsidR="00D1302D" w:rsidRPr="00C24C30">
        <w:rPr>
          <w:rFonts w:ascii="Franklin Gothic Book" w:hAnsi="Franklin Gothic Book"/>
          <w:sz w:val="22"/>
        </w:rPr>
        <w:lastRenderedPageBreak/>
        <w:t xml:space="preserve">year time horizon was accepted in the PBAC’s consideration of </w:t>
      </w:r>
      <w:proofErr w:type="spellStart"/>
      <w:r w:rsidR="00D1302D" w:rsidRPr="00C24C30">
        <w:rPr>
          <w:rFonts w:ascii="Franklin Gothic Book" w:hAnsi="Franklin Gothic Book"/>
          <w:sz w:val="22"/>
        </w:rPr>
        <w:t>Ribociclib</w:t>
      </w:r>
      <w:proofErr w:type="spellEnd"/>
      <w:r w:rsidR="00D1302D" w:rsidRPr="00C24C30">
        <w:rPr>
          <w:rFonts w:ascii="Franklin Gothic Book" w:hAnsi="Franklin Gothic Book"/>
          <w:sz w:val="22"/>
        </w:rPr>
        <w:t xml:space="preserve"> July 2020/November 2020 in 2L HR+/HER2- locally advanced or metastatic breast cancer)</w:t>
      </w:r>
      <w:r w:rsidRPr="00C24C30">
        <w:rPr>
          <w:rFonts w:ascii="Franklin Gothic Book" w:hAnsi="Franklin Gothic Book"/>
          <w:sz w:val="22"/>
        </w:rPr>
        <w:t xml:space="preserve">. </w:t>
      </w:r>
      <w:r w:rsidR="0022722B" w:rsidRPr="00C24C30">
        <w:rPr>
          <w:rFonts w:ascii="Franklin Gothic Book" w:hAnsi="Franklin Gothic Book"/>
          <w:sz w:val="22"/>
        </w:rPr>
        <w:t xml:space="preserve">The base case PFS and OS extrapolations from the model are presented in </w:t>
      </w:r>
      <w:r w:rsidR="0022722B" w:rsidRPr="00C24C30">
        <w:rPr>
          <w:rFonts w:ascii="Franklin Gothic Book" w:hAnsi="Franklin Gothic Book"/>
          <w:sz w:val="22"/>
        </w:rPr>
        <w:fldChar w:fldCharType="begin"/>
      </w:r>
      <w:r w:rsidR="0022722B" w:rsidRPr="00C24C30">
        <w:rPr>
          <w:rFonts w:ascii="Franklin Gothic Book" w:hAnsi="Franklin Gothic Book"/>
          <w:sz w:val="22"/>
        </w:rPr>
        <w:instrText xml:space="preserve"> REF _Ref176969442 \h </w:instrText>
      </w:r>
      <w:r w:rsidR="00C24C30" w:rsidRPr="00C24C30">
        <w:rPr>
          <w:rFonts w:ascii="Franklin Gothic Book" w:hAnsi="Franklin Gothic Book"/>
          <w:sz w:val="22"/>
        </w:rPr>
        <w:instrText xml:space="preserve"> \* MERGEFORMAT </w:instrText>
      </w:r>
      <w:r w:rsidR="0022722B" w:rsidRPr="00C24C30">
        <w:rPr>
          <w:rFonts w:ascii="Franklin Gothic Book" w:hAnsi="Franklin Gothic Book"/>
          <w:sz w:val="22"/>
        </w:rPr>
      </w:r>
      <w:r w:rsidR="0022722B" w:rsidRPr="00C24C30">
        <w:rPr>
          <w:rFonts w:ascii="Franklin Gothic Book" w:hAnsi="Franklin Gothic Book"/>
          <w:sz w:val="22"/>
        </w:rPr>
        <w:fldChar w:fldCharType="separate"/>
      </w:r>
      <w:r w:rsidR="0016064D" w:rsidRPr="00C24C30">
        <w:rPr>
          <w:rFonts w:ascii="Franklin Gothic Book" w:hAnsi="Franklin Gothic Book"/>
          <w:sz w:val="22"/>
        </w:rPr>
        <w:t xml:space="preserve">Figure </w:t>
      </w:r>
      <w:r w:rsidR="0016064D" w:rsidRPr="00C24C30">
        <w:rPr>
          <w:rFonts w:ascii="Franklin Gothic Book" w:hAnsi="Franklin Gothic Book"/>
          <w:noProof/>
          <w:sz w:val="22"/>
        </w:rPr>
        <w:t>2</w:t>
      </w:r>
      <w:r w:rsidR="0022722B" w:rsidRPr="00C24C30">
        <w:rPr>
          <w:rFonts w:ascii="Franklin Gothic Book" w:hAnsi="Franklin Gothic Book"/>
          <w:sz w:val="22"/>
        </w:rPr>
        <w:fldChar w:fldCharType="end"/>
      </w:r>
      <w:r w:rsidR="00FB40BB" w:rsidRPr="00C24C30">
        <w:rPr>
          <w:rFonts w:ascii="Franklin Gothic Book" w:hAnsi="Franklin Gothic Book"/>
          <w:sz w:val="22"/>
        </w:rPr>
        <w:t>.</w:t>
      </w:r>
    </w:p>
    <w:p w14:paraId="1CEF2DC9" w14:textId="0932EE78" w:rsidR="0022722B" w:rsidRPr="0022722B" w:rsidRDefault="0022722B" w:rsidP="003F6F2A">
      <w:pPr>
        <w:pStyle w:val="Caption"/>
      </w:pPr>
      <w:bookmarkStart w:id="44" w:name="_Ref176969442"/>
      <w:r w:rsidRPr="0022722B">
        <w:t xml:space="preserve">Figure </w:t>
      </w:r>
      <w:r w:rsidR="0016064D">
        <w:fldChar w:fldCharType="begin"/>
      </w:r>
      <w:r w:rsidR="0016064D">
        <w:instrText xml:space="preserve"> SEQ Figure_MSAC. \* ARABIC </w:instrText>
      </w:r>
      <w:r w:rsidR="0016064D">
        <w:fldChar w:fldCharType="separate"/>
      </w:r>
      <w:r w:rsidR="0016064D">
        <w:rPr>
          <w:noProof/>
        </w:rPr>
        <w:t>2</w:t>
      </w:r>
      <w:r w:rsidR="0016064D">
        <w:rPr>
          <w:noProof/>
        </w:rPr>
        <w:fldChar w:fldCharType="end"/>
      </w:r>
      <w:bookmarkEnd w:id="44"/>
      <w:r w:rsidRPr="0022722B">
        <w:t xml:space="preserve">: Base case PFS and OS curves </w:t>
      </w:r>
    </w:p>
    <w:p w14:paraId="0F3981C2" w14:textId="02278EE7" w:rsidR="0022722B" w:rsidRDefault="0022722B" w:rsidP="005D6D39">
      <w:r>
        <w:rPr>
          <w:i/>
          <w:iCs/>
          <w:noProof/>
          <w:lang w:eastAsia="en-AU"/>
        </w:rPr>
        <w:drawing>
          <wp:inline distT="0" distB="0" distL="0" distR="0" wp14:anchorId="42A1F7F4" wp14:editId="7E7C72BF">
            <wp:extent cx="5700395" cy="2639853"/>
            <wp:effectExtent l="0" t="0" r="0" b="8255"/>
            <wp:docPr id="1538276430" name="Picture 5" descr="A graph of different colored lines showing base case PFS and OS cur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76430" name="Picture 5" descr="A graph of different colored lines showing base case PFS and OS curv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336" cy="2655108"/>
                    </a:xfrm>
                    <a:prstGeom prst="rect">
                      <a:avLst/>
                    </a:prstGeom>
                    <a:noFill/>
                  </pic:spPr>
                </pic:pic>
              </a:graphicData>
            </a:graphic>
          </wp:inline>
        </w:drawing>
      </w:r>
    </w:p>
    <w:p w14:paraId="7A359262" w14:textId="497C24A4" w:rsidR="0022722B" w:rsidRDefault="0022722B" w:rsidP="0022722B">
      <w:pPr>
        <w:pStyle w:val="TableFigureFooter"/>
      </w:pPr>
      <w:r>
        <w:t>Source: constructed during the evaluation using ‘PFS KM data’, ‘OS KM data’, ‘Extrapolations CAPI (P1)’, ‘Extrapolations placebo (P2)’, and ‘Extrapolations placebo (ITT)’ worksheets from the economic model</w:t>
      </w:r>
    </w:p>
    <w:p w14:paraId="2CFF0078" w14:textId="62C23613" w:rsidR="0022722B" w:rsidRDefault="0022722B" w:rsidP="0022722B">
      <w:pPr>
        <w:pStyle w:val="TableFigureFooter"/>
      </w:pPr>
      <w:r>
        <w:t xml:space="preserve">CAPI = capivasertib; FULV = </w:t>
      </w:r>
      <w:proofErr w:type="spellStart"/>
      <w:r>
        <w:t>fulvestrant</w:t>
      </w:r>
      <w:proofErr w:type="spellEnd"/>
      <w:r>
        <w:t>; KM = Kaplan Meier; PBO = placebo; PFS = progression free survival; OS = overall survival</w:t>
      </w:r>
    </w:p>
    <w:p w14:paraId="30E3EBBF" w14:textId="202B61AC" w:rsidR="00AD430F" w:rsidRPr="00C24C30" w:rsidRDefault="00AD430F" w:rsidP="005D6D39">
      <w:pPr>
        <w:rPr>
          <w:rFonts w:ascii="Franklin Gothic Book" w:hAnsi="Franklin Gothic Book"/>
          <w:sz w:val="22"/>
        </w:rPr>
      </w:pPr>
      <w:r w:rsidRPr="00C24C30">
        <w:rPr>
          <w:rFonts w:ascii="Franklin Gothic Book" w:hAnsi="Franklin Gothic Book"/>
          <w:sz w:val="22"/>
        </w:rPr>
        <w:t xml:space="preserve">The model included utility values for the progression free (PF) health state, progressed disease (PD) health state, and disutility for AEs experienced from CAPI+FULV. However, the submission did not consider disutility associated with patients who receive a </w:t>
      </w:r>
      <w:r w:rsidR="003151A1" w:rsidRPr="00C24C30">
        <w:rPr>
          <w:rFonts w:ascii="Franklin Gothic Book" w:hAnsi="Franklin Gothic Book"/>
          <w:sz w:val="22"/>
        </w:rPr>
        <w:t>false positive or false negative result</w:t>
      </w:r>
      <w:r w:rsidRPr="00C24C30">
        <w:rPr>
          <w:rFonts w:ascii="Franklin Gothic Book" w:hAnsi="Franklin Gothic Book"/>
          <w:sz w:val="22"/>
        </w:rPr>
        <w:t xml:space="preserve"> from AKT pathway testing. </w:t>
      </w:r>
      <w:r w:rsidR="009B2796" w:rsidRPr="00C24C30">
        <w:rPr>
          <w:rFonts w:ascii="Franklin Gothic Book" w:hAnsi="Franklin Gothic Book"/>
          <w:sz w:val="22"/>
        </w:rPr>
        <w:t xml:space="preserve">Although this was not expected to have a large impact the ICER since the proportion of patients in these branches (P2 and P3) was &lt;1%. </w:t>
      </w:r>
      <w:r w:rsidR="006B560D" w:rsidRPr="00C24C30">
        <w:rPr>
          <w:rFonts w:ascii="Franklin Gothic Book" w:hAnsi="Franklin Gothic Book"/>
          <w:sz w:val="22"/>
        </w:rPr>
        <w:t>The derivation of the PD health state utility value in the submission’s base case was not</w:t>
      </w:r>
      <w:r w:rsidR="007A4DAE" w:rsidRPr="00C24C30">
        <w:rPr>
          <w:rFonts w:ascii="Franklin Gothic Book" w:hAnsi="Franklin Gothic Book"/>
          <w:sz w:val="22"/>
        </w:rPr>
        <w:t xml:space="preserve"> reasonable </w:t>
      </w:r>
      <w:r w:rsidR="006B560D" w:rsidRPr="00C24C30">
        <w:rPr>
          <w:rFonts w:ascii="Franklin Gothic Book" w:hAnsi="Franklin Gothic Book"/>
          <w:sz w:val="22"/>
        </w:rPr>
        <w:t xml:space="preserve">and </w:t>
      </w:r>
      <w:r w:rsidR="007A4DAE" w:rsidRPr="00C24C30">
        <w:rPr>
          <w:rFonts w:ascii="Franklin Gothic Book" w:hAnsi="Franklin Gothic Book"/>
          <w:sz w:val="22"/>
        </w:rPr>
        <w:t>the</w:t>
      </w:r>
      <w:r w:rsidR="006B560D" w:rsidRPr="00C24C30">
        <w:rPr>
          <w:rFonts w:ascii="Franklin Gothic Book" w:hAnsi="Franklin Gothic Book"/>
          <w:sz w:val="22"/>
        </w:rPr>
        <w:t xml:space="preserve"> PD utility from CAPItello-291 </w:t>
      </w:r>
      <w:r w:rsidR="00467DC7" w:rsidRPr="00C24C30">
        <w:rPr>
          <w:rFonts w:ascii="Franklin Gothic Book" w:hAnsi="Franklin Gothic Book"/>
          <w:sz w:val="22"/>
        </w:rPr>
        <w:t xml:space="preserve">(0.748) </w:t>
      </w:r>
      <w:r w:rsidR="007A4DAE" w:rsidRPr="00C24C30">
        <w:rPr>
          <w:rFonts w:ascii="Franklin Gothic Book" w:hAnsi="Franklin Gothic Book"/>
          <w:sz w:val="22"/>
        </w:rPr>
        <w:t xml:space="preserve">was considered as the more </w:t>
      </w:r>
      <w:r w:rsidR="006B560D" w:rsidRPr="00C24C30">
        <w:rPr>
          <w:rFonts w:ascii="Franklin Gothic Book" w:hAnsi="Franklin Gothic Book"/>
          <w:sz w:val="22"/>
        </w:rPr>
        <w:t>generalisable</w:t>
      </w:r>
      <w:r w:rsidR="007A4DAE" w:rsidRPr="00C24C30">
        <w:rPr>
          <w:rFonts w:ascii="Franklin Gothic Book" w:hAnsi="Franklin Gothic Book"/>
          <w:sz w:val="22"/>
        </w:rPr>
        <w:t xml:space="preserve"> source</w:t>
      </w:r>
      <w:r w:rsidR="006B560D" w:rsidRPr="00C24C30">
        <w:rPr>
          <w:rFonts w:ascii="Franklin Gothic Book" w:hAnsi="Franklin Gothic Book"/>
          <w:sz w:val="22"/>
        </w:rPr>
        <w:t xml:space="preserve">. </w:t>
      </w:r>
      <w:r w:rsidR="00FC2F66" w:rsidRPr="00C24C30">
        <w:rPr>
          <w:rFonts w:ascii="Franklin Gothic Book" w:hAnsi="Franklin Gothic Book"/>
          <w:sz w:val="22"/>
        </w:rPr>
        <w:t xml:space="preserve">The utilities </w:t>
      </w:r>
      <w:r w:rsidR="00CD67EF" w:rsidRPr="00C24C30">
        <w:rPr>
          <w:rFonts w:ascii="Franklin Gothic Book" w:hAnsi="Franklin Gothic Book"/>
          <w:sz w:val="22"/>
        </w:rPr>
        <w:t>had a moderate impact on the ICER</w:t>
      </w:r>
      <w:r w:rsidR="00FC2F66" w:rsidRPr="00C24C30">
        <w:rPr>
          <w:rFonts w:ascii="Franklin Gothic Book" w:hAnsi="Franklin Gothic Book"/>
          <w:sz w:val="22"/>
        </w:rPr>
        <w:t xml:space="preserve">. </w:t>
      </w:r>
    </w:p>
    <w:p w14:paraId="4C7EF7D2" w14:textId="27FADC09"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disaggregated costs and outcomes by branch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_Ref174966029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14</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w:t>
      </w:r>
    </w:p>
    <w:p w14:paraId="3DF609E8" w14:textId="7FD3D624" w:rsidR="005D6D39" w:rsidRPr="00102634" w:rsidRDefault="005D6D39" w:rsidP="003F6F2A">
      <w:pPr>
        <w:pStyle w:val="Caption"/>
        <w:rPr>
          <w:lang w:eastAsia="en-AU"/>
        </w:rPr>
      </w:pPr>
      <w:bookmarkStart w:id="45" w:name="_Ref174966029"/>
      <w:r w:rsidRPr="00102634">
        <w:lastRenderedPageBreak/>
        <w:t xml:space="preserve">Table </w:t>
      </w:r>
      <w:r w:rsidR="0016064D">
        <w:fldChar w:fldCharType="begin"/>
      </w:r>
      <w:r w:rsidR="0016064D">
        <w:instrText xml:space="preserve"> SEQ Table_MSAC. \* ARABIC </w:instrText>
      </w:r>
      <w:r w:rsidR="0016064D">
        <w:fldChar w:fldCharType="separate"/>
      </w:r>
      <w:r w:rsidR="0016064D">
        <w:rPr>
          <w:noProof/>
        </w:rPr>
        <w:t>14</w:t>
      </w:r>
      <w:r w:rsidR="0016064D">
        <w:rPr>
          <w:noProof/>
        </w:rPr>
        <w:fldChar w:fldCharType="end"/>
      </w:r>
      <w:bookmarkEnd w:id="45"/>
      <w:r w:rsidRPr="00102634">
        <w:t xml:space="preserve">: </w:t>
      </w:r>
      <w:r w:rsidRPr="00102634">
        <w:rPr>
          <w:lang w:eastAsia="en-AU"/>
        </w:rPr>
        <w:t>Disaggregated costs and outcomes (discounted)</w:t>
      </w:r>
    </w:p>
    <w:tbl>
      <w:tblPr>
        <w:tblStyle w:val="HTATableshaded"/>
        <w:tblW w:w="5000" w:type="pct"/>
        <w:tblLayout w:type="fixed"/>
        <w:tblCellMar>
          <w:left w:w="0" w:type="dxa"/>
          <w:right w:w="0" w:type="dxa"/>
        </w:tblCellMar>
        <w:tblLook w:val="04A0" w:firstRow="1" w:lastRow="0" w:firstColumn="1" w:lastColumn="0" w:noHBand="0" w:noVBand="1"/>
      </w:tblPr>
      <w:tblGrid>
        <w:gridCol w:w="1022"/>
        <w:gridCol w:w="759"/>
        <w:gridCol w:w="760"/>
        <w:gridCol w:w="759"/>
        <w:gridCol w:w="760"/>
        <w:gridCol w:w="759"/>
        <w:gridCol w:w="760"/>
        <w:gridCol w:w="795"/>
        <w:gridCol w:w="709"/>
        <w:gridCol w:w="709"/>
        <w:gridCol w:w="708"/>
        <w:gridCol w:w="516"/>
      </w:tblGrid>
      <w:tr w:rsidR="005D6D39" w:rsidRPr="00102634" w14:paraId="1B0A646C" w14:textId="77777777">
        <w:trPr>
          <w:cnfStyle w:val="100000000000" w:firstRow="1" w:lastRow="0" w:firstColumn="0" w:lastColumn="0" w:oddVBand="0" w:evenVBand="0" w:oddHBand="0" w:evenHBand="0" w:firstRowFirstColumn="0" w:firstRowLastColumn="0" w:lastRowFirstColumn="0" w:lastRowLastColumn="0"/>
          <w:trHeight w:val="20"/>
        </w:trPr>
        <w:tc>
          <w:tcPr>
            <w:tcW w:w="1022" w:type="dxa"/>
            <w:tcBorders>
              <w:right w:val="double" w:sz="4" w:space="0" w:color="auto"/>
            </w:tcBorders>
            <w:noWrap/>
            <w:vAlign w:val="bottom"/>
            <w:hideMark/>
          </w:tcPr>
          <w:p w14:paraId="22E6E239" w14:textId="77777777" w:rsidR="005D6D39" w:rsidRPr="00102634" w:rsidRDefault="005D6D39" w:rsidP="00FB40BB">
            <w:pPr>
              <w:pStyle w:val="TableText"/>
              <w:keepNext/>
              <w:rPr>
                <w:b/>
                <w:bCs/>
              </w:rPr>
            </w:pPr>
          </w:p>
        </w:tc>
        <w:tc>
          <w:tcPr>
            <w:tcW w:w="4557" w:type="dxa"/>
            <w:gridSpan w:val="6"/>
            <w:tcBorders>
              <w:right w:val="double" w:sz="4" w:space="0" w:color="auto"/>
            </w:tcBorders>
          </w:tcPr>
          <w:p w14:paraId="0E816F7D" w14:textId="77777777" w:rsidR="005D6D39" w:rsidRPr="00102634" w:rsidRDefault="005D6D39" w:rsidP="00FB40BB">
            <w:pPr>
              <w:pStyle w:val="TableText"/>
              <w:keepNext/>
              <w:jc w:val="center"/>
              <w:rPr>
                <w:b/>
                <w:bCs/>
              </w:rPr>
            </w:pPr>
            <w:r w:rsidRPr="00102634">
              <w:rPr>
                <w:b/>
                <w:bCs/>
              </w:rPr>
              <w:t>Testing</w:t>
            </w:r>
          </w:p>
        </w:tc>
        <w:tc>
          <w:tcPr>
            <w:tcW w:w="2213" w:type="dxa"/>
            <w:gridSpan w:val="3"/>
            <w:tcBorders>
              <w:left w:val="double" w:sz="4" w:space="0" w:color="auto"/>
              <w:right w:val="double" w:sz="4" w:space="0" w:color="auto"/>
            </w:tcBorders>
            <w:noWrap/>
            <w:vAlign w:val="center"/>
            <w:hideMark/>
          </w:tcPr>
          <w:p w14:paraId="169ECC87" w14:textId="77777777" w:rsidR="005D6D39" w:rsidRPr="00102634" w:rsidDel="003303B6" w:rsidRDefault="005D6D39" w:rsidP="00FB40BB">
            <w:pPr>
              <w:pStyle w:val="TableText"/>
              <w:keepNext/>
              <w:jc w:val="center"/>
              <w:rPr>
                <w:b/>
                <w:bCs/>
              </w:rPr>
            </w:pPr>
            <w:r w:rsidRPr="00102634">
              <w:rPr>
                <w:b/>
                <w:bCs/>
              </w:rPr>
              <w:t>No testing</w:t>
            </w:r>
          </w:p>
        </w:tc>
        <w:tc>
          <w:tcPr>
            <w:tcW w:w="708" w:type="dxa"/>
            <w:vMerge w:val="restart"/>
            <w:tcBorders>
              <w:left w:val="double" w:sz="4" w:space="0" w:color="auto"/>
            </w:tcBorders>
            <w:noWrap/>
            <w:vAlign w:val="center"/>
            <w:hideMark/>
          </w:tcPr>
          <w:p w14:paraId="651920C5" w14:textId="77777777" w:rsidR="005D6D39" w:rsidRPr="00102634" w:rsidRDefault="005D6D39" w:rsidP="00FB40BB">
            <w:pPr>
              <w:pStyle w:val="TableText"/>
              <w:keepNext/>
              <w:jc w:val="center"/>
              <w:rPr>
                <w:b/>
                <w:bCs/>
              </w:rPr>
            </w:pPr>
            <w:r w:rsidRPr="00102634">
              <w:rPr>
                <w:b/>
                <w:bCs/>
              </w:rPr>
              <w:t xml:space="preserve">Inc </w:t>
            </w:r>
          </w:p>
          <w:p w14:paraId="100B1B95" w14:textId="77777777" w:rsidR="005D6D39" w:rsidRPr="00102634" w:rsidRDefault="005D6D39" w:rsidP="00FB40BB">
            <w:pPr>
              <w:pStyle w:val="TableText"/>
              <w:keepNext/>
              <w:jc w:val="center"/>
              <w:rPr>
                <w:b/>
                <w:bCs/>
              </w:rPr>
            </w:pPr>
            <w:r w:rsidRPr="00102634">
              <w:rPr>
                <w:b/>
                <w:bCs/>
              </w:rPr>
              <w:t>(Test vs no test)</w:t>
            </w:r>
          </w:p>
        </w:tc>
        <w:tc>
          <w:tcPr>
            <w:tcW w:w="516" w:type="dxa"/>
            <w:vMerge w:val="restart"/>
            <w:noWrap/>
            <w:vAlign w:val="center"/>
            <w:hideMark/>
          </w:tcPr>
          <w:p w14:paraId="152DD9D4" w14:textId="77777777" w:rsidR="005D6D39" w:rsidRPr="00102634" w:rsidRDefault="005D6D39" w:rsidP="00FB40BB">
            <w:pPr>
              <w:pStyle w:val="TableText"/>
              <w:keepNext/>
              <w:jc w:val="center"/>
              <w:rPr>
                <w:rFonts w:ascii="Times New Roman" w:hAnsi="Times New Roman"/>
                <w:b/>
                <w:bCs/>
                <w:szCs w:val="20"/>
              </w:rPr>
            </w:pPr>
            <w:r w:rsidRPr="00102634">
              <w:rPr>
                <w:b/>
                <w:bCs/>
              </w:rPr>
              <w:t>% of total Inc</w:t>
            </w:r>
          </w:p>
        </w:tc>
      </w:tr>
      <w:tr w:rsidR="005D6D39" w:rsidRPr="00102634" w14:paraId="4166DB2D" w14:textId="77777777" w:rsidTr="51A3F6AA">
        <w:trPr>
          <w:trHeight w:val="20"/>
        </w:trPr>
        <w:tc>
          <w:tcPr>
            <w:tcW w:w="1022" w:type="dxa"/>
            <w:tcBorders>
              <w:right w:val="double" w:sz="4" w:space="0" w:color="auto"/>
            </w:tcBorders>
            <w:noWrap/>
            <w:vAlign w:val="center"/>
          </w:tcPr>
          <w:p w14:paraId="78BB44DE" w14:textId="77777777" w:rsidR="005D6D39" w:rsidRPr="00102634" w:rsidRDefault="005D6D39" w:rsidP="00FB40BB">
            <w:pPr>
              <w:pStyle w:val="TableText"/>
              <w:keepNext/>
              <w:jc w:val="center"/>
            </w:pPr>
            <w:r w:rsidRPr="00102634">
              <w:rPr>
                <w:b/>
                <w:bCs/>
              </w:rPr>
              <w:t>Costs</w:t>
            </w:r>
          </w:p>
        </w:tc>
        <w:tc>
          <w:tcPr>
            <w:tcW w:w="759" w:type="dxa"/>
            <w:tcBorders>
              <w:left w:val="double" w:sz="4" w:space="0" w:color="auto"/>
              <w:right w:val="single" w:sz="4" w:space="0" w:color="auto"/>
            </w:tcBorders>
            <w:noWrap/>
            <w:vAlign w:val="center"/>
          </w:tcPr>
          <w:p w14:paraId="434DFD59" w14:textId="77777777" w:rsidR="005D6D39" w:rsidRPr="00102634" w:rsidRDefault="005D6D39" w:rsidP="00FB40BB">
            <w:pPr>
              <w:pStyle w:val="TableText"/>
              <w:keepNext/>
              <w:jc w:val="center"/>
              <w:rPr>
                <w:b/>
                <w:bCs/>
              </w:rPr>
            </w:pPr>
            <w:r w:rsidRPr="00102634">
              <w:rPr>
                <w:b/>
                <w:bCs/>
              </w:rPr>
              <w:t>Total</w:t>
            </w:r>
          </w:p>
        </w:tc>
        <w:tc>
          <w:tcPr>
            <w:tcW w:w="760" w:type="dxa"/>
            <w:tcBorders>
              <w:left w:val="single" w:sz="4" w:space="0" w:color="auto"/>
            </w:tcBorders>
            <w:vAlign w:val="center"/>
          </w:tcPr>
          <w:p w14:paraId="21FD0D2F" w14:textId="77777777" w:rsidR="005D6D39" w:rsidRPr="00102634" w:rsidRDefault="005D6D39" w:rsidP="00FB40BB">
            <w:pPr>
              <w:pStyle w:val="TableText"/>
              <w:keepNext/>
              <w:jc w:val="center"/>
              <w:rPr>
                <w:b/>
                <w:bCs/>
              </w:rPr>
            </w:pPr>
            <w:r w:rsidRPr="00102634">
              <w:rPr>
                <w:b/>
                <w:bCs/>
              </w:rPr>
              <w:t>P1 (TP)</w:t>
            </w:r>
          </w:p>
        </w:tc>
        <w:tc>
          <w:tcPr>
            <w:tcW w:w="759" w:type="dxa"/>
            <w:vAlign w:val="center"/>
          </w:tcPr>
          <w:p w14:paraId="03EF935A" w14:textId="77777777" w:rsidR="005D6D39" w:rsidRPr="00102634" w:rsidRDefault="005D6D39" w:rsidP="00FB40BB">
            <w:pPr>
              <w:pStyle w:val="TableText"/>
              <w:keepNext/>
              <w:jc w:val="center"/>
              <w:rPr>
                <w:b/>
                <w:bCs/>
              </w:rPr>
            </w:pPr>
            <w:r w:rsidRPr="00102634">
              <w:rPr>
                <w:b/>
                <w:bCs/>
              </w:rPr>
              <w:t>P2 (FN)</w:t>
            </w:r>
          </w:p>
        </w:tc>
        <w:tc>
          <w:tcPr>
            <w:tcW w:w="760" w:type="dxa"/>
            <w:vAlign w:val="center"/>
          </w:tcPr>
          <w:p w14:paraId="18F49DEB" w14:textId="7B2A954E" w:rsidR="005D6D39" w:rsidRPr="00102634" w:rsidRDefault="005D6D39" w:rsidP="00FB40BB">
            <w:pPr>
              <w:pStyle w:val="TableText"/>
              <w:keepNext/>
              <w:jc w:val="center"/>
              <w:rPr>
                <w:b/>
                <w:bCs/>
              </w:rPr>
            </w:pPr>
            <w:r w:rsidRPr="00102634">
              <w:rPr>
                <w:b/>
                <w:bCs/>
              </w:rPr>
              <w:t>P</w:t>
            </w:r>
            <w:r w:rsidR="009B2796">
              <w:rPr>
                <w:b/>
                <w:bCs/>
              </w:rPr>
              <w:t>3</w:t>
            </w:r>
            <w:r w:rsidRPr="00102634">
              <w:rPr>
                <w:b/>
                <w:bCs/>
              </w:rPr>
              <w:t xml:space="preserve"> (FP)</w:t>
            </w:r>
          </w:p>
        </w:tc>
        <w:tc>
          <w:tcPr>
            <w:tcW w:w="759" w:type="dxa"/>
            <w:vAlign w:val="center"/>
          </w:tcPr>
          <w:p w14:paraId="7B5AF903" w14:textId="77777777" w:rsidR="005D6D39" w:rsidRPr="00102634" w:rsidRDefault="005D6D39" w:rsidP="00FB40BB">
            <w:pPr>
              <w:pStyle w:val="TableText"/>
              <w:keepNext/>
              <w:jc w:val="center"/>
              <w:rPr>
                <w:b/>
                <w:bCs/>
              </w:rPr>
            </w:pPr>
            <w:r w:rsidRPr="00102634">
              <w:rPr>
                <w:b/>
                <w:bCs/>
              </w:rPr>
              <w:t>P4 (TN)</w:t>
            </w:r>
          </w:p>
        </w:tc>
        <w:tc>
          <w:tcPr>
            <w:tcW w:w="760" w:type="dxa"/>
            <w:tcBorders>
              <w:right w:val="double" w:sz="4" w:space="0" w:color="auto"/>
            </w:tcBorders>
            <w:vAlign w:val="center"/>
          </w:tcPr>
          <w:p w14:paraId="6C0FF494" w14:textId="77777777" w:rsidR="005D6D39" w:rsidRPr="00102634" w:rsidRDefault="005D6D39" w:rsidP="00FB40BB">
            <w:pPr>
              <w:pStyle w:val="TableText"/>
              <w:keepNext/>
              <w:jc w:val="center"/>
              <w:rPr>
                <w:b/>
                <w:bCs/>
                <w:vertAlign w:val="superscript"/>
              </w:rPr>
            </w:pPr>
            <w:r w:rsidRPr="00102634">
              <w:rPr>
                <w:b/>
                <w:bCs/>
              </w:rPr>
              <w:t xml:space="preserve">P5-P6 (TF) </w:t>
            </w:r>
            <w:r w:rsidRPr="00102634">
              <w:rPr>
                <w:b/>
                <w:bCs/>
                <w:vertAlign w:val="superscript"/>
              </w:rPr>
              <w:t>a</w:t>
            </w:r>
          </w:p>
        </w:tc>
        <w:tc>
          <w:tcPr>
            <w:tcW w:w="795" w:type="dxa"/>
            <w:tcBorders>
              <w:left w:val="double" w:sz="4" w:space="0" w:color="auto"/>
            </w:tcBorders>
            <w:noWrap/>
            <w:vAlign w:val="center"/>
          </w:tcPr>
          <w:p w14:paraId="3B26C1C9" w14:textId="77777777" w:rsidR="005D6D39" w:rsidRPr="00102634" w:rsidRDefault="005D6D39" w:rsidP="00FB40BB">
            <w:pPr>
              <w:pStyle w:val="TableText"/>
              <w:keepNext/>
              <w:jc w:val="center"/>
              <w:rPr>
                <w:b/>
                <w:bCs/>
              </w:rPr>
            </w:pPr>
            <w:r w:rsidRPr="00102634">
              <w:rPr>
                <w:b/>
                <w:bCs/>
              </w:rPr>
              <w:t>Total</w:t>
            </w:r>
          </w:p>
        </w:tc>
        <w:tc>
          <w:tcPr>
            <w:tcW w:w="709" w:type="dxa"/>
            <w:vAlign w:val="center"/>
          </w:tcPr>
          <w:p w14:paraId="58E504C6" w14:textId="77777777" w:rsidR="005D6D39" w:rsidRPr="00102634" w:rsidRDefault="005D6D39" w:rsidP="00FB40BB">
            <w:pPr>
              <w:pStyle w:val="TableText"/>
              <w:keepNext/>
              <w:jc w:val="center"/>
              <w:rPr>
                <w:b/>
                <w:bCs/>
              </w:rPr>
            </w:pPr>
            <w:r w:rsidRPr="00102634">
              <w:rPr>
                <w:b/>
                <w:bCs/>
              </w:rPr>
              <w:t>C1</w:t>
            </w:r>
          </w:p>
        </w:tc>
        <w:tc>
          <w:tcPr>
            <w:tcW w:w="709" w:type="dxa"/>
            <w:tcBorders>
              <w:right w:val="double" w:sz="4" w:space="0" w:color="auto"/>
            </w:tcBorders>
            <w:vAlign w:val="center"/>
          </w:tcPr>
          <w:p w14:paraId="64F50814" w14:textId="77777777" w:rsidR="005D6D39" w:rsidRPr="00102634" w:rsidRDefault="005D6D39" w:rsidP="00FB40BB">
            <w:pPr>
              <w:pStyle w:val="TableText"/>
              <w:keepNext/>
              <w:jc w:val="center"/>
              <w:rPr>
                <w:b/>
                <w:bCs/>
              </w:rPr>
            </w:pPr>
            <w:r w:rsidRPr="00102634">
              <w:rPr>
                <w:b/>
                <w:bCs/>
              </w:rPr>
              <w:t>C2</w:t>
            </w:r>
          </w:p>
        </w:tc>
        <w:tc>
          <w:tcPr>
            <w:tcW w:w="708" w:type="dxa"/>
            <w:vMerge/>
            <w:noWrap/>
            <w:vAlign w:val="center"/>
          </w:tcPr>
          <w:p w14:paraId="2743D38A" w14:textId="77777777" w:rsidR="005D6D39" w:rsidRPr="00102634" w:rsidRDefault="005D6D39" w:rsidP="00FB40BB">
            <w:pPr>
              <w:pStyle w:val="TableText"/>
              <w:keepNext/>
              <w:jc w:val="center"/>
            </w:pPr>
          </w:p>
        </w:tc>
        <w:tc>
          <w:tcPr>
            <w:tcW w:w="516" w:type="dxa"/>
            <w:vMerge/>
            <w:noWrap/>
            <w:vAlign w:val="center"/>
          </w:tcPr>
          <w:p w14:paraId="70171AAA" w14:textId="77777777" w:rsidR="005D6D39" w:rsidRPr="00102634" w:rsidRDefault="005D6D39" w:rsidP="00FB40BB">
            <w:pPr>
              <w:pStyle w:val="TableText"/>
              <w:keepNext/>
              <w:jc w:val="center"/>
            </w:pPr>
          </w:p>
        </w:tc>
      </w:tr>
      <w:tr w:rsidR="00F269FF" w:rsidRPr="00F269FF" w14:paraId="6CCCC688" w14:textId="77777777">
        <w:trPr>
          <w:trHeight w:val="20"/>
        </w:trPr>
        <w:tc>
          <w:tcPr>
            <w:tcW w:w="1022" w:type="dxa"/>
            <w:tcBorders>
              <w:right w:val="double" w:sz="4" w:space="0" w:color="auto"/>
            </w:tcBorders>
            <w:noWrap/>
          </w:tcPr>
          <w:p w14:paraId="72353E08" w14:textId="524A8832" w:rsidR="00F269FF" w:rsidRPr="00F269FF" w:rsidRDefault="00F269FF" w:rsidP="00FB40BB">
            <w:pPr>
              <w:pStyle w:val="TableText"/>
              <w:keepNext/>
            </w:pPr>
            <w:r w:rsidRPr="00F269FF">
              <w:t>% per branch</w:t>
            </w:r>
          </w:p>
        </w:tc>
        <w:tc>
          <w:tcPr>
            <w:tcW w:w="759" w:type="dxa"/>
            <w:tcBorders>
              <w:left w:val="double" w:sz="4" w:space="0" w:color="auto"/>
              <w:right w:val="single" w:sz="4" w:space="0" w:color="auto"/>
            </w:tcBorders>
            <w:noWrap/>
            <w:vAlign w:val="center"/>
          </w:tcPr>
          <w:p w14:paraId="7F99B489" w14:textId="1057CBFF" w:rsidR="00F269FF" w:rsidRPr="003E172D" w:rsidRDefault="00F269FF" w:rsidP="00FB40BB">
            <w:pPr>
              <w:pStyle w:val="TableText"/>
              <w:keepNext/>
              <w:jc w:val="center"/>
            </w:pPr>
            <w:r w:rsidRPr="003E172D">
              <w:t>-</w:t>
            </w:r>
          </w:p>
        </w:tc>
        <w:tc>
          <w:tcPr>
            <w:tcW w:w="760" w:type="dxa"/>
            <w:tcBorders>
              <w:left w:val="single" w:sz="4" w:space="0" w:color="auto"/>
            </w:tcBorders>
            <w:vAlign w:val="center"/>
          </w:tcPr>
          <w:p w14:paraId="46AFE0E2" w14:textId="1339A359" w:rsidR="00F269FF" w:rsidRPr="003E172D" w:rsidRDefault="00F269FF" w:rsidP="00FB40BB">
            <w:pPr>
              <w:pStyle w:val="TableText"/>
              <w:keepNext/>
              <w:jc w:val="center"/>
            </w:pPr>
            <w:r w:rsidRPr="003E172D">
              <w:t>44.7%</w:t>
            </w:r>
          </w:p>
        </w:tc>
        <w:tc>
          <w:tcPr>
            <w:tcW w:w="759" w:type="dxa"/>
            <w:vAlign w:val="center"/>
          </w:tcPr>
          <w:p w14:paraId="64531458" w14:textId="253C392B" w:rsidR="00F269FF" w:rsidRPr="003E172D" w:rsidRDefault="00F269FF" w:rsidP="00FB40BB">
            <w:pPr>
              <w:pStyle w:val="TableText"/>
              <w:keepNext/>
              <w:jc w:val="center"/>
            </w:pPr>
            <w:r w:rsidRPr="003E172D">
              <w:t>0.45%</w:t>
            </w:r>
          </w:p>
        </w:tc>
        <w:tc>
          <w:tcPr>
            <w:tcW w:w="760" w:type="dxa"/>
            <w:vAlign w:val="center"/>
          </w:tcPr>
          <w:p w14:paraId="6240506E" w14:textId="1269E411" w:rsidR="00F269FF" w:rsidRPr="003E172D" w:rsidRDefault="00F269FF" w:rsidP="00FB40BB">
            <w:pPr>
              <w:pStyle w:val="TableText"/>
              <w:keepNext/>
              <w:jc w:val="center"/>
            </w:pPr>
            <w:r w:rsidRPr="003E172D">
              <w:t>0.45%</w:t>
            </w:r>
          </w:p>
        </w:tc>
        <w:tc>
          <w:tcPr>
            <w:tcW w:w="759" w:type="dxa"/>
            <w:vAlign w:val="center"/>
          </w:tcPr>
          <w:p w14:paraId="585A6B58" w14:textId="035F118F" w:rsidR="00F269FF" w:rsidRPr="003E172D" w:rsidRDefault="00F269FF" w:rsidP="00FB40BB">
            <w:pPr>
              <w:pStyle w:val="TableText"/>
              <w:keepNext/>
              <w:jc w:val="center"/>
            </w:pPr>
            <w:r w:rsidRPr="003E172D">
              <w:t>44.7%</w:t>
            </w:r>
          </w:p>
        </w:tc>
        <w:tc>
          <w:tcPr>
            <w:tcW w:w="760" w:type="dxa"/>
            <w:tcBorders>
              <w:right w:val="double" w:sz="4" w:space="0" w:color="auto"/>
            </w:tcBorders>
            <w:vAlign w:val="center"/>
          </w:tcPr>
          <w:p w14:paraId="1FD4F194" w14:textId="713142F5" w:rsidR="00F269FF" w:rsidRPr="003E172D" w:rsidRDefault="00F269FF" w:rsidP="00FB40BB">
            <w:pPr>
              <w:pStyle w:val="TableText"/>
              <w:keepNext/>
              <w:jc w:val="center"/>
            </w:pPr>
            <w:r w:rsidRPr="003E172D">
              <w:t>4.9%</w:t>
            </w:r>
          </w:p>
        </w:tc>
        <w:tc>
          <w:tcPr>
            <w:tcW w:w="795" w:type="dxa"/>
            <w:tcBorders>
              <w:left w:val="double" w:sz="4" w:space="0" w:color="auto"/>
            </w:tcBorders>
            <w:noWrap/>
            <w:vAlign w:val="center"/>
          </w:tcPr>
          <w:p w14:paraId="47446FBD" w14:textId="09E2B10F" w:rsidR="00F269FF" w:rsidRPr="003E172D" w:rsidRDefault="00F269FF" w:rsidP="00FB40BB">
            <w:pPr>
              <w:pStyle w:val="TableText"/>
              <w:keepNext/>
              <w:jc w:val="center"/>
            </w:pPr>
            <w:r w:rsidRPr="003E172D">
              <w:t>-</w:t>
            </w:r>
          </w:p>
        </w:tc>
        <w:tc>
          <w:tcPr>
            <w:tcW w:w="709" w:type="dxa"/>
            <w:vAlign w:val="center"/>
          </w:tcPr>
          <w:p w14:paraId="277F8F9C" w14:textId="58AF5042" w:rsidR="00F269FF" w:rsidRPr="003E172D" w:rsidRDefault="00F269FF" w:rsidP="00FB40BB">
            <w:pPr>
              <w:pStyle w:val="TableText"/>
              <w:keepNext/>
              <w:jc w:val="center"/>
            </w:pPr>
            <w:r w:rsidRPr="003E172D">
              <w:t>50%</w:t>
            </w:r>
          </w:p>
        </w:tc>
        <w:tc>
          <w:tcPr>
            <w:tcW w:w="709" w:type="dxa"/>
            <w:tcBorders>
              <w:right w:val="double" w:sz="4" w:space="0" w:color="auto"/>
            </w:tcBorders>
            <w:vAlign w:val="center"/>
          </w:tcPr>
          <w:p w14:paraId="63B5275D" w14:textId="58A6DC93" w:rsidR="00F269FF" w:rsidRPr="003E172D" w:rsidRDefault="00F269FF" w:rsidP="00FB40BB">
            <w:pPr>
              <w:pStyle w:val="TableText"/>
              <w:keepNext/>
              <w:jc w:val="center"/>
            </w:pPr>
            <w:r w:rsidRPr="003E172D">
              <w:t>50%</w:t>
            </w:r>
          </w:p>
        </w:tc>
        <w:tc>
          <w:tcPr>
            <w:tcW w:w="708" w:type="dxa"/>
            <w:tcBorders>
              <w:left w:val="double" w:sz="4" w:space="0" w:color="auto"/>
            </w:tcBorders>
            <w:noWrap/>
            <w:vAlign w:val="center"/>
          </w:tcPr>
          <w:p w14:paraId="37B416DE" w14:textId="1468E320" w:rsidR="00F269FF" w:rsidRPr="003E172D" w:rsidRDefault="00F269FF" w:rsidP="00FB40BB">
            <w:pPr>
              <w:pStyle w:val="TableText"/>
              <w:keepNext/>
              <w:jc w:val="center"/>
            </w:pPr>
            <w:r w:rsidRPr="003E172D">
              <w:t>-</w:t>
            </w:r>
          </w:p>
        </w:tc>
        <w:tc>
          <w:tcPr>
            <w:tcW w:w="516" w:type="dxa"/>
            <w:noWrap/>
            <w:vAlign w:val="center"/>
          </w:tcPr>
          <w:p w14:paraId="12DE14B3" w14:textId="16DDEF6F" w:rsidR="00F269FF" w:rsidRPr="003E172D" w:rsidRDefault="00F269FF" w:rsidP="00FB40BB">
            <w:pPr>
              <w:pStyle w:val="TableText"/>
              <w:keepNext/>
              <w:jc w:val="center"/>
            </w:pPr>
            <w:r w:rsidRPr="003E172D">
              <w:t>-</w:t>
            </w:r>
          </w:p>
        </w:tc>
      </w:tr>
      <w:tr w:rsidR="00C02B61" w:rsidRPr="00102634" w14:paraId="1B65EBBB" w14:textId="77777777" w:rsidTr="003E172D">
        <w:trPr>
          <w:trHeight w:val="20"/>
        </w:trPr>
        <w:tc>
          <w:tcPr>
            <w:tcW w:w="0" w:type="dxa"/>
            <w:tcBorders>
              <w:right w:val="double" w:sz="4" w:space="0" w:color="auto"/>
            </w:tcBorders>
            <w:noWrap/>
            <w:hideMark/>
          </w:tcPr>
          <w:p w14:paraId="21F32B16" w14:textId="194A4FE3" w:rsidR="003E172D" w:rsidRPr="00102634" w:rsidRDefault="003E172D" w:rsidP="003E172D">
            <w:pPr>
              <w:pStyle w:val="TableText"/>
              <w:keepNext/>
            </w:pPr>
            <w:r w:rsidRPr="00102634">
              <w:t xml:space="preserve">Capivasertib and placebo </w:t>
            </w:r>
          </w:p>
        </w:tc>
        <w:tc>
          <w:tcPr>
            <w:tcW w:w="0" w:type="dxa"/>
            <w:tcBorders>
              <w:left w:val="double" w:sz="4" w:space="0" w:color="auto"/>
              <w:right w:val="single" w:sz="4" w:space="0" w:color="auto"/>
            </w:tcBorders>
            <w:noWrap/>
            <w:vAlign w:val="center"/>
            <w:hideMark/>
          </w:tcPr>
          <w:p w14:paraId="08C8A763" w14:textId="2B9431DC" w:rsidR="003E172D" w:rsidRPr="003E172D" w:rsidRDefault="003E172D" w:rsidP="003E172D">
            <w:pPr>
              <w:pStyle w:val="TableText"/>
              <w:keepNext/>
              <w:jc w:val="center"/>
            </w:pPr>
            <w:r w:rsidRPr="003E172D">
              <w:t>$</w:t>
            </w:r>
            <w:r w:rsidRPr="003E172D">
              <w:rPr>
                <w:b/>
                <w:bCs/>
              </w:rPr>
              <w:t>redacted</w:t>
            </w:r>
          </w:p>
        </w:tc>
        <w:tc>
          <w:tcPr>
            <w:tcW w:w="0" w:type="dxa"/>
            <w:tcBorders>
              <w:left w:val="single" w:sz="4" w:space="0" w:color="auto"/>
            </w:tcBorders>
          </w:tcPr>
          <w:p w14:paraId="14CA43E1" w14:textId="6F4984E8" w:rsidR="003E172D" w:rsidRPr="003E172D" w:rsidRDefault="003E172D" w:rsidP="003E172D">
            <w:pPr>
              <w:pStyle w:val="TableText"/>
              <w:keepNext/>
              <w:jc w:val="center"/>
            </w:pPr>
            <w:r w:rsidRPr="003E172D">
              <w:t>$</w:t>
            </w:r>
            <w:r w:rsidRPr="003E172D">
              <w:rPr>
                <w:b/>
                <w:bCs/>
              </w:rPr>
              <w:t>redacted</w:t>
            </w:r>
          </w:p>
        </w:tc>
        <w:tc>
          <w:tcPr>
            <w:tcW w:w="0" w:type="dxa"/>
          </w:tcPr>
          <w:p w14:paraId="2E9ACA15" w14:textId="727CBD20" w:rsidR="003E172D" w:rsidRPr="003E172D" w:rsidRDefault="003E172D" w:rsidP="003E172D">
            <w:pPr>
              <w:pStyle w:val="TableText"/>
              <w:keepNext/>
              <w:jc w:val="center"/>
            </w:pPr>
            <w:r w:rsidRPr="003E172D">
              <w:t>$</w:t>
            </w:r>
            <w:r w:rsidRPr="003E172D">
              <w:rPr>
                <w:b/>
                <w:bCs/>
              </w:rPr>
              <w:t>redacted</w:t>
            </w:r>
          </w:p>
        </w:tc>
        <w:tc>
          <w:tcPr>
            <w:tcW w:w="0" w:type="dxa"/>
          </w:tcPr>
          <w:p w14:paraId="03475C14" w14:textId="367076C7" w:rsidR="003E172D" w:rsidRPr="003E172D" w:rsidRDefault="003E172D" w:rsidP="003E172D">
            <w:pPr>
              <w:pStyle w:val="TableText"/>
              <w:keepNext/>
              <w:jc w:val="center"/>
            </w:pPr>
            <w:r w:rsidRPr="003E172D">
              <w:t>$</w:t>
            </w:r>
            <w:r w:rsidRPr="003E172D">
              <w:rPr>
                <w:b/>
                <w:bCs/>
              </w:rPr>
              <w:t>redacted</w:t>
            </w:r>
          </w:p>
        </w:tc>
        <w:tc>
          <w:tcPr>
            <w:tcW w:w="0" w:type="dxa"/>
          </w:tcPr>
          <w:p w14:paraId="63A41393" w14:textId="13897767"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288FE3F8" w14:textId="1BB66C5B"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33296B59" w14:textId="4067B2E7" w:rsidR="003E172D" w:rsidRPr="003E172D" w:rsidRDefault="003E172D" w:rsidP="003E172D">
            <w:pPr>
              <w:pStyle w:val="TableText"/>
              <w:keepNext/>
              <w:jc w:val="center"/>
            </w:pPr>
            <w:r w:rsidRPr="003E172D">
              <w:t>$</w:t>
            </w:r>
            <w:r w:rsidRPr="003E172D">
              <w:rPr>
                <w:b/>
                <w:bCs/>
              </w:rPr>
              <w:t>redacted</w:t>
            </w:r>
          </w:p>
        </w:tc>
        <w:tc>
          <w:tcPr>
            <w:tcW w:w="0" w:type="dxa"/>
          </w:tcPr>
          <w:p w14:paraId="57080F65" w14:textId="65472B92"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6B437C44" w14:textId="765F7034"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17033018" w14:textId="466077DF" w:rsidR="003E172D" w:rsidRPr="003E172D" w:rsidRDefault="003E172D" w:rsidP="003E172D">
            <w:pPr>
              <w:pStyle w:val="TableText"/>
              <w:keepNext/>
              <w:jc w:val="center"/>
            </w:pPr>
            <w:r w:rsidRPr="003E172D">
              <w:t>$</w:t>
            </w:r>
            <w:r w:rsidRPr="003E172D">
              <w:rPr>
                <w:b/>
                <w:bCs/>
              </w:rPr>
              <w:t>redacted</w:t>
            </w:r>
          </w:p>
        </w:tc>
        <w:tc>
          <w:tcPr>
            <w:tcW w:w="0" w:type="dxa"/>
            <w:noWrap/>
            <w:hideMark/>
          </w:tcPr>
          <w:p w14:paraId="7058D811" w14:textId="7DE37EF3" w:rsidR="003E172D" w:rsidRPr="003E172D" w:rsidRDefault="6F108648" w:rsidP="003E172D">
            <w:pPr>
              <w:pStyle w:val="TableText"/>
              <w:keepNext/>
              <w:jc w:val="center"/>
            </w:pPr>
            <w:r w:rsidRPr="10812078">
              <w:rPr>
                <w:b/>
                <w:bCs/>
              </w:rPr>
              <w:t>redacted</w:t>
            </w:r>
            <w:r w:rsidR="09188EFE" w:rsidRPr="10812078">
              <w:rPr>
                <w:rFonts w:ascii="Franklin Gothic Book" w:hAnsi="Franklin Gothic Book"/>
                <w:sz w:val="22"/>
                <w:szCs w:val="22"/>
              </w:rPr>
              <w:t>%</w:t>
            </w:r>
          </w:p>
        </w:tc>
      </w:tr>
      <w:tr w:rsidR="00C02B61" w:rsidRPr="00102634" w14:paraId="20F8BB7A" w14:textId="77777777" w:rsidTr="003E172D">
        <w:trPr>
          <w:trHeight w:val="20"/>
        </w:trPr>
        <w:tc>
          <w:tcPr>
            <w:tcW w:w="0" w:type="dxa"/>
            <w:tcBorders>
              <w:right w:val="double" w:sz="4" w:space="0" w:color="auto"/>
            </w:tcBorders>
            <w:noWrap/>
            <w:hideMark/>
          </w:tcPr>
          <w:p w14:paraId="3011199C" w14:textId="77777777" w:rsidR="003E172D" w:rsidRPr="00102634" w:rsidRDefault="003E172D" w:rsidP="003E172D">
            <w:pPr>
              <w:pStyle w:val="TableText"/>
              <w:keepNext/>
            </w:pPr>
            <w:proofErr w:type="spellStart"/>
            <w:r w:rsidRPr="00102634">
              <w:t>Fulvestrant</w:t>
            </w:r>
            <w:proofErr w:type="spellEnd"/>
          </w:p>
        </w:tc>
        <w:tc>
          <w:tcPr>
            <w:tcW w:w="0" w:type="dxa"/>
            <w:tcBorders>
              <w:left w:val="double" w:sz="4" w:space="0" w:color="auto"/>
            </w:tcBorders>
            <w:noWrap/>
            <w:hideMark/>
          </w:tcPr>
          <w:p w14:paraId="1B1043C0" w14:textId="1B8A216C" w:rsidR="003E172D" w:rsidRPr="003E172D" w:rsidRDefault="003E172D" w:rsidP="003E172D">
            <w:pPr>
              <w:pStyle w:val="TableText"/>
              <w:keepNext/>
              <w:jc w:val="center"/>
            </w:pPr>
            <w:r w:rsidRPr="003E172D">
              <w:t>$</w:t>
            </w:r>
            <w:r w:rsidRPr="003E172D">
              <w:rPr>
                <w:b/>
                <w:bCs/>
              </w:rPr>
              <w:t>redacted</w:t>
            </w:r>
          </w:p>
        </w:tc>
        <w:tc>
          <w:tcPr>
            <w:tcW w:w="0" w:type="dxa"/>
          </w:tcPr>
          <w:p w14:paraId="5A03DA91" w14:textId="1D30EA81" w:rsidR="003E172D" w:rsidRPr="003E172D" w:rsidRDefault="003E172D" w:rsidP="003E172D">
            <w:pPr>
              <w:pStyle w:val="TableText"/>
              <w:keepNext/>
              <w:jc w:val="center"/>
            </w:pPr>
            <w:r w:rsidRPr="003E172D">
              <w:t>$</w:t>
            </w:r>
            <w:r w:rsidRPr="003E172D">
              <w:rPr>
                <w:b/>
                <w:bCs/>
              </w:rPr>
              <w:t>redacted</w:t>
            </w:r>
          </w:p>
        </w:tc>
        <w:tc>
          <w:tcPr>
            <w:tcW w:w="0" w:type="dxa"/>
          </w:tcPr>
          <w:p w14:paraId="60E4C0E5" w14:textId="78A1082A" w:rsidR="003E172D" w:rsidRPr="003E172D" w:rsidRDefault="003E172D" w:rsidP="003E172D">
            <w:pPr>
              <w:pStyle w:val="TableText"/>
              <w:keepNext/>
              <w:jc w:val="center"/>
            </w:pPr>
            <w:r w:rsidRPr="003E172D">
              <w:t>$</w:t>
            </w:r>
            <w:r w:rsidRPr="003E172D">
              <w:rPr>
                <w:b/>
                <w:bCs/>
              </w:rPr>
              <w:t>redacted</w:t>
            </w:r>
          </w:p>
        </w:tc>
        <w:tc>
          <w:tcPr>
            <w:tcW w:w="0" w:type="dxa"/>
          </w:tcPr>
          <w:p w14:paraId="42C8F153" w14:textId="54C32107" w:rsidR="003E172D" w:rsidRPr="003E172D" w:rsidRDefault="003E172D" w:rsidP="003E172D">
            <w:pPr>
              <w:pStyle w:val="TableText"/>
              <w:keepNext/>
              <w:jc w:val="center"/>
            </w:pPr>
            <w:r w:rsidRPr="003E172D">
              <w:t>$</w:t>
            </w:r>
            <w:r w:rsidRPr="003E172D">
              <w:rPr>
                <w:b/>
                <w:bCs/>
              </w:rPr>
              <w:t>redacted</w:t>
            </w:r>
          </w:p>
        </w:tc>
        <w:tc>
          <w:tcPr>
            <w:tcW w:w="0" w:type="dxa"/>
          </w:tcPr>
          <w:p w14:paraId="31DED8B7" w14:textId="5CD6E76D"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4D2CBCF8" w14:textId="3B79314A"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485A63CA" w14:textId="3364C4EB" w:rsidR="003E172D" w:rsidRPr="003E172D" w:rsidRDefault="003E172D" w:rsidP="003E172D">
            <w:pPr>
              <w:pStyle w:val="TableText"/>
              <w:keepNext/>
              <w:jc w:val="center"/>
            </w:pPr>
            <w:r w:rsidRPr="003E172D">
              <w:t>$</w:t>
            </w:r>
            <w:r w:rsidRPr="003E172D">
              <w:rPr>
                <w:b/>
                <w:bCs/>
              </w:rPr>
              <w:t>redacted</w:t>
            </w:r>
          </w:p>
        </w:tc>
        <w:tc>
          <w:tcPr>
            <w:tcW w:w="0" w:type="dxa"/>
          </w:tcPr>
          <w:p w14:paraId="4EB31339" w14:textId="3BE32777"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46F55F8D" w14:textId="146DCDA2"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4E5F8900" w14:textId="53768BAE" w:rsidR="003E172D" w:rsidRPr="003E172D" w:rsidRDefault="003E172D" w:rsidP="003E172D">
            <w:pPr>
              <w:pStyle w:val="TableText"/>
              <w:keepNext/>
              <w:jc w:val="center"/>
            </w:pPr>
            <w:r w:rsidRPr="003E172D">
              <w:t>$</w:t>
            </w:r>
            <w:r w:rsidRPr="003E172D">
              <w:rPr>
                <w:b/>
                <w:bCs/>
              </w:rPr>
              <w:t>redacted</w:t>
            </w:r>
          </w:p>
        </w:tc>
        <w:tc>
          <w:tcPr>
            <w:tcW w:w="0" w:type="dxa"/>
            <w:noWrap/>
            <w:hideMark/>
          </w:tcPr>
          <w:p w14:paraId="4217AA9A" w14:textId="05D96529" w:rsidR="003E172D" w:rsidRPr="003E172D" w:rsidRDefault="6F108648" w:rsidP="003E172D">
            <w:pPr>
              <w:pStyle w:val="TableText"/>
              <w:keepNext/>
              <w:jc w:val="center"/>
            </w:pPr>
            <w:r w:rsidRPr="10812078">
              <w:rPr>
                <w:b/>
                <w:bCs/>
              </w:rPr>
              <w:t>redacted</w:t>
            </w:r>
            <w:r w:rsidR="63277FDE" w:rsidRPr="10812078">
              <w:rPr>
                <w:rFonts w:ascii="Franklin Gothic Book" w:hAnsi="Franklin Gothic Book"/>
                <w:sz w:val="22"/>
                <w:szCs w:val="22"/>
              </w:rPr>
              <w:t>%</w:t>
            </w:r>
          </w:p>
        </w:tc>
      </w:tr>
      <w:tr w:rsidR="005D6D39" w:rsidRPr="00102634" w14:paraId="304555A5" w14:textId="77777777">
        <w:trPr>
          <w:trHeight w:val="20"/>
        </w:trPr>
        <w:tc>
          <w:tcPr>
            <w:tcW w:w="1022" w:type="dxa"/>
            <w:tcBorders>
              <w:right w:val="double" w:sz="4" w:space="0" w:color="auto"/>
            </w:tcBorders>
            <w:noWrap/>
            <w:hideMark/>
          </w:tcPr>
          <w:p w14:paraId="013CEF85" w14:textId="77777777" w:rsidR="005D6D39" w:rsidRPr="00102634" w:rsidRDefault="005D6D39" w:rsidP="00FB40BB">
            <w:pPr>
              <w:pStyle w:val="TableText"/>
              <w:keepNext/>
            </w:pPr>
            <w:r w:rsidRPr="00102634">
              <w:t>Subsequent anti-cancer therapies</w:t>
            </w:r>
          </w:p>
        </w:tc>
        <w:tc>
          <w:tcPr>
            <w:tcW w:w="759" w:type="dxa"/>
            <w:tcBorders>
              <w:left w:val="double" w:sz="4" w:space="0" w:color="auto"/>
            </w:tcBorders>
            <w:noWrap/>
            <w:vAlign w:val="center"/>
            <w:hideMark/>
          </w:tcPr>
          <w:p w14:paraId="19BD7DA3" w14:textId="77777777" w:rsidR="005D6D39" w:rsidRPr="003E172D" w:rsidRDefault="005D6D39" w:rsidP="00FB40BB">
            <w:pPr>
              <w:pStyle w:val="TableText"/>
              <w:keepNext/>
              <w:jc w:val="center"/>
            </w:pPr>
            <w:r w:rsidRPr="003E172D">
              <w:t>$11,229</w:t>
            </w:r>
          </w:p>
        </w:tc>
        <w:tc>
          <w:tcPr>
            <w:tcW w:w="760" w:type="dxa"/>
            <w:vAlign w:val="center"/>
          </w:tcPr>
          <w:p w14:paraId="15899229" w14:textId="77777777" w:rsidR="005D6D39" w:rsidRPr="003E172D" w:rsidRDefault="005D6D39" w:rsidP="00FB40BB">
            <w:pPr>
              <w:pStyle w:val="TableText"/>
              <w:keepNext/>
              <w:jc w:val="center"/>
            </w:pPr>
            <w:r w:rsidRPr="003E172D">
              <w:t>$4,352</w:t>
            </w:r>
          </w:p>
        </w:tc>
        <w:tc>
          <w:tcPr>
            <w:tcW w:w="759" w:type="dxa"/>
            <w:vAlign w:val="center"/>
          </w:tcPr>
          <w:p w14:paraId="59B8F9DC" w14:textId="77777777" w:rsidR="005D6D39" w:rsidRPr="003E172D" w:rsidRDefault="005D6D39" w:rsidP="00FB40BB">
            <w:pPr>
              <w:pStyle w:val="TableText"/>
              <w:keepNext/>
              <w:jc w:val="center"/>
            </w:pPr>
            <w:r w:rsidRPr="003E172D">
              <w:t>$56</w:t>
            </w:r>
          </w:p>
        </w:tc>
        <w:tc>
          <w:tcPr>
            <w:tcW w:w="760" w:type="dxa"/>
            <w:vAlign w:val="center"/>
          </w:tcPr>
          <w:p w14:paraId="28564FA4" w14:textId="77777777" w:rsidR="005D6D39" w:rsidRPr="003E172D" w:rsidRDefault="005D6D39" w:rsidP="00FB40BB">
            <w:pPr>
              <w:pStyle w:val="TableText"/>
              <w:keepNext/>
              <w:jc w:val="center"/>
            </w:pPr>
            <w:r w:rsidRPr="003E172D">
              <w:t>$56</w:t>
            </w:r>
          </w:p>
        </w:tc>
        <w:tc>
          <w:tcPr>
            <w:tcW w:w="759" w:type="dxa"/>
            <w:vAlign w:val="center"/>
          </w:tcPr>
          <w:p w14:paraId="123A1927" w14:textId="77777777" w:rsidR="005D6D39" w:rsidRPr="003E172D" w:rsidRDefault="005D6D39" w:rsidP="00FB40BB">
            <w:pPr>
              <w:pStyle w:val="TableText"/>
              <w:keepNext/>
              <w:jc w:val="center"/>
            </w:pPr>
            <w:r w:rsidRPr="003E172D">
              <w:t>$5,553</w:t>
            </w:r>
          </w:p>
        </w:tc>
        <w:tc>
          <w:tcPr>
            <w:tcW w:w="760" w:type="dxa"/>
            <w:tcBorders>
              <w:right w:val="double" w:sz="4" w:space="0" w:color="auto"/>
            </w:tcBorders>
            <w:vAlign w:val="center"/>
          </w:tcPr>
          <w:p w14:paraId="59E3A716" w14:textId="77777777" w:rsidR="005D6D39" w:rsidRPr="003E172D" w:rsidRDefault="005D6D39" w:rsidP="00FB40BB">
            <w:pPr>
              <w:pStyle w:val="TableText"/>
              <w:keepNext/>
              <w:jc w:val="center"/>
            </w:pPr>
            <w:r w:rsidRPr="003E172D">
              <w:t>$1,212</w:t>
            </w:r>
          </w:p>
        </w:tc>
        <w:tc>
          <w:tcPr>
            <w:tcW w:w="795" w:type="dxa"/>
            <w:tcBorders>
              <w:left w:val="double" w:sz="4" w:space="0" w:color="auto"/>
            </w:tcBorders>
            <w:noWrap/>
            <w:vAlign w:val="center"/>
            <w:hideMark/>
          </w:tcPr>
          <w:p w14:paraId="0D8DE07F" w14:textId="77777777" w:rsidR="005D6D39" w:rsidRPr="003E172D" w:rsidRDefault="005D6D39" w:rsidP="00FB40BB">
            <w:pPr>
              <w:pStyle w:val="TableText"/>
              <w:keepNext/>
              <w:jc w:val="center"/>
            </w:pPr>
            <w:r w:rsidRPr="003E172D">
              <w:t>$12,430</w:t>
            </w:r>
          </w:p>
        </w:tc>
        <w:tc>
          <w:tcPr>
            <w:tcW w:w="709" w:type="dxa"/>
            <w:vAlign w:val="center"/>
          </w:tcPr>
          <w:p w14:paraId="16EA1206" w14:textId="77777777" w:rsidR="005D6D39" w:rsidRPr="003E172D" w:rsidRDefault="005D6D39" w:rsidP="00FB40BB">
            <w:pPr>
              <w:pStyle w:val="TableText"/>
              <w:keepNext/>
              <w:jc w:val="center"/>
            </w:pPr>
            <w:r w:rsidRPr="003E172D">
              <w:t>$6,215</w:t>
            </w:r>
          </w:p>
        </w:tc>
        <w:tc>
          <w:tcPr>
            <w:tcW w:w="709" w:type="dxa"/>
            <w:tcBorders>
              <w:right w:val="double" w:sz="4" w:space="0" w:color="auto"/>
            </w:tcBorders>
            <w:vAlign w:val="center"/>
          </w:tcPr>
          <w:p w14:paraId="2CC23843" w14:textId="77777777" w:rsidR="005D6D39" w:rsidRPr="003E172D" w:rsidRDefault="005D6D39" w:rsidP="00FB40BB">
            <w:pPr>
              <w:pStyle w:val="TableText"/>
              <w:keepNext/>
              <w:jc w:val="center"/>
            </w:pPr>
            <w:r w:rsidRPr="003E172D">
              <w:t>$6,215</w:t>
            </w:r>
          </w:p>
        </w:tc>
        <w:tc>
          <w:tcPr>
            <w:tcW w:w="708" w:type="dxa"/>
            <w:tcBorders>
              <w:left w:val="double" w:sz="4" w:space="0" w:color="auto"/>
            </w:tcBorders>
            <w:noWrap/>
            <w:vAlign w:val="center"/>
            <w:hideMark/>
          </w:tcPr>
          <w:p w14:paraId="31F53224" w14:textId="77777777" w:rsidR="005D6D39" w:rsidRPr="003E172D" w:rsidRDefault="005D6D39" w:rsidP="00FB40BB">
            <w:pPr>
              <w:pStyle w:val="TableText"/>
              <w:keepNext/>
              <w:jc w:val="center"/>
            </w:pPr>
            <w:r w:rsidRPr="003E172D">
              <w:t>-$1,200</w:t>
            </w:r>
          </w:p>
        </w:tc>
        <w:tc>
          <w:tcPr>
            <w:tcW w:w="516" w:type="dxa"/>
            <w:noWrap/>
            <w:vAlign w:val="center"/>
            <w:hideMark/>
          </w:tcPr>
          <w:p w14:paraId="269153B7" w14:textId="77777777" w:rsidR="005D6D39" w:rsidRPr="003E172D" w:rsidRDefault="005D6D39" w:rsidP="00FB40BB">
            <w:pPr>
              <w:pStyle w:val="TableText"/>
              <w:keepNext/>
              <w:jc w:val="center"/>
            </w:pPr>
            <w:r w:rsidRPr="003E172D">
              <w:t>-4.8%</w:t>
            </w:r>
          </w:p>
        </w:tc>
      </w:tr>
      <w:tr w:rsidR="005D6D39" w:rsidRPr="00102634" w14:paraId="7C3C373A" w14:textId="77777777">
        <w:trPr>
          <w:trHeight w:val="20"/>
        </w:trPr>
        <w:tc>
          <w:tcPr>
            <w:tcW w:w="1022" w:type="dxa"/>
            <w:tcBorders>
              <w:right w:val="double" w:sz="4" w:space="0" w:color="auto"/>
            </w:tcBorders>
            <w:noWrap/>
            <w:hideMark/>
          </w:tcPr>
          <w:p w14:paraId="6EF35D53" w14:textId="77777777" w:rsidR="005D6D39" w:rsidRPr="00102634" w:rsidRDefault="005D6D39" w:rsidP="00FB40BB">
            <w:pPr>
              <w:pStyle w:val="TableText"/>
              <w:keepNext/>
            </w:pPr>
            <w:r w:rsidRPr="00102634">
              <w:t>Surgery/radiotherapy post recurrence</w:t>
            </w:r>
          </w:p>
        </w:tc>
        <w:tc>
          <w:tcPr>
            <w:tcW w:w="759" w:type="dxa"/>
            <w:tcBorders>
              <w:left w:val="double" w:sz="4" w:space="0" w:color="auto"/>
            </w:tcBorders>
            <w:noWrap/>
            <w:vAlign w:val="center"/>
            <w:hideMark/>
          </w:tcPr>
          <w:p w14:paraId="095036D0" w14:textId="77777777" w:rsidR="005D6D39" w:rsidRPr="003E172D" w:rsidRDefault="005D6D39" w:rsidP="00FB40BB">
            <w:pPr>
              <w:pStyle w:val="TableText"/>
              <w:keepNext/>
              <w:jc w:val="center"/>
            </w:pPr>
            <w:r w:rsidRPr="003E172D">
              <w:t>$267</w:t>
            </w:r>
          </w:p>
        </w:tc>
        <w:tc>
          <w:tcPr>
            <w:tcW w:w="760" w:type="dxa"/>
            <w:vAlign w:val="center"/>
          </w:tcPr>
          <w:p w14:paraId="65536E33" w14:textId="77777777" w:rsidR="005D6D39" w:rsidRPr="003E172D" w:rsidRDefault="005D6D39" w:rsidP="00FB40BB">
            <w:pPr>
              <w:pStyle w:val="TableText"/>
              <w:keepNext/>
              <w:jc w:val="center"/>
            </w:pPr>
            <w:r w:rsidRPr="003E172D">
              <w:t>$119</w:t>
            </w:r>
          </w:p>
        </w:tc>
        <w:tc>
          <w:tcPr>
            <w:tcW w:w="759" w:type="dxa"/>
            <w:vAlign w:val="center"/>
          </w:tcPr>
          <w:p w14:paraId="4CB793E9" w14:textId="77777777" w:rsidR="005D6D39" w:rsidRPr="003E172D" w:rsidRDefault="005D6D39" w:rsidP="00FB40BB">
            <w:pPr>
              <w:pStyle w:val="TableText"/>
              <w:keepNext/>
              <w:jc w:val="center"/>
            </w:pPr>
            <w:r w:rsidRPr="003E172D">
              <w:t>$1</w:t>
            </w:r>
          </w:p>
        </w:tc>
        <w:tc>
          <w:tcPr>
            <w:tcW w:w="760" w:type="dxa"/>
            <w:vAlign w:val="center"/>
          </w:tcPr>
          <w:p w14:paraId="39B23560" w14:textId="77777777" w:rsidR="005D6D39" w:rsidRPr="003E172D" w:rsidRDefault="005D6D39" w:rsidP="00FB40BB">
            <w:pPr>
              <w:pStyle w:val="TableText"/>
              <w:keepNext/>
              <w:jc w:val="center"/>
            </w:pPr>
            <w:r w:rsidRPr="003E172D">
              <w:t>$1</w:t>
            </w:r>
          </w:p>
        </w:tc>
        <w:tc>
          <w:tcPr>
            <w:tcW w:w="759" w:type="dxa"/>
            <w:vAlign w:val="center"/>
          </w:tcPr>
          <w:p w14:paraId="04B674A7" w14:textId="77777777" w:rsidR="005D6D39" w:rsidRPr="003E172D" w:rsidRDefault="005D6D39" w:rsidP="00FB40BB">
            <w:pPr>
              <w:pStyle w:val="TableText"/>
              <w:keepNext/>
              <w:jc w:val="center"/>
            </w:pPr>
            <w:r w:rsidRPr="003E172D">
              <w:t>$120</w:t>
            </w:r>
          </w:p>
        </w:tc>
        <w:tc>
          <w:tcPr>
            <w:tcW w:w="760" w:type="dxa"/>
            <w:tcBorders>
              <w:right w:val="double" w:sz="4" w:space="0" w:color="auto"/>
            </w:tcBorders>
            <w:vAlign w:val="center"/>
          </w:tcPr>
          <w:p w14:paraId="66A5D6CC" w14:textId="77777777" w:rsidR="005D6D39" w:rsidRPr="003E172D" w:rsidRDefault="005D6D39" w:rsidP="00FB40BB">
            <w:pPr>
              <w:pStyle w:val="TableText"/>
              <w:keepNext/>
              <w:jc w:val="center"/>
            </w:pPr>
            <w:r w:rsidRPr="003E172D">
              <w:t>$26</w:t>
            </w:r>
          </w:p>
        </w:tc>
        <w:tc>
          <w:tcPr>
            <w:tcW w:w="795" w:type="dxa"/>
            <w:tcBorders>
              <w:left w:val="double" w:sz="4" w:space="0" w:color="auto"/>
            </w:tcBorders>
            <w:noWrap/>
            <w:vAlign w:val="center"/>
            <w:hideMark/>
          </w:tcPr>
          <w:p w14:paraId="032E4FCB" w14:textId="77777777" w:rsidR="005D6D39" w:rsidRPr="003E172D" w:rsidRDefault="005D6D39" w:rsidP="00FB40BB">
            <w:pPr>
              <w:pStyle w:val="TableText"/>
              <w:keepNext/>
              <w:jc w:val="center"/>
            </w:pPr>
            <w:r w:rsidRPr="003E172D">
              <w:t>$269</w:t>
            </w:r>
          </w:p>
        </w:tc>
        <w:tc>
          <w:tcPr>
            <w:tcW w:w="709" w:type="dxa"/>
            <w:vAlign w:val="center"/>
          </w:tcPr>
          <w:p w14:paraId="22B7BFA4" w14:textId="77777777" w:rsidR="005D6D39" w:rsidRPr="003E172D" w:rsidRDefault="005D6D39" w:rsidP="00FB40BB">
            <w:pPr>
              <w:pStyle w:val="TableText"/>
              <w:keepNext/>
              <w:jc w:val="center"/>
            </w:pPr>
            <w:r w:rsidRPr="003E172D">
              <w:t>$134</w:t>
            </w:r>
          </w:p>
        </w:tc>
        <w:tc>
          <w:tcPr>
            <w:tcW w:w="709" w:type="dxa"/>
            <w:tcBorders>
              <w:right w:val="double" w:sz="4" w:space="0" w:color="auto"/>
            </w:tcBorders>
            <w:vAlign w:val="center"/>
          </w:tcPr>
          <w:p w14:paraId="7E3FC673" w14:textId="77777777" w:rsidR="005D6D39" w:rsidRPr="003E172D" w:rsidRDefault="005D6D39" w:rsidP="00FB40BB">
            <w:pPr>
              <w:pStyle w:val="TableText"/>
              <w:keepNext/>
              <w:jc w:val="center"/>
            </w:pPr>
            <w:r w:rsidRPr="003E172D">
              <w:t>$134</w:t>
            </w:r>
          </w:p>
        </w:tc>
        <w:tc>
          <w:tcPr>
            <w:tcW w:w="708" w:type="dxa"/>
            <w:tcBorders>
              <w:left w:val="double" w:sz="4" w:space="0" w:color="auto"/>
            </w:tcBorders>
            <w:noWrap/>
            <w:vAlign w:val="center"/>
            <w:hideMark/>
          </w:tcPr>
          <w:p w14:paraId="6FAD32BE" w14:textId="77777777" w:rsidR="005D6D39" w:rsidRPr="003E172D" w:rsidRDefault="005D6D39" w:rsidP="00FB40BB">
            <w:pPr>
              <w:pStyle w:val="TableText"/>
              <w:keepNext/>
              <w:jc w:val="center"/>
            </w:pPr>
            <w:r w:rsidRPr="003E172D">
              <w:t>-$1</w:t>
            </w:r>
          </w:p>
        </w:tc>
        <w:tc>
          <w:tcPr>
            <w:tcW w:w="516" w:type="dxa"/>
            <w:noWrap/>
            <w:vAlign w:val="center"/>
            <w:hideMark/>
          </w:tcPr>
          <w:p w14:paraId="6280A4B9" w14:textId="77777777" w:rsidR="005D6D39" w:rsidRPr="003E172D" w:rsidRDefault="005D6D39" w:rsidP="00FB40BB">
            <w:pPr>
              <w:pStyle w:val="TableText"/>
              <w:keepNext/>
              <w:jc w:val="center"/>
            </w:pPr>
            <w:r w:rsidRPr="003E172D">
              <w:t>0.0%</w:t>
            </w:r>
          </w:p>
        </w:tc>
      </w:tr>
      <w:tr w:rsidR="005D6D39" w:rsidRPr="00102634" w14:paraId="512D1D60" w14:textId="77777777">
        <w:trPr>
          <w:trHeight w:val="20"/>
        </w:trPr>
        <w:tc>
          <w:tcPr>
            <w:tcW w:w="1022" w:type="dxa"/>
            <w:tcBorders>
              <w:right w:val="double" w:sz="4" w:space="0" w:color="auto"/>
            </w:tcBorders>
            <w:noWrap/>
            <w:hideMark/>
          </w:tcPr>
          <w:p w14:paraId="2D1FAD19" w14:textId="77777777" w:rsidR="005D6D39" w:rsidRPr="00102634" w:rsidRDefault="005D6D39" w:rsidP="00FB40BB">
            <w:pPr>
              <w:pStyle w:val="TableText"/>
              <w:keepNext/>
            </w:pPr>
            <w:r w:rsidRPr="00102634">
              <w:t xml:space="preserve">Adverse events management </w:t>
            </w:r>
          </w:p>
        </w:tc>
        <w:tc>
          <w:tcPr>
            <w:tcW w:w="759" w:type="dxa"/>
            <w:tcBorders>
              <w:left w:val="double" w:sz="4" w:space="0" w:color="auto"/>
            </w:tcBorders>
            <w:noWrap/>
            <w:vAlign w:val="center"/>
            <w:hideMark/>
          </w:tcPr>
          <w:p w14:paraId="334069D4" w14:textId="77777777" w:rsidR="005D6D39" w:rsidRPr="003E172D" w:rsidRDefault="005D6D39" w:rsidP="00FB40BB">
            <w:pPr>
              <w:pStyle w:val="TableText"/>
              <w:keepNext/>
              <w:jc w:val="center"/>
            </w:pPr>
            <w:r w:rsidRPr="003E172D">
              <w:t>$84</w:t>
            </w:r>
          </w:p>
        </w:tc>
        <w:tc>
          <w:tcPr>
            <w:tcW w:w="760" w:type="dxa"/>
            <w:vAlign w:val="center"/>
          </w:tcPr>
          <w:p w14:paraId="4928CA60" w14:textId="77777777" w:rsidR="005D6D39" w:rsidRPr="003E172D" w:rsidRDefault="005D6D39" w:rsidP="00FB40BB">
            <w:pPr>
              <w:pStyle w:val="TableText"/>
              <w:keepNext/>
              <w:jc w:val="center"/>
            </w:pPr>
            <w:r w:rsidRPr="003E172D">
              <w:t>$80</w:t>
            </w:r>
          </w:p>
        </w:tc>
        <w:tc>
          <w:tcPr>
            <w:tcW w:w="759" w:type="dxa"/>
            <w:vAlign w:val="center"/>
          </w:tcPr>
          <w:p w14:paraId="3CE88EFB" w14:textId="77777777" w:rsidR="005D6D39" w:rsidRPr="003E172D" w:rsidRDefault="005D6D39" w:rsidP="00FB40BB">
            <w:pPr>
              <w:pStyle w:val="TableText"/>
              <w:keepNext/>
              <w:jc w:val="center"/>
            </w:pPr>
            <w:r w:rsidRPr="003E172D">
              <w:t>$0</w:t>
            </w:r>
          </w:p>
        </w:tc>
        <w:tc>
          <w:tcPr>
            <w:tcW w:w="760" w:type="dxa"/>
            <w:vAlign w:val="center"/>
          </w:tcPr>
          <w:p w14:paraId="40C1FF50" w14:textId="77777777" w:rsidR="005D6D39" w:rsidRPr="003E172D" w:rsidRDefault="005D6D39" w:rsidP="00FB40BB">
            <w:pPr>
              <w:pStyle w:val="TableText"/>
              <w:keepNext/>
              <w:jc w:val="center"/>
            </w:pPr>
            <w:r w:rsidRPr="003E172D">
              <w:t>$0</w:t>
            </w:r>
          </w:p>
        </w:tc>
        <w:tc>
          <w:tcPr>
            <w:tcW w:w="759" w:type="dxa"/>
            <w:vAlign w:val="center"/>
          </w:tcPr>
          <w:p w14:paraId="6D6C6884" w14:textId="77777777" w:rsidR="005D6D39" w:rsidRPr="003E172D" w:rsidRDefault="005D6D39" w:rsidP="00FB40BB">
            <w:pPr>
              <w:pStyle w:val="TableText"/>
              <w:keepNext/>
              <w:jc w:val="center"/>
            </w:pPr>
            <w:r w:rsidRPr="003E172D">
              <w:t>$3</w:t>
            </w:r>
          </w:p>
        </w:tc>
        <w:tc>
          <w:tcPr>
            <w:tcW w:w="760" w:type="dxa"/>
            <w:tcBorders>
              <w:right w:val="double" w:sz="4" w:space="0" w:color="auto"/>
            </w:tcBorders>
            <w:vAlign w:val="center"/>
          </w:tcPr>
          <w:p w14:paraId="72F28297" w14:textId="77777777" w:rsidR="005D6D39" w:rsidRPr="003E172D" w:rsidRDefault="005D6D39" w:rsidP="00FB40BB">
            <w:pPr>
              <w:pStyle w:val="TableText"/>
              <w:keepNext/>
              <w:jc w:val="center"/>
            </w:pPr>
            <w:r w:rsidRPr="003E172D">
              <w:t>$1</w:t>
            </w:r>
          </w:p>
        </w:tc>
        <w:tc>
          <w:tcPr>
            <w:tcW w:w="795" w:type="dxa"/>
            <w:tcBorders>
              <w:left w:val="double" w:sz="4" w:space="0" w:color="auto"/>
            </w:tcBorders>
            <w:noWrap/>
            <w:vAlign w:val="center"/>
            <w:hideMark/>
          </w:tcPr>
          <w:p w14:paraId="5C88D7C2" w14:textId="77777777" w:rsidR="005D6D39" w:rsidRPr="003E172D" w:rsidRDefault="005D6D39" w:rsidP="00FB40BB">
            <w:pPr>
              <w:pStyle w:val="TableText"/>
              <w:keepNext/>
              <w:jc w:val="center"/>
            </w:pPr>
            <w:r w:rsidRPr="003E172D">
              <w:t>$7</w:t>
            </w:r>
          </w:p>
        </w:tc>
        <w:tc>
          <w:tcPr>
            <w:tcW w:w="709" w:type="dxa"/>
            <w:vAlign w:val="center"/>
          </w:tcPr>
          <w:p w14:paraId="08CA25E4" w14:textId="77777777" w:rsidR="005D6D39" w:rsidRPr="003E172D" w:rsidRDefault="005D6D39" w:rsidP="00FB40BB">
            <w:pPr>
              <w:pStyle w:val="TableText"/>
              <w:keepNext/>
              <w:jc w:val="center"/>
            </w:pPr>
            <w:r w:rsidRPr="003E172D">
              <w:t>$3</w:t>
            </w:r>
          </w:p>
        </w:tc>
        <w:tc>
          <w:tcPr>
            <w:tcW w:w="709" w:type="dxa"/>
            <w:tcBorders>
              <w:right w:val="double" w:sz="4" w:space="0" w:color="auto"/>
            </w:tcBorders>
            <w:vAlign w:val="center"/>
          </w:tcPr>
          <w:p w14:paraId="4E1C4B55" w14:textId="77777777" w:rsidR="005D6D39" w:rsidRPr="003E172D" w:rsidRDefault="005D6D39" w:rsidP="00FB40BB">
            <w:pPr>
              <w:pStyle w:val="TableText"/>
              <w:keepNext/>
              <w:jc w:val="center"/>
            </w:pPr>
            <w:r w:rsidRPr="003E172D">
              <w:t>$3</w:t>
            </w:r>
          </w:p>
        </w:tc>
        <w:tc>
          <w:tcPr>
            <w:tcW w:w="708" w:type="dxa"/>
            <w:tcBorders>
              <w:left w:val="double" w:sz="4" w:space="0" w:color="auto"/>
            </w:tcBorders>
            <w:noWrap/>
            <w:vAlign w:val="center"/>
            <w:hideMark/>
          </w:tcPr>
          <w:p w14:paraId="2E82DBDD" w14:textId="77777777" w:rsidR="005D6D39" w:rsidRPr="003E172D" w:rsidRDefault="005D6D39" w:rsidP="00FB40BB">
            <w:pPr>
              <w:pStyle w:val="TableText"/>
              <w:keepNext/>
              <w:jc w:val="center"/>
            </w:pPr>
            <w:r w:rsidRPr="003E172D">
              <w:t>$78</w:t>
            </w:r>
          </w:p>
        </w:tc>
        <w:tc>
          <w:tcPr>
            <w:tcW w:w="516" w:type="dxa"/>
            <w:noWrap/>
            <w:vAlign w:val="center"/>
            <w:hideMark/>
          </w:tcPr>
          <w:p w14:paraId="6D397AE9" w14:textId="77777777" w:rsidR="005D6D39" w:rsidRPr="003E172D" w:rsidRDefault="005D6D39" w:rsidP="00FB40BB">
            <w:pPr>
              <w:pStyle w:val="TableText"/>
              <w:keepNext/>
              <w:jc w:val="center"/>
            </w:pPr>
            <w:r w:rsidRPr="003E172D">
              <w:t>0.3%</w:t>
            </w:r>
          </w:p>
        </w:tc>
      </w:tr>
      <w:tr w:rsidR="005D6D39" w:rsidRPr="00102634" w14:paraId="421E1C31" w14:textId="77777777">
        <w:trPr>
          <w:trHeight w:val="20"/>
        </w:trPr>
        <w:tc>
          <w:tcPr>
            <w:tcW w:w="1022" w:type="dxa"/>
            <w:tcBorders>
              <w:right w:val="double" w:sz="4" w:space="0" w:color="auto"/>
            </w:tcBorders>
            <w:noWrap/>
            <w:hideMark/>
          </w:tcPr>
          <w:p w14:paraId="4ACCD8E5" w14:textId="77777777" w:rsidR="005D6D39" w:rsidRPr="00102634" w:rsidRDefault="005D6D39" w:rsidP="00FB40BB">
            <w:pPr>
              <w:pStyle w:val="TableText"/>
              <w:keepNext/>
            </w:pPr>
            <w:r w:rsidRPr="00102634">
              <w:t>Adverse events from subsequent treatments</w:t>
            </w:r>
          </w:p>
        </w:tc>
        <w:tc>
          <w:tcPr>
            <w:tcW w:w="759" w:type="dxa"/>
            <w:tcBorders>
              <w:left w:val="double" w:sz="4" w:space="0" w:color="auto"/>
            </w:tcBorders>
            <w:noWrap/>
            <w:vAlign w:val="center"/>
            <w:hideMark/>
          </w:tcPr>
          <w:p w14:paraId="2FA9AE0C" w14:textId="77777777" w:rsidR="005D6D39" w:rsidRPr="003E172D" w:rsidRDefault="005D6D39" w:rsidP="00FB40BB">
            <w:pPr>
              <w:pStyle w:val="TableText"/>
              <w:keepNext/>
              <w:jc w:val="center"/>
            </w:pPr>
            <w:r w:rsidRPr="003E172D">
              <w:t>$344</w:t>
            </w:r>
          </w:p>
        </w:tc>
        <w:tc>
          <w:tcPr>
            <w:tcW w:w="760" w:type="dxa"/>
            <w:vAlign w:val="center"/>
          </w:tcPr>
          <w:p w14:paraId="1B86C892" w14:textId="77777777" w:rsidR="005D6D39" w:rsidRPr="003E172D" w:rsidRDefault="005D6D39" w:rsidP="00FB40BB">
            <w:pPr>
              <w:pStyle w:val="TableText"/>
              <w:keepNext/>
              <w:jc w:val="center"/>
            </w:pPr>
            <w:r w:rsidRPr="003E172D">
              <w:t>$152</w:t>
            </w:r>
          </w:p>
        </w:tc>
        <w:tc>
          <w:tcPr>
            <w:tcW w:w="759" w:type="dxa"/>
            <w:vAlign w:val="center"/>
          </w:tcPr>
          <w:p w14:paraId="1CC94416" w14:textId="77777777" w:rsidR="005D6D39" w:rsidRPr="003E172D" w:rsidRDefault="005D6D39" w:rsidP="00FB40BB">
            <w:pPr>
              <w:pStyle w:val="TableText"/>
              <w:keepNext/>
              <w:jc w:val="center"/>
            </w:pPr>
            <w:r w:rsidRPr="003E172D">
              <w:t>$2</w:t>
            </w:r>
          </w:p>
        </w:tc>
        <w:tc>
          <w:tcPr>
            <w:tcW w:w="760" w:type="dxa"/>
            <w:vAlign w:val="center"/>
          </w:tcPr>
          <w:p w14:paraId="7045B88F" w14:textId="77777777" w:rsidR="005D6D39" w:rsidRPr="003E172D" w:rsidRDefault="005D6D39" w:rsidP="00FB40BB">
            <w:pPr>
              <w:pStyle w:val="TableText"/>
              <w:keepNext/>
              <w:jc w:val="center"/>
            </w:pPr>
            <w:r w:rsidRPr="003E172D">
              <w:t>$2</w:t>
            </w:r>
          </w:p>
        </w:tc>
        <w:tc>
          <w:tcPr>
            <w:tcW w:w="759" w:type="dxa"/>
            <w:vAlign w:val="center"/>
          </w:tcPr>
          <w:p w14:paraId="3DC64B79" w14:textId="77777777" w:rsidR="005D6D39" w:rsidRPr="003E172D" w:rsidRDefault="005D6D39" w:rsidP="00FB40BB">
            <w:pPr>
              <w:pStyle w:val="TableText"/>
              <w:keepNext/>
              <w:jc w:val="center"/>
            </w:pPr>
            <w:r w:rsidRPr="003E172D">
              <w:t>$154</w:t>
            </w:r>
          </w:p>
        </w:tc>
        <w:tc>
          <w:tcPr>
            <w:tcW w:w="760" w:type="dxa"/>
            <w:tcBorders>
              <w:right w:val="double" w:sz="4" w:space="0" w:color="auto"/>
            </w:tcBorders>
            <w:vAlign w:val="center"/>
          </w:tcPr>
          <w:p w14:paraId="7B4A2ECE" w14:textId="77777777" w:rsidR="005D6D39" w:rsidRPr="003E172D" w:rsidRDefault="005D6D39" w:rsidP="00FB40BB">
            <w:pPr>
              <w:pStyle w:val="TableText"/>
              <w:keepNext/>
              <w:jc w:val="center"/>
            </w:pPr>
            <w:r w:rsidRPr="003E172D">
              <w:t>$34</w:t>
            </w:r>
          </w:p>
        </w:tc>
        <w:tc>
          <w:tcPr>
            <w:tcW w:w="795" w:type="dxa"/>
            <w:tcBorders>
              <w:left w:val="double" w:sz="4" w:space="0" w:color="auto"/>
            </w:tcBorders>
            <w:noWrap/>
            <w:vAlign w:val="center"/>
            <w:hideMark/>
          </w:tcPr>
          <w:p w14:paraId="67F28A79" w14:textId="77777777" w:rsidR="005D6D39" w:rsidRPr="003E172D" w:rsidRDefault="005D6D39" w:rsidP="00FB40BB">
            <w:pPr>
              <w:pStyle w:val="TableText"/>
              <w:keepNext/>
              <w:jc w:val="center"/>
            </w:pPr>
            <w:r w:rsidRPr="003E172D">
              <w:t>$345</w:t>
            </w:r>
          </w:p>
        </w:tc>
        <w:tc>
          <w:tcPr>
            <w:tcW w:w="709" w:type="dxa"/>
            <w:vAlign w:val="center"/>
          </w:tcPr>
          <w:p w14:paraId="5EB724B0" w14:textId="77777777" w:rsidR="005D6D39" w:rsidRPr="003E172D" w:rsidRDefault="005D6D39" w:rsidP="00FB40BB">
            <w:pPr>
              <w:pStyle w:val="TableText"/>
              <w:keepNext/>
              <w:jc w:val="center"/>
            </w:pPr>
            <w:r w:rsidRPr="003E172D">
              <w:t>$173</w:t>
            </w:r>
          </w:p>
        </w:tc>
        <w:tc>
          <w:tcPr>
            <w:tcW w:w="709" w:type="dxa"/>
            <w:tcBorders>
              <w:right w:val="double" w:sz="4" w:space="0" w:color="auto"/>
            </w:tcBorders>
            <w:vAlign w:val="center"/>
          </w:tcPr>
          <w:p w14:paraId="330760E2" w14:textId="77777777" w:rsidR="005D6D39" w:rsidRPr="003E172D" w:rsidRDefault="005D6D39" w:rsidP="00FB40BB">
            <w:pPr>
              <w:pStyle w:val="TableText"/>
              <w:keepNext/>
              <w:jc w:val="center"/>
            </w:pPr>
            <w:r w:rsidRPr="003E172D">
              <w:t>$173</w:t>
            </w:r>
          </w:p>
        </w:tc>
        <w:tc>
          <w:tcPr>
            <w:tcW w:w="708" w:type="dxa"/>
            <w:tcBorders>
              <w:left w:val="double" w:sz="4" w:space="0" w:color="auto"/>
            </w:tcBorders>
            <w:noWrap/>
            <w:vAlign w:val="center"/>
            <w:hideMark/>
          </w:tcPr>
          <w:p w14:paraId="3D1C9BFD" w14:textId="77777777" w:rsidR="005D6D39" w:rsidRPr="003E172D" w:rsidRDefault="005D6D39" w:rsidP="00FB40BB">
            <w:pPr>
              <w:pStyle w:val="TableText"/>
              <w:keepNext/>
              <w:jc w:val="center"/>
            </w:pPr>
            <w:r w:rsidRPr="003E172D">
              <w:t>-$2</w:t>
            </w:r>
          </w:p>
        </w:tc>
        <w:tc>
          <w:tcPr>
            <w:tcW w:w="516" w:type="dxa"/>
            <w:noWrap/>
            <w:vAlign w:val="center"/>
            <w:hideMark/>
          </w:tcPr>
          <w:p w14:paraId="0D99033E" w14:textId="77777777" w:rsidR="005D6D39" w:rsidRPr="003E172D" w:rsidRDefault="005D6D39" w:rsidP="00FB40BB">
            <w:pPr>
              <w:pStyle w:val="TableText"/>
              <w:keepNext/>
              <w:jc w:val="center"/>
            </w:pPr>
            <w:r w:rsidRPr="003E172D">
              <w:t>0.0%</w:t>
            </w:r>
          </w:p>
        </w:tc>
      </w:tr>
      <w:tr w:rsidR="005D6D39" w:rsidRPr="00102634" w14:paraId="760EEAC7" w14:textId="77777777">
        <w:trPr>
          <w:trHeight w:val="20"/>
        </w:trPr>
        <w:tc>
          <w:tcPr>
            <w:tcW w:w="1022" w:type="dxa"/>
            <w:tcBorders>
              <w:right w:val="double" w:sz="4" w:space="0" w:color="auto"/>
            </w:tcBorders>
            <w:noWrap/>
            <w:hideMark/>
          </w:tcPr>
          <w:p w14:paraId="182C6642" w14:textId="77777777" w:rsidR="005D6D39" w:rsidRPr="00102634" w:rsidRDefault="005D6D39" w:rsidP="00FB40BB">
            <w:pPr>
              <w:pStyle w:val="TableText"/>
              <w:keepNext/>
            </w:pPr>
            <w:r w:rsidRPr="00102634">
              <w:t>Disease monitoring</w:t>
            </w:r>
          </w:p>
        </w:tc>
        <w:tc>
          <w:tcPr>
            <w:tcW w:w="759" w:type="dxa"/>
            <w:tcBorders>
              <w:left w:val="double" w:sz="4" w:space="0" w:color="auto"/>
            </w:tcBorders>
            <w:noWrap/>
            <w:vAlign w:val="center"/>
            <w:hideMark/>
          </w:tcPr>
          <w:p w14:paraId="7A5BBF60" w14:textId="77777777" w:rsidR="005D6D39" w:rsidRPr="003E172D" w:rsidRDefault="005D6D39" w:rsidP="00FB40BB">
            <w:pPr>
              <w:pStyle w:val="TableText"/>
              <w:keepNext/>
              <w:jc w:val="center"/>
            </w:pPr>
            <w:r w:rsidRPr="003E172D">
              <w:t>$15,000</w:t>
            </w:r>
          </w:p>
        </w:tc>
        <w:tc>
          <w:tcPr>
            <w:tcW w:w="760" w:type="dxa"/>
            <w:vAlign w:val="center"/>
          </w:tcPr>
          <w:p w14:paraId="2CC9B811" w14:textId="77777777" w:rsidR="005D6D39" w:rsidRPr="003E172D" w:rsidRDefault="005D6D39" w:rsidP="00FB40BB">
            <w:pPr>
              <w:pStyle w:val="TableText"/>
              <w:keepNext/>
              <w:jc w:val="center"/>
            </w:pPr>
            <w:r w:rsidRPr="003E172D">
              <w:t>$7,777</w:t>
            </w:r>
          </w:p>
        </w:tc>
        <w:tc>
          <w:tcPr>
            <w:tcW w:w="759" w:type="dxa"/>
            <w:vAlign w:val="center"/>
          </w:tcPr>
          <w:p w14:paraId="51A7371F" w14:textId="77777777" w:rsidR="005D6D39" w:rsidRPr="003E172D" w:rsidRDefault="005D6D39" w:rsidP="00FB40BB">
            <w:pPr>
              <w:pStyle w:val="TableText"/>
              <w:keepNext/>
              <w:jc w:val="center"/>
            </w:pPr>
            <w:r w:rsidRPr="003E172D">
              <w:t>$53</w:t>
            </w:r>
          </w:p>
        </w:tc>
        <w:tc>
          <w:tcPr>
            <w:tcW w:w="760" w:type="dxa"/>
            <w:vAlign w:val="center"/>
          </w:tcPr>
          <w:p w14:paraId="16FA7D07" w14:textId="77777777" w:rsidR="005D6D39" w:rsidRPr="003E172D" w:rsidRDefault="005D6D39" w:rsidP="00FB40BB">
            <w:pPr>
              <w:pStyle w:val="TableText"/>
              <w:keepNext/>
              <w:jc w:val="center"/>
            </w:pPr>
            <w:r w:rsidRPr="003E172D">
              <w:t>$59</w:t>
            </w:r>
          </w:p>
        </w:tc>
        <w:tc>
          <w:tcPr>
            <w:tcW w:w="759" w:type="dxa"/>
            <w:vAlign w:val="center"/>
          </w:tcPr>
          <w:p w14:paraId="229B2413" w14:textId="77777777" w:rsidR="005D6D39" w:rsidRPr="003E172D" w:rsidRDefault="005D6D39" w:rsidP="00FB40BB">
            <w:pPr>
              <w:pStyle w:val="TableText"/>
              <w:keepNext/>
              <w:jc w:val="center"/>
            </w:pPr>
            <w:r w:rsidRPr="003E172D">
              <w:t>$5,837</w:t>
            </w:r>
          </w:p>
        </w:tc>
        <w:tc>
          <w:tcPr>
            <w:tcW w:w="760" w:type="dxa"/>
            <w:tcBorders>
              <w:right w:val="double" w:sz="4" w:space="0" w:color="auto"/>
            </w:tcBorders>
            <w:vAlign w:val="center"/>
          </w:tcPr>
          <w:p w14:paraId="34C3BF06" w14:textId="77777777" w:rsidR="005D6D39" w:rsidRPr="003E172D" w:rsidRDefault="005D6D39" w:rsidP="00FB40BB">
            <w:pPr>
              <w:pStyle w:val="TableText"/>
              <w:keepNext/>
              <w:jc w:val="center"/>
            </w:pPr>
            <w:r w:rsidRPr="003E172D">
              <w:t>$1,274</w:t>
            </w:r>
          </w:p>
        </w:tc>
        <w:tc>
          <w:tcPr>
            <w:tcW w:w="795" w:type="dxa"/>
            <w:tcBorders>
              <w:left w:val="double" w:sz="4" w:space="0" w:color="auto"/>
            </w:tcBorders>
            <w:noWrap/>
            <w:vAlign w:val="center"/>
            <w:hideMark/>
          </w:tcPr>
          <w:p w14:paraId="54842604" w14:textId="77777777" w:rsidR="005D6D39" w:rsidRPr="003E172D" w:rsidRDefault="005D6D39" w:rsidP="00FB40BB">
            <w:pPr>
              <w:pStyle w:val="TableText"/>
              <w:keepNext/>
              <w:jc w:val="center"/>
            </w:pPr>
            <w:r w:rsidRPr="003E172D">
              <w:t>$13,065</w:t>
            </w:r>
          </w:p>
        </w:tc>
        <w:tc>
          <w:tcPr>
            <w:tcW w:w="709" w:type="dxa"/>
            <w:vAlign w:val="center"/>
          </w:tcPr>
          <w:p w14:paraId="6CB34350" w14:textId="77777777" w:rsidR="005D6D39" w:rsidRPr="003E172D" w:rsidRDefault="005D6D39" w:rsidP="00FB40BB">
            <w:pPr>
              <w:pStyle w:val="TableText"/>
              <w:keepNext/>
              <w:jc w:val="center"/>
            </w:pPr>
            <w:r w:rsidRPr="003E172D">
              <w:t>$6,532</w:t>
            </w:r>
          </w:p>
        </w:tc>
        <w:tc>
          <w:tcPr>
            <w:tcW w:w="709" w:type="dxa"/>
            <w:tcBorders>
              <w:right w:val="double" w:sz="4" w:space="0" w:color="auto"/>
            </w:tcBorders>
            <w:vAlign w:val="center"/>
          </w:tcPr>
          <w:p w14:paraId="342A486D" w14:textId="77777777" w:rsidR="005D6D39" w:rsidRPr="003E172D" w:rsidRDefault="005D6D39" w:rsidP="00FB40BB">
            <w:pPr>
              <w:pStyle w:val="TableText"/>
              <w:keepNext/>
              <w:jc w:val="center"/>
            </w:pPr>
            <w:r w:rsidRPr="003E172D">
              <w:t>$6,532</w:t>
            </w:r>
          </w:p>
        </w:tc>
        <w:tc>
          <w:tcPr>
            <w:tcW w:w="708" w:type="dxa"/>
            <w:tcBorders>
              <w:left w:val="double" w:sz="4" w:space="0" w:color="auto"/>
            </w:tcBorders>
            <w:noWrap/>
            <w:vAlign w:val="center"/>
            <w:hideMark/>
          </w:tcPr>
          <w:p w14:paraId="55295AE2" w14:textId="77777777" w:rsidR="005D6D39" w:rsidRPr="003E172D" w:rsidRDefault="005D6D39" w:rsidP="00FB40BB">
            <w:pPr>
              <w:pStyle w:val="TableText"/>
              <w:keepNext/>
              <w:jc w:val="center"/>
            </w:pPr>
            <w:r w:rsidRPr="003E172D">
              <w:t>$1,935</w:t>
            </w:r>
          </w:p>
        </w:tc>
        <w:tc>
          <w:tcPr>
            <w:tcW w:w="516" w:type="dxa"/>
            <w:noWrap/>
            <w:vAlign w:val="center"/>
            <w:hideMark/>
          </w:tcPr>
          <w:p w14:paraId="2E906F69" w14:textId="77777777" w:rsidR="005D6D39" w:rsidRPr="003E172D" w:rsidRDefault="005D6D39" w:rsidP="00FB40BB">
            <w:pPr>
              <w:pStyle w:val="TableText"/>
              <w:keepNext/>
              <w:jc w:val="center"/>
            </w:pPr>
            <w:r w:rsidRPr="003E172D">
              <w:t>7.7%</w:t>
            </w:r>
          </w:p>
        </w:tc>
      </w:tr>
      <w:tr w:rsidR="005D6D39" w:rsidRPr="00102634" w14:paraId="2FAF2A95" w14:textId="77777777">
        <w:trPr>
          <w:trHeight w:val="20"/>
        </w:trPr>
        <w:tc>
          <w:tcPr>
            <w:tcW w:w="1022" w:type="dxa"/>
            <w:tcBorders>
              <w:right w:val="double" w:sz="4" w:space="0" w:color="auto"/>
            </w:tcBorders>
            <w:noWrap/>
            <w:hideMark/>
          </w:tcPr>
          <w:p w14:paraId="3551DA1E" w14:textId="77777777" w:rsidR="005D6D39" w:rsidRPr="00102634" w:rsidRDefault="005D6D39" w:rsidP="00FB40BB">
            <w:pPr>
              <w:pStyle w:val="TableText"/>
              <w:keepNext/>
            </w:pPr>
            <w:r w:rsidRPr="00102634">
              <w:t>Terminal care</w:t>
            </w:r>
          </w:p>
        </w:tc>
        <w:tc>
          <w:tcPr>
            <w:tcW w:w="759" w:type="dxa"/>
            <w:tcBorders>
              <w:left w:val="double" w:sz="4" w:space="0" w:color="auto"/>
            </w:tcBorders>
            <w:noWrap/>
            <w:vAlign w:val="center"/>
            <w:hideMark/>
          </w:tcPr>
          <w:p w14:paraId="20297443" w14:textId="77777777" w:rsidR="005D6D39" w:rsidRPr="003E172D" w:rsidRDefault="005D6D39" w:rsidP="00FB40BB">
            <w:pPr>
              <w:pStyle w:val="TableText"/>
              <w:keepNext/>
              <w:jc w:val="center"/>
            </w:pPr>
            <w:r w:rsidRPr="003E172D">
              <w:t>$22,679</w:t>
            </w:r>
          </w:p>
        </w:tc>
        <w:tc>
          <w:tcPr>
            <w:tcW w:w="760" w:type="dxa"/>
            <w:vAlign w:val="center"/>
          </w:tcPr>
          <w:p w14:paraId="715DED21" w14:textId="77777777" w:rsidR="005D6D39" w:rsidRPr="003E172D" w:rsidRDefault="005D6D39" w:rsidP="00FB40BB">
            <w:pPr>
              <w:pStyle w:val="TableText"/>
              <w:keepNext/>
              <w:jc w:val="center"/>
            </w:pPr>
            <w:r w:rsidRPr="003E172D">
              <w:t>$9,568</w:t>
            </w:r>
          </w:p>
        </w:tc>
        <w:tc>
          <w:tcPr>
            <w:tcW w:w="759" w:type="dxa"/>
            <w:vAlign w:val="center"/>
          </w:tcPr>
          <w:p w14:paraId="3B5EED12" w14:textId="77777777" w:rsidR="005D6D39" w:rsidRPr="003E172D" w:rsidRDefault="005D6D39" w:rsidP="00FB40BB">
            <w:pPr>
              <w:pStyle w:val="TableText"/>
              <w:keepNext/>
              <w:jc w:val="center"/>
            </w:pPr>
            <w:r w:rsidRPr="003E172D">
              <w:t>$109</w:t>
            </w:r>
          </w:p>
        </w:tc>
        <w:tc>
          <w:tcPr>
            <w:tcW w:w="760" w:type="dxa"/>
            <w:vAlign w:val="center"/>
          </w:tcPr>
          <w:p w14:paraId="43B99C89" w14:textId="77777777" w:rsidR="005D6D39" w:rsidRPr="003E172D" w:rsidRDefault="005D6D39" w:rsidP="00FB40BB">
            <w:pPr>
              <w:pStyle w:val="TableText"/>
              <w:keepNext/>
              <w:jc w:val="center"/>
            </w:pPr>
            <w:r w:rsidRPr="003E172D">
              <w:t>$107</w:t>
            </w:r>
          </w:p>
        </w:tc>
        <w:tc>
          <w:tcPr>
            <w:tcW w:w="759" w:type="dxa"/>
            <w:vAlign w:val="center"/>
          </w:tcPr>
          <w:p w14:paraId="42B71B2C" w14:textId="77777777" w:rsidR="005D6D39" w:rsidRPr="003E172D" w:rsidRDefault="005D6D39" w:rsidP="00FB40BB">
            <w:pPr>
              <w:pStyle w:val="TableText"/>
              <w:keepNext/>
              <w:jc w:val="center"/>
            </w:pPr>
            <w:r w:rsidRPr="003E172D">
              <w:t>$10,585</w:t>
            </w:r>
          </w:p>
        </w:tc>
        <w:tc>
          <w:tcPr>
            <w:tcW w:w="760" w:type="dxa"/>
            <w:tcBorders>
              <w:right w:val="double" w:sz="4" w:space="0" w:color="auto"/>
            </w:tcBorders>
            <w:vAlign w:val="center"/>
          </w:tcPr>
          <w:p w14:paraId="059A33F1" w14:textId="77777777" w:rsidR="005D6D39" w:rsidRPr="003E172D" w:rsidRDefault="005D6D39" w:rsidP="00FB40BB">
            <w:pPr>
              <w:pStyle w:val="TableText"/>
              <w:keepNext/>
              <w:jc w:val="center"/>
            </w:pPr>
            <w:r w:rsidRPr="003E172D">
              <w:t>$2,310</w:t>
            </w:r>
          </w:p>
        </w:tc>
        <w:tc>
          <w:tcPr>
            <w:tcW w:w="795" w:type="dxa"/>
            <w:tcBorders>
              <w:left w:val="double" w:sz="4" w:space="0" w:color="auto"/>
            </w:tcBorders>
            <w:noWrap/>
            <w:vAlign w:val="center"/>
            <w:hideMark/>
          </w:tcPr>
          <w:p w14:paraId="07C74692" w14:textId="77777777" w:rsidR="005D6D39" w:rsidRPr="003E172D" w:rsidRDefault="005D6D39" w:rsidP="00FB40BB">
            <w:pPr>
              <w:pStyle w:val="TableText"/>
              <w:keepNext/>
              <w:jc w:val="center"/>
            </w:pPr>
            <w:r w:rsidRPr="003E172D">
              <w:t>$23,695</w:t>
            </w:r>
          </w:p>
        </w:tc>
        <w:tc>
          <w:tcPr>
            <w:tcW w:w="709" w:type="dxa"/>
            <w:vAlign w:val="center"/>
          </w:tcPr>
          <w:p w14:paraId="02EB145A" w14:textId="77777777" w:rsidR="005D6D39" w:rsidRPr="003E172D" w:rsidRDefault="005D6D39" w:rsidP="00FB40BB">
            <w:pPr>
              <w:pStyle w:val="TableText"/>
              <w:keepNext/>
              <w:jc w:val="center"/>
            </w:pPr>
            <w:r w:rsidRPr="003E172D">
              <w:t>$11,847</w:t>
            </w:r>
          </w:p>
        </w:tc>
        <w:tc>
          <w:tcPr>
            <w:tcW w:w="709" w:type="dxa"/>
            <w:tcBorders>
              <w:right w:val="double" w:sz="4" w:space="0" w:color="auto"/>
            </w:tcBorders>
            <w:vAlign w:val="center"/>
          </w:tcPr>
          <w:p w14:paraId="0F7874D9" w14:textId="77777777" w:rsidR="005D6D39" w:rsidRPr="003E172D" w:rsidRDefault="005D6D39" w:rsidP="00FB40BB">
            <w:pPr>
              <w:pStyle w:val="TableText"/>
              <w:keepNext/>
              <w:jc w:val="center"/>
            </w:pPr>
            <w:r w:rsidRPr="003E172D">
              <w:t>$11,847</w:t>
            </w:r>
          </w:p>
        </w:tc>
        <w:tc>
          <w:tcPr>
            <w:tcW w:w="708" w:type="dxa"/>
            <w:tcBorders>
              <w:left w:val="double" w:sz="4" w:space="0" w:color="auto"/>
            </w:tcBorders>
            <w:noWrap/>
            <w:vAlign w:val="center"/>
            <w:hideMark/>
          </w:tcPr>
          <w:p w14:paraId="1B276C7F" w14:textId="77777777" w:rsidR="005D6D39" w:rsidRPr="003E172D" w:rsidRDefault="005D6D39" w:rsidP="00FB40BB">
            <w:pPr>
              <w:pStyle w:val="TableText"/>
              <w:keepNext/>
              <w:jc w:val="center"/>
            </w:pPr>
            <w:r w:rsidRPr="003E172D">
              <w:t>-$1,015</w:t>
            </w:r>
          </w:p>
        </w:tc>
        <w:tc>
          <w:tcPr>
            <w:tcW w:w="516" w:type="dxa"/>
            <w:noWrap/>
            <w:vAlign w:val="center"/>
            <w:hideMark/>
          </w:tcPr>
          <w:p w14:paraId="527A0F70" w14:textId="77777777" w:rsidR="005D6D39" w:rsidRPr="003E172D" w:rsidRDefault="005D6D39" w:rsidP="00FB40BB">
            <w:pPr>
              <w:pStyle w:val="TableText"/>
              <w:keepNext/>
              <w:jc w:val="center"/>
            </w:pPr>
            <w:r w:rsidRPr="003E172D">
              <w:t>-4%</w:t>
            </w:r>
          </w:p>
        </w:tc>
      </w:tr>
      <w:tr w:rsidR="00C02B61" w:rsidRPr="00102634" w14:paraId="35D2B7AD" w14:textId="77777777" w:rsidTr="003E172D">
        <w:trPr>
          <w:trHeight w:val="20"/>
        </w:trPr>
        <w:tc>
          <w:tcPr>
            <w:tcW w:w="0" w:type="dxa"/>
            <w:tcBorders>
              <w:right w:val="double" w:sz="4" w:space="0" w:color="auto"/>
            </w:tcBorders>
            <w:noWrap/>
            <w:hideMark/>
          </w:tcPr>
          <w:p w14:paraId="6E01695F" w14:textId="77777777" w:rsidR="003E172D" w:rsidRPr="00102634" w:rsidRDefault="003E172D" w:rsidP="003E172D">
            <w:pPr>
              <w:pStyle w:val="TableText"/>
              <w:keepNext/>
              <w:rPr>
                <w:vertAlign w:val="superscript"/>
              </w:rPr>
            </w:pPr>
            <w:r w:rsidRPr="00102634">
              <w:t xml:space="preserve">Testing costs </w:t>
            </w:r>
          </w:p>
        </w:tc>
        <w:tc>
          <w:tcPr>
            <w:tcW w:w="0" w:type="dxa"/>
            <w:tcBorders>
              <w:left w:val="double" w:sz="4" w:space="0" w:color="auto"/>
            </w:tcBorders>
            <w:noWrap/>
            <w:hideMark/>
          </w:tcPr>
          <w:p w14:paraId="47345A25" w14:textId="000A8C4C" w:rsidR="003E172D" w:rsidRPr="003E172D" w:rsidRDefault="003E172D" w:rsidP="003E172D">
            <w:pPr>
              <w:pStyle w:val="TableText"/>
              <w:keepNext/>
              <w:jc w:val="center"/>
            </w:pPr>
            <w:r w:rsidRPr="003E172D">
              <w:t>$</w:t>
            </w:r>
            <w:r w:rsidRPr="003E172D">
              <w:rPr>
                <w:b/>
                <w:bCs/>
              </w:rPr>
              <w:t>redacted</w:t>
            </w:r>
          </w:p>
        </w:tc>
        <w:tc>
          <w:tcPr>
            <w:tcW w:w="0" w:type="dxa"/>
          </w:tcPr>
          <w:p w14:paraId="3E73285D" w14:textId="2FB4EE24" w:rsidR="003E172D" w:rsidRPr="003E172D" w:rsidRDefault="003E172D" w:rsidP="003E172D">
            <w:pPr>
              <w:pStyle w:val="TableText"/>
              <w:keepNext/>
              <w:jc w:val="center"/>
            </w:pPr>
            <w:r w:rsidRPr="003E172D">
              <w:t>$</w:t>
            </w:r>
            <w:r w:rsidRPr="003E172D">
              <w:rPr>
                <w:b/>
                <w:bCs/>
              </w:rPr>
              <w:t>redacted</w:t>
            </w:r>
          </w:p>
        </w:tc>
        <w:tc>
          <w:tcPr>
            <w:tcW w:w="0" w:type="dxa"/>
          </w:tcPr>
          <w:p w14:paraId="62E05957" w14:textId="4B20AD33" w:rsidR="003E172D" w:rsidRPr="003E172D" w:rsidRDefault="003E172D" w:rsidP="003E172D">
            <w:pPr>
              <w:pStyle w:val="TableText"/>
              <w:keepNext/>
              <w:jc w:val="center"/>
            </w:pPr>
            <w:r w:rsidRPr="003E172D">
              <w:t>$</w:t>
            </w:r>
            <w:r w:rsidRPr="003E172D">
              <w:rPr>
                <w:b/>
                <w:bCs/>
              </w:rPr>
              <w:t>redacted</w:t>
            </w:r>
          </w:p>
        </w:tc>
        <w:tc>
          <w:tcPr>
            <w:tcW w:w="0" w:type="dxa"/>
          </w:tcPr>
          <w:p w14:paraId="53D04B7A" w14:textId="3FA16800" w:rsidR="003E172D" w:rsidRPr="003E172D" w:rsidRDefault="003E172D" w:rsidP="003E172D">
            <w:pPr>
              <w:pStyle w:val="TableText"/>
              <w:keepNext/>
              <w:jc w:val="center"/>
            </w:pPr>
            <w:r w:rsidRPr="003E172D">
              <w:t>$</w:t>
            </w:r>
            <w:r w:rsidRPr="003E172D">
              <w:rPr>
                <w:b/>
                <w:bCs/>
              </w:rPr>
              <w:t>redacted</w:t>
            </w:r>
          </w:p>
        </w:tc>
        <w:tc>
          <w:tcPr>
            <w:tcW w:w="0" w:type="dxa"/>
          </w:tcPr>
          <w:p w14:paraId="78EC5E3C" w14:textId="2E1FA61D"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1EE8189D" w14:textId="673CED73"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4904F967" w14:textId="276E385C" w:rsidR="003E172D" w:rsidRPr="003E172D" w:rsidRDefault="003E172D" w:rsidP="003E172D">
            <w:pPr>
              <w:pStyle w:val="TableText"/>
              <w:keepNext/>
              <w:jc w:val="center"/>
            </w:pPr>
            <w:r w:rsidRPr="003E172D">
              <w:t>$</w:t>
            </w:r>
            <w:r w:rsidRPr="003E172D">
              <w:rPr>
                <w:b/>
                <w:bCs/>
              </w:rPr>
              <w:t>redacted</w:t>
            </w:r>
          </w:p>
        </w:tc>
        <w:tc>
          <w:tcPr>
            <w:tcW w:w="0" w:type="dxa"/>
          </w:tcPr>
          <w:p w14:paraId="5EE0D15D" w14:textId="4A74E442" w:rsidR="003E172D" w:rsidRPr="003E172D" w:rsidRDefault="003E172D" w:rsidP="003E172D">
            <w:pPr>
              <w:pStyle w:val="TableText"/>
              <w:keepNext/>
              <w:jc w:val="center"/>
            </w:pPr>
            <w:r w:rsidRPr="003E172D">
              <w:t>$</w:t>
            </w:r>
            <w:r w:rsidRPr="003E172D">
              <w:rPr>
                <w:b/>
                <w:bCs/>
              </w:rPr>
              <w:t>redacted</w:t>
            </w:r>
          </w:p>
        </w:tc>
        <w:tc>
          <w:tcPr>
            <w:tcW w:w="0" w:type="dxa"/>
            <w:tcBorders>
              <w:right w:val="double" w:sz="4" w:space="0" w:color="auto"/>
            </w:tcBorders>
          </w:tcPr>
          <w:p w14:paraId="71CCBAAB" w14:textId="016592B8" w:rsidR="003E172D" w:rsidRPr="003E172D" w:rsidRDefault="003E172D" w:rsidP="003E172D">
            <w:pPr>
              <w:pStyle w:val="TableText"/>
              <w:keepNext/>
              <w:jc w:val="center"/>
            </w:pPr>
            <w:r w:rsidRPr="003E172D">
              <w:t>$</w:t>
            </w:r>
            <w:r w:rsidRPr="003E172D">
              <w:rPr>
                <w:b/>
                <w:bCs/>
              </w:rPr>
              <w:t>redacted</w:t>
            </w:r>
          </w:p>
        </w:tc>
        <w:tc>
          <w:tcPr>
            <w:tcW w:w="0" w:type="dxa"/>
            <w:tcBorders>
              <w:left w:val="double" w:sz="4" w:space="0" w:color="auto"/>
            </w:tcBorders>
            <w:noWrap/>
            <w:hideMark/>
          </w:tcPr>
          <w:p w14:paraId="562222D0" w14:textId="30BA4F0C" w:rsidR="003E172D" w:rsidRPr="003E172D" w:rsidRDefault="003E172D" w:rsidP="003E172D">
            <w:pPr>
              <w:pStyle w:val="TableText"/>
              <w:keepNext/>
              <w:jc w:val="center"/>
            </w:pPr>
            <w:r w:rsidRPr="003E172D">
              <w:t>$</w:t>
            </w:r>
            <w:r w:rsidRPr="003E172D">
              <w:rPr>
                <w:b/>
                <w:bCs/>
              </w:rPr>
              <w:t>redacted</w:t>
            </w:r>
          </w:p>
        </w:tc>
        <w:tc>
          <w:tcPr>
            <w:tcW w:w="0" w:type="dxa"/>
            <w:noWrap/>
            <w:hideMark/>
          </w:tcPr>
          <w:p w14:paraId="769E6697" w14:textId="76774DA8" w:rsidR="003E172D" w:rsidRPr="003E172D" w:rsidRDefault="6F108648" w:rsidP="003E172D">
            <w:pPr>
              <w:pStyle w:val="TableText"/>
              <w:keepNext/>
              <w:jc w:val="center"/>
            </w:pPr>
            <w:r w:rsidRPr="10812078">
              <w:rPr>
                <w:b/>
                <w:bCs/>
              </w:rPr>
              <w:t>redacted</w:t>
            </w:r>
            <w:r w:rsidR="7A38371F" w:rsidRPr="10812078">
              <w:rPr>
                <w:rFonts w:ascii="Franklin Gothic Book" w:hAnsi="Franklin Gothic Book"/>
                <w:sz w:val="22"/>
                <w:szCs w:val="22"/>
              </w:rPr>
              <w:t>%</w:t>
            </w:r>
          </w:p>
        </w:tc>
      </w:tr>
      <w:tr w:rsidR="003E172D" w:rsidRPr="00102634" w14:paraId="01B495AB" w14:textId="77777777" w:rsidTr="003E172D">
        <w:trPr>
          <w:trHeight w:val="20"/>
        </w:trPr>
        <w:tc>
          <w:tcPr>
            <w:tcW w:w="1022" w:type="dxa"/>
            <w:tcBorders>
              <w:bottom w:val="single" w:sz="4" w:space="0" w:color="auto"/>
              <w:right w:val="double" w:sz="4" w:space="0" w:color="auto"/>
            </w:tcBorders>
            <w:noWrap/>
            <w:hideMark/>
          </w:tcPr>
          <w:p w14:paraId="6FDD3565" w14:textId="77777777" w:rsidR="003E172D" w:rsidRPr="00102634" w:rsidRDefault="003E172D" w:rsidP="003E172D">
            <w:pPr>
              <w:pStyle w:val="TableText"/>
              <w:keepNext/>
            </w:pPr>
            <w:r w:rsidRPr="00102634">
              <w:t>Total</w:t>
            </w:r>
          </w:p>
        </w:tc>
        <w:tc>
          <w:tcPr>
            <w:tcW w:w="759" w:type="dxa"/>
            <w:tcBorders>
              <w:left w:val="double" w:sz="4" w:space="0" w:color="auto"/>
              <w:bottom w:val="single" w:sz="4" w:space="0" w:color="auto"/>
            </w:tcBorders>
            <w:noWrap/>
            <w:hideMark/>
          </w:tcPr>
          <w:p w14:paraId="145663D2" w14:textId="59EB2A9E" w:rsidR="003E172D" w:rsidRPr="003E172D" w:rsidRDefault="003E172D" w:rsidP="003E172D">
            <w:pPr>
              <w:pStyle w:val="TableText"/>
              <w:keepNext/>
              <w:jc w:val="center"/>
              <w:rPr>
                <w:b/>
                <w:bCs/>
              </w:rPr>
            </w:pPr>
            <w:r w:rsidRPr="003E172D">
              <w:t>$</w:t>
            </w:r>
            <w:r w:rsidRPr="003E172D">
              <w:rPr>
                <w:b/>
                <w:bCs/>
              </w:rPr>
              <w:t>redacted</w:t>
            </w:r>
          </w:p>
        </w:tc>
        <w:tc>
          <w:tcPr>
            <w:tcW w:w="760" w:type="dxa"/>
            <w:tcBorders>
              <w:bottom w:val="single" w:sz="4" w:space="0" w:color="auto"/>
            </w:tcBorders>
          </w:tcPr>
          <w:p w14:paraId="51403A24" w14:textId="2DCEC5F1" w:rsidR="003E172D" w:rsidRPr="003E172D" w:rsidRDefault="003E172D" w:rsidP="003E172D">
            <w:pPr>
              <w:pStyle w:val="TableText"/>
              <w:keepNext/>
              <w:jc w:val="center"/>
              <w:rPr>
                <w:b/>
                <w:bCs/>
              </w:rPr>
            </w:pPr>
            <w:r w:rsidRPr="003E172D">
              <w:t>$</w:t>
            </w:r>
            <w:r w:rsidRPr="003E172D">
              <w:rPr>
                <w:b/>
                <w:bCs/>
              </w:rPr>
              <w:t>redacted</w:t>
            </w:r>
          </w:p>
        </w:tc>
        <w:tc>
          <w:tcPr>
            <w:tcW w:w="759" w:type="dxa"/>
            <w:tcBorders>
              <w:bottom w:val="single" w:sz="4" w:space="0" w:color="auto"/>
            </w:tcBorders>
          </w:tcPr>
          <w:p w14:paraId="28036287" w14:textId="708C8085" w:rsidR="003E172D" w:rsidRPr="003E172D" w:rsidRDefault="003E172D" w:rsidP="003E172D">
            <w:pPr>
              <w:pStyle w:val="TableText"/>
              <w:keepNext/>
              <w:jc w:val="center"/>
              <w:rPr>
                <w:b/>
                <w:bCs/>
              </w:rPr>
            </w:pPr>
            <w:r w:rsidRPr="003E172D">
              <w:t>$</w:t>
            </w:r>
            <w:r w:rsidRPr="003E172D">
              <w:rPr>
                <w:b/>
                <w:bCs/>
              </w:rPr>
              <w:t>redacted</w:t>
            </w:r>
          </w:p>
        </w:tc>
        <w:tc>
          <w:tcPr>
            <w:tcW w:w="760" w:type="dxa"/>
            <w:tcBorders>
              <w:bottom w:val="single" w:sz="4" w:space="0" w:color="auto"/>
            </w:tcBorders>
          </w:tcPr>
          <w:p w14:paraId="24E79AA7" w14:textId="592B6394" w:rsidR="003E172D" w:rsidRPr="003E172D" w:rsidRDefault="003E172D" w:rsidP="003E172D">
            <w:pPr>
              <w:pStyle w:val="TableText"/>
              <w:keepNext/>
              <w:jc w:val="center"/>
              <w:rPr>
                <w:b/>
                <w:bCs/>
              </w:rPr>
            </w:pPr>
            <w:r w:rsidRPr="003E172D">
              <w:t>$</w:t>
            </w:r>
            <w:r w:rsidRPr="003E172D">
              <w:rPr>
                <w:b/>
                <w:bCs/>
              </w:rPr>
              <w:t>redacted</w:t>
            </w:r>
          </w:p>
        </w:tc>
        <w:tc>
          <w:tcPr>
            <w:tcW w:w="759" w:type="dxa"/>
            <w:tcBorders>
              <w:bottom w:val="single" w:sz="4" w:space="0" w:color="auto"/>
            </w:tcBorders>
          </w:tcPr>
          <w:p w14:paraId="6424C8B1" w14:textId="709808F1" w:rsidR="003E172D" w:rsidRPr="003E172D" w:rsidRDefault="003E172D" w:rsidP="003E172D">
            <w:pPr>
              <w:pStyle w:val="TableText"/>
              <w:keepNext/>
              <w:jc w:val="center"/>
              <w:rPr>
                <w:b/>
                <w:bCs/>
              </w:rPr>
            </w:pPr>
            <w:r w:rsidRPr="003E172D">
              <w:t>$</w:t>
            </w:r>
            <w:r w:rsidRPr="003E172D">
              <w:rPr>
                <w:b/>
                <w:bCs/>
              </w:rPr>
              <w:t>redacted</w:t>
            </w:r>
          </w:p>
        </w:tc>
        <w:tc>
          <w:tcPr>
            <w:tcW w:w="760" w:type="dxa"/>
            <w:tcBorders>
              <w:bottom w:val="single" w:sz="4" w:space="0" w:color="auto"/>
              <w:right w:val="double" w:sz="4" w:space="0" w:color="auto"/>
            </w:tcBorders>
          </w:tcPr>
          <w:p w14:paraId="723407D6" w14:textId="139C0023" w:rsidR="003E172D" w:rsidRPr="003E172D" w:rsidRDefault="003E172D" w:rsidP="003E172D">
            <w:pPr>
              <w:pStyle w:val="TableText"/>
              <w:keepNext/>
              <w:jc w:val="center"/>
              <w:rPr>
                <w:b/>
                <w:bCs/>
              </w:rPr>
            </w:pPr>
            <w:r w:rsidRPr="003E172D">
              <w:t>$</w:t>
            </w:r>
            <w:r w:rsidRPr="003E172D">
              <w:rPr>
                <w:b/>
                <w:bCs/>
              </w:rPr>
              <w:t>redacted</w:t>
            </w:r>
          </w:p>
        </w:tc>
        <w:tc>
          <w:tcPr>
            <w:tcW w:w="795" w:type="dxa"/>
            <w:tcBorders>
              <w:left w:val="double" w:sz="4" w:space="0" w:color="auto"/>
              <w:bottom w:val="single" w:sz="4" w:space="0" w:color="auto"/>
            </w:tcBorders>
            <w:noWrap/>
            <w:hideMark/>
          </w:tcPr>
          <w:p w14:paraId="511D9F44" w14:textId="62BDF87C" w:rsidR="003E172D" w:rsidRPr="003E172D" w:rsidRDefault="003E172D" w:rsidP="003E172D">
            <w:pPr>
              <w:pStyle w:val="TableText"/>
              <w:keepNext/>
              <w:jc w:val="center"/>
              <w:rPr>
                <w:b/>
                <w:bCs/>
              </w:rPr>
            </w:pPr>
            <w:r w:rsidRPr="003E172D">
              <w:t>$</w:t>
            </w:r>
            <w:r w:rsidRPr="003E172D">
              <w:rPr>
                <w:b/>
                <w:bCs/>
              </w:rPr>
              <w:t>redacted</w:t>
            </w:r>
          </w:p>
        </w:tc>
        <w:tc>
          <w:tcPr>
            <w:tcW w:w="709" w:type="dxa"/>
            <w:tcBorders>
              <w:bottom w:val="single" w:sz="4" w:space="0" w:color="auto"/>
            </w:tcBorders>
          </w:tcPr>
          <w:p w14:paraId="7873DDB9" w14:textId="2CF2889C" w:rsidR="003E172D" w:rsidRPr="003E172D" w:rsidRDefault="003E172D" w:rsidP="003E172D">
            <w:pPr>
              <w:pStyle w:val="TableText"/>
              <w:keepNext/>
              <w:jc w:val="center"/>
              <w:rPr>
                <w:b/>
                <w:bCs/>
              </w:rPr>
            </w:pPr>
            <w:r w:rsidRPr="003E172D">
              <w:t>$</w:t>
            </w:r>
            <w:r w:rsidRPr="003E172D">
              <w:rPr>
                <w:b/>
                <w:bCs/>
              </w:rPr>
              <w:t>redacted</w:t>
            </w:r>
          </w:p>
        </w:tc>
        <w:tc>
          <w:tcPr>
            <w:tcW w:w="709" w:type="dxa"/>
            <w:tcBorders>
              <w:bottom w:val="single" w:sz="4" w:space="0" w:color="auto"/>
              <w:right w:val="double" w:sz="4" w:space="0" w:color="auto"/>
            </w:tcBorders>
          </w:tcPr>
          <w:p w14:paraId="100E033D" w14:textId="6F6FA129" w:rsidR="003E172D" w:rsidRPr="003E172D" w:rsidRDefault="003E172D" w:rsidP="003E172D">
            <w:pPr>
              <w:pStyle w:val="TableText"/>
              <w:keepNext/>
              <w:jc w:val="center"/>
              <w:rPr>
                <w:b/>
                <w:bCs/>
              </w:rPr>
            </w:pPr>
            <w:r w:rsidRPr="003E172D">
              <w:t>$</w:t>
            </w:r>
            <w:r w:rsidRPr="003E172D">
              <w:rPr>
                <w:b/>
                <w:bCs/>
              </w:rPr>
              <w:t>redacted</w:t>
            </w:r>
          </w:p>
        </w:tc>
        <w:tc>
          <w:tcPr>
            <w:tcW w:w="708" w:type="dxa"/>
            <w:tcBorders>
              <w:left w:val="double" w:sz="4" w:space="0" w:color="auto"/>
              <w:bottom w:val="single" w:sz="4" w:space="0" w:color="auto"/>
            </w:tcBorders>
            <w:noWrap/>
            <w:hideMark/>
          </w:tcPr>
          <w:p w14:paraId="049EE68C" w14:textId="28868F97" w:rsidR="003E172D" w:rsidRPr="003E172D" w:rsidRDefault="003E172D" w:rsidP="003E172D">
            <w:pPr>
              <w:pStyle w:val="TableText"/>
              <w:keepNext/>
              <w:jc w:val="center"/>
              <w:rPr>
                <w:b/>
                <w:bCs/>
              </w:rPr>
            </w:pPr>
            <w:r w:rsidRPr="003E172D">
              <w:t>$</w:t>
            </w:r>
            <w:r w:rsidRPr="003E172D">
              <w:rPr>
                <w:b/>
                <w:bCs/>
              </w:rPr>
              <w:t>redacted</w:t>
            </w:r>
          </w:p>
        </w:tc>
        <w:tc>
          <w:tcPr>
            <w:tcW w:w="516" w:type="dxa"/>
            <w:tcBorders>
              <w:bottom w:val="single" w:sz="4" w:space="0" w:color="auto"/>
            </w:tcBorders>
            <w:noWrap/>
            <w:hideMark/>
          </w:tcPr>
          <w:p w14:paraId="5EFF42DA" w14:textId="4D3F6AB2" w:rsidR="003E172D" w:rsidRPr="003E172D" w:rsidRDefault="6F108648" w:rsidP="003E172D">
            <w:pPr>
              <w:pStyle w:val="TableText"/>
              <w:keepNext/>
              <w:jc w:val="center"/>
              <w:rPr>
                <w:b/>
                <w:bCs/>
              </w:rPr>
            </w:pPr>
            <w:r w:rsidRPr="10812078">
              <w:rPr>
                <w:b/>
                <w:bCs/>
              </w:rPr>
              <w:t>redacted</w:t>
            </w:r>
            <w:r w:rsidR="56BAE143" w:rsidRPr="10812078">
              <w:rPr>
                <w:rFonts w:ascii="Franklin Gothic Book" w:hAnsi="Franklin Gothic Book"/>
                <w:sz w:val="22"/>
                <w:szCs w:val="22"/>
              </w:rPr>
              <w:t>%</w:t>
            </w:r>
          </w:p>
        </w:tc>
      </w:tr>
      <w:tr w:rsidR="00996DE6" w:rsidRPr="00102634" w14:paraId="5D19E493" w14:textId="77777777">
        <w:trPr>
          <w:trHeight w:val="20"/>
        </w:trPr>
        <w:tc>
          <w:tcPr>
            <w:tcW w:w="1022" w:type="dxa"/>
            <w:tcBorders>
              <w:top w:val="single" w:sz="4" w:space="0" w:color="auto"/>
              <w:left w:val="single" w:sz="4" w:space="0" w:color="auto"/>
              <w:bottom w:val="single" w:sz="4" w:space="0" w:color="auto"/>
              <w:right w:val="double" w:sz="4" w:space="0" w:color="auto"/>
            </w:tcBorders>
            <w:noWrap/>
            <w:hideMark/>
          </w:tcPr>
          <w:p w14:paraId="07DE66E4" w14:textId="77777777" w:rsidR="005D6D39" w:rsidRPr="00102634" w:rsidRDefault="005D6D39" w:rsidP="00FB40BB">
            <w:pPr>
              <w:pStyle w:val="TableText"/>
              <w:keepNext/>
              <w:rPr>
                <w:b/>
                <w:bCs/>
              </w:rPr>
            </w:pPr>
            <w:r w:rsidRPr="00102634">
              <w:rPr>
                <w:b/>
                <w:bCs/>
              </w:rPr>
              <w:t>LYG</w:t>
            </w:r>
          </w:p>
        </w:tc>
        <w:tc>
          <w:tcPr>
            <w:tcW w:w="759" w:type="dxa"/>
            <w:tcBorders>
              <w:top w:val="single" w:sz="4" w:space="0" w:color="auto"/>
              <w:left w:val="double" w:sz="4" w:space="0" w:color="auto"/>
              <w:bottom w:val="single" w:sz="4" w:space="0" w:color="auto"/>
              <w:right w:val="nil"/>
            </w:tcBorders>
            <w:noWrap/>
            <w:vAlign w:val="center"/>
            <w:hideMark/>
          </w:tcPr>
          <w:p w14:paraId="7A1DDAEB" w14:textId="77777777" w:rsidR="005D6D39" w:rsidRPr="003E172D" w:rsidRDefault="005D6D39" w:rsidP="00FB40BB">
            <w:pPr>
              <w:pStyle w:val="TableText"/>
              <w:keepNext/>
              <w:jc w:val="center"/>
              <w:rPr>
                <w:b/>
                <w:bCs/>
              </w:rPr>
            </w:pPr>
          </w:p>
        </w:tc>
        <w:tc>
          <w:tcPr>
            <w:tcW w:w="760" w:type="dxa"/>
            <w:tcBorders>
              <w:top w:val="single" w:sz="4" w:space="0" w:color="auto"/>
              <w:left w:val="nil"/>
              <w:bottom w:val="single" w:sz="4" w:space="0" w:color="auto"/>
              <w:right w:val="nil"/>
            </w:tcBorders>
            <w:vAlign w:val="center"/>
          </w:tcPr>
          <w:p w14:paraId="66647301" w14:textId="77777777" w:rsidR="005D6D39" w:rsidRPr="003E172D" w:rsidRDefault="005D6D39" w:rsidP="00FB40BB">
            <w:pPr>
              <w:pStyle w:val="TableText"/>
              <w:keepNext/>
              <w:jc w:val="center"/>
              <w:rPr>
                <w:rFonts w:ascii="Times New Roman" w:hAnsi="Times New Roman"/>
                <w:b/>
                <w:bCs/>
                <w:szCs w:val="20"/>
              </w:rPr>
            </w:pPr>
          </w:p>
        </w:tc>
        <w:tc>
          <w:tcPr>
            <w:tcW w:w="759" w:type="dxa"/>
            <w:tcBorders>
              <w:top w:val="single" w:sz="4" w:space="0" w:color="auto"/>
              <w:left w:val="nil"/>
              <w:bottom w:val="single" w:sz="4" w:space="0" w:color="auto"/>
              <w:right w:val="nil"/>
            </w:tcBorders>
            <w:vAlign w:val="center"/>
          </w:tcPr>
          <w:p w14:paraId="369CD1D8" w14:textId="77777777" w:rsidR="005D6D39" w:rsidRPr="003E172D" w:rsidRDefault="005D6D39" w:rsidP="00FB40BB">
            <w:pPr>
              <w:pStyle w:val="TableText"/>
              <w:keepNext/>
              <w:jc w:val="center"/>
              <w:rPr>
                <w:rFonts w:ascii="Times New Roman" w:hAnsi="Times New Roman"/>
                <w:b/>
                <w:bCs/>
                <w:szCs w:val="20"/>
              </w:rPr>
            </w:pPr>
          </w:p>
        </w:tc>
        <w:tc>
          <w:tcPr>
            <w:tcW w:w="760" w:type="dxa"/>
            <w:tcBorders>
              <w:top w:val="single" w:sz="4" w:space="0" w:color="auto"/>
              <w:left w:val="nil"/>
              <w:bottom w:val="single" w:sz="4" w:space="0" w:color="auto"/>
              <w:right w:val="nil"/>
            </w:tcBorders>
          </w:tcPr>
          <w:p w14:paraId="392B1533" w14:textId="77777777" w:rsidR="005D6D39" w:rsidRPr="003E172D" w:rsidRDefault="005D6D39" w:rsidP="00FB40BB">
            <w:pPr>
              <w:pStyle w:val="TableText"/>
              <w:keepNext/>
              <w:jc w:val="center"/>
              <w:rPr>
                <w:rFonts w:ascii="Times New Roman" w:hAnsi="Times New Roman"/>
                <w:b/>
                <w:bCs/>
                <w:szCs w:val="20"/>
              </w:rPr>
            </w:pPr>
          </w:p>
        </w:tc>
        <w:tc>
          <w:tcPr>
            <w:tcW w:w="759" w:type="dxa"/>
            <w:tcBorders>
              <w:top w:val="single" w:sz="4" w:space="0" w:color="auto"/>
              <w:left w:val="nil"/>
              <w:bottom w:val="single" w:sz="4" w:space="0" w:color="auto"/>
              <w:right w:val="nil"/>
            </w:tcBorders>
          </w:tcPr>
          <w:p w14:paraId="44D9152D" w14:textId="77777777" w:rsidR="005D6D39" w:rsidRPr="003E172D" w:rsidRDefault="005D6D39" w:rsidP="00FB40BB">
            <w:pPr>
              <w:pStyle w:val="TableText"/>
              <w:keepNext/>
              <w:jc w:val="center"/>
              <w:rPr>
                <w:rFonts w:ascii="Times New Roman" w:hAnsi="Times New Roman"/>
                <w:b/>
                <w:bCs/>
                <w:szCs w:val="20"/>
              </w:rPr>
            </w:pPr>
          </w:p>
        </w:tc>
        <w:tc>
          <w:tcPr>
            <w:tcW w:w="760" w:type="dxa"/>
            <w:tcBorders>
              <w:top w:val="single" w:sz="4" w:space="0" w:color="auto"/>
              <w:left w:val="nil"/>
              <w:bottom w:val="single" w:sz="4" w:space="0" w:color="auto"/>
              <w:right w:val="double" w:sz="4" w:space="0" w:color="auto"/>
            </w:tcBorders>
            <w:vAlign w:val="center"/>
          </w:tcPr>
          <w:p w14:paraId="570E3C68" w14:textId="77777777" w:rsidR="005D6D39" w:rsidRPr="003E172D" w:rsidRDefault="005D6D39" w:rsidP="00FB40BB">
            <w:pPr>
              <w:pStyle w:val="TableText"/>
              <w:keepNext/>
              <w:jc w:val="center"/>
              <w:rPr>
                <w:rFonts w:ascii="Times New Roman" w:hAnsi="Times New Roman"/>
                <w:b/>
                <w:bCs/>
                <w:szCs w:val="20"/>
              </w:rPr>
            </w:pPr>
          </w:p>
        </w:tc>
        <w:tc>
          <w:tcPr>
            <w:tcW w:w="795" w:type="dxa"/>
            <w:tcBorders>
              <w:top w:val="single" w:sz="4" w:space="0" w:color="auto"/>
              <w:left w:val="double" w:sz="4" w:space="0" w:color="auto"/>
              <w:bottom w:val="single" w:sz="4" w:space="0" w:color="auto"/>
              <w:right w:val="nil"/>
            </w:tcBorders>
            <w:noWrap/>
            <w:vAlign w:val="center"/>
            <w:hideMark/>
          </w:tcPr>
          <w:p w14:paraId="5830528C" w14:textId="77777777" w:rsidR="005D6D39" w:rsidRPr="003E172D" w:rsidRDefault="005D6D39" w:rsidP="00FB40BB">
            <w:pPr>
              <w:pStyle w:val="TableText"/>
              <w:keepNext/>
              <w:jc w:val="center"/>
              <w:rPr>
                <w:rFonts w:ascii="Times New Roman" w:hAnsi="Times New Roman"/>
                <w:b/>
                <w:bCs/>
                <w:szCs w:val="20"/>
              </w:rPr>
            </w:pPr>
          </w:p>
        </w:tc>
        <w:tc>
          <w:tcPr>
            <w:tcW w:w="709" w:type="dxa"/>
            <w:tcBorders>
              <w:top w:val="single" w:sz="4" w:space="0" w:color="auto"/>
              <w:left w:val="nil"/>
              <w:bottom w:val="single" w:sz="4" w:space="0" w:color="auto"/>
              <w:right w:val="nil"/>
            </w:tcBorders>
            <w:vAlign w:val="center"/>
          </w:tcPr>
          <w:p w14:paraId="50DBACDC" w14:textId="77777777" w:rsidR="005D6D39" w:rsidRPr="003E172D" w:rsidRDefault="005D6D39" w:rsidP="00FB40BB">
            <w:pPr>
              <w:pStyle w:val="TableText"/>
              <w:keepNext/>
              <w:jc w:val="center"/>
              <w:rPr>
                <w:rFonts w:ascii="Times New Roman" w:hAnsi="Times New Roman"/>
                <w:b/>
                <w:bCs/>
                <w:szCs w:val="20"/>
              </w:rPr>
            </w:pPr>
          </w:p>
        </w:tc>
        <w:tc>
          <w:tcPr>
            <w:tcW w:w="709" w:type="dxa"/>
            <w:tcBorders>
              <w:top w:val="single" w:sz="4" w:space="0" w:color="auto"/>
              <w:left w:val="nil"/>
              <w:bottom w:val="single" w:sz="4" w:space="0" w:color="auto"/>
              <w:right w:val="double" w:sz="4" w:space="0" w:color="auto"/>
            </w:tcBorders>
            <w:vAlign w:val="center"/>
          </w:tcPr>
          <w:p w14:paraId="16835242" w14:textId="77777777" w:rsidR="005D6D39" w:rsidRPr="003E172D" w:rsidRDefault="005D6D39" w:rsidP="00FB40BB">
            <w:pPr>
              <w:pStyle w:val="TableText"/>
              <w:keepNext/>
              <w:jc w:val="center"/>
              <w:rPr>
                <w:rFonts w:ascii="Times New Roman" w:hAnsi="Times New Roman"/>
                <w:b/>
                <w:bCs/>
                <w:szCs w:val="20"/>
              </w:rPr>
            </w:pPr>
          </w:p>
        </w:tc>
        <w:tc>
          <w:tcPr>
            <w:tcW w:w="708" w:type="dxa"/>
            <w:tcBorders>
              <w:top w:val="single" w:sz="4" w:space="0" w:color="auto"/>
              <w:left w:val="double" w:sz="4" w:space="0" w:color="auto"/>
              <w:bottom w:val="single" w:sz="4" w:space="0" w:color="auto"/>
              <w:right w:val="nil"/>
            </w:tcBorders>
            <w:noWrap/>
            <w:vAlign w:val="center"/>
            <w:hideMark/>
          </w:tcPr>
          <w:p w14:paraId="46F77BC1" w14:textId="77777777" w:rsidR="005D6D39" w:rsidRPr="003E172D" w:rsidRDefault="005D6D39" w:rsidP="00FB40BB">
            <w:pPr>
              <w:pStyle w:val="TableText"/>
              <w:keepNext/>
              <w:jc w:val="center"/>
              <w:rPr>
                <w:rFonts w:ascii="Times New Roman" w:hAnsi="Times New Roman"/>
                <w:b/>
                <w:bCs/>
                <w:szCs w:val="20"/>
              </w:rPr>
            </w:pPr>
          </w:p>
        </w:tc>
        <w:tc>
          <w:tcPr>
            <w:tcW w:w="516" w:type="dxa"/>
            <w:tcBorders>
              <w:top w:val="single" w:sz="4" w:space="0" w:color="auto"/>
              <w:left w:val="nil"/>
              <w:bottom w:val="single" w:sz="4" w:space="0" w:color="auto"/>
              <w:right w:val="single" w:sz="4" w:space="0" w:color="auto"/>
            </w:tcBorders>
            <w:noWrap/>
            <w:vAlign w:val="center"/>
            <w:hideMark/>
          </w:tcPr>
          <w:p w14:paraId="1F53636C" w14:textId="77777777" w:rsidR="005D6D39" w:rsidRPr="003E172D" w:rsidRDefault="005D6D39" w:rsidP="00FB40BB">
            <w:pPr>
              <w:pStyle w:val="TableText"/>
              <w:keepNext/>
              <w:jc w:val="center"/>
              <w:rPr>
                <w:rFonts w:ascii="Times New Roman" w:hAnsi="Times New Roman"/>
                <w:b/>
                <w:bCs/>
                <w:szCs w:val="20"/>
              </w:rPr>
            </w:pPr>
          </w:p>
        </w:tc>
      </w:tr>
      <w:tr w:rsidR="000000F9" w:rsidRPr="00102634" w14:paraId="47FD0E56" w14:textId="77777777" w:rsidTr="003E172D">
        <w:trPr>
          <w:trHeight w:val="20"/>
        </w:trPr>
        <w:tc>
          <w:tcPr>
            <w:tcW w:w="0" w:type="dxa"/>
            <w:tcBorders>
              <w:top w:val="single" w:sz="4" w:space="0" w:color="auto"/>
              <w:right w:val="double" w:sz="4" w:space="0" w:color="auto"/>
            </w:tcBorders>
            <w:noWrap/>
            <w:hideMark/>
          </w:tcPr>
          <w:p w14:paraId="4562BA09" w14:textId="77777777" w:rsidR="003E172D" w:rsidRPr="00102634" w:rsidRDefault="003E172D" w:rsidP="003E172D">
            <w:pPr>
              <w:pStyle w:val="TableText"/>
              <w:keepNext/>
            </w:pPr>
            <w:r w:rsidRPr="00102634">
              <w:t>PF</w:t>
            </w:r>
          </w:p>
        </w:tc>
        <w:tc>
          <w:tcPr>
            <w:tcW w:w="0" w:type="dxa"/>
            <w:tcBorders>
              <w:top w:val="single" w:sz="4" w:space="0" w:color="auto"/>
              <w:left w:val="double" w:sz="4" w:space="0" w:color="auto"/>
            </w:tcBorders>
            <w:noWrap/>
            <w:vAlign w:val="center"/>
            <w:hideMark/>
          </w:tcPr>
          <w:p w14:paraId="7787D4EA" w14:textId="77777777" w:rsidR="003E172D" w:rsidRPr="002215B2" w:rsidRDefault="003E172D" w:rsidP="003E172D">
            <w:pPr>
              <w:pStyle w:val="TableText"/>
              <w:keepNext/>
              <w:jc w:val="center"/>
            </w:pPr>
            <w:r w:rsidRPr="002215B2">
              <w:t>0.67</w:t>
            </w:r>
          </w:p>
        </w:tc>
        <w:tc>
          <w:tcPr>
            <w:tcW w:w="0" w:type="dxa"/>
            <w:tcBorders>
              <w:top w:val="single" w:sz="4" w:space="0" w:color="auto"/>
            </w:tcBorders>
          </w:tcPr>
          <w:p w14:paraId="3100198F" w14:textId="14ED1C83"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6BE142DC" w14:textId="676B8C01"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3BCEEFCD" w14:textId="23E6E7F8"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0CD26B4F" w14:textId="6C5DD442" w:rsidR="003E172D" w:rsidRPr="003E172D" w:rsidRDefault="003E172D" w:rsidP="003E172D">
            <w:pPr>
              <w:pStyle w:val="TableText"/>
              <w:keepNext/>
              <w:jc w:val="center"/>
            </w:pPr>
            <w:r w:rsidRPr="003E172D">
              <w:rPr>
                <w:b/>
                <w:bCs/>
              </w:rPr>
              <w:t>redacted</w:t>
            </w:r>
          </w:p>
        </w:tc>
        <w:tc>
          <w:tcPr>
            <w:tcW w:w="0" w:type="dxa"/>
            <w:tcBorders>
              <w:top w:val="single" w:sz="4" w:space="0" w:color="auto"/>
              <w:right w:val="double" w:sz="4" w:space="0" w:color="auto"/>
            </w:tcBorders>
          </w:tcPr>
          <w:p w14:paraId="7F6B7562" w14:textId="66A4C689" w:rsidR="003E172D" w:rsidRPr="003E172D" w:rsidRDefault="003E172D" w:rsidP="003E172D">
            <w:pPr>
              <w:pStyle w:val="TableText"/>
              <w:keepNext/>
              <w:jc w:val="center"/>
            </w:pPr>
            <w:r w:rsidRPr="003E172D">
              <w:rPr>
                <w:b/>
                <w:bCs/>
              </w:rPr>
              <w:t>redacted</w:t>
            </w:r>
          </w:p>
        </w:tc>
        <w:tc>
          <w:tcPr>
            <w:tcW w:w="0" w:type="dxa"/>
            <w:tcBorders>
              <w:top w:val="single" w:sz="4" w:space="0" w:color="auto"/>
              <w:left w:val="double" w:sz="4" w:space="0" w:color="auto"/>
            </w:tcBorders>
            <w:noWrap/>
            <w:vAlign w:val="center"/>
            <w:hideMark/>
          </w:tcPr>
          <w:p w14:paraId="58833FF0" w14:textId="77777777" w:rsidR="003E172D" w:rsidRPr="002215B2" w:rsidRDefault="003E172D" w:rsidP="003E172D">
            <w:pPr>
              <w:pStyle w:val="TableText"/>
              <w:keepNext/>
              <w:jc w:val="center"/>
            </w:pPr>
            <w:r w:rsidRPr="002215B2">
              <w:t>0.52</w:t>
            </w:r>
          </w:p>
        </w:tc>
        <w:tc>
          <w:tcPr>
            <w:tcW w:w="0" w:type="dxa"/>
            <w:tcBorders>
              <w:top w:val="single" w:sz="4" w:space="0" w:color="auto"/>
            </w:tcBorders>
          </w:tcPr>
          <w:p w14:paraId="3E38C676" w14:textId="5A615899" w:rsidR="003E172D" w:rsidRPr="003E172D" w:rsidRDefault="003E172D" w:rsidP="003E172D">
            <w:pPr>
              <w:pStyle w:val="TableText"/>
              <w:keepNext/>
              <w:jc w:val="center"/>
            </w:pPr>
            <w:r w:rsidRPr="003E172D">
              <w:rPr>
                <w:b/>
                <w:bCs/>
              </w:rPr>
              <w:t>redacted</w:t>
            </w:r>
          </w:p>
        </w:tc>
        <w:tc>
          <w:tcPr>
            <w:tcW w:w="0" w:type="dxa"/>
            <w:tcBorders>
              <w:top w:val="single" w:sz="4" w:space="0" w:color="auto"/>
              <w:right w:val="double" w:sz="4" w:space="0" w:color="auto"/>
            </w:tcBorders>
          </w:tcPr>
          <w:p w14:paraId="23226267" w14:textId="6390D5D3" w:rsidR="003E172D" w:rsidRPr="003E172D" w:rsidRDefault="003E172D" w:rsidP="003E172D">
            <w:pPr>
              <w:pStyle w:val="TableText"/>
              <w:keepNext/>
              <w:jc w:val="center"/>
            </w:pPr>
            <w:r w:rsidRPr="003E172D">
              <w:rPr>
                <w:b/>
                <w:bCs/>
              </w:rPr>
              <w:t>redacted</w:t>
            </w:r>
          </w:p>
        </w:tc>
        <w:tc>
          <w:tcPr>
            <w:tcW w:w="0" w:type="dxa"/>
            <w:tcBorders>
              <w:top w:val="single" w:sz="4" w:space="0" w:color="auto"/>
              <w:left w:val="double" w:sz="4" w:space="0" w:color="auto"/>
            </w:tcBorders>
            <w:noWrap/>
            <w:vAlign w:val="center"/>
            <w:hideMark/>
          </w:tcPr>
          <w:p w14:paraId="7925D278" w14:textId="77777777" w:rsidR="003E172D" w:rsidRPr="002215B2" w:rsidRDefault="003E172D" w:rsidP="003E172D">
            <w:pPr>
              <w:pStyle w:val="TableText"/>
              <w:keepNext/>
              <w:jc w:val="center"/>
            </w:pPr>
            <w:r w:rsidRPr="002215B2">
              <w:t>0.15</w:t>
            </w:r>
          </w:p>
        </w:tc>
        <w:tc>
          <w:tcPr>
            <w:tcW w:w="0" w:type="dxa"/>
            <w:tcBorders>
              <w:top w:val="single" w:sz="4" w:space="0" w:color="auto"/>
            </w:tcBorders>
            <w:noWrap/>
            <w:hideMark/>
          </w:tcPr>
          <w:p w14:paraId="3B08499E" w14:textId="4667DD3D" w:rsidR="003E172D" w:rsidRPr="003E172D" w:rsidRDefault="6F108648" w:rsidP="003E172D">
            <w:pPr>
              <w:pStyle w:val="TableText"/>
              <w:keepNext/>
              <w:jc w:val="center"/>
            </w:pPr>
            <w:r w:rsidRPr="10812078">
              <w:rPr>
                <w:b/>
                <w:bCs/>
              </w:rPr>
              <w:t>redacted</w:t>
            </w:r>
            <w:r w:rsidR="401361C0" w:rsidRPr="10812078">
              <w:rPr>
                <w:rFonts w:ascii="Franklin Gothic Book" w:hAnsi="Franklin Gothic Book"/>
                <w:sz w:val="22"/>
                <w:szCs w:val="22"/>
              </w:rPr>
              <w:t>%</w:t>
            </w:r>
          </w:p>
        </w:tc>
      </w:tr>
      <w:tr w:rsidR="000000F9" w:rsidRPr="00102634" w14:paraId="424B3075" w14:textId="77777777" w:rsidTr="003E172D">
        <w:trPr>
          <w:trHeight w:val="20"/>
        </w:trPr>
        <w:tc>
          <w:tcPr>
            <w:tcW w:w="0" w:type="dxa"/>
            <w:tcBorders>
              <w:right w:val="double" w:sz="4" w:space="0" w:color="auto"/>
            </w:tcBorders>
            <w:noWrap/>
            <w:hideMark/>
          </w:tcPr>
          <w:p w14:paraId="521BCE36" w14:textId="77777777" w:rsidR="003E172D" w:rsidRPr="00102634" w:rsidRDefault="003E172D" w:rsidP="003E172D">
            <w:pPr>
              <w:pStyle w:val="TableText"/>
              <w:keepNext/>
            </w:pPr>
            <w:r w:rsidRPr="00102634">
              <w:t>PD</w:t>
            </w:r>
          </w:p>
        </w:tc>
        <w:tc>
          <w:tcPr>
            <w:tcW w:w="0" w:type="dxa"/>
            <w:tcBorders>
              <w:left w:val="double" w:sz="4" w:space="0" w:color="auto"/>
            </w:tcBorders>
            <w:noWrap/>
            <w:vAlign w:val="center"/>
            <w:hideMark/>
          </w:tcPr>
          <w:p w14:paraId="0FC2C6B6" w14:textId="77777777" w:rsidR="003E172D" w:rsidRPr="002215B2" w:rsidRDefault="003E172D" w:rsidP="003E172D">
            <w:pPr>
              <w:pStyle w:val="TableText"/>
              <w:keepNext/>
              <w:jc w:val="center"/>
            </w:pPr>
            <w:r w:rsidRPr="002215B2">
              <w:t>2.67</w:t>
            </w:r>
          </w:p>
        </w:tc>
        <w:tc>
          <w:tcPr>
            <w:tcW w:w="0" w:type="dxa"/>
          </w:tcPr>
          <w:p w14:paraId="3E4DE678" w14:textId="199F41FB" w:rsidR="003E172D" w:rsidRPr="003E172D" w:rsidRDefault="003E172D" w:rsidP="003E172D">
            <w:pPr>
              <w:pStyle w:val="TableText"/>
              <w:keepNext/>
              <w:jc w:val="center"/>
            </w:pPr>
            <w:r w:rsidRPr="003E172D">
              <w:rPr>
                <w:b/>
                <w:bCs/>
              </w:rPr>
              <w:t>redacted</w:t>
            </w:r>
          </w:p>
        </w:tc>
        <w:tc>
          <w:tcPr>
            <w:tcW w:w="0" w:type="dxa"/>
          </w:tcPr>
          <w:p w14:paraId="4D8F65D4" w14:textId="0DB30557" w:rsidR="003E172D" w:rsidRPr="003E172D" w:rsidRDefault="003E172D" w:rsidP="003E172D">
            <w:pPr>
              <w:pStyle w:val="TableText"/>
              <w:keepNext/>
              <w:jc w:val="center"/>
            </w:pPr>
            <w:r w:rsidRPr="003E172D">
              <w:rPr>
                <w:b/>
                <w:bCs/>
              </w:rPr>
              <w:t>redacted</w:t>
            </w:r>
          </w:p>
        </w:tc>
        <w:tc>
          <w:tcPr>
            <w:tcW w:w="0" w:type="dxa"/>
          </w:tcPr>
          <w:p w14:paraId="114266DC" w14:textId="27E09534" w:rsidR="003E172D" w:rsidRPr="003E172D" w:rsidRDefault="003E172D" w:rsidP="003E172D">
            <w:pPr>
              <w:pStyle w:val="TableText"/>
              <w:keepNext/>
              <w:jc w:val="center"/>
            </w:pPr>
            <w:r w:rsidRPr="003E172D">
              <w:rPr>
                <w:b/>
                <w:bCs/>
              </w:rPr>
              <w:t>redacted</w:t>
            </w:r>
          </w:p>
        </w:tc>
        <w:tc>
          <w:tcPr>
            <w:tcW w:w="0" w:type="dxa"/>
          </w:tcPr>
          <w:p w14:paraId="3B70CE87" w14:textId="6DC8A103" w:rsidR="003E172D" w:rsidRPr="003E172D" w:rsidRDefault="003E172D" w:rsidP="003E172D">
            <w:pPr>
              <w:pStyle w:val="TableText"/>
              <w:keepNext/>
              <w:jc w:val="center"/>
            </w:pPr>
            <w:r w:rsidRPr="003E172D">
              <w:rPr>
                <w:b/>
                <w:bCs/>
              </w:rPr>
              <w:t>redacted</w:t>
            </w:r>
          </w:p>
        </w:tc>
        <w:tc>
          <w:tcPr>
            <w:tcW w:w="0" w:type="dxa"/>
            <w:tcBorders>
              <w:right w:val="double" w:sz="4" w:space="0" w:color="auto"/>
            </w:tcBorders>
          </w:tcPr>
          <w:p w14:paraId="71AFEB41" w14:textId="44D5E7FA" w:rsidR="003E172D" w:rsidRPr="003E172D" w:rsidRDefault="003E172D" w:rsidP="003E172D">
            <w:pPr>
              <w:pStyle w:val="TableText"/>
              <w:keepNext/>
              <w:jc w:val="center"/>
            </w:pPr>
            <w:r w:rsidRPr="003E172D">
              <w:rPr>
                <w:b/>
                <w:bCs/>
              </w:rPr>
              <w:t>redacted</w:t>
            </w:r>
          </w:p>
        </w:tc>
        <w:tc>
          <w:tcPr>
            <w:tcW w:w="0" w:type="dxa"/>
            <w:tcBorders>
              <w:left w:val="double" w:sz="4" w:space="0" w:color="auto"/>
            </w:tcBorders>
            <w:noWrap/>
            <w:vAlign w:val="center"/>
            <w:hideMark/>
          </w:tcPr>
          <w:p w14:paraId="04E11121" w14:textId="77777777" w:rsidR="003E172D" w:rsidRPr="002215B2" w:rsidRDefault="003E172D" w:rsidP="003E172D">
            <w:pPr>
              <w:pStyle w:val="TableText"/>
              <w:keepNext/>
              <w:jc w:val="center"/>
            </w:pPr>
            <w:r w:rsidRPr="002215B2">
              <w:t>2.39</w:t>
            </w:r>
          </w:p>
        </w:tc>
        <w:tc>
          <w:tcPr>
            <w:tcW w:w="0" w:type="dxa"/>
          </w:tcPr>
          <w:p w14:paraId="495AE3D9" w14:textId="5D312D46" w:rsidR="003E172D" w:rsidRPr="003E172D" w:rsidRDefault="003E172D" w:rsidP="003E172D">
            <w:pPr>
              <w:pStyle w:val="TableText"/>
              <w:keepNext/>
              <w:jc w:val="center"/>
            </w:pPr>
            <w:r w:rsidRPr="003E172D">
              <w:rPr>
                <w:b/>
                <w:bCs/>
              </w:rPr>
              <w:t>redacted</w:t>
            </w:r>
          </w:p>
        </w:tc>
        <w:tc>
          <w:tcPr>
            <w:tcW w:w="0" w:type="dxa"/>
            <w:tcBorders>
              <w:right w:val="double" w:sz="4" w:space="0" w:color="auto"/>
            </w:tcBorders>
          </w:tcPr>
          <w:p w14:paraId="3EE3D2E6" w14:textId="42A2ACE6" w:rsidR="003E172D" w:rsidRPr="003E172D" w:rsidRDefault="003E172D" w:rsidP="003E172D">
            <w:pPr>
              <w:pStyle w:val="TableText"/>
              <w:keepNext/>
              <w:jc w:val="center"/>
            </w:pPr>
            <w:r w:rsidRPr="003E172D">
              <w:rPr>
                <w:b/>
                <w:bCs/>
              </w:rPr>
              <w:t>redacted</w:t>
            </w:r>
          </w:p>
        </w:tc>
        <w:tc>
          <w:tcPr>
            <w:tcW w:w="0" w:type="dxa"/>
            <w:tcBorders>
              <w:left w:val="double" w:sz="4" w:space="0" w:color="auto"/>
            </w:tcBorders>
            <w:noWrap/>
            <w:vAlign w:val="center"/>
            <w:hideMark/>
          </w:tcPr>
          <w:p w14:paraId="451E9DF1" w14:textId="77777777" w:rsidR="003E172D" w:rsidRPr="002215B2" w:rsidRDefault="003E172D" w:rsidP="003E172D">
            <w:pPr>
              <w:pStyle w:val="TableText"/>
              <w:keepNext/>
              <w:jc w:val="center"/>
            </w:pPr>
            <w:r w:rsidRPr="002215B2">
              <w:t>0.28</w:t>
            </w:r>
          </w:p>
        </w:tc>
        <w:tc>
          <w:tcPr>
            <w:tcW w:w="0" w:type="dxa"/>
            <w:noWrap/>
            <w:hideMark/>
          </w:tcPr>
          <w:p w14:paraId="429DFEF7" w14:textId="75CFBE8E" w:rsidR="003E172D" w:rsidRPr="003E172D" w:rsidRDefault="6F108648" w:rsidP="003E172D">
            <w:pPr>
              <w:pStyle w:val="TableText"/>
              <w:keepNext/>
              <w:jc w:val="center"/>
            </w:pPr>
            <w:r w:rsidRPr="10812078">
              <w:rPr>
                <w:b/>
                <w:bCs/>
              </w:rPr>
              <w:t>redacted</w:t>
            </w:r>
            <w:r w:rsidR="53D6AC62" w:rsidRPr="10812078">
              <w:rPr>
                <w:rFonts w:ascii="Franklin Gothic Book" w:hAnsi="Franklin Gothic Book"/>
                <w:sz w:val="22"/>
                <w:szCs w:val="22"/>
              </w:rPr>
              <w:t>%</w:t>
            </w:r>
          </w:p>
        </w:tc>
      </w:tr>
      <w:tr w:rsidR="000000F9" w:rsidRPr="00102634" w14:paraId="1CAE3D60" w14:textId="77777777" w:rsidTr="003E172D">
        <w:trPr>
          <w:trHeight w:val="20"/>
        </w:trPr>
        <w:tc>
          <w:tcPr>
            <w:tcW w:w="0" w:type="dxa"/>
            <w:tcBorders>
              <w:bottom w:val="single" w:sz="4" w:space="0" w:color="auto"/>
              <w:right w:val="double" w:sz="4" w:space="0" w:color="auto"/>
            </w:tcBorders>
            <w:noWrap/>
            <w:hideMark/>
          </w:tcPr>
          <w:p w14:paraId="598ED377" w14:textId="77777777" w:rsidR="003E172D" w:rsidRPr="00102634" w:rsidRDefault="003E172D" w:rsidP="003E172D">
            <w:pPr>
              <w:pStyle w:val="TableText"/>
              <w:keepNext/>
            </w:pPr>
            <w:r w:rsidRPr="00102634">
              <w:t xml:space="preserve">Total LYG </w:t>
            </w:r>
          </w:p>
        </w:tc>
        <w:tc>
          <w:tcPr>
            <w:tcW w:w="0" w:type="dxa"/>
            <w:tcBorders>
              <w:left w:val="double" w:sz="4" w:space="0" w:color="auto"/>
              <w:bottom w:val="single" w:sz="4" w:space="0" w:color="auto"/>
            </w:tcBorders>
            <w:noWrap/>
            <w:vAlign w:val="center"/>
            <w:hideMark/>
          </w:tcPr>
          <w:p w14:paraId="575369B3" w14:textId="77777777" w:rsidR="003E172D" w:rsidRPr="002215B2" w:rsidRDefault="003E172D" w:rsidP="003E172D">
            <w:pPr>
              <w:pStyle w:val="TableText"/>
              <w:keepNext/>
              <w:jc w:val="center"/>
              <w:rPr>
                <w:b/>
              </w:rPr>
            </w:pPr>
            <w:r w:rsidRPr="002215B2">
              <w:rPr>
                <w:b/>
              </w:rPr>
              <w:t>3.34</w:t>
            </w:r>
          </w:p>
        </w:tc>
        <w:tc>
          <w:tcPr>
            <w:tcW w:w="0" w:type="dxa"/>
            <w:tcBorders>
              <w:bottom w:val="single" w:sz="4" w:space="0" w:color="auto"/>
            </w:tcBorders>
          </w:tcPr>
          <w:p w14:paraId="360AE054" w14:textId="3DCE46F8" w:rsidR="003E172D" w:rsidRPr="003E172D" w:rsidRDefault="003E172D" w:rsidP="003E172D">
            <w:pPr>
              <w:pStyle w:val="TableText"/>
              <w:keepNext/>
              <w:jc w:val="center"/>
              <w:rPr>
                <w:b/>
                <w:bCs/>
              </w:rPr>
            </w:pPr>
            <w:r w:rsidRPr="003E172D">
              <w:rPr>
                <w:b/>
                <w:bCs/>
              </w:rPr>
              <w:t>redacted</w:t>
            </w:r>
          </w:p>
        </w:tc>
        <w:tc>
          <w:tcPr>
            <w:tcW w:w="0" w:type="dxa"/>
            <w:tcBorders>
              <w:bottom w:val="single" w:sz="4" w:space="0" w:color="auto"/>
            </w:tcBorders>
          </w:tcPr>
          <w:p w14:paraId="5A4CCA5C" w14:textId="2D857BD3" w:rsidR="003E172D" w:rsidRPr="003E172D" w:rsidRDefault="003E172D" w:rsidP="003E172D">
            <w:pPr>
              <w:pStyle w:val="TableText"/>
              <w:keepNext/>
              <w:jc w:val="center"/>
              <w:rPr>
                <w:b/>
                <w:bCs/>
              </w:rPr>
            </w:pPr>
            <w:r w:rsidRPr="003E172D">
              <w:rPr>
                <w:b/>
                <w:bCs/>
              </w:rPr>
              <w:t>redacted</w:t>
            </w:r>
          </w:p>
        </w:tc>
        <w:tc>
          <w:tcPr>
            <w:tcW w:w="0" w:type="dxa"/>
            <w:tcBorders>
              <w:bottom w:val="single" w:sz="4" w:space="0" w:color="auto"/>
            </w:tcBorders>
          </w:tcPr>
          <w:p w14:paraId="4EFC0F13" w14:textId="74EC1E6C" w:rsidR="003E172D" w:rsidRPr="003E172D" w:rsidRDefault="003E172D" w:rsidP="003E172D">
            <w:pPr>
              <w:pStyle w:val="TableText"/>
              <w:keepNext/>
              <w:jc w:val="center"/>
              <w:rPr>
                <w:b/>
                <w:bCs/>
              </w:rPr>
            </w:pPr>
            <w:r w:rsidRPr="003E172D">
              <w:rPr>
                <w:b/>
                <w:bCs/>
              </w:rPr>
              <w:t>redacted</w:t>
            </w:r>
          </w:p>
        </w:tc>
        <w:tc>
          <w:tcPr>
            <w:tcW w:w="0" w:type="dxa"/>
            <w:tcBorders>
              <w:bottom w:val="single" w:sz="4" w:space="0" w:color="auto"/>
            </w:tcBorders>
          </w:tcPr>
          <w:p w14:paraId="36DB3C12" w14:textId="21580E19" w:rsidR="003E172D" w:rsidRPr="003E172D" w:rsidRDefault="003E172D" w:rsidP="003E172D">
            <w:pPr>
              <w:pStyle w:val="TableText"/>
              <w:keepNext/>
              <w:jc w:val="center"/>
              <w:rPr>
                <w:b/>
                <w:bCs/>
              </w:rPr>
            </w:pPr>
            <w:r w:rsidRPr="003E172D">
              <w:rPr>
                <w:b/>
                <w:bCs/>
              </w:rPr>
              <w:t>redacted</w:t>
            </w:r>
          </w:p>
        </w:tc>
        <w:tc>
          <w:tcPr>
            <w:tcW w:w="0" w:type="dxa"/>
            <w:tcBorders>
              <w:bottom w:val="single" w:sz="4" w:space="0" w:color="auto"/>
              <w:right w:val="double" w:sz="4" w:space="0" w:color="auto"/>
            </w:tcBorders>
          </w:tcPr>
          <w:p w14:paraId="139C5529" w14:textId="4A21881C" w:rsidR="003E172D" w:rsidRPr="003E172D" w:rsidRDefault="003E172D" w:rsidP="003E172D">
            <w:pPr>
              <w:pStyle w:val="TableText"/>
              <w:keepNext/>
              <w:jc w:val="center"/>
              <w:rPr>
                <w:b/>
                <w:bCs/>
              </w:rPr>
            </w:pPr>
            <w:r w:rsidRPr="003E172D">
              <w:rPr>
                <w:b/>
                <w:bCs/>
              </w:rPr>
              <w:t>redacted</w:t>
            </w:r>
          </w:p>
        </w:tc>
        <w:tc>
          <w:tcPr>
            <w:tcW w:w="0" w:type="dxa"/>
            <w:tcBorders>
              <w:left w:val="double" w:sz="4" w:space="0" w:color="auto"/>
              <w:bottom w:val="single" w:sz="4" w:space="0" w:color="auto"/>
            </w:tcBorders>
            <w:noWrap/>
            <w:vAlign w:val="center"/>
            <w:hideMark/>
          </w:tcPr>
          <w:p w14:paraId="6F7BB878" w14:textId="77777777" w:rsidR="003E172D" w:rsidRPr="002215B2" w:rsidRDefault="003E172D" w:rsidP="003E172D">
            <w:pPr>
              <w:pStyle w:val="TableText"/>
              <w:keepNext/>
              <w:jc w:val="center"/>
              <w:rPr>
                <w:b/>
              </w:rPr>
            </w:pPr>
            <w:r w:rsidRPr="002215B2">
              <w:rPr>
                <w:b/>
              </w:rPr>
              <w:t>2.91</w:t>
            </w:r>
          </w:p>
        </w:tc>
        <w:tc>
          <w:tcPr>
            <w:tcW w:w="0" w:type="dxa"/>
            <w:tcBorders>
              <w:bottom w:val="single" w:sz="4" w:space="0" w:color="auto"/>
            </w:tcBorders>
          </w:tcPr>
          <w:p w14:paraId="7860C4BB" w14:textId="036F6867" w:rsidR="003E172D" w:rsidRPr="003E172D" w:rsidRDefault="003E172D" w:rsidP="003E172D">
            <w:pPr>
              <w:pStyle w:val="TableText"/>
              <w:keepNext/>
              <w:jc w:val="center"/>
              <w:rPr>
                <w:b/>
                <w:bCs/>
              </w:rPr>
            </w:pPr>
            <w:r w:rsidRPr="003E172D">
              <w:rPr>
                <w:b/>
                <w:bCs/>
              </w:rPr>
              <w:t>redacted</w:t>
            </w:r>
          </w:p>
        </w:tc>
        <w:tc>
          <w:tcPr>
            <w:tcW w:w="0" w:type="dxa"/>
            <w:tcBorders>
              <w:bottom w:val="single" w:sz="4" w:space="0" w:color="auto"/>
              <w:right w:val="double" w:sz="4" w:space="0" w:color="auto"/>
            </w:tcBorders>
          </w:tcPr>
          <w:p w14:paraId="336844ED" w14:textId="6404DCCE" w:rsidR="003E172D" w:rsidRPr="003E172D" w:rsidRDefault="003E172D" w:rsidP="003E172D">
            <w:pPr>
              <w:pStyle w:val="TableText"/>
              <w:keepNext/>
              <w:jc w:val="center"/>
              <w:rPr>
                <w:b/>
                <w:bCs/>
              </w:rPr>
            </w:pPr>
            <w:r w:rsidRPr="003E172D">
              <w:rPr>
                <w:b/>
                <w:bCs/>
              </w:rPr>
              <w:t>redacted</w:t>
            </w:r>
          </w:p>
        </w:tc>
        <w:tc>
          <w:tcPr>
            <w:tcW w:w="0" w:type="dxa"/>
            <w:tcBorders>
              <w:left w:val="double" w:sz="4" w:space="0" w:color="auto"/>
              <w:bottom w:val="single" w:sz="4" w:space="0" w:color="auto"/>
            </w:tcBorders>
            <w:noWrap/>
            <w:vAlign w:val="center"/>
            <w:hideMark/>
          </w:tcPr>
          <w:p w14:paraId="42290FD7" w14:textId="77777777" w:rsidR="003E172D" w:rsidRPr="002215B2" w:rsidRDefault="003E172D" w:rsidP="003E172D">
            <w:pPr>
              <w:pStyle w:val="TableText"/>
              <w:keepNext/>
              <w:jc w:val="center"/>
              <w:rPr>
                <w:b/>
              </w:rPr>
            </w:pPr>
            <w:r w:rsidRPr="002215B2">
              <w:rPr>
                <w:b/>
              </w:rPr>
              <w:t>0.43</w:t>
            </w:r>
          </w:p>
        </w:tc>
        <w:tc>
          <w:tcPr>
            <w:tcW w:w="0" w:type="dxa"/>
            <w:tcBorders>
              <w:bottom w:val="single" w:sz="4" w:space="0" w:color="auto"/>
            </w:tcBorders>
            <w:noWrap/>
            <w:hideMark/>
          </w:tcPr>
          <w:p w14:paraId="3C51797B" w14:textId="5A683003" w:rsidR="003E172D" w:rsidRPr="003E172D" w:rsidRDefault="6F108648" w:rsidP="003E172D">
            <w:pPr>
              <w:pStyle w:val="TableText"/>
              <w:keepNext/>
              <w:jc w:val="center"/>
              <w:rPr>
                <w:b/>
                <w:bCs/>
              </w:rPr>
            </w:pPr>
            <w:r w:rsidRPr="10812078">
              <w:rPr>
                <w:b/>
                <w:bCs/>
              </w:rPr>
              <w:t>redacted</w:t>
            </w:r>
            <w:r w:rsidR="26EB7799" w:rsidRPr="10812078">
              <w:rPr>
                <w:rFonts w:ascii="Franklin Gothic Book" w:hAnsi="Franklin Gothic Book"/>
                <w:sz w:val="22"/>
                <w:szCs w:val="22"/>
              </w:rPr>
              <w:t>%</w:t>
            </w:r>
          </w:p>
        </w:tc>
      </w:tr>
      <w:tr w:rsidR="00996DE6" w:rsidRPr="00102634" w14:paraId="33616794" w14:textId="77777777">
        <w:trPr>
          <w:trHeight w:val="20"/>
        </w:trPr>
        <w:tc>
          <w:tcPr>
            <w:tcW w:w="1022" w:type="dxa"/>
            <w:tcBorders>
              <w:top w:val="single" w:sz="4" w:space="0" w:color="auto"/>
              <w:left w:val="single" w:sz="4" w:space="0" w:color="auto"/>
              <w:bottom w:val="single" w:sz="4" w:space="0" w:color="auto"/>
              <w:right w:val="double" w:sz="4" w:space="0" w:color="auto"/>
            </w:tcBorders>
            <w:noWrap/>
          </w:tcPr>
          <w:p w14:paraId="63754F9C" w14:textId="77777777" w:rsidR="005D6D39" w:rsidRPr="00102634" w:rsidRDefault="005D6D39" w:rsidP="00FB40BB">
            <w:pPr>
              <w:pStyle w:val="TableText"/>
              <w:keepNext/>
              <w:rPr>
                <w:b/>
                <w:bCs/>
              </w:rPr>
            </w:pPr>
            <w:r w:rsidRPr="00102634">
              <w:rPr>
                <w:b/>
                <w:bCs/>
              </w:rPr>
              <w:t>QALY gained</w:t>
            </w:r>
          </w:p>
        </w:tc>
        <w:tc>
          <w:tcPr>
            <w:tcW w:w="759" w:type="dxa"/>
            <w:tcBorders>
              <w:top w:val="single" w:sz="4" w:space="0" w:color="auto"/>
              <w:left w:val="double" w:sz="4" w:space="0" w:color="auto"/>
              <w:bottom w:val="single" w:sz="4" w:space="0" w:color="auto"/>
              <w:right w:val="nil"/>
            </w:tcBorders>
            <w:noWrap/>
            <w:vAlign w:val="center"/>
          </w:tcPr>
          <w:p w14:paraId="267BF54E" w14:textId="77777777" w:rsidR="005D6D39" w:rsidRPr="0006231C" w:rsidRDefault="005D6D39" w:rsidP="00FB40BB">
            <w:pPr>
              <w:pStyle w:val="TableText"/>
              <w:keepNext/>
              <w:jc w:val="center"/>
            </w:pPr>
          </w:p>
        </w:tc>
        <w:tc>
          <w:tcPr>
            <w:tcW w:w="760" w:type="dxa"/>
            <w:tcBorders>
              <w:top w:val="single" w:sz="4" w:space="0" w:color="auto"/>
              <w:left w:val="nil"/>
              <w:bottom w:val="single" w:sz="4" w:space="0" w:color="auto"/>
              <w:right w:val="nil"/>
            </w:tcBorders>
            <w:vAlign w:val="center"/>
          </w:tcPr>
          <w:p w14:paraId="7C7E7ECF" w14:textId="77777777" w:rsidR="005D6D39" w:rsidRPr="003E172D" w:rsidRDefault="005D6D39" w:rsidP="00FB40BB">
            <w:pPr>
              <w:pStyle w:val="TableText"/>
              <w:keepNext/>
              <w:jc w:val="center"/>
            </w:pPr>
          </w:p>
        </w:tc>
        <w:tc>
          <w:tcPr>
            <w:tcW w:w="759" w:type="dxa"/>
            <w:tcBorders>
              <w:top w:val="single" w:sz="4" w:space="0" w:color="auto"/>
              <w:left w:val="nil"/>
              <w:bottom w:val="single" w:sz="4" w:space="0" w:color="auto"/>
              <w:right w:val="nil"/>
            </w:tcBorders>
            <w:vAlign w:val="center"/>
          </w:tcPr>
          <w:p w14:paraId="1BD3C45C" w14:textId="77777777" w:rsidR="005D6D39" w:rsidRPr="003E172D" w:rsidRDefault="005D6D39" w:rsidP="00FB40BB">
            <w:pPr>
              <w:pStyle w:val="TableText"/>
              <w:keepNext/>
              <w:jc w:val="center"/>
            </w:pPr>
          </w:p>
        </w:tc>
        <w:tc>
          <w:tcPr>
            <w:tcW w:w="760" w:type="dxa"/>
            <w:tcBorders>
              <w:top w:val="single" w:sz="4" w:space="0" w:color="auto"/>
              <w:left w:val="nil"/>
              <w:bottom w:val="single" w:sz="4" w:space="0" w:color="auto"/>
              <w:right w:val="nil"/>
            </w:tcBorders>
          </w:tcPr>
          <w:p w14:paraId="2620CC53" w14:textId="77777777" w:rsidR="005D6D39" w:rsidRPr="003E172D" w:rsidRDefault="005D6D39" w:rsidP="00FB40BB">
            <w:pPr>
              <w:pStyle w:val="TableText"/>
              <w:keepNext/>
              <w:jc w:val="center"/>
            </w:pPr>
          </w:p>
        </w:tc>
        <w:tc>
          <w:tcPr>
            <w:tcW w:w="759" w:type="dxa"/>
            <w:tcBorders>
              <w:top w:val="single" w:sz="4" w:space="0" w:color="auto"/>
              <w:left w:val="nil"/>
              <w:bottom w:val="single" w:sz="4" w:space="0" w:color="auto"/>
              <w:right w:val="nil"/>
            </w:tcBorders>
          </w:tcPr>
          <w:p w14:paraId="534B49E4" w14:textId="77777777" w:rsidR="005D6D39" w:rsidRPr="003E172D" w:rsidRDefault="005D6D39" w:rsidP="00FB40BB">
            <w:pPr>
              <w:pStyle w:val="TableText"/>
              <w:keepNext/>
              <w:jc w:val="center"/>
            </w:pPr>
          </w:p>
        </w:tc>
        <w:tc>
          <w:tcPr>
            <w:tcW w:w="760" w:type="dxa"/>
            <w:tcBorders>
              <w:top w:val="single" w:sz="4" w:space="0" w:color="auto"/>
              <w:left w:val="nil"/>
              <w:bottom w:val="single" w:sz="4" w:space="0" w:color="auto"/>
              <w:right w:val="double" w:sz="4" w:space="0" w:color="auto"/>
            </w:tcBorders>
            <w:vAlign w:val="center"/>
          </w:tcPr>
          <w:p w14:paraId="0A5EA372" w14:textId="77777777" w:rsidR="005D6D39" w:rsidRPr="003E172D" w:rsidRDefault="005D6D39" w:rsidP="00FB40BB">
            <w:pPr>
              <w:pStyle w:val="TableText"/>
              <w:keepNext/>
              <w:jc w:val="center"/>
            </w:pPr>
          </w:p>
        </w:tc>
        <w:tc>
          <w:tcPr>
            <w:tcW w:w="795" w:type="dxa"/>
            <w:tcBorders>
              <w:top w:val="single" w:sz="4" w:space="0" w:color="auto"/>
              <w:left w:val="double" w:sz="4" w:space="0" w:color="auto"/>
              <w:bottom w:val="single" w:sz="4" w:space="0" w:color="auto"/>
              <w:right w:val="nil"/>
            </w:tcBorders>
            <w:noWrap/>
            <w:vAlign w:val="center"/>
          </w:tcPr>
          <w:p w14:paraId="6BB10A4D" w14:textId="77777777" w:rsidR="005D6D39" w:rsidRPr="0006231C" w:rsidRDefault="005D6D39" w:rsidP="00FB40BB">
            <w:pPr>
              <w:pStyle w:val="TableText"/>
              <w:keepNext/>
              <w:jc w:val="center"/>
            </w:pPr>
          </w:p>
        </w:tc>
        <w:tc>
          <w:tcPr>
            <w:tcW w:w="709" w:type="dxa"/>
            <w:tcBorders>
              <w:top w:val="single" w:sz="4" w:space="0" w:color="auto"/>
              <w:left w:val="nil"/>
              <w:bottom w:val="single" w:sz="4" w:space="0" w:color="auto"/>
              <w:right w:val="nil"/>
            </w:tcBorders>
            <w:vAlign w:val="center"/>
          </w:tcPr>
          <w:p w14:paraId="01E52D87" w14:textId="77777777" w:rsidR="005D6D39" w:rsidRPr="003E172D" w:rsidRDefault="005D6D39" w:rsidP="00FB40BB">
            <w:pPr>
              <w:pStyle w:val="TableText"/>
              <w:keepNext/>
              <w:jc w:val="center"/>
            </w:pPr>
          </w:p>
        </w:tc>
        <w:tc>
          <w:tcPr>
            <w:tcW w:w="709" w:type="dxa"/>
            <w:tcBorders>
              <w:top w:val="single" w:sz="4" w:space="0" w:color="auto"/>
              <w:left w:val="nil"/>
              <w:bottom w:val="single" w:sz="4" w:space="0" w:color="auto"/>
              <w:right w:val="double" w:sz="4" w:space="0" w:color="auto"/>
            </w:tcBorders>
            <w:vAlign w:val="center"/>
          </w:tcPr>
          <w:p w14:paraId="501049C4" w14:textId="77777777" w:rsidR="005D6D39" w:rsidRPr="003E172D" w:rsidRDefault="005D6D39" w:rsidP="00FB40BB">
            <w:pPr>
              <w:pStyle w:val="TableText"/>
              <w:keepNext/>
              <w:jc w:val="center"/>
            </w:pPr>
          </w:p>
        </w:tc>
        <w:tc>
          <w:tcPr>
            <w:tcW w:w="708" w:type="dxa"/>
            <w:tcBorders>
              <w:top w:val="single" w:sz="4" w:space="0" w:color="auto"/>
              <w:left w:val="double" w:sz="4" w:space="0" w:color="auto"/>
              <w:bottom w:val="single" w:sz="4" w:space="0" w:color="auto"/>
              <w:right w:val="nil"/>
            </w:tcBorders>
            <w:noWrap/>
            <w:vAlign w:val="center"/>
          </w:tcPr>
          <w:p w14:paraId="1BEAC71D" w14:textId="77777777" w:rsidR="005D6D39" w:rsidRPr="0006231C" w:rsidRDefault="005D6D39" w:rsidP="00FB40BB">
            <w:pPr>
              <w:pStyle w:val="TableText"/>
              <w:keepNext/>
              <w:jc w:val="center"/>
            </w:pPr>
          </w:p>
        </w:tc>
        <w:tc>
          <w:tcPr>
            <w:tcW w:w="516" w:type="dxa"/>
            <w:tcBorders>
              <w:top w:val="single" w:sz="4" w:space="0" w:color="auto"/>
              <w:left w:val="nil"/>
              <w:bottom w:val="single" w:sz="4" w:space="0" w:color="auto"/>
              <w:right w:val="single" w:sz="4" w:space="0" w:color="auto"/>
            </w:tcBorders>
            <w:noWrap/>
            <w:vAlign w:val="center"/>
          </w:tcPr>
          <w:p w14:paraId="18E56506" w14:textId="77777777" w:rsidR="005D6D39" w:rsidRPr="003E172D" w:rsidRDefault="005D6D39" w:rsidP="00FB40BB">
            <w:pPr>
              <w:pStyle w:val="TableText"/>
              <w:keepNext/>
              <w:jc w:val="center"/>
            </w:pPr>
          </w:p>
        </w:tc>
      </w:tr>
      <w:tr w:rsidR="000000F9" w:rsidRPr="00102634" w14:paraId="2CA75DD2" w14:textId="77777777" w:rsidTr="003E172D">
        <w:trPr>
          <w:trHeight w:val="20"/>
        </w:trPr>
        <w:tc>
          <w:tcPr>
            <w:tcW w:w="0" w:type="dxa"/>
            <w:tcBorders>
              <w:top w:val="single" w:sz="4" w:space="0" w:color="auto"/>
              <w:right w:val="double" w:sz="4" w:space="0" w:color="auto"/>
            </w:tcBorders>
            <w:noWrap/>
            <w:hideMark/>
          </w:tcPr>
          <w:p w14:paraId="3ACF6EC9" w14:textId="77777777" w:rsidR="003E172D" w:rsidRPr="00102634" w:rsidRDefault="003E172D" w:rsidP="003E172D">
            <w:pPr>
              <w:pStyle w:val="TableText"/>
              <w:keepNext/>
            </w:pPr>
            <w:r w:rsidRPr="00102634">
              <w:t>PF</w:t>
            </w:r>
          </w:p>
        </w:tc>
        <w:tc>
          <w:tcPr>
            <w:tcW w:w="0" w:type="dxa"/>
            <w:tcBorders>
              <w:top w:val="single" w:sz="4" w:space="0" w:color="auto"/>
              <w:left w:val="double" w:sz="4" w:space="0" w:color="auto"/>
            </w:tcBorders>
            <w:noWrap/>
            <w:vAlign w:val="center"/>
            <w:hideMark/>
          </w:tcPr>
          <w:p w14:paraId="42D9DC94" w14:textId="77777777" w:rsidR="003E172D" w:rsidRPr="0006231C" w:rsidRDefault="003E172D" w:rsidP="003E172D">
            <w:pPr>
              <w:pStyle w:val="TableText"/>
              <w:keepNext/>
              <w:jc w:val="center"/>
            </w:pPr>
            <w:r w:rsidRPr="0006231C">
              <w:t>0.53</w:t>
            </w:r>
          </w:p>
        </w:tc>
        <w:tc>
          <w:tcPr>
            <w:tcW w:w="0" w:type="dxa"/>
            <w:tcBorders>
              <w:top w:val="single" w:sz="4" w:space="0" w:color="auto"/>
            </w:tcBorders>
          </w:tcPr>
          <w:p w14:paraId="3AEFDF26" w14:textId="25A422F9"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1F50964A" w14:textId="24DE7CBB"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71A2546B" w14:textId="0663D659" w:rsidR="003E172D" w:rsidRPr="003E172D" w:rsidRDefault="003E172D" w:rsidP="003E172D">
            <w:pPr>
              <w:pStyle w:val="TableText"/>
              <w:keepNext/>
              <w:jc w:val="center"/>
            </w:pPr>
            <w:r w:rsidRPr="003E172D">
              <w:rPr>
                <w:b/>
                <w:bCs/>
              </w:rPr>
              <w:t>redacted</w:t>
            </w:r>
          </w:p>
        </w:tc>
        <w:tc>
          <w:tcPr>
            <w:tcW w:w="0" w:type="dxa"/>
            <w:tcBorders>
              <w:top w:val="single" w:sz="4" w:space="0" w:color="auto"/>
            </w:tcBorders>
          </w:tcPr>
          <w:p w14:paraId="7B8D8E45" w14:textId="3F22C197" w:rsidR="003E172D" w:rsidRPr="003E172D" w:rsidRDefault="003E172D" w:rsidP="003E172D">
            <w:pPr>
              <w:pStyle w:val="TableText"/>
              <w:keepNext/>
              <w:jc w:val="center"/>
            </w:pPr>
            <w:r w:rsidRPr="003E172D">
              <w:rPr>
                <w:b/>
                <w:bCs/>
              </w:rPr>
              <w:t>redacted</w:t>
            </w:r>
          </w:p>
        </w:tc>
        <w:tc>
          <w:tcPr>
            <w:tcW w:w="0" w:type="dxa"/>
            <w:tcBorders>
              <w:top w:val="single" w:sz="4" w:space="0" w:color="auto"/>
              <w:right w:val="double" w:sz="4" w:space="0" w:color="auto"/>
            </w:tcBorders>
          </w:tcPr>
          <w:p w14:paraId="0097E196" w14:textId="33698C9B" w:rsidR="003E172D" w:rsidRPr="003E172D" w:rsidRDefault="003E172D" w:rsidP="003E172D">
            <w:pPr>
              <w:pStyle w:val="TableText"/>
              <w:keepNext/>
              <w:jc w:val="center"/>
            </w:pPr>
            <w:r w:rsidRPr="003E172D">
              <w:rPr>
                <w:b/>
                <w:bCs/>
              </w:rPr>
              <w:t>redacted</w:t>
            </w:r>
          </w:p>
        </w:tc>
        <w:tc>
          <w:tcPr>
            <w:tcW w:w="0" w:type="dxa"/>
            <w:tcBorders>
              <w:top w:val="single" w:sz="4" w:space="0" w:color="auto"/>
              <w:left w:val="double" w:sz="4" w:space="0" w:color="auto"/>
            </w:tcBorders>
            <w:noWrap/>
            <w:vAlign w:val="center"/>
            <w:hideMark/>
          </w:tcPr>
          <w:p w14:paraId="5DB5D5FD" w14:textId="77777777" w:rsidR="003E172D" w:rsidRPr="0006231C" w:rsidRDefault="003E172D" w:rsidP="003E172D">
            <w:pPr>
              <w:pStyle w:val="TableText"/>
              <w:keepNext/>
              <w:jc w:val="center"/>
            </w:pPr>
            <w:r w:rsidRPr="0006231C">
              <w:t>0.41</w:t>
            </w:r>
          </w:p>
        </w:tc>
        <w:tc>
          <w:tcPr>
            <w:tcW w:w="0" w:type="dxa"/>
            <w:tcBorders>
              <w:top w:val="single" w:sz="4" w:space="0" w:color="auto"/>
            </w:tcBorders>
          </w:tcPr>
          <w:p w14:paraId="23DF21FB" w14:textId="7343EC79" w:rsidR="003E172D" w:rsidRPr="003E172D" w:rsidRDefault="003E172D" w:rsidP="003E172D">
            <w:pPr>
              <w:pStyle w:val="TableText"/>
              <w:keepNext/>
              <w:jc w:val="center"/>
            </w:pPr>
            <w:r w:rsidRPr="003E172D">
              <w:rPr>
                <w:b/>
                <w:bCs/>
              </w:rPr>
              <w:t>redacted</w:t>
            </w:r>
          </w:p>
        </w:tc>
        <w:tc>
          <w:tcPr>
            <w:tcW w:w="0" w:type="dxa"/>
            <w:tcBorders>
              <w:top w:val="single" w:sz="4" w:space="0" w:color="auto"/>
              <w:right w:val="double" w:sz="4" w:space="0" w:color="auto"/>
            </w:tcBorders>
          </w:tcPr>
          <w:p w14:paraId="42275BAC" w14:textId="0FD3D9D1" w:rsidR="003E172D" w:rsidRPr="003E172D" w:rsidRDefault="003E172D" w:rsidP="003E172D">
            <w:pPr>
              <w:pStyle w:val="TableText"/>
              <w:keepNext/>
              <w:jc w:val="center"/>
            </w:pPr>
            <w:r w:rsidRPr="003E172D">
              <w:rPr>
                <w:b/>
                <w:bCs/>
              </w:rPr>
              <w:t>redacted</w:t>
            </w:r>
          </w:p>
        </w:tc>
        <w:tc>
          <w:tcPr>
            <w:tcW w:w="0" w:type="dxa"/>
            <w:tcBorders>
              <w:top w:val="single" w:sz="4" w:space="0" w:color="auto"/>
              <w:left w:val="double" w:sz="4" w:space="0" w:color="auto"/>
            </w:tcBorders>
            <w:noWrap/>
            <w:vAlign w:val="center"/>
            <w:hideMark/>
          </w:tcPr>
          <w:p w14:paraId="7AF4A5E1" w14:textId="77777777" w:rsidR="003E172D" w:rsidRPr="0006231C" w:rsidRDefault="003E172D" w:rsidP="003E172D">
            <w:pPr>
              <w:pStyle w:val="TableText"/>
              <w:keepNext/>
              <w:jc w:val="center"/>
            </w:pPr>
            <w:r w:rsidRPr="0006231C">
              <w:t>0.12</w:t>
            </w:r>
          </w:p>
        </w:tc>
        <w:tc>
          <w:tcPr>
            <w:tcW w:w="0" w:type="dxa"/>
            <w:tcBorders>
              <w:top w:val="single" w:sz="4" w:space="0" w:color="auto"/>
            </w:tcBorders>
            <w:noWrap/>
            <w:hideMark/>
          </w:tcPr>
          <w:p w14:paraId="168CA51F" w14:textId="4D57E424" w:rsidR="003E172D" w:rsidRPr="003E172D" w:rsidRDefault="6F108648" w:rsidP="003E172D">
            <w:pPr>
              <w:pStyle w:val="TableText"/>
              <w:keepNext/>
              <w:jc w:val="center"/>
            </w:pPr>
            <w:r w:rsidRPr="10812078">
              <w:rPr>
                <w:b/>
                <w:bCs/>
              </w:rPr>
              <w:t>redacted</w:t>
            </w:r>
            <w:r w:rsidR="2F5CA2D6" w:rsidRPr="10812078">
              <w:rPr>
                <w:rFonts w:ascii="Franklin Gothic Book" w:hAnsi="Franklin Gothic Book"/>
                <w:sz w:val="22"/>
                <w:szCs w:val="22"/>
              </w:rPr>
              <w:t>%</w:t>
            </w:r>
          </w:p>
        </w:tc>
      </w:tr>
      <w:tr w:rsidR="000000F9" w:rsidRPr="00102634" w14:paraId="0B1AEAD2" w14:textId="77777777" w:rsidTr="003E172D">
        <w:trPr>
          <w:trHeight w:val="20"/>
        </w:trPr>
        <w:tc>
          <w:tcPr>
            <w:tcW w:w="0" w:type="dxa"/>
            <w:tcBorders>
              <w:right w:val="double" w:sz="4" w:space="0" w:color="auto"/>
            </w:tcBorders>
            <w:noWrap/>
            <w:hideMark/>
          </w:tcPr>
          <w:p w14:paraId="2BC706AD" w14:textId="77777777" w:rsidR="003E172D" w:rsidRPr="00102634" w:rsidRDefault="003E172D" w:rsidP="003E172D">
            <w:pPr>
              <w:pStyle w:val="TableText"/>
              <w:keepNext/>
            </w:pPr>
            <w:r w:rsidRPr="00102634">
              <w:t>PD</w:t>
            </w:r>
          </w:p>
        </w:tc>
        <w:tc>
          <w:tcPr>
            <w:tcW w:w="0" w:type="dxa"/>
            <w:tcBorders>
              <w:left w:val="double" w:sz="4" w:space="0" w:color="auto"/>
            </w:tcBorders>
            <w:noWrap/>
            <w:vAlign w:val="center"/>
            <w:hideMark/>
          </w:tcPr>
          <w:p w14:paraId="0D57D5F8" w14:textId="77777777" w:rsidR="003E172D" w:rsidRPr="0006231C" w:rsidRDefault="003E172D" w:rsidP="003E172D">
            <w:pPr>
              <w:pStyle w:val="TableText"/>
              <w:keepNext/>
              <w:jc w:val="center"/>
            </w:pPr>
            <w:r w:rsidRPr="0006231C">
              <w:t>1.66</w:t>
            </w:r>
          </w:p>
        </w:tc>
        <w:tc>
          <w:tcPr>
            <w:tcW w:w="0" w:type="dxa"/>
          </w:tcPr>
          <w:p w14:paraId="7DB84AA1" w14:textId="3FD82247" w:rsidR="003E172D" w:rsidRPr="003E172D" w:rsidRDefault="003E172D" w:rsidP="003E172D">
            <w:pPr>
              <w:pStyle w:val="TableText"/>
              <w:keepNext/>
              <w:jc w:val="center"/>
            </w:pPr>
            <w:r w:rsidRPr="003E172D">
              <w:rPr>
                <w:b/>
                <w:bCs/>
              </w:rPr>
              <w:t>redacted</w:t>
            </w:r>
          </w:p>
        </w:tc>
        <w:tc>
          <w:tcPr>
            <w:tcW w:w="0" w:type="dxa"/>
          </w:tcPr>
          <w:p w14:paraId="221403E4" w14:textId="61A7D888" w:rsidR="003E172D" w:rsidRPr="003E172D" w:rsidRDefault="003E172D" w:rsidP="003E172D">
            <w:pPr>
              <w:pStyle w:val="TableText"/>
              <w:keepNext/>
              <w:jc w:val="center"/>
            </w:pPr>
            <w:r w:rsidRPr="003E172D">
              <w:rPr>
                <w:b/>
                <w:bCs/>
              </w:rPr>
              <w:t>redacted</w:t>
            </w:r>
          </w:p>
        </w:tc>
        <w:tc>
          <w:tcPr>
            <w:tcW w:w="0" w:type="dxa"/>
          </w:tcPr>
          <w:p w14:paraId="74E60FFA" w14:textId="7F2AB1F8" w:rsidR="003E172D" w:rsidRPr="003E172D" w:rsidRDefault="003E172D" w:rsidP="003E172D">
            <w:pPr>
              <w:pStyle w:val="TableText"/>
              <w:keepNext/>
              <w:jc w:val="center"/>
            </w:pPr>
            <w:r w:rsidRPr="003E172D">
              <w:rPr>
                <w:b/>
                <w:bCs/>
              </w:rPr>
              <w:t>redacted</w:t>
            </w:r>
          </w:p>
        </w:tc>
        <w:tc>
          <w:tcPr>
            <w:tcW w:w="0" w:type="dxa"/>
          </w:tcPr>
          <w:p w14:paraId="38FFD4F8" w14:textId="23FA6BC2" w:rsidR="003E172D" w:rsidRPr="003E172D" w:rsidRDefault="003E172D" w:rsidP="003E172D">
            <w:pPr>
              <w:pStyle w:val="TableText"/>
              <w:keepNext/>
              <w:jc w:val="center"/>
            </w:pPr>
            <w:r w:rsidRPr="003E172D">
              <w:rPr>
                <w:b/>
                <w:bCs/>
              </w:rPr>
              <w:t>redacted</w:t>
            </w:r>
          </w:p>
        </w:tc>
        <w:tc>
          <w:tcPr>
            <w:tcW w:w="0" w:type="dxa"/>
            <w:tcBorders>
              <w:right w:val="double" w:sz="4" w:space="0" w:color="auto"/>
            </w:tcBorders>
          </w:tcPr>
          <w:p w14:paraId="4999FE57" w14:textId="5904C445" w:rsidR="003E172D" w:rsidRPr="003E172D" w:rsidRDefault="003E172D" w:rsidP="003E172D">
            <w:pPr>
              <w:pStyle w:val="TableText"/>
              <w:keepNext/>
              <w:jc w:val="center"/>
            </w:pPr>
            <w:r w:rsidRPr="003E172D">
              <w:rPr>
                <w:b/>
                <w:bCs/>
              </w:rPr>
              <w:t>redacted</w:t>
            </w:r>
          </w:p>
        </w:tc>
        <w:tc>
          <w:tcPr>
            <w:tcW w:w="0" w:type="dxa"/>
            <w:tcBorders>
              <w:left w:val="double" w:sz="4" w:space="0" w:color="auto"/>
            </w:tcBorders>
            <w:noWrap/>
            <w:vAlign w:val="center"/>
            <w:hideMark/>
          </w:tcPr>
          <w:p w14:paraId="33BF3E0D" w14:textId="77777777" w:rsidR="003E172D" w:rsidRPr="0006231C" w:rsidRDefault="003E172D" w:rsidP="003E172D">
            <w:pPr>
              <w:pStyle w:val="TableText"/>
              <w:keepNext/>
              <w:jc w:val="center"/>
            </w:pPr>
            <w:r w:rsidRPr="0006231C">
              <w:t>1.49</w:t>
            </w:r>
          </w:p>
        </w:tc>
        <w:tc>
          <w:tcPr>
            <w:tcW w:w="0" w:type="dxa"/>
          </w:tcPr>
          <w:p w14:paraId="4ABC4885" w14:textId="26EA8042" w:rsidR="003E172D" w:rsidRPr="003E172D" w:rsidRDefault="003E172D" w:rsidP="003E172D">
            <w:pPr>
              <w:pStyle w:val="TableText"/>
              <w:keepNext/>
              <w:jc w:val="center"/>
            </w:pPr>
            <w:r w:rsidRPr="003E172D">
              <w:rPr>
                <w:b/>
                <w:bCs/>
              </w:rPr>
              <w:t>redacted</w:t>
            </w:r>
          </w:p>
        </w:tc>
        <w:tc>
          <w:tcPr>
            <w:tcW w:w="0" w:type="dxa"/>
            <w:tcBorders>
              <w:right w:val="double" w:sz="4" w:space="0" w:color="auto"/>
            </w:tcBorders>
          </w:tcPr>
          <w:p w14:paraId="34370151" w14:textId="0D471AC1" w:rsidR="003E172D" w:rsidRPr="003E172D" w:rsidRDefault="003E172D" w:rsidP="003E172D">
            <w:pPr>
              <w:pStyle w:val="TableText"/>
              <w:keepNext/>
              <w:jc w:val="center"/>
            </w:pPr>
            <w:r w:rsidRPr="003E172D">
              <w:rPr>
                <w:b/>
                <w:bCs/>
              </w:rPr>
              <w:t>redacted</w:t>
            </w:r>
          </w:p>
        </w:tc>
        <w:tc>
          <w:tcPr>
            <w:tcW w:w="0" w:type="dxa"/>
            <w:tcBorders>
              <w:left w:val="double" w:sz="4" w:space="0" w:color="auto"/>
            </w:tcBorders>
            <w:noWrap/>
            <w:vAlign w:val="center"/>
            <w:hideMark/>
          </w:tcPr>
          <w:p w14:paraId="3D3A4297" w14:textId="77777777" w:rsidR="003E172D" w:rsidRPr="0006231C" w:rsidRDefault="003E172D" w:rsidP="003E172D">
            <w:pPr>
              <w:pStyle w:val="TableText"/>
              <w:keepNext/>
              <w:jc w:val="center"/>
            </w:pPr>
            <w:r w:rsidRPr="0006231C">
              <w:t>0.18</w:t>
            </w:r>
          </w:p>
        </w:tc>
        <w:tc>
          <w:tcPr>
            <w:tcW w:w="0" w:type="dxa"/>
            <w:noWrap/>
            <w:hideMark/>
          </w:tcPr>
          <w:p w14:paraId="7F195D3D" w14:textId="7BDA091E" w:rsidR="003E172D" w:rsidRPr="003E172D" w:rsidRDefault="6F108648" w:rsidP="003E172D">
            <w:pPr>
              <w:pStyle w:val="TableText"/>
              <w:keepNext/>
              <w:jc w:val="center"/>
            </w:pPr>
            <w:r w:rsidRPr="10812078">
              <w:rPr>
                <w:b/>
                <w:bCs/>
              </w:rPr>
              <w:t>redacted</w:t>
            </w:r>
            <w:r w:rsidR="0C4D74A3" w:rsidRPr="10812078">
              <w:rPr>
                <w:rFonts w:ascii="Franklin Gothic Book" w:hAnsi="Franklin Gothic Book"/>
                <w:sz w:val="22"/>
                <w:szCs w:val="22"/>
              </w:rPr>
              <w:t>%</w:t>
            </w:r>
          </w:p>
        </w:tc>
      </w:tr>
      <w:tr w:rsidR="00C02B61" w:rsidRPr="00102634" w14:paraId="131952EC" w14:textId="77777777" w:rsidTr="003E172D">
        <w:trPr>
          <w:trHeight w:val="20"/>
        </w:trPr>
        <w:tc>
          <w:tcPr>
            <w:tcW w:w="0" w:type="dxa"/>
            <w:tcBorders>
              <w:right w:val="double" w:sz="4" w:space="0" w:color="auto"/>
            </w:tcBorders>
            <w:noWrap/>
            <w:hideMark/>
          </w:tcPr>
          <w:p w14:paraId="22AF1EEE" w14:textId="77777777" w:rsidR="003E172D" w:rsidRPr="00102634" w:rsidRDefault="003E172D" w:rsidP="003E172D">
            <w:pPr>
              <w:pStyle w:val="TableText"/>
              <w:keepNext/>
            </w:pPr>
            <w:r w:rsidRPr="00102634">
              <w:t>Total QALY gained</w:t>
            </w:r>
          </w:p>
        </w:tc>
        <w:tc>
          <w:tcPr>
            <w:tcW w:w="0" w:type="dxa"/>
            <w:tcBorders>
              <w:left w:val="double" w:sz="4" w:space="0" w:color="auto"/>
            </w:tcBorders>
            <w:noWrap/>
            <w:vAlign w:val="center"/>
            <w:hideMark/>
          </w:tcPr>
          <w:p w14:paraId="3342637C" w14:textId="77777777" w:rsidR="003E172D" w:rsidRPr="0006231C" w:rsidRDefault="003E172D" w:rsidP="003E172D">
            <w:pPr>
              <w:pStyle w:val="TableText"/>
              <w:keepNext/>
              <w:jc w:val="center"/>
              <w:rPr>
                <w:b/>
              </w:rPr>
            </w:pPr>
            <w:r w:rsidRPr="0006231C">
              <w:rPr>
                <w:b/>
              </w:rPr>
              <w:t>2.19</w:t>
            </w:r>
          </w:p>
        </w:tc>
        <w:tc>
          <w:tcPr>
            <w:tcW w:w="0" w:type="dxa"/>
          </w:tcPr>
          <w:p w14:paraId="14EF496B" w14:textId="769CCE23" w:rsidR="003E172D" w:rsidRPr="003E172D" w:rsidRDefault="003E172D" w:rsidP="003E172D">
            <w:pPr>
              <w:pStyle w:val="TableText"/>
              <w:keepNext/>
              <w:jc w:val="center"/>
              <w:rPr>
                <w:b/>
                <w:bCs/>
              </w:rPr>
            </w:pPr>
            <w:r w:rsidRPr="003E172D">
              <w:rPr>
                <w:b/>
                <w:bCs/>
              </w:rPr>
              <w:t>redacted</w:t>
            </w:r>
          </w:p>
        </w:tc>
        <w:tc>
          <w:tcPr>
            <w:tcW w:w="0" w:type="dxa"/>
          </w:tcPr>
          <w:p w14:paraId="3AE03848" w14:textId="789D19DC" w:rsidR="003E172D" w:rsidRPr="003E172D" w:rsidRDefault="003E172D" w:rsidP="003E172D">
            <w:pPr>
              <w:pStyle w:val="TableText"/>
              <w:keepNext/>
              <w:jc w:val="center"/>
              <w:rPr>
                <w:b/>
                <w:bCs/>
              </w:rPr>
            </w:pPr>
            <w:r w:rsidRPr="003E172D">
              <w:rPr>
                <w:b/>
                <w:bCs/>
              </w:rPr>
              <w:t>redacted</w:t>
            </w:r>
          </w:p>
        </w:tc>
        <w:tc>
          <w:tcPr>
            <w:tcW w:w="0" w:type="dxa"/>
          </w:tcPr>
          <w:p w14:paraId="46DBF4A7" w14:textId="3DF60495" w:rsidR="003E172D" w:rsidRPr="003E172D" w:rsidRDefault="003E172D" w:rsidP="003E172D">
            <w:pPr>
              <w:pStyle w:val="TableText"/>
              <w:keepNext/>
              <w:jc w:val="center"/>
              <w:rPr>
                <w:b/>
                <w:bCs/>
              </w:rPr>
            </w:pPr>
            <w:r w:rsidRPr="003E172D">
              <w:rPr>
                <w:b/>
                <w:bCs/>
              </w:rPr>
              <w:t>redacted</w:t>
            </w:r>
          </w:p>
        </w:tc>
        <w:tc>
          <w:tcPr>
            <w:tcW w:w="0" w:type="dxa"/>
          </w:tcPr>
          <w:p w14:paraId="7F4583FB" w14:textId="221AA51E" w:rsidR="003E172D" w:rsidRPr="003E172D" w:rsidRDefault="003E172D" w:rsidP="003E172D">
            <w:pPr>
              <w:pStyle w:val="TableText"/>
              <w:keepNext/>
              <w:jc w:val="center"/>
              <w:rPr>
                <w:b/>
                <w:bCs/>
              </w:rPr>
            </w:pPr>
            <w:r w:rsidRPr="003E172D">
              <w:rPr>
                <w:b/>
                <w:bCs/>
              </w:rPr>
              <w:t>redacted</w:t>
            </w:r>
          </w:p>
        </w:tc>
        <w:tc>
          <w:tcPr>
            <w:tcW w:w="0" w:type="dxa"/>
            <w:tcBorders>
              <w:right w:val="double" w:sz="4" w:space="0" w:color="auto"/>
            </w:tcBorders>
          </w:tcPr>
          <w:p w14:paraId="28E521CE" w14:textId="733D3355" w:rsidR="003E172D" w:rsidRPr="003E172D" w:rsidRDefault="003E172D" w:rsidP="003E172D">
            <w:pPr>
              <w:pStyle w:val="TableText"/>
              <w:keepNext/>
              <w:jc w:val="center"/>
              <w:rPr>
                <w:b/>
                <w:bCs/>
              </w:rPr>
            </w:pPr>
            <w:r w:rsidRPr="003E172D">
              <w:rPr>
                <w:b/>
                <w:bCs/>
              </w:rPr>
              <w:t>redacted</w:t>
            </w:r>
          </w:p>
        </w:tc>
        <w:tc>
          <w:tcPr>
            <w:tcW w:w="0" w:type="dxa"/>
            <w:tcBorders>
              <w:left w:val="double" w:sz="4" w:space="0" w:color="auto"/>
            </w:tcBorders>
            <w:noWrap/>
            <w:vAlign w:val="center"/>
            <w:hideMark/>
          </w:tcPr>
          <w:p w14:paraId="794EABC8" w14:textId="77777777" w:rsidR="003E172D" w:rsidRPr="0006231C" w:rsidRDefault="003E172D" w:rsidP="003E172D">
            <w:pPr>
              <w:pStyle w:val="TableText"/>
              <w:keepNext/>
              <w:jc w:val="center"/>
              <w:rPr>
                <w:b/>
              </w:rPr>
            </w:pPr>
            <w:r w:rsidRPr="0006231C">
              <w:rPr>
                <w:b/>
              </w:rPr>
              <w:t>1.90</w:t>
            </w:r>
          </w:p>
        </w:tc>
        <w:tc>
          <w:tcPr>
            <w:tcW w:w="0" w:type="dxa"/>
          </w:tcPr>
          <w:p w14:paraId="5A211097" w14:textId="0DE73001" w:rsidR="003E172D" w:rsidRPr="003E172D" w:rsidRDefault="003E172D" w:rsidP="003E172D">
            <w:pPr>
              <w:pStyle w:val="TableText"/>
              <w:keepNext/>
              <w:jc w:val="center"/>
              <w:rPr>
                <w:b/>
                <w:bCs/>
              </w:rPr>
            </w:pPr>
            <w:r w:rsidRPr="003E172D">
              <w:rPr>
                <w:b/>
                <w:bCs/>
              </w:rPr>
              <w:t>redacted</w:t>
            </w:r>
          </w:p>
        </w:tc>
        <w:tc>
          <w:tcPr>
            <w:tcW w:w="0" w:type="dxa"/>
            <w:tcBorders>
              <w:right w:val="double" w:sz="4" w:space="0" w:color="auto"/>
            </w:tcBorders>
          </w:tcPr>
          <w:p w14:paraId="4186514A" w14:textId="79294E08" w:rsidR="003E172D" w:rsidRPr="003E172D" w:rsidRDefault="003E172D" w:rsidP="003E172D">
            <w:pPr>
              <w:pStyle w:val="TableText"/>
              <w:keepNext/>
              <w:jc w:val="center"/>
              <w:rPr>
                <w:b/>
                <w:bCs/>
              </w:rPr>
            </w:pPr>
            <w:r w:rsidRPr="003E172D">
              <w:rPr>
                <w:b/>
                <w:bCs/>
              </w:rPr>
              <w:t>redacted</w:t>
            </w:r>
          </w:p>
        </w:tc>
        <w:tc>
          <w:tcPr>
            <w:tcW w:w="0" w:type="dxa"/>
            <w:tcBorders>
              <w:left w:val="double" w:sz="4" w:space="0" w:color="auto"/>
            </w:tcBorders>
            <w:noWrap/>
            <w:vAlign w:val="center"/>
            <w:hideMark/>
          </w:tcPr>
          <w:p w14:paraId="58E954F4" w14:textId="77777777" w:rsidR="003E172D" w:rsidRPr="0006231C" w:rsidRDefault="003E172D" w:rsidP="003E172D">
            <w:pPr>
              <w:pStyle w:val="TableText"/>
              <w:keepNext/>
              <w:jc w:val="center"/>
              <w:rPr>
                <w:b/>
              </w:rPr>
            </w:pPr>
            <w:r w:rsidRPr="0006231C">
              <w:rPr>
                <w:b/>
              </w:rPr>
              <w:t>0.29</w:t>
            </w:r>
          </w:p>
        </w:tc>
        <w:tc>
          <w:tcPr>
            <w:tcW w:w="0" w:type="dxa"/>
            <w:noWrap/>
            <w:hideMark/>
          </w:tcPr>
          <w:p w14:paraId="0A6D0303" w14:textId="40A38789" w:rsidR="003E172D" w:rsidRPr="003E172D" w:rsidRDefault="6F108648" w:rsidP="003E172D">
            <w:pPr>
              <w:pStyle w:val="TableText"/>
              <w:keepNext/>
              <w:jc w:val="center"/>
              <w:rPr>
                <w:b/>
                <w:bCs/>
              </w:rPr>
            </w:pPr>
            <w:r w:rsidRPr="10812078">
              <w:rPr>
                <w:b/>
                <w:bCs/>
              </w:rPr>
              <w:t>redacted</w:t>
            </w:r>
            <w:r w:rsidR="5365C79C" w:rsidRPr="10812078">
              <w:rPr>
                <w:rFonts w:ascii="Franklin Gothic Book" w:hAnsi="Franklin Gothic Book"/>
                <w:sz w:val="22"/>
                <w:szCs w:val="22"/>
              </w:rPr>
              <w:t>%</w:t>
            </w:r>
          </w:p>
        </w:tc>
      </w:tr>
    </w:tbl>
    <w:p w14:paraId="4D8EF07D" w14:textId="77777777" w:rsidR="005D6D39" w:rsidRPr="00102634" w:rsidRDefault="005D6D39" w:rsidP="00FB40BB">
      <w:pPr>
        <w:pStyle w:val="TableFigureFooter"/>
        <w:keepNext/>
      </w:pPr>
      <w:r w:rsidRPr="00102634">
        <w:t>Source: Constructed during the evaluation using ‘ICER’; ‘model outline’; ‘Trace – CAPI (P1)’; ‘Trace – placebo (P2)’; and ‘Trace – placebo (ITT)’ worksheets from the economic model</w:t>
      </w:r>
    </w:p>
    <w:p w14:paraId="7FACD38F" w14:textId="764A42FD" w:rsidR="005D6D39" w:rsidRPr="00102634" w:rsidRDefault="005D6D39" w:rsidP="00FB40BB">
      <w:pPr>
        <w:pStyle w:val="TableFigureFooter"/>
        <w:keepNext/>
      </w:pPr>
      <w:r w:rsidRPr="00102634">
        <w:t>FN = false negative; FP = false positive; LYG = life year gained; PD = progressed disease PF = progression free; QALYs = quality adjusted life years; TP = true positive; TN = true negative; TF = test failure</w:t>
      </w:r>
    </w:p>
    <w:p w14:paraId="243D0139" w14:textId="77777777" w:rsidR="005D6D39" w:rsidRPr="00102634" w:rsidRDefault="005D6D39" w:rsidP="00FB40BB">
      <w:pPr>
        <w:pStyle w:val="TableFigureFooter"/>
        <w:keepNext/>
      </w:pPr>
      <w:r w:rsidRPr="00102634">
        <w:rPr>
          <w:vertAlign w:val="superscript"/>
        </w:rPr>
        <w:t>a</w:t>
      </w:r>
      <w:r w:rsidRPr="00102634">
        <w:t xml:space="preserve"> Branches P5, and P6 were treated identically (same costs and outcomes) </w:t>
      </w:r>
    </w:p>
    <w:p w14:paraId="5364AD51" w14:textId="2C4AFAA3" w:rsidR="005D6D39" w:rsidRPr="003E172D" w:rsidRDefault="005D6D39" w:rsidP="00FB40BB">
      <w:pPr>
        <w:pStyle w:val="TableFigureFooter"/>
        <w:keepNext/>
      </w:pPr>
      <w:r w:rsidRPr="00102634">
        <w:rPr>
          <w:vertAlign w:val="superscript"/>
        </w:rPr>
        <w:t xml:space="preserve">b </w:t>
      </w:r>
      <w:r w:rsidRPr="00102634">
        <w:t xml:space="preserve">Cost of test failures that incur an MBS fee </w:t>
      </w:r>
      <w:r w:rsidRPr="003E172D">
        <w:t>($18.81)</w:t>
      </w:r>
    </w:p>
    <w:p w14:paraId="5859CC73" w14:textId="77777777" w:rsidR="005D6D39" w:rsidRPr="003E172D" w:rsidRDefault="005D6D39" w:rsidP="00FB40BB">
      <w:pPr>
        <w:pStyle w:val="TableFigureFooter"/>
        <w:keepNext/>
      </w:pPr>
      <w:r w:rsidRPr="003E172D">
        <w:t>Note: the costs and outcomes in each branch were weighted by the proportion of patients in each branch</w:t>
      </w:r>
    </w:p>
    <w:p w14:paraId="08053152" w14:textId="5C936BB5" w:rsidR="005D6D39" w:rsidRPr="00C24C30" w:rsidRDefault="005D6D39" w:rsidP="005D6D39">
      <w:pPr>
        <w:rPr>
          <w:rFonts w:ascii="Franklin Gothic Book" w:hAnsi="Franklin Gothic Book"/>
          <w:sz w:val="22"/>
        </w:rPr>
      </w:pPr>
      <w:r w:rsidRPr="003E172D">
        <w:rPr>
          <w:rFonts w:ascii="Franklin Gothic Book" w:hAnsi="Franklin Gothic Book"/>
          <w:sz w:val="22"/>
        </w:rPr>
        <w:t>The estimated test cost per patient was $</w:t>
      </w:r>
      <w:r w:rsidR="003E172D" w:rsidRPr="003E172D">
        <w:rPr>
          <w:rFonts w:ascii="Franklin Gothic Book" w:hAnsi="Franklin Gothic Book"/>
          <w:b/>
          <w:bCs/>
          <w:sz w:val="22"/>
        </w:rPr>
        <w:t>redacted</w:t>
      </w:r>
      <w:r w:rsidRPr="00C24C30">
        <w:rPr>
          <w:rFonts w:ascii="Franklin Gothic Book" w:hAnsi="Franklin Gothic Book"/>
          <w:sz w:val="22"/>
        </w:rPr>
        <w:t>. As noted earlier, the test parameters were considered uncertain by the commentary as they were based on assumptions that were possibly optimistic; testing costs were potentially underestimated as potential out-of-pocket costs associated with re-testing (and re-biopsy) in patients with an unknown test result</w:t>
      </w:r>
      <w:r w:rsidR="7C6D1434" w:rsidRPr="00C24C30">
        <w:rPr>
          <w:rFonts w:ascii="Franklin Gothic Book" w:hAnsi="Franklin Gothic Book"/>
          <w:sz w:val="22"/>
        </w:rPr>
        <w:t xml:space="preserve"> were not considered</w:t>
      </w:r>
      <w:r w:rsidRPr="00C24C30">
        <w:rPr>
          <w:rFonts w:ascii="Franklin Gothic Book" w:hAnsi="Franklin Gothic Book"/>
          <w:sz w:val="22"/>
        </w:rPr>
        <w:t>; and subsequent testing for patients who initially test negative but develop an AKT pathway alteration upon disease progression</w:t>
      </w:r>
      <w:r w:rsidR="72772901" w:rsidRPr="00C24C30">
        <w:rPr>
          <w:rFonts w:ascii="Franklin Gothic Book" w:hAnsi="Franklin Gothic Book"/>
          <w:sz w:val="22"/>
        </w:rPr>
        <w:t xml:space="preserve"> was also not considered</w:t>
      </w:r>
      <w:r w:rsidRPr="00C24C30">
        <w:rPr>
          <w:rFonts w:ascii="Franklin Gothic Book" w:hAnsi="Franklin Gothic Book"/>
          <w:sz w:val="22"/>
        </w:rPr>
        <w:t xml:space="preserve">. </w:t>
      </w:r>
    </w:p>
    <w:p w14:paraId="4A41CC96" w14:textId="3758A5A1" w:rsidR="005D6D39" w:rsidRPr="00C24C30" w:rsidRDefault="005D6D39" w:rsidP="005D6D39">
      <w:pPr>
        <w:rPr>
          <w:rFonts w:ascii="Franklin Gothic Book" w:hAnsi="Franklin Gothic Book"/>
          <w:color w:val="3366FF"/>
          <w:sz w:val="22"/>
        </w:rPr>
      </w:pPr>
      <w:r w:rsidRPr="00C24C30">
        <w:rPr>
          <w:rFonts w:ascii="Franklin Gothic Book" w:hAnsi="Franklin Gothic Book"/>
          <w:sz w:val="22"/>
        </w:rPr>
        <w:lastRenderedPageBreak/>
        <w:t xml:space="preserve">The base case ICER was </w:t>
      </w:r>
      <w:r w:rsidR="003E172D">
        <w:rPr>
          <w:rFonts w:ascii="Franklin Gothic Book" w:hAnsi="Franklin Gothic Book"/>
          <w:sz w:val="22"/>
        </w:rPr>
        <w:t>$75,000 to &lt;$95,000</w:t>
      </w:r>
      <w:r w:rsidRPr="00C24C30">
        <w:rPr>
          <w:rFonts w:ascii="Franklin Gothic Book" w:hAnsi="Franklin Gothic Book"/>
          <w:sz w:val="22"/>
        </w:rPr>
        <w:t xml:space="preserve"> per QALY gained. The ICER was primarily driven by the higher incremental cost of CAPI in the proposed test scenario compared to the comparator </w:t>
      </w:r>
      <w:r w:rsidRPr="003E172D">
        <w:rPr>
          <w:rFonts w:ascii="Franklin Gothic Book" w:hAnsi="Franklin Gothic Book"/>
          <w:sz w:val="22"/>
        </w:rPr>
        <w:t>scenario ($</w:t>
      </w:r>
      <w:r w:rsidR="003E172D" w:rsidRPr="003E172D">
        <w:rPr>
          <w:rFonts w:ascii="Franklin Gothic Book" w:hAnsi="Franklin Gothic Book"/>
          <w:b/>
          <w:bCs/>
          <w:sz w:val="22"/>
        </w:rPr>
        <w:t>redacted</w:t>
      </w:r>
      <w:r w:rsidRPr="003E172D">
        <w:rPr>
          <w:rFonts w:ascii="Franklin Gothic Book" w:hAnsi="Franklin Gothic Book"/>
          <w:sz w:val="22"/>
        </w:rPr>
        <w:t>, ~</w:t>
      </w:r>
      <w:r w:rsidR="003E172D" w:rsidRPr="003E172D">
        <w:rPr>
          <w:rFonts w:ascii="Franklin Gothic Book" w:hAnsi="Franklin Gothic Book"/>
          <w:b/>
          <w:bCs/>
          <w:sz w:val="22"/>
        </w:rPr>
        <w:t>redacted</w:t>
      </w:r>
      <w:r w:rsidR="5FCB908D" w:rsidRPr="10812078">
        <w:rPr>
          <w:rFonts w:ascii="Franklin Gothic Book" w:hAnsi="Franklin Gothic Book"/>
          <w:sz w:val="22"/>
        </w:rPr>
        <w:t>%</w:t>
      </w:r>
      <w:r w:rsidRPr="003E172D">
        <w:rPr>
          <w:rFonts w:ascii="Franklin Gothic Book" w:hAnsi="Franklin Gothic Book"/>
          <w:sz w:val="22"/>
        </w:rPr>
        <w:t xml:space="preserve"> </w:t>
      </w:r>
      <w:r w:rsidRPr="00C24C30">
        <w:rPr>
          <w:rFonts w:ascii="Franklin Gothic Book" w:hAnsi="Franklin Gothic Book"/>
          <w:sz w:val="22"/>
        </w:rPr>
        <w:t>of total incremental costs</w:t>
      </w:r>
      <w:r w:rsidR="0038C535" w:rsidRPr="00C24C30">
        <w:rPr>
          <w:rFonts w:ascii="Franklin Gothic Book" w:hAnsi="Franklin Gothic Book"/>
          <w:sz w:val="22"/>
        </w:rPr>
        <w:t>)</w:t>
      </w:r>
      <w:r w:rsidR="43AD0EB3" w:rsidRPr="00C24C30">
        <w:rPr>
          <w:rFonts w:ascii="Franklin Gothic Book" w:hAnsi="Franklin Gothic Book"/>
          <w:sz w:val="22"/>
        </w:rPr>
        <w:t>,</w:t>
      </w:r>
      <w:r w:rsidRPr="00C24C30">
        <w:rPr>
          <w:rFonts w:ascii="Franklin Gothic Book" w:hAnsi="Franklin Gothic Book"/>
          <w:sz w:val="22"/>
        </w:rPr>
        <w:t xml:space="preserve"> and the greater tim</w:t>
      </w:r>
      <w:r w:rsidRPr="003E172D">
        <w:rPr>
          <w:rFonts w:ascii="Franklin Gothic Book" w:hAnsi="Franklin Gothic Book"/>
          <w:sz w:val="22"/>
        </w:rPr>
        <w:t xml:space="preserve">e spent in the PD health state by the proposed test scenario compared to the comparator scenario (0.28 incremental LYG, ~66% total incremental LYG). Costs and outcomes in the test scenario were </w:t>
      </w:r>
      <w:r w:rsidR="39D692CE" w:rsidRPr="003E172D">
        <w:rPr>
          <w:rFonts w:ascii="Franklin Gothic Book" w:hAnsi="Franklin Gothic Book"/>
          <w:sz w:val="22"/>
        </w:rPr>
        <w:t xml:space="preserve">predominantly </w:t>
      </w:r>
      <w:r w:rsidRPr="003E172D">
        <w:rPr>
          <w:rFonts w:ascii="Franklin Gothic Book" w:hAnsi="Franklin Gothic Book"/>
          <w:sz w:val="22"/>
        </w:rPr>
        <w:t>incurred in branches P1 (true positive) and P4 (true negative</w:t>
      </w:r>
      <w:r w:rsidR="0038C535" w:rsidRPr="003E172D">
        <w:rPr>
          <w:rFonts w:ascii="Franklin Gothic Book" w:hAnsi="Franklin Gothic Book"/>
          <w:sz w:val="22"/>
        </w:rPr>
        <w:t>)</w:t>
      </w:r>
      <w:r w:rsidR="7B6DB4AD" w:rsidRPr="003E172D">
        <w:rPr>
          <w:rFonts w:ascii="Franklin Gothic Book" w:hAnsi="Franklin Gothic Book"/>
          <w:sz w:val="22"/>
        </w:rPr>
        <w:t>,</w:t>
      </w:r>
      <w:r w:rsidRPr="003E172D">
        <w:rPr>
          <w:rFonts w:ascii="Franklin Gothic Book" w:hAnsi="Franklin Gothic Book"/>
          <w:sz w:val="22"/>
        </w:rPr>
        <w:t xml:space="preserve"> as the model assumed</w:t>
      </w:r>
      <w:r w:rsidRPr="00C24C30">
        <w:rPr>
          <w:rFonts w:ascii="Franklin Gothic Book" w:hAnsi="Franklin Gothic Book"/>
          <w:sz w:val="22"/>
        </w:rPr>
        <w:t xml:space="preserve"> </w:t>
      </w:r>
      <w:r w:rsidR="12768B9A" w:rsidRPr="00C24C30">
        <w:rPr>
          <w:rFonts w:ascii="Franklin Gothic Book" w:hAnsi="Franklin Gothic Book"/>
          <w:sz w:val="22"/>
        </w:rPr>
        <w:t xml:space="preserve">that </w:t>
      </w:r>
      <w:proofErr w:type="gramStart"/>
      <w:r w:rsidRPr="00C24C30">
        <w:rPr>
          <w:rFonts w:ascii="Franklin Gothic Book" w:hAnsi="Franklin Gothic Book"/>
          <w:sz w:val="22"/>
        </w:rPr>
        <w:t>the majority of</w:t>
      </w:r>
      <w:proofErr w:type="gramEnd"/>
      <w:r w:rsidRPr="00C24C30">
        <w:rPr>
          <w:rFonts w:ascii="Franklin Gothic Book" w:hAnsi="Franklin Gothic Book"/>
          <w:sz w:val="22"/>
        </w:rPr>
        <w:t xml:space="preserve"> patients occupied these branches. Testing costs only contributed </w:t>
      </w:r>
      <w:r w:rsidRPr="009D70AD">
        <w:rPr>
          <w:rFonts w:ascii="Franklin Gothic Book" w:hAnsi="Franklin Gothic Book"/>
          <w:sz w:val="22"/>
        </w:rPr>
        <w:t xml:space="preserve">to </w:t>
      </w:r>
      <w:r w:rsidR="009D70AD">
        <w:rPr>
          <w:rFonts w:ascii="Franklin Gothic Book" w:hAnsi="Franklin Gothic Book"/>
          <w:b/>
          <w:bCs/>
          <w:sz w:val="22"/>
        </w:rPr>
        <w:t>redacted</w:t>
      </w:r>
      <w:r w:rsidR="355C1C79" w:rsidRPr="10812078">
        <w:rPr>
          <w:rFonts w:ascii="Franklin Gothic Book" w:hAnsi="Franklin Gothic Book"/>
          <w:sz w:val="22"/>
        </w:rPr>
        <w:t>%</w:t>
      </w:r>
      <w:r w:rsidRPr="00C24C30">
        <w:rPr>
          <w:rFonts w:ascii="Franklin Gothic Book" w:hAnsi="Franklin Gothic Book"/>
          <w:sz w:val="22"/>
        </w:rPr>
        <w:t xml:space="preserve"> of total incremental costs</w:t>
      </w:r>
      <w:r w:rsidR="01B5DB97" w:rsidRPr="00C24C30">
        <w:rPr>
          <w:rFonts w:ascii="Franklin Gothic Book" w:hAnsi="Franklin Gothic Book"/>
          <w:sz w:val="22"/>
        </w:rPr>
        <w:t>;</w:t>
      </w:r>
      <w:r w:rsidRPr="00C24C30">
        <w:rPr>
          <w:rFonts w:ascii="Franklin Gothic Book" w:hAnsi="Franklin Gothic Book"/>
          <w:sz w:val="22"/>
        </w:rPr>
        <w:t xml:space="preserve"> however, as noted above</w:t>
      </w:r>
      <w:r w:rsidR="36E6181C" w:rsidRPr="00C24C30">
        <w:rPr>
          <w:rFonts w:ascii="Franklin Gothic Book" w:hAnsi="Franklin Gothic Book"/>
          <w:sz w:val="22"/>
        </w:rPr>
        <w:t>,</w:t>
      </w:r>
      <w:r w:rsidRPr="00C24C30">
        <w:rPr>
          <w:rFonts w:ascii="Franklin Gothic Book" w:hAnsi="Franklin Gothic Book"/>
          <w:sz w:val="22"/>
        </w:rPr>
        <w:t xml:space="preserve"> testing costs were potentially underestimated.</w:t>
      </w:r>
    </w:p>
    <w:p w14:paraId="5952805D" w14:textId="77777777" w:rsidR="005D6D39" w:rsidRPr="00C24C30" w:rsidRDefault="005D6D39" w:rsidP="005D6D39">
      <w:pPr>
        <w:rPr>
          <w:rFonts w:ascii="Franklin Gothic Book" w:hAnsi="Franklin Gothic Book"/>
          <w:sz w:val="22"/>
          <w:u w:val="single"/>
        </w:rPr>
      </w:pPr>
      <w:r w:rsidRPr="00C24C30">
        <w:rPr>
          <w:rFonts w:ascii="Franklin Gothic Book" w:hAnsi="Franklin Gothic Book"/>
          <w:sz w:val="22"/>
          <w:u w:val="single"/>
        </w:rPr>
        <w:t>Sensitivity analyses</w:t>
      </w:r>
    </w:p>
    <w:p w14:paraId="4D1362E0" w14:textId="571809D6"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results of key univariate and multivariate sensitivity analyses are summarised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_Ref174966046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6C6DD8">
        <w:rPr>
          <w:rFonts w:ascii="Franklin Gothic Book" w:hAnsi="Franklin Gothic Book"/>
          <w:sz w:val="22"/>
        </w:rPr>
        <w:t>\</w:t>
      </w:r>
      <w:r w:rsidR="0016064D" w:rsidRPr="00C24C30">
        <w:rPr>
          <w:rFonts w:ascii="Franklin Gothic Book" w:hAnsi="Franklin Gothic Book"/>
          <w:noProof/>
          <w:sz w:val="22"/>
        </w:rPr>
        <w:t>15</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w:t>
      </w:r>
    </w:p>
    <w:p w14:paraId="7BC50536" w14:textId="730C3FB6" w:rsidR="005D6D39" w:rsidRPr="00102634" w:rsidRDefault="005D6D39" w:rsidP="003F6F2A">
      <w:pPr>
        <w:pStyle w:val="Caption"/>
        <w:rPr>
          <w:rStyle w:val="CommentReference"/>
          <w:b/>
          <w:i/>
          <w:iCs/>
        </w:rPr>
      </w:pPr>
      <w:bookmarkStart w:id="46" w:name="_Ref174966046"/>
      <w:r w:rsidRPr="00102634">
        <w:t xml:space="preserve">Table </w:t>
      </w:r>
      <w:r w:rsidR="0016064D">
        <w:fldChar w:fldCharType="begin"/>
      </w:r>
      <w:r w:rsidR="0016064D">
        <w:instrText xml:space="preserve"> SEQ Table_MSAC. \* ARABIC </w:instrText>
      </w:r>
      <w:r w:rsidR="0016064D">
        <w:fldChar w:fldCharType="separate"/>
      </w:r>
      <w:r w:rsidR="0016064D">
        <w:rPr>
          <w:noProof/>
        </w:rPr>
        <w:t>15</w:t>
      </w:r>
      <w:r w:rsidR="0016064D">
        <w:rPr>
          <w:noProof/>
        </w:rPr>
        <w:fldChar w:fldCharType="end"/>
      </w:r>
      <w:bookmarkEnd w:id="46"/>
      <w:r w:rsidRPr="00102634">
        <w:t>:</w:t>
      </w:r>
      <w:r w:rsidRPr="00102634">
        <w:rPr>
          <w:noProof/>
        </w:rPr>
        <w:t xml:space="preserve"> </w:t>
      </w:r>
      <w:r w:rsidRPr="00102634">
        <w:rPr>
          <w:rStyle w:val="CommentReference"/>
          <w:b/>
        </w:rPr>
        <w:t>Sensitivity analyses conducted by the submission and additional analyses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4399"/>
        <w:gridCol w:w="1039"/>
        <w:gridCol w:w="1039"/>
        <w:gridCol w:w="1324"/>
        <w:gridCol w:w="799"/>
      </w:tblGrid>
      <w:tr w:rsidR="005D6D39" w:rsidRPr="00102634" w14:paraId="4F9ABA23" w14:textId="77777777">
        <w:trPr>
          <w:cantSplit/>
          <w:trHeight w:val="20"/>
          <w:tblHeader/>
        </w:trPr>
        <w:tc>
          <w:tcPr>
            <w:tcW w:w="231" w:type="pct"/>
            <w:vAlign w:val="center"/>
          </w:tcPr>
          <w:p w14:paraId="5065E0A7" w14:textId="77777777" w:rsidR="005D6D39" w:rsidRPr="00102634" w:rsidRDefault="005D6D39">
            <w:pPr>
              <w:pStyle w:val="In-tableHeading"/>
              <w:rPr>
                <w:lang w:val="en-AU"/>
              </w:rPr>
            </w:pPr>
          </w:p>
        </w:tc>
        <w:tc>
          <w:tcPr>
            <w:tcW w:w="2440" w:type="pct"/>
          </w:tcPr>
          <w:p w14:paraId="6F684034" w14:textId="77777777" w:rsidR="005D6D39" w:rsidRPr="00102634" w:rsidRDefault="005D6D39">
            <w:pPr>
              <w:pStyle w:val="In-tableHeading"/>
              <w:rPr>
                <w:lang w:val="en-AU"/>
              </w:rPr>
            </w:pPr>
          </w:p>
        </w:tc>
        <w:tc>
          <w:tcPr>
            <w:tcW w:w="576" w:type="pct"/>
            <w:vAlign w:val="center"/>
          </w:tcPr>
          <w:p w14:paraId="0D740D6B" w14:textId="5ED6EE9F" w:rsidR="005D6D39" w:rsidRPr="00102634" w:rsidRDefault="005D6D39">
            <w:pPr>
              <w:pStyle w:val="In-tableHeading"/>
              <w:jc w:val="center"/>
              <w:rPr>
                <w:lang w:val="en-AU"/>
              </w:rPr>
            </w:pPr>
            <w:r w:rsidRPr="00102634">
              <w:rPr>
                <w:lang w:val="en-AU"/>
              </w:rPr>
              <w:t xml:space="preserve">Inc </w:t>
            </w:r>
            <w:r w:rsidR="412EF8CA" w:rsidRPr="10812078">
              <w:rPr>
                <w:lang w:val="en-AU"/>
              </w:rPr>
              <w:t>QALY</w:t>
            </w:r>
          </w:p>
        </w:tc>
        <w:tc>
          <w:tcPr>
            <w:tcW w:w="576" w:type="pct"/>
            <w:vAlign w:val="center"/>
          </w:tcPr>
          <w:p w14:paraId="38338588" w14:textId="768D417E" w:rsidR="005D6D39" w:rsidRPr="00102634" w:rsidRDefault="005D6D39">
            <w:pPr>
              <w:pStyle w:val="In-tableHeading"/>
              <w:jc w:val="center"/>
              <w:rPr>
                <w:lang w:val="en-AU"/>
              </w:rPr>
            </w:pPr>
            <w:r w:rsidRPr="00102634">
              <w:rPr>
                <w:lang w:val="en-AU"/>
              </w:rPr>
              <w:t xml:space="preserve">Inc </w:t>
            </w:r>
            <w:r w:rsidR="216C2474" w:rsidRPr="10812078">
              <w:rPr>
                <w:lang w:val="en-AU"/>
              </w:rPr>
              <w:t>cost</w:t>
            </w:r>
          </w:p>
        </w:tc>
        <w:tc>
          <w:tcPr>
            <w:tcW w:w="734" w:type="pct"/>
            <w:vAlign w:val="center"/>
          </w:tcPr>
          <w:p w14:paraId="2B968D12" w14:textId="77777777" w:rsidR="005D6D39" w:rsidRPr="00102634" w:rsidRDefault="005D6D39">
            <w:pPr>
              <w:pStyle w:val="In-tableHeading"/>
              <w:jc w:val="center"/>
              <w:rPr>
                <w:lang w:val="en-AU"/>
              </w:rPr>
            </w:pPr>
            <w:r w:rsidRPr="00102634">
              <w:rPr>
                <w:lang w:val="en-AU"/>
              </w:rPr>
              <w:t>ICER ($/QALY gained)</w:t>
            </w:r>
          </w:p>
        </w:tc>
        <w:tc>
          <w:tcPr>
            <w:tcW w:w="443" w:type="pct"/>
            <w:vAlign w:val="center"/>
          </w:tcPr>
          <w:p w14:paraId="49AEBD23" w14:textId="122AA5E9" w:rsidR="005D6D39" w:rsidRPr="00102634" w:rsidRDefault="005D6D39">
            <w:pPr>
              <w:pStyle w:val="In-tableHeading"/>
              <w:jc w:val="center"/>
              <w:rPr>
                <w:lang w:val="en-AU"/>
              </w:rPr>
            </w:pPr>
            <w:r w:rsidRPr="00102634">
              <w:rPr>
                <w:lang w:val="en-AU"/>
              </w:rPr>
              <w:t>%Δ</w:t>
            </w:r>
          </w:p>
        </w:tc>
      </w:tr>
      <w:tr w:rsidR="009D70AD" w:rsidRPr="00174D2F" w14:paraId="2E8EAF68"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vAlign w:val="center"/>
          </w:tcPr>
          <w:p w14:paraId="7DE3A30F" w14:textId="77777777" w:rsidR="009D70AD" w:rsidRPr="00102634" w:rsidRDefault="009D70AD" w:rsidP="009D70AD">
            <w:pPr>
              <w:pStyle w:val="TableText"/>
              <w:rPr>
                <w:b/>
              </w:rPr>
            </w:pPr>
            <w:r w:rsidRPr="00102634">
              <w:rPr>
                <w:b/>
              </w:rPr>
              <w:t>-</w:t>
            </w:r>
          </w:p>
        </w:tc>
        <w:tc>
          <w:tcPr>
            <w:tcW w:w="2440" w:type="pct"/>
            <w:tcBorders>
              <w:top w:val="single" w:sz="4" w:space="0" w:color="auto"/>
              <w:left w:val="single" w:sz="4" w:space="0" w:color="auto"/>
              <w:bottom w:val="single" w:sz="4" w:space="0" w:color="auto"/>
              <w:right w:val="single" w:sz="4" w:space="0" w:color="auto"/>
            </w:tcBorders>
          </w:tcPr>
          <w:p w14:paraId="20F36831" w14:textId="77777777" w:rsidR="009D70AD" w:rsidRPr="00102634" w:rsidRDefault="009D70AD" w:rsidP="009D70AD">
            <w:pPr>
              <w:pStyle w:val="TableText"/>
              <w:rPr>
                <w:b/>
              </w:rPr>
            </w:pPr>
            <w:r w:rsidRPr="00102634">
              <w:rPr>
                <w:b/>
              </w:rPr>
              <w:t>Base case</w:t>
            </w:r>
          </w:p>
        </w:tc>
        <w:tc>
          <w:tcPr>
            <w:tcW w:w="576" w:type="pct"/>
            <w:tcBorders>
              <w:top w:val="single" w:sz="4" w:space="0" w:color="auto"/>
              <w:left w:val="single" w:sz="4" w:space="0" w:color="auto"/>
              <w:bottom w:val="single" w:sz="4" w:space="0" w:color="auto"/>
              <w:right w:val="single" w:sz="4" w:space="0" w:color="auto"/>
            </w:tcBorders>
          </w:tcPr>
          <w:p w14:paraId="34F0EF73" w14:textId="0F933D3E" w:rsidR="009D70AD" w:rsidRPr="00174D2F" w:rsidRDefault="009D70AD" w:rsidP="009D70AD">
            <w:pPr>
              <w:pStyle w:val="TableText"/>
              <w:jc w:val="center"/>
              <w:rPr>
                <w:b/>
              </w:rP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1A1EEBD7" w14:textId="1EA11E63" w:rsidR="009D70AD" w:rsidRPr="00174D2F" w:rsidRDefault="009D70AD" w:rsidP="009D70AD">
            <w:pPr>
              <w:pStyle w:val="TableText"/>
              <w:jc w:val="center"/>
              <w:rPr>
                <w:b/>
              </w:rP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2F4A6183" w14:textId="26176B8C" w:rsidR="009D70AD" w:rsidRPr="00174D2F" w:rsidRDefault="009D70AD" w:rsidP="009D70AD">
            <w:pPr>
              <w:pStyle w:val="TableText"/>
              <w:jc w:val="center"/>
              <w:rPr>
                <w:b/>
                <w:bCs/>
              </w:rPr>
            </w:pPr>
            <w:r w:rsidRPr="00174D2F">
              <w:t>$</w:t>
            </w:r>
            <w:r w:rsidRPr="00174D2F">
              <w:rPr>
                <w:b/>
                <w:bCs/>
              </w:rPr>
              <w:t>redacted</w:t>
            </w:r>
            <w:r w:rsidR="2BCEFCEA" w:rsidRPr="10812078">
              <w:rPr>
                <w:b/>
                <w:bCs/>
              </w:rPr>
              <w:t xml:space="preserve"> </w:t>
            </w:r>
            <w:r w:rsidR="2BF0013F"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vAlign w:val="center"/>
          </w:tcPr>
          <w:p w14:paraId="538BA03A" w14:textId="77777777" w:rsidR="009D70AD" w:rsidRPr="00174D2F" w:rsidRDefault="009D70AD" w:rsidP="009D70AD">
            <w:pPr>
              <w:pStyle w:val="TableText"/>
              <w:jc w:val="center"/>
              <w:rPr>
                <w:rFonts w:eastAsia="Calibri"/>
                <w:b/>
                <w:szCs w:val="20"/>
              </w:rPr>
            </w:pPr>
            <w:r w:rsidRPr="00174D2F">
              <w:rPr>
                <w:b/>
                <w:bCs/>
              </w:rPr>
              <w:t>-</w:t>
            </w:r>
          </w:p>
        </w:tc>
      </w:tr>
      <w:tr w:rsidR="009D70AD" w:rsidRPr="00174D2F" w14:paraId="215E9442" w14:textId="77777777">
        <w:trPr>
          <w:cantSplit/>
          <w:trHeight w:val="20"/>
        </w:trPr>
        <w:tc>
          <w:tcPr>
            <w:tcW w:w="5000" w:type="pct"/>
            <w:gridSpan w:val="6"/>
            <w:vAlign w:val="center"/>
          </w:tcPr>
          <w:p w14:paraId="32EBF68F" w14:textId="77777777" w:rsidR="009D70AD" w:rsidRPr="00174D2F" w:rsidRDefault="009D70AD" w:rsidP="009D70AD">
            <w:pPr>
              <w:pStyle w:val="TableText"/>
              <w:rPr>
                <w:b/>
                <w:bCs/>
              </w:rPr>
            </w:pPr>
            <w:r w:rsidRPr="00174D2F">
              <w:rPr>
                <w:b/>
                <w:bCs/>
              </w:rPr>
              <w:t>Test parameters</w:t>
            </w:r>
          </w:p>
        </w:tc>
      </w:tr>
      <w:tr w:rsidR="009D70AD" w:rsidRPr="00174D2F" w14:paraId="6E890CF8"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tcPr>
          <w:p w14:paraId="446A6651" w14:textId="77777777" w:rsidR="009D70AD" w:rsidRPr="00102634" w:rsidRDefault="009D70AD" w:rsidP="009D70AD">
            <w:pPr>
              <w:pStyle w:val="TableText"/>
            </w:pPr>
            <w:r w:rsidRPr="00102634">
              <w:t>-</w:t>
            </w:r>
          </w:p>
        </w:tc>
        <w:tc>
          <w:tcPr>
            <w:tcW w:w="2440" w:type="pct"/>
            <w:tcBorders>
              <w:top w:val="single" w:sz="4" w:space="0" w:color="auto"/>
              <w:left w:val="single" w:sz="4" w:space="0" w:color="auto"/>
              <w:bottom w:val="single" w:sz="4" w:space="0" w:color="auto"/>
              <w:right w:val="single" w:sz="4" w:space="0" w:color="auto"/>
            </w:tcBorders>
            <w:vAlign w:val="center"/>
          </w:tcPr>
          <w:p w14:paraId="40E4100F" w14:textId="77777777" w:rsidR="009D70AD" w:rsidRPr="00102634" w:rsidRDefault="009D70AD" w:rsidP="009D70AD">
            <w:pPr>
              <w:pStyle w:val="TableText"/>
            </w:pPr>
            <w:r w:rsidRPr="00102634">
              <w:t>Prevalence of AKT alteration 40% (base case 50%)</w:t>
            </w:r>
          </w:p>
        </w:tc>
        <w:tc>
          <w:tcPr>
            <w:tcW w:w="576" w:type="pct"/>
            <w:tcBorders>
              <w:top w:val="single" w:sz="4" w:space="0" w:color="auto"/>
              <w:left w:val="single" w:sz="4" w:space="0" w:color="auto"/>
              <w:bottom w:val="single" w:sz="4" w:space="0" w:color="auto"/>
              <w:right w:val="single" w:sz="4" w:space="0" w:color="auto"/>
            </w:tcBorders>
          </w:tcPr>
          <w:p w14:paraId="0848F91A" w14:textId="6B859A72"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72891244" w14:textId="7F82F747"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0F8EA0E9" w14:textId="5E556656" w:rsidR="009D70AD" w:rsidRPr="00174D2F" w:rsidRDefault="009D70AD" w:rsidP="009D70AD">
            <w:pPr>
              <w:pStyle w:val="TableText"/>
              <w:jc w:val="center"/>
              <w:rPr>
                <w:b/>
                <w:bCs/>
              </w:rPr>
            </w:pPr>
            <w:r w:rsidRPr="00174D2F">
              <w:t>$</w:t>
            </w:r>
            <w:r w:rsidRPr="00174D2F">
              <w:rPr>
                <w:b/>
                <w:bCs/>
              </w:rPr>
              <w:t>redacted</w:t>
            </w:r>
            <w:r w:rsidR="003AED88" w:rsidRPr="10812078">
              <w:rPr>
                <w:b/>
                <w:bCs/>
              </w:rPr>
              <w:t xml:space="preserve"> </w:t>
            </w:r>
            <w:r w:rsidR="6FC3428A"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6DBFB4D4" w14:textId="0D43E1B7" w:rsidR="009D70AD" w:rsidRPr="00174D2F" w:rsidRDefault="009D70AD" w:rsidP="009D70AD">
            <w:pPr>
              <w:pStyle w:val="TableText"/>
              <w:jc w:val="center"/>
            </w:pPr>
            <w:r w:rsidRPr="00174D2F">
              <w:rPr>
                <w:b/>
                <w:bCs/>
              </w:rPr>
              <w:t>redacted</w:t>
            </w:r>
          </w:p>
        </w:tc>
      </w:tr>
      <w:tr w:rsidR="009D70AD" w:rsidRPr="00174D2F" w14:paraId="0762F235"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tcPr>
          <w:p w14:paraId="1AC36BED" w14:textId="77777777" w:rsidR="009D70AD" w:rsidRPr="00102634" w:rsidRDefault="009D70AD" w:rsidP="009D70AD">
            <w:pPr>
              <w:pStyle w:val="TableText"/>
            </w:pPr>
            <w:r w:rsidRPr="00102634">
              <w:t>-</w:t>
            </w:r>
          </w:p>
        </w:tc>
        <w:tc>
          <w:tcPr>
            <w:tcW w:w="2440" w:type="pct"/>
            <w:tcBorders>
              <w:top w:val="single" w:sz="4" w:space="0" w:color="auto"/>
              <w:left w:val="single" w:sz="4" w:space="0" w:color="auto"/>
              <w:bottom w:val="single" w:sz="4" w:space="0" w:color="auto"/>
              <w:right w:val="single" w:sz="4" w:space="0" w:color="auto"/>
            </w:tcBorders>
            <w:vAlign w:val="center"/>
          </w:tcPr>
          <w:p w14:paraId="561010E1" w14:textId="77777777" w:rsidR="009D70AD" w:rsidRPr="00102634" w:rsidRDefault="009D70AD" w:rsidP="009D70AD">
            <w:pPr>
              <w:pStyle w:val="TableText"/>
            </w:pPr>
            <w:r w:rsidRPr="00102634">
              <w:t>Prevalence of AKT alteration 60% (base case 50%)</w:t>
            </w:r>
          </w:p>
        </w:tc>
        <w:tc>
          <w:tcPr>
            <w:tcW w:w="576" w:type="pct"/>
            <w:tcBorders>
              <w:top w:val="single" w:sz="4" w:space="0" w:color="auto"/>
              <w:left w:val="single" w:sz="4" w:space="0" w:color="auto"/>
              <w:bottom w:val="single" w:sz="4" w:space="0" w:color="auto"/>
              <w:right w:val="single" w:sz="4" w:space="0" w:color="auto"/>
            </w:tcBorders>
          </w:tcPr>
          <w:p w14:paraId="416460E7" w14:textId="0036CF40"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42E65D9A" w14:textId="51B96C57"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1AA1B510" w14:textId="517E383F" w:rsidR="009D70AD" w:rsidRPr="00174D2F" w:rsidRDefault="009D70AD" w:rsidP="009D70AD">
            <w:pPr>
              <w:pStyle w:val="TableText"/>
              <w:jc w:val="center"/>
            </w:pPr>
            <w:r w:rsidRPr="00174D2F">
              <w:t>$</w:t>
            </w:r>
            <w:r w:rsidRPr="00174D2F">
              <w:rPr>
                <w:b/>
                <w:bCs/>
              </w:rPr>
              <w:t>redacted</w:t>
            </w:r>
            <w:r w:rsidR="71AA5AF3" w:rsidRPr="10812078">
              <w:rPr>
                <w:b/>
                <w:bCs/>
              </w:rPr>
              <w:t xml:space="preserve"> </w:t>
            </w:r>
            <w:r w:rsidR="3EEB2B3F"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48ABF1AA" w14:textId="7240ADAA" w:rsidR="009D70AD" w:rsidRPr="00174D2F" w:rsidRDefault="009D70AD" w:rsidP="009D70AD">
            <w:pPr>
              <w:pStyle w:val="TableText"/>
              <w:jc w:val="center"/>
            </w:pPr>
            <w:r w:rsidRPr="00174D2F">
              <w:rPr>
                <w:b/>
                <w:bCs/>
              </w:rPr>
              <w:t>redacted</w:t>
            </w:r>
          </w:p>
        </w:tc>
      </w:tr>
      <w:tr w:rsidR="009D70AD" w:rsidRPr="00174D2F" w14:paraId="308BDE17"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tcPr>
          <w:p w14:paraId="79F2A0DC" w14:textId="77777777" w:rsidR="009D70AD" w:rsidRPr="00102634" w:rsidRDefault="009D70AD" w:rsidP="009D70AD">
            <w:pPr>
              <w:pStyle w:val="TableText"/>
            </w:pPr>
            <w:r w:rsidRPr="00102634">
              <w:t>-</w:t>
            </w:r>
          </w:p>
        </w:tc>
        <w:tc>
          <w:tcPr>
            <w:tcW w:w="2440" w:type="pct"/>
            <w:tcBorders>
              <w:top w:val="single" w:sz="4" w:space="0" w:color="auto"/>
              <w:left w:val="single" w:sz="4" w:space="0" w:color="auto"/>
              <w:bottom w:val="single" w:sz="4" w:space="0" w:color="auto"/>
              <w:right w:val="single" w:sz="4" w:space="0" w:color="auto"/>
            </w:tcBorders>
            <w:vAlign w:val="center"/>
          </w:tcPr>
          <w:p w14:paraId="6C120E4E" w14:textId="77777777" w:rsidR="009D70AD" w:rsidRPr="00102634" w:rsidRDefault="009D70AD" w:rsidP="009D70AD">
            <w:pPr>
              <w:pStyle w:val="TableText"/>
            </w:pPr>
            <w:r w:rsidRPr="00102634">
              <w:t>Test accuracy 100% (base case 99%)</w:t>
            </w:r>
          </w:p>
        </w:tc>
        <w:tc>
          <w:tcPr>
            <w:tcW w:w="576" w:type="pct"/>
            <w:tcBorders>
              <w:top w:val="single" w:sz="4" w:space="0" w:color="auto"/>
              <w:left w:val="single" w:sz="4" w:space="0" w:color="auto"/>
              <w:bottom w:val="single" w:sz="4" w:space="0" w:color="auto"/>
              <w:right w:val="single" w:sz="4" w:space="0" w:color="auto"/>
            </w:tcBorders>
          </w:tcPr>
          <w:p w14:paraId="0BBBC63E" w14:textId="3653385D"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3DB0EE66" w14:textId="31A606F3"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47B68989" w14:textId="496576D6" w:rsidR="009D70AD" w:rsidRPr="00174D2F" w:rsidRDefault="009D70AD" w:rsidP="009D70AD">
            <w:pPr>
              <w:pStyle w:val="TableText"/>
              <w:jc w:val="center"/>
            </w:pPr>
            <w:r w:rsidRPr="00174D2F">
              <w:t>$</w:t>
            </w:r>
            <w:r w:rsidRPr="00174D2F">
              <w:rPr>
                <w:b/>
                <w:bCs/>
              </w:rPr>
              <w:t>redacted</w:t>
            </w:r>
            <w:r w:rsidR="33A89279" w:rsidRPr="10812078">
              <w:rPr>
                <w:b/>
                <w:bCs/>
              </w:rPr>
              <w:t xml:space="preserve"> </w:t>
            </w:r>
            <w:r w:rsidR="7CBF67E7"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40C71560" w14:textId="548CD26C" w:rsidR="009D70AD" w:rsidRPr="00174D2F" w:rsidRDefault="009D70AD" w:rsidP="009D70AD">
            <w:pPr>
              <w:pStyle w:val="TableText"/>
              <w:jc w:val="center"/>
            </w:pPr>
            <w:r w:rsidRPr="00174D2F">
              <w:rPr>
                <w:b/>
                <w:bCs/>
              </w:rPr>
              <w:t>redacted</w:t>
            </w:r>
          </w:p>
        </w:tc>
      </w:tr>
      <w:tr w:rsidR="009D70AD" w:rsidRPr="00174D2F" w14:paraId="07858FF3"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tcPr>
          <w:p w14:paraId="00D3E683" w14:textId="77777777" w:rsidR="009D70AD" w:rsidRPr="00102634" w:rsidRDefault="009D70AD" w:rsidP="009D70AD">
            <w:pPr>
              <w:pStyle w:val="TableText"/>
            </w:pPr>
            <w:r w:rsidRPr="00102634">
              <w:t>-</w:t>
            </w:r>
          </w:p>
        </w:tc>
        <w:tc>
          <w:tcPr>
            <w:tcW w:w="2440" w:type="pct"/>
            <w:tcBorders>
              <w:top w:val="single" w:sz="4" w:space="0" w:color="auto"/>
              <w:left w:val="single" w:sz="4" w:space="0" w:color="auto"/>
              <w:bottom w:val="single" w:sz="4" w:space="0" w:color="auto"/>
              <w:right w:val="single" w:sz="4" w:space="0" w:color="auto"/>
            </w:tcBorders>
            <w:vAlign w:val="center"/>
          </w:tcPr>
          <w:p w14:paraId="5C3ECE02" w14:textId="77777777" w:rsidR="009D70AD" w:rsidRPr="00102634" w:rsidRDefault="009D70AD" w:rsidP="009D70AD">
            <w:pPr>
              <w:pStyle w:val="TableText"/>
            </w:pPr>
            <w:r w:rsidRPr="00102634">
              <w:t>Test accuracy 95% (base case 99%)</w:t>
            </w:r>
          </w:p>
        </w:tc>
        <w:tc>
          <w:tcPr>
            <w:tcW w:w="576" w:type="pct"/>
            <w:tcBorders>
              <w:top w:val="single" w:sz="4" w:space="0" w:color="auto"/>
              <w:left w:val="single" w:sz="4" w:space="0" w:color="auto"/>
              <w:bottom w:val="single" w:sz="4" w:space="0" w:color="auto"/>
              <w:right w:val="single" w:sz="4" w:space="0" w:color="auto"/>
            </w:tcBorders>
          </w:tcPr>
          <w:p w14:paraId="70721930" w14:textId="39715B8B"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643D3268" w14:textId="4CD1A2F6"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1AC3B63F" w14:textId="21658B70" w:rsidR="009D70AD" w:rsidRPr="00174D2F" w:rsidRDefault="009D70AD" w:rsidP="009D70AD">
            <w:pPr>
              <w:pStyle w:val="TableText"/>
              <w:jc w:val="center"/>
            </w:pPr>
            <w:r w:rsidRPr="00174D2F">
              <w:t>$</w:t>
            </w:r>
            <w:r w:rsidRPr="00174D2F">
              <w:rPr>
                <w:b/>
                <w:bCs/>
              </w:rPr>
              <w:t>redacted</w:t>
            </w:r>
            <w:r w:rsidR="1754A485" w:rsidRPr="10812078">
              <w:rPr>
                <w:b/>
                <w:bCs/>
              </w:rPr>
              <w:t xml:space="preserve"> </w:t>
            </w:r>
            <w:r w:rsidR="44A869A4"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61334908" w14:textId="4FA319E2" w:rsidR="009D70AD" w:rsidRPr="00174D2F" w:rsidRDefault="009D70AD" w:rsidP="009D70AD">
            <w:pPr>
              <w:pStyle w:val="TableText"/>
              <w:jc w:val="center"/>
            </w:pPr>
            <w:r w:rsidRPr="00174D2F">
              <w:rPr>
                <w:b/>
                <w:bCs/>
              </w:rPr>
              <w:t>redacted</w:t>
            </w:r>
          </w:p>
        </w:tc>
      </w:tr>
      <w:tr w:rsidR="009D70AD" w:rsidRPr="00174D2F" w14:paraId="1CE6DCEC"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tcPr>
          <w:p w14:paraId="29F0212A" w14:textId="77777777" w:rsidR="009D70AD" w:rsidRPr="00102634" w:rsidRDefault="009D70AD" w:rsidP="009D70AD">
            <w:pPr>
              <w:pStyle w:val="TableText"/>
            </w:pPr>
          </w:p>
        </w:tc>
        <w:tc>
          <w:tcPr>
            <w:tcW w:w="2440" w:type="pct"/>
            <w:tcBorders>
              <w:top w:val="single" w:sz="4" w:space="0" w:color="auto"/>
              <w:left w:val="single" w:sz="4" w:space="0" w:color="auto"/>
              <w:bottom w:val="single" w:sz="4" w:space="0" w:color="auto"/>
              <w:right w:val="single" w:sz="4" w:space="0" w:color="auto"/>
            </w:tcBorders>
            <w:vAlign w:val="center"/>
          </w:tcPr>
          <w:p w14:paraId="7C351176" w14:textId="77777777" w:rsidR="009D70AD" w:rsidRPr="00102634" w:rsidRDefault="009D70AD" w:rsidP="009D70AD">
            <w:pPr>
              <w:pStyle w:val="TableText"/>
            </w:pPr>
            <w:r w:rsidRPr="00102634">
              <w:t xml:space="preserve">Test failure rate 15% (base case </w:t>
            </w:r>
            <w:r w:rsidRPr="00371474">
              <w:t>5%</w:t>
            </w:r>
            <w:r w:rsidRPr="00102634">
              <w:t>)</w:t>
            </w:r>
          </w:p>
        </w:tc>
        <w:tc>
          <w:tcPr>
            <w:tcW w:w="576" w:type="pct"/>
            <w:tcBorders>
              <w:top w:val="single" w:sz="4" w:space="0" w:color="auto"/>
              <w:left w:val="single" w:sz="4" w:space="0" w:color="auto"/>
              <w:bottom w:val="single" w:sz="4" w:space="0" w:color="auto"/>
              <w:right w:val="single" w:sz="4" w:space="0" w:color="auto"/>
            </w:tcBorders>
          </w:tcPr>
          <w:p w14:paraId="1AEBC778" w14:textId="3F24D6E8"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624FF3C6" w14:textId="03555A07"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3047E113" w14:textId="7C6B668D" w:rsidR="009D70AD" w:rsidRPr="00174D2F" w:rsidRDefault="009D70AD" w:rsidP="009D70AD">
            <w:pPr>
              <w:pStyle w:val="TableText"/>
              <w:jc w:val="center"/>
            </w:pPr>
            <w:r w:rsidRPr="00174D2F">
              <w:t>$</w:t>
            </w:r>
            <w:r w:rsidRPr="00174D2F">
              <w:rPr>
                <w:b/>
                <w:bCs/>
              </w:rPr>
              <w:t>redacted</w:t>
            </w:r>
            <w:r w:rsidR="1754A485" w:rsidRPr="10812078">
              <w:rPr>
                <w:b/>
                <w:bCs/>
              </w:rPr>
              <w:t xml:space="preserve"> </w:t>
            </w:r>
            <w:r w:rsidR="0BBA9945"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50927031" w14:textId="3F4A2F47" w:rsidR="009D70AD" w:rsidRPr="00174D2F" w:rsidRDefault="009D70AD" w:rsidP="009D70AD">
            <w:pPr>
              <w:pStyle w:val="TableText"/>
              <w:jc w:val="center"/>
            </w:pPr>
            <w:r w:rsidRPr="00174D2F">
              <w:rPr>
                <w:b/>
                <w:bCs/>
              </w:rPr>
              <w:t>redacted</w:t>
            </w:r>
          </w:p>
        </w:tc>
      </w:tr>
      <w:tr w:rsidR="009D70AD" w:rsidRPr="00174D2F" w14:paraId="3D3F9B4A" w14:textId="77777777">
        <w:trPr>
          <w:cantSplit/>
          <w:trHeight w:val="20"/>
        </w:trPr>
        <w:tc>
          <w:tcPr>
            <w:tcW w:w="5000" w:type="pct"/>
            <w:gridSpan w:val="6"/>
            <w:vAlign w:val="center"/>
          </w:tcPr>
          <w:p w14:paraId="14528832" w14:textId="77777777" w:rsidR="009D70AD" w:rsidRPr="00174D2F" w:rsidRDefault="009D70AD" w:rsidP="009D70AD">
            <w:pPr>
              <w:pStyle w:val="TableText"/>
              <w:rPr>
                <w:rFonts w:eastAsia="Calibri"/>
                <w:b/>
                <w:i/>
                <w:szCs w:val="20"/>
              </w:rPr>
            </w:pPr>
            <w:r w:rsidRPr="00174D2F">
              <w:rPr>
                <w:rFonts w:eastAsia="Calibri"/>
                <w:b/>
                <w:i/>
                <w:szCs w:val="20"/>
              </w:rPr>
              <w:t>Univariate sensitivity analyses conducted during the evaluation</w:t>
            </w:r>
          </w:p>
        </w:tc>
      </w:tr>
      <w:tr w:rsidR="009D70AD" w:rsidRPr="00174D2F" w14:paraId="4B9866BD" w14:textId="77777777">
        <w:trPr>
          <w:cantSplit/>
          <w:trHeight w:val="20"/>
        </w:trPr>
        <w:tc>
          <w:tcPr>
            <w:tcW w:w="5000" w:type="pct"/>
            <w:gridSpan w:val="6"/>
            <w:vAlign w:val="center"/>
          </w:tcPr>
          <w:p w14:paraId="7511EC05" w14:textId="77777777" w:rsidR="009D70AD" w:rsidRPr="00174D2F" w:rsidRDefault="009D70AD" w:rsidP="009D70AD">
            <w:pPr>
              <w:pStyle w:val="TableText"/>
              <w:rPr>
                <w:b/>
                <w:bCs/>
              </w:rPr>
            </w:pPr>
            <w:r w:rsidRPr="00174D2F">
              <w:rPr>
                <w:b/>
                <w:bCs/>
              </w:rPr>
              <w:t>Testing parameters: test costs (base case $2,200) or test accuracy (base case 99%)</w:t>
            </w:r>
          </w:p>
        </w:tc>
      </w:tr>
      <w:tr w:rsidR="009D70AD" w:rsidRPr="00174D2F" w14:paraId="20E8CED0"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vAlign w:val="center"/>
          </w:tcPr>
          <w:p w14:paraId="30AA424B" w14:textId="21F0F0DC" w:rsidR="009D70AD" w:rsidRPr="00102634" w:rsidRDefault="009D70AD" w:rsidP="009D70AD">
            <w:pPr>
              <w:pStyle w:val="TableText"/>
            </w:pPr>
            <w:r w:rsidRPr="00102634">
              <w:t>#</w:t>
            </w:r>
            <w:r>
              <w:t>1</w:t>
            </w:r>
          </w:p>
        </w:tc>
        <w:tc>
          <w:tcPr>
            <w:tcW w:w="2440" w:type="pct"/>
            <w:tcBorders>
              <w:top w:val="single" w:sz="4" w:space="0" w:color="auto"/>
              <w:left w:val="single" w:sz="4" w:space="0" w:color="auto"/>
              <w:bottom w:val="single" w:sz="4" w:space="0" w:color="auto"/>
              <w:right w:val="single" w:sz="4" w:space="0" w:color="auto"/>
            </w:tcBorders>
            <w:vAlign w:val="center"/>
          </w:tcPr>
          <w:p w14:paraId="0EBE04BA" w14:textId="77777777" w:rsidR="009D70AD" w:rsidRPr="0006231C" w:rsidRDefault="009D70AD" w:rsidP="009D70AD">
            <w:pPr>
              <w:pStyle w:val="TableText"/>
            </w:pPr>
            <w:r w:rsidRPr="0006231C">
              <w:t>Test cost $350</w:t>
            </w:r>
          </w:p>
        </w:tc>
        <w:tc>
          <w:tcPr>
            <w:tcW w:w="576" w:type="pct"/>
            <w:tcBorders>
              <w:top w:val="single" w:sz="4" w:space="0" w:color="auto"/>
              <w:left w:val="single" w:sz="4" w:space="0" w:color="auto"/>
              <w:bottom w:val="single" w:sz="4" w:space="0" w:color="auto"/>
              <w:right w:val="single" w:sz="4" w:space="0" w:color="auto"/>
            </w:tcBorders>
          </w:tcPr>
          <w:p w14:paraId="2AC80001" w14:textId="1C049189"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55B4F530" w14:textId="764FE6F8"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1A2F0F93" w14:textId="725CACC1" w:rsidR="009D70AD" w:rsidRPr="00174D2F" w:rsidRDefault="009D70AD" w:rsidP="009D70AD">
            <w:pPr>
              <w:pStyle w:val="TableText"/>
              <w:jc w:val="center"/>
            </w:pPr>
            <w:r w:rsidRPr="00174D2F">
              <w:t>$</w:t>
            </w:r>
            <w:r w:rsidRPr="00174D2F">
              <w:rPr>
                <w:b/>
                <w:bCs/>
              </w:rPr>
              <w:t>redacted</w:t>
            </w:r>
            <w:r w:rsidR="6BC15C65" w:rsidRPr="10812078">
              <w:rPr>
                <w:b/>
                <w:bCs/>
              </w:rPr>
              <w:t xml:space="preserve"> </w:t>
            </w:r>
            <w:r w:rsidR="261D2860"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1A754BC7" w14:textId="685C6145" w:rsidR="009D70AD" w:rsidRPr="00174D2F" w:rsidRDefault="009D70AD" w:rsidP="009D70AD">
            <w:pPr>
              <w:pStyle w:val="TableText"/>
              <w:jc w:val="center"/>
            </w:pPr>
            <w:r w:rsidRPr="00174D2F">
              <w:rPr>
                <w:b/>
                <w:bCs/>
              </w:rPr>
              <w:t>redacted</w:t>
            </w:r>
          </w:p>
        </w:tc>
      </w:tr>
      <w:tr w:rsidR="009D70AD" w:rsidRPr="00174D2F" w14:paraId="09BC0A28"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vAlign w:val="center"/>
          </w:tcPr>
          <w:p w14:paraId="1E52B9E9" w14:textId="013C63AD" w:rsidR="009D70AD" w:rsidRPr="00102634" w:rsidRDefault="009D70AD" w:rsidP="009D70AD">
            <w:pPr>
              <w:pStyle w:val="TableText"/>
            </w:pPr>
            <w:r w:rsidRPr="00102634">
              <w:t>#</w:t>
            </w:r>
            <w:r>
              <w:t>2</w:t>
            </w:r>
          </w:p>
        </w:tc>
        <w:tc>
          <w:tcPr>
            <w:tcW w:w="2440" w:type="pct"/>
            <w:tcBorders>
              <w:top w:val="single" w:sz="4" w:space="0" w:color="auto"/>
              <w:left w:val="single" w:sz="4" w:space="0" w:color="auto"/>
              <w:bottom w:val="single" w:sz="4" w:space="0" w:color="auto"/>
              <w:right w:val="single" w:sz="4" w:space="0" w:color="auto"/>
            </w:tcBorders>
            <w:vAlign w:val="center"/>
          </w:tcPr>
          <w:p w14:paraId="66B2E9E5" w14:textId="77777777" w:rsidR="009D70AD" w:rsidRPr="0006231C" w:rsidRDefault="009D70AD" w:rsidP="009D70AD">
            <w:pPr>
              <w:pStyle w:val="TableText"/>
            </w:pPr>
            <w:r w:rsidRPr="0006231C">
              <w:t xml:space="preserve">Test cost $1200 </w:t>
            </w:r>
          </w:p>
        </w:tc>
        <w:tc>
          <w:tcPr>
            <w:tcW w:w="576" w:type="pct"/>
            <w:tcBorders>
              <w:top w:val="single" w:sz="4" w:space="0" w:color="auto"/>
              <w:left w:val="single" w:sz="4" w:space="0" w:color="auto"/>
              <w:bottom w:val="single" w:sz="4" w:space="0" w:color="auto"/>
              <w:right w:val="single" w:sz="4" w:space="0" w:color="auto"/>
            </w:tcBorders>
          </w:tcPr>
          <w:p w14:paraId="78C3F69E" w14:textId="3B0C8954"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10D8F1FA" w14:textId="6AFD3F9E"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6DC7D0EB" w14:textId="107E8404" w:rsidR="009D70AD" w:rsidRPr="00174D2F" w:rsidRDefault="009D70AD" w:rsidP="009D70AD">
            <w:pPr>
              <w:pStyle w:val="TableText"/>
              <w:jc w:val="center"/>
            </w:pPr>
            <w:r w:rsidRPr="00174D2F">
              <w:t>$</w:t>
            </w:r>
            <w:r w:rsidRPr="00174D2F">
              <w:rPr>
                <w:b/>
                <w:bCs/>
              </w:rPr>
              <w:t>redacted</w:t>
            </w:r>
            <w:r w:rsidR="333EE70E" w:rsidRPr="10812078">
              <w:rPr>
                <w:b/>
                <w:bCs/>
              </w:rPr>
              <w:t xml:space="preserve"> </w:t>
            </w:r>
            <w:r w:rsidR="4244A57C"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25A6C40E" w14:textId="609B4B6B" w:rsidR="009D70AD" w:rsidRPr="00174D2F" w:rsidRDefault="009D70AD" w:rsidP="009D70AD">
            <w:pPr>
              <w:pStyle w:val="TableText"/>
              <w:jc w:val="center"/>
            </w:pPr>
            <w:r w:rsidRPr="00174D2F">
              <w:rPr>
                <w:b/>
                <w:bCs/>
              </w:rPr>
              <w:t>redacted</w:t>
            </w:r>
          </w:p>
        </w:tc>
      </w:tr>
      <w:tr w:rsidR="009D70AD" w:rsidRPr="00102634" w14:paraId="0A5F1F61" w14:textId="77777777" w:rsidTr="0006231C">
        <w:trPr>
          <w:cantSplit/>
          <w:trHeight w:val="20"/>
        </w:trPr>
        <w:tc>
          <w:tcPr>
            <w:tcW w:w="231" w:type="pct"/>
            <w:tcBorders>
              <w:top w:val="single" w:sz="4" w:space="0" w:color="auto"/>
              <w:left w:val="single" w:sz="4" w:space="0" w:color="auto"/>
              <w:bottom w:val="single" w:sz="4" w:space="0" w:color="auto"/>
              <w:right w:val="single" w:sz="4" w:space="0" w:color="auto"/>
            </w:tcBorders>
            <w:vAlign w:val="center"/>
          </w:tcPr>
          <w:p w14:paraId="0DDE556F" w14:textId="4DF5B344" w:rsidR="009D70AD" w:rsidRPr="00102634" w:rsidRDefault="009D70AD" w:rsidP="009D70AD">
            <w:pPr>
              <w:pStyle w:val="TableText"/>
            </w:pPr>
            <w:r w:rsidRPr="00102634">
              <w:t>#</w:t>
            </w:r>
            <w:r>
              <w:t>3</w:t>
            </w:r>
          </w:p>
        </w:tc>
        <w:tc>
          <w:tcPr>
            <w:tcW w:w="2440" w:type="pct"/>
            <w:tcBorders>
              <w:top w:val="single" w:sz="4" w:space="0" w:color="auto"/>
              <w:left w:val="single" w:sz="4" w:space="0" w:color="auto"/>
              <w:bottom w:val="single" w:sz="4" w:space="0" w:color="auto"/>
              <w:right w:val="single" w:sz="4" w:space="0" w:color="auto"/>
            </w:tcBorders>
            <w:vAlign w:val="center"/>
          </w:tcPr>
          <w:p w14:paraId="25803FF1" w14:textId="77777777" w:rsidR="009D70AD" w:rsidRPr="00102634" w:rsidRDefault="009D70AD" w:rsidP="009D70AD">
            <w:pPr>
              <w:pStyle w:val="TableText"/>
            </w:pPr>
            <w:r w:rsidRPr="00102634">
              <w:t xml:space="preserve">Test accuracy 90% </w:t>
            </w:r>
          </w:p>
        </w:tc>
        <w:tc>
          <w:tcPr>
            <w:tcW w:w="576" w:type="pct"/>
            <w:tcBorders>
              <w:top w:val="single" w:sz="4" w:space="0" w:color="auto"/>
              <w:left w:val="single" w:sz="4" w:space="0" w:color="auto"/>
              <w:bottom w:val="single" w:sz="4" w:space="0" w:color="auto"/>
              <w:right w:val="single" w:sz="4" w:space="0" w:color="auto"/>
            </w:tcBorders>
          </w:tcPr>
          <w:p w14:paraId="4421D85E" w14:textId="40A92A07" w:rsidR="009D70AD" w:rsidRPr="00174D2F" w:rsidRDefault="009D70AD" w:rsidP="009D70AD">
            <w:pPr>
              <w:pStyle w:val="TableText"/>
              <w:jc w:val="center"/>
            </w:pPr>
            <w:r w:rsidRPr="00174D2F">
              <w:rPr>
                <w:b/>
                <w:bCs/>
              </w:rPr>
              <w:t>redacted</w:t>
            </w:r>
          </w:p>
        </w:tc>
        <w:tc>
          <w:tcPr>
            <w:tcW w:w="576" w:type="pct"/>
            <w:tcBorders>
              <w:top w:val="single" w:sz="4" w:space="0" w:color="auto"/>
              <w:left w:val="single" w:sz="4" w:space="0" w:color="auto"/>
              <w:bottom w:val="single" w:sz="4" w:space="0" w:color="auto"/>
              <w:right w:val="single" w:sz="4" w:space="0" w:color="auto"/>
            </w:tcBorders>
            <w:vAlign w:val="center"/>
          </w:tcPr>
          <w:p w14:paraId="6176637D" w14:textId="34BE266F" w:rsidR="009D70AD" w:rsidRPr="00174D2F" w:rsidRDefault="009D70AD" w:rsidP="009D70AD">
            <w:pPr>
              <w:pStyle w:val="TableText"/>
              <w:jc w:val="center"/>
            </w:pPr>
            <w:r w:rsidRPr="00174D2F">
              <w:t>$</w:t>
            </w:r>
            <w:r w:rsidRPr="00174D2F">
              <w:rPr>
                <w:b/>
                <w:bCs/>
              </w:rPr>
              <w:t>redacted</w:t>
            </w:r>
          </w:p>
        </w:tc>
        <w:tc>
          <w:tcPr>
            <w:tcW w:w="734" w:type="pct"/>
            <w:tcBorders>
              <w:top w:val="single" w:sz="4" w:space="0" w:color="auto"/>
              <w:left w:val="single" w:sz="4" w:space="0" w:color="auto"/>
              <w:bottom w:val="single" w:sz="4" w:space="0" w:color="auto"/>
              <w:right w:val="single" w:sz="4" w:space="0" w:color="auto"/>
            </w:tcBorders>
            <w:vAlign w:val="center"/>
          </w:tcPr>
          <w:p w14:paraId="15D3AE58" w14:textId="7DD54CA2" w:rsidR="009D70AD" w:rsidRPr="00174D2F" w:rsidRDefault="009D70AD" w:rsidP="009D70AD">
            <w:pPr>
              <w:pStyle w:val="TableText"/>
              <w:jc w:val="center"/>
            </w:pPr>
            <w:r w:rsidRPr="00174D2F">
              <w:t>$</w:t>
            </w:r>
            <w:r w:rsidRPr="00174D2F">
              <w:rPr>
                <w:b/>
                <w:bCs/>
              </w:rPr>
              <w:t>redacted</w:t>
            </w:r>
            <w:r w:rsidR="0988AE5E" w:rsidRPr="10812078">
              <w:rPr>
                <w:b/>
                <w:bCs/>
              </w:rPr>
              <w:t xml:space="preserve"> </w:t>
            </w:r>
            <w:r w:rsidR="01047BB6" w:rsidRPr="10812078">
              <w:rPr>
                <w:vertAlign w:val="superscript"/>
              </w:rPr>
              <w:t>1</w:t>
            </w:r>
          </w:p>
        </w:tc>
        <w:tc>
          <w:tcPr>
            <w:tcW w:w="443" w:type="pct"/>
            <w:tcBorders>
              <w:top w:val="single" w:sz="4" w:space="0" w:color="auto"/>
              <w:left w:val="single" w:sz="4" w:space="0" w:color="auto"/>
              <w:bottom w:val="single" w:sz="4" w:space="0" w:color="auto"/>
              <w:right w:val="single" w:sz="4" w:space="0" w:color="auto"/>
            </w:tcBorders>
          </w:tcPr>
          <w:p w14:paraId="74D42A13" w14:textId="7AE9DAA9" w:rsidR="009D70AD" w:rsidRPr="00174D2F" w:rsidRDefault="009D70AD" w:rsidP="009D70AD">
            <w:pPr>
              <w:pStyle w:val="TableText"/>
              <w:jc w:val="center"/>
            </w:pPr>
            <w:r w:rsidRPr="00174D2F">
              <w:rPr>
                <w:b/>
                <w:bCs/>
              </w:rPr>
              <w:t>redacted</w:t>
            </w:r>
          </w:p>
        </w:tc>
      </w:tr>
    </w:tbl>
    <w:p w14:paraId="25DB28DC" w14:textId="77777777" w:rsidR="005D6D39" w:rsidRPr="00102634" w:rsidRDefault="005D6D39" w:rsidP="005D6D39">
      <w:pPr>
        <w:pStyle w:val="TableFooter"/>
        <w:rPr>
          <w:sz w:val="20"/>
        </w:rPr>
      </w:pPr>
      <w:r w:rsidRPr="00102634">
        <w:t xml:space="preserve">Source: constructed during the evaluation using Table 3.40, pp232-3 of the submission and the economic model </w:t>
      </w:r>
    </w:p>
    <w:p w14:paraId="63BB430E" w14:textId="49C5CE0D" w:rsidR="005D6D39" w:rsidRPr="00102634" w:rsidRDefault="005D6D39" w:rsidP="005D6D39">
      <w:pPr>
        <w:pStyle w:val="TableFigureFooter"/>
      </w:pPr>
      <w:r w:rsidRPr="00102634">
        <w:t>ICER = incremental cost effectiveness ratio; Inc = incremental; QALY = quality adjusted life year</w:t>
      </w:r>
      <w:r w:rsidR="005253DD">
        <w:t xml:space="preserve">; </w:t>
      </w:r>
      <w:r w:rsidR="00920DA5" w:rsidRPr="00102634">
        <w:t>%Δ</w:t>
      </w:r>
      <w:r w:rsidR="00920DA5">
        <w:t xml:space="preserve"> = percentage change from the submission’s base case ICER</w:t>
      </w:r>
    </w:p>
    <w:p w14:paraId="220866B3" w14:textId="77777777" w:rsidR="005D6D39" w:rsidRPr="00102634" w:rsidRDefault="005D6D39" w:rsidP="005D6D39">
      <w:pPr>
        <w:pStyle w:val="TableFigureFooter"/>
        <w:rPr>
          <w:u w:val="single"/>
        </w:rPr>
      </w:pPr>
      <w:r w:rsidRPr="00102634">
        <w:rPr>
          <w:u w:val="single"/>
        </w:rPr>
        <w:t>Univariate sensitivity:</w:t>
      </w:r>
    </w:p>
    <w:p w14:paraId="48B0FCC9" w14:textId="392DDC88" w:rsidR="005D6D39" w:rsidRPr="009D70AD" w:rsidRDefault="005D6D39" w:rsidP="005D6D39">
      <w:pPr>
        <w:pStyle w:val="TableFigureFooter"/>
      </w:pPr>
      <w:r w:rsidRPr="00102634" w:rsidDel="00570AA8">
        <w:t xml:space="preserve">#1: set </w:t>
      </w:r>
      <w:r w:rsidRPr="009D70AD" w:rsidDel="00570AA8">
        <w:t xml:space="preserve">Cell </w:t>
      </w:r>
      <w:r w:rsidRPr="009D70AD">
        <w:t>B19 = $350 in ‘Resource use’ worksheet</w:t>
      </w:r>
    </w:p>
    <w:p w14:paraId="48DE871B" w14:textId="0F40C603" w:rsidR="005D6D39" w:rsidRPr="009D70AD" w:rsidRDefault="005D6D39" w:rsidP="005D6D39">
      <w:pPr>
        <w:pStyle w:val="TableFigureFooter"/>
      </w:pPr>
      <w:r w:rsidRPr="009D70AD">
        <w:t>#</w:t>
      </w:r>
      <w:r w:rsidR="00BD2834" w:rsidRPr="009D70AD">
        <w:t>2</w:t>
      </w:r>
      <w:r w:rsidRPr="009D70AD">
        <w:t>: set Cell B19 = $1,200 in ‘Resource use’ worksheet</w:t>
      </w:r>
    </w:p>
    <w:p w14:paraId="1BF1F9B7" w14:textId="18FB8F30" w:rsidR="005D6D39" w:rsidRPr="00102634" w:rsidRDefault="005D6D39" w:rsidP="005D6D39">
      <w:pPr>
        <w:pStyle w:val="TableFigureFooter"/>
      </w:pPr>
      <w:r w:rsidRPr="009D70AD">
        <w:t>#</w:t>
      </w:r>
      <w:r w:rsidR="00BD2834" w:rsidRPr="009D70AD">
        <w:t>3</w:t>
      </w:r>
      <w:r w:rsidRPr="009D70AD">
        <w:t>: set Cells B15 and B16 = 90% in</w:t>
      </w:r>
      <w:r w:rsidRPr="00102634">
        <w:t xml:space="preserve"> ‘Assumptions’ worksheet</w:t>
      </w:r>
    </w:p>
    <w:p w14:paraId="75073B25" w14:textId="77777777" w:rsidR="005D6D39" w:rsidRPr="00102634" w:rsidRDefault="005D6D39" w:rsidP="005D6D39">
      <w:pPr>
        <w:pStyle w:val="TableFigureFooter"/>
      </w:pPr>
      <w:r w:rsidRPr="00102634">
        <w:t>Italicised text indicates additional sensitivity analyses conducted during the evaluation</w:t>
      </w:r>
    </w:p>
    <w:p w14:paraId="5C8074B6" w14:textId="033B91C8" w:rsidR="1E48DF1B" w:rsidRDefault="1E48DF1B" w:rsidP="008D6418">
      <w:pPr>
        <w:pStyle w:val="TableFigureFooter"/>
        <w:spacing w:before="240"/>
      </w:pPr>
      <w:r>
        <w:t>The redacted values correspond to the following ranges:</w:t>
      </w:r>
    </w:p>
    <w:p w14:paraId="38B8DCA3" w14:textId="560F719E" w:rsidR="1E48DF1B" w:rsidRPr="0006231C" w:rsidRDefault="1E48DF1B" w:rsidP="10812078">
      <w:pPr>
        <w:pStyle w:val="TableFigureFooter"/>
        <w:rPr>
          <w:vertAlign w:val="superscript"/>
        </w:rPr>
      </w:pPr>
      <w:r w:rsidRPr="10812078">
        <w:rPr>
          <w:vertAlign w:val="superscript"/>
        </w:rPr>
        <w:t xml:space="preserve">1 </w:t>
      </w:r>
      <w:r w:rsidRPr="0006231C">
        <w:t>$75,000 to &lt;$95,000</w:t>
      </w:r>
    </w:p>
    <w:p w14:paraId="07BEED37" w14:textId="4EA6E3F9" w:rsidR="005D6D39" w:rsidRPr="00C24C30" w:rsidRDefault="005D6D39" w:rsidP="005D6D39">
      <w:pPr>
        <w:rPr>
          <w:rFonts w:ascii="Franklin Gothic Book" w:hAnsi="Franklin Gothic Book"/>
          <w:sz w:val="22"/>
          <w:u w:val="single"/>
        </w:rPr>
      </w:pPr>
      <w:r w:rsidRPr="00C24C30">
        <w:rPr>
          <w:rFonts w:ascii="Franklin Gothic Book" w:hAnsi="Franklin Gothic Book"/>
          <w:sz w:val="22"/>
          <w:u w:val="single"/>
        </w:rPr>
        <w:t>Scenario analysis – non-biomarker selected population</w:t>
      </w:r>
    </w:p>
    <w:p w14:paraId="429F1E9D" w14:textId="23D29EEB"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Given the uncertainty in excluding the complement subgroup (i.e., non-positive AKT pathway altered patients) from treatment with CAPI+FULV, a scenario analysis was conducted during the evaluation that assumed no testing and that CAPI+FULV is available to all patients irrespective of biomarker status. </w:t>
      </w:r>
      <w:r w:rsidR="007C0929" w:rsidRPr="00C24C30">
        <w:rPr>
          <w:rStyle w:val="InstructionalTextChar"/>
          <w:rFonts w:ascii="Franklin Gothic Book" w:hAnsi="Franklin Gothic Book"/>
          <w:bCs/>
          <w:color w:val="auto"/>
          <w:sz w:val="22"/>
        </w:rPr>
        <w:t>This is of relevance because the TGA indication for the treatment is not biomarker-specific, and this analysis was also requested by PASC (p25, 1766 Ratified PICO Confirmation, April 2024 PASC Meeting).</w:t>
      </w:r>
    </w:p>
    <w:p w14:paraId="6D6644E3" w14:textId="7E9E3F55"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scenario analysis </w:t>
      </w:r>
      <w:r w:rsidR="2FE0627A" w:rsidRPr="00C24C30">
        <w:rPr>
          <w:rFonts w:ascii="Franklin Gothic Book" w:hAnsi="Franklin Gothic Book"/>
          <w:sz w:val="22"/>
        </w:rPr>
        <w:t>also</w:t>
      </w:r>
      <w:r w:rsidR="0038C535" w:rsidRPr="00C24C30">
        <w:rPr>
          <w:rFonts w:ascii="Franklin Gothic Book" w:hAnsi="Franklin Gothic Book"/>
          <w:sz w:val="22"/>
        </w:rPr>
        <w:t xml:space="preserve"> </w:t>
      </w:r>
      <w:r w:rsidRPr="00C24C30">
        <w:rPr>
          <w:rFonts w:ascii="Franklin Gothic Book" w:hAnsi="Franklin Gothic Book"/>
          <w:sz w:val="22"/>
        </w:rPr>
        <w:t>assumed that all data were informed by the ITT cohort for CAPI+FULV and placebo + FULV arms</w:t>
      </w:r>
      <w:r w:rsidR="29FD265D" w:rsidRPr="00C24C30">
        <w:rPr>
          <w:rFonts w:ascii="Franklin Gothic Book" w:hAnsi="Franklin Gothic Book"/>
          <w:sz w:val="22"/>
        </w:rPr>
        <w:t>,</w:t>
      </w:r>
      <w:r w:rsidRPr="00C24C30">
        <w:rPr>
          <w:rFonts w:ascii="Franklin Gothic Book" w:hAnsi="Franklin Gothic Book"/>
          <w:sz w:val="22"/>
        </w:rPr>
        <w:t xml:space="preserve"> respectively. The placebo + FULV ITT extrapolations and inputs remained unchanged from the base case settings (i.e., extrapolated PFS using log normal and OS using exponential). Using the parametric distributions with the best AIC/BIC statistics and upholding visual plausibility, the gen</w:t>
      </w:r>
      <w:r w:rsidR="00FB40BB" w:rsidRPr="00C24C30">
        <w:rPr>
          <w:rFonts w:ascii="Franklin Gothic Book" w:hAnsi="Franklin Gothic Book"/>
          <w:sz w:val="22"/>
        </w:rPr>
        <w:t>eralised</w:t>
      </w:r>
      <w:r w:rsidRPr="00C24C30">
        <w:rPr>
          <w:rFonts w:ascii="Franklin Gothic Book" w:hAnsi="Franklin Gothic Book"/>
          <w:sz w:val="22"/>
        </w:rPr>
        <w:t xml:space="preserve"> gamma and log logistic were selected to extrapolate PFS and OS in the CAPI+FULV ITT arm, respectively. The results are shown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_Ref174966068 \h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16</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w:t>
      </w:r>
    </w:p>
    <w:p w14:paraId="076DA484" w14:textId="5AD5F402" w:rsidR="005D6D39" w:rsidRPr="00102634" w:rsidRDefault="005D6D39" w:rsidP="003F6F2A">
      <w:pPr>
        <w:pStyle w:val="Caption"/>
      </w:pPr>
      <w:bookmarkStart w:id="47" w:name="_Ref174966068"/>
      <w:r w:rsidRPr="00102634">
        <w:lastRenderedPageBreak/>
        <w:t xml:space="preserve">Table </w:t>
      </w:r>
      <w:r w:rsidR="0016064D">
        <w:fldChar w:fldCharType="begin"/>
      </w:r>
      <w:r w:rsidR="0016064D">
        <w:instrText xml:space="preserve"> SEQ Table_MSAC. \* ARABIC </w:instrText>
      </w:r>
      <w:r w:rsidR="0016064D">
        <w:fldChar w:fldCharType="separate"/>
      </w:r>
      <w:r w:rsidR="0016064D">
        <w:rPr>
          <w:noProof/>
        </w:rPr>
        <w:t>16</w:t>
      </w:r>
      <w:r w:rsidR="0016064D">
        <w:rPr>
          <w:noProof/>
        </w:rPr>
        <w:fldChar w:fldCharType="end"/>
      </w:r>
      <w:bookmarkEnd w:id="47"/>
      <w:r w:rsidRPr="00102634">
        <w:t>: Scenario analysis results – non-biomarker population</w:t>
      </w:r>
    </w:p>
    <w:tbl>
      <w:tblPr>
        <w:tblStyle w:val="HTATableshaded"/>
        <w:tblW w:w="5107" w:type="pct"/>
        <w:tblLayout w:type="fixed"/>
        <w:tblCellMar>
          <w:left w:w="28" w:type="dxa"/>
          <w:right w:w="28" w:type="dxa"/>
        </w:tblCellMar>
        <w:tblLook w:val="04A0" w:firstRow="1" w:lastRow="0" w:firstColumn="1" w:lastColumn="0" w:noHBand="0" w:noVBand="1"/>
      </w:tblPr>
      <w:tblGrid>
        <w:gridCol w:w="279"/>
        <w:gridCol w:w="4617"/>
        <w:gridCol w:w="824"/>
        <w:gridCol w:w="796"/>
        <w:gridCol w:w="850"/>
        <w:gridCol w:w="993"/>
        <w:gridCol w:w="850"/>
      </w:tblGrid>
      <w:tr w:rsidR="005D6D39" w:rsidRPr="00102634" w14:paraId="1971E992" w14:textId="77777777" w:rsidTr="00A10B51">
        <w:trPr>
          <w:cnfStyle w:val="100000000000" w:firstRow="1" w:lastRow="0" w:firstColumn="0" w:lastColumn="0" w:oddVBand="0" w:evenVBand="0" w:oddHBand="0" w:evenHBand="0" w:firstRowFirstColumn="0" w:firstRowLastColumn="0" w:lastRowFirstColumn="0" w:lastRowLastColumn="0"/>
          <w:trHeight w:val="20"/>
        </w:trPr>
        <w:tc>
          <w:tcPr>
            <w:tcW w:w="279" w:type="dxa"/>
          </w:tcPr>
          <w:p w14:paraId="144D0CBC" w14:textId="77777777" w:rsidR="005D6D39" w:rsidRPr="00102634" w:rsidRDefault="005D6D39" w:rsidP="0011204B">
            <w:pPr>
              <w:pStyle w:val="TableText"/>
              <w:keepNext/>
              <w:keepLines/>
            </w:pPr>
          </w:p>
        </w:tc>
        <w:tc>
          <w:tcPr>
            <w:tcW w:w="4617" w:type="dxa"/>
            <w:noWrap/>
            <w:hideMark/>
          </w:tcPr>
          <w:p w14:paraId="6AEE4549" w14:textId="77777777" w:rsidR="005D6D39" w:rsidRPr="00102634" w:rsidRDefault="005D6D39" w:rsidP="0011204B">
            <w:pPr>
              <w:pStyle w:val="TableText"/>
              <w:keepNext/>
              <w:keepLines/>
            </w:pPr>
          </w:p>
        </w:tc>
        <w:tc>
          <w:tcPr>
            <w:tcW w:w="824" w:type="dxa"/>
            <w:noWrap/>
            <w:vAlign w:val="center"/>
            <w:hideMark/>
          </w:tcPr>
          <w:p w14:paraId="51E4FC2D" w14:textId="77777777" w:rsidR="005D6D39" w:rsidRPr="00102634" w:rsidRDefault="005D6D39" w:rsidP="0011204B">
            <w:pPr>
              <w:pStyle w:val="TableText"/>
              <w:keepNext/>
              <w:keepLines/>
              <w:jc w:val="center"/>
              <w:rPr>
                <w:b/>
                <w:bCs/>
              </w:rPr>
            </w:pPr>
            <w:r w:rsidRPr="00102634">
              <w:rPr>
                <w:b/>
                <w:bCs/>
              </w:rPr>
              <w:t>Inc LYG</w:t>
            </w:r>
          </w:p>
        </w:tc>
        <w:tc>
          <w:tcPr>
            <w:tcW w:w="796" w:type="dxa"/>
            <w:noWrap/>
            <w:vAlign w:val="center"/>
            <w:hideMark/>
          </w:tcPr>
          <w:p w14:paraId="58AB3186" w14:textId="77777777" w:rsidR="005D6D39" w:rsidRPr="00102634" w:rsidRDefault="005D6D39" w:rsidP="0011204B">
            <w:pPr>
              <w:pStyle w:val="TableText"/>
              <w:keepNext/>
              <w:keepLines/>
              <w:jc w:val="center"/>
              <w:rPr>
                <w:b/>
                <w:bCs/>
              </w:rPr>
            </w:pPr>
            <w:r w:rsidRPr="00102634">
              <w:rPr>
                <w:b/>
                <w:bCs/>
              </w:rPr>
              <w:t>Inc QALY</w:t>
            </w:r>
          </w:p>
        </w:tc>
        <w:tc>
          <w:tcPr>
            <w:tcW w:w="850" w:type="dxa"/>
            <w:noWrap/>
            <w:vAlign w:val="center"/>
            <w:hideMark/>
          </w:tcPr>
          <w:p w14:paraId="3A97C017" w14:textId="77777777" w:rsidR="005D6D39" w:rsidRPr="00102634" w:rsidRDefault="005D6D39" w:rsidP="0011204B">
            <w:pPr>
              <w:pStyle w:val="TableText"/>
              <w:keepNext/>
              <w:keepLines/>
              <w:jc w:val="center"/>
              <w:rPr>
                <w:b/>
                <w:bCs/>
              </w:rPr>
            </w:pPr>
            <w:r w:rsidRPr="00102634">
              <w:rPr>
                <w:b/>
                <w:bCs/>
              </w:rPr>
              <w:t>Inc cost</w:t>
            </w:r>
          </w:p>
        </w:tc>
        <w:tc>
          <w:tcPr>
            <w:tcW w:w="993" w:type="dxa"/>
            <w:noWrap/>
            <w:vAlign w:val="center"/>
            <w:hideMark/>
          </w:tcPr>
          <w:p w14:paraId="6AB10719" w14:textId="77777777" w:rsidR="005D6D39" w:rsidRPr="00102634" w:rsidRDefault="005D6D39" w:rsidP="0011204B">
            <w:pPr>
              <w:pStyle w:val="TableText"/>
              <w:keepNext/>
              <w:keepLines/>
              <w:jc w:val="center"/>
            </w:pPr>
            <w:r w:rsidRPr="00102634">
              <w:rPr>
                <w:b/>
                <w:bCs/>
              </w:rPr>
              <w:t>ICER</w:t>
            </w:r>
          </w:p>
        </w:tc>
        <w:tc>
          <w:tcPr>
            <w:tcW w:w="850" w:type="dxa"/>
            <w:noWrap/>
            <w:vAlign w:val="center"/>
            <w:hideMark/>
          </w:tcPr>
          <w:p w14:paraId="246A34A2" w14:textId="4BE6759B" w:rsidR="005D6D39" w:rsidRPr="00102634" w:rsidRDefault="005D6D39" w:rsidP="0011204B">
            <w:pPr>
              <w:pStyle w:val="TableText"/>
              <w:keepNext/>
              <w:keepLines/>
              <w:jc w:val="center"/>
              <w:rPr>
                <w:b/>
              </w:rPr>
            </w:pPr>
            <w:r w:rsidRPr="00102634">
              <w:rPr>
                <w:b/>
                <w:bCs/>
              </w:rPr>
              <w:t>% Δ</w:t>
            </w:r>
          </w:p>
        </w:tc>
      </w:tr>
      <w:tr w:rsidR="009D70AD" w:rsidRPr="00102634" w14:paraId="22ABB512" w14:textId="77777777" w:rsidTr="00A10B51">
        <w:trPr>
          <w:trHeight w:val="20"/>
        </w:trPr>
        <w:tc>
          <w:tcPr>
            <w:tcW w:w="279" w:type="dxa"/>
          </w:tcPr>
          <w:p w14:paraId="421A3ACA" w14:textId="77777777" w:rsidR="009D70AD" w:rsidRPr="00102634" w:rsidRDefault="009D70AD" w:rsidP="009D70AD">
            <w:pPr>
              <w:pStyle w:val="TableText"/>
              <w:keepNext/>
              <w:keepLines/>
              <w:rPr>
                <w:b/>
                <w:bCs/>
              </w:rPr>
            </w:pPr>
            <w:r w:rsidRPr="00102634">
              <w:rPr>
                <w:b/>
                <w:bCs/>
              </w:rPr>
              <w:t>-</w:t>
            </w:r>
          </w:p>
        </w:tc>
        <w:tc>
          <w:tcPr>
            <w:tcW w:w="4617" w:type="dxa"/>
            <w:noWrap/>
            <w:hideMark/>
          </w:tcPr>
          <w:p w14:paraId="034E2C6E" w14:textId="77777777" w:rsidR="009D70AD" w:rsidRPr="00102634" w:rsidRDefault="009D70AD" w:rsidP="009D70AD">
            <w:pPr>
              <w:pStyle w:val="TableText"/>
              <w:keepNext/>
              <w:keepLines/>
              <w:rPr>
                <w:b/>
                <w:bCs/>
              </w:rPr>
            </w:pPr>
            <w:r w:rsidRPr="00102634">
              <w:rPr>
                <w:b/>
                <w:bCs/>
              </w:rPr>
              <w:t>Base case (biomarker selected)</w:t>
            </w:r>
          </w:p>
        </w:tc>
        <w:tc>
          <w:tcPr>
            <w:tcW w:w="824" w:type="dxa"/>
            <w:noWrap/>
            <w:vAlign w:val="center"/>
            <w:hideMark/>
          </w:tcPr>
          <w:p w14:paraId="690B31A7" w14:textId="77777777" w:rsidR="009D70AD" w:rsidRPr="0006231C" w:rsidRDefault="009D70AD" w:rsidP="009D70AD">
            <w:pPr>
              <w:pStyle w:val="TableText"/>
              <w:keepNext/>
              <w:keepLines/>
              <w:jc w:val="center"/>
              <w:rPr>
                <w:b/>
              </w:rPr>
            </w:pPr>
            <w:r w:rsidRPr="0006231C">
              <w:rPr>
                <w:b/>
              </w:rPr>
              <w:t>0.43</w:t>
            </w:r>
          </w:p>
        </w:tc>
        <w:tc>
          <w:tcPr>
            <w:tcW w:w="796" w:type="dxa"/>
            <w:noWrap/>
            <w:vAlign w:val="center"/>
            <w:hideMark/>
          </w:tcPr>
          <w:p w14:paraId="6D7CCEA0" w14:textId="77777777" w:rsidR="009D70AD" w:rsidRPr="0006231C" w:rsidRDefault="009D70AD" w:rsidP="009D70AD">
            <w:pPr>
              <w:pStyle w:val="TableText"/>
              <w:keepNext/>
              <w:keepLines/>
              <w:jc w:val="center"/>
              <w:rPr>
                <w:b/>
              </w:rPr>
            </w:pPr>
            <w:r w:rsidRPr="0006231C">
              <w:rPr>
                <w:b/>
              </w:rPr>
              <w:t>0.29</w:t>
            </w:r>
          </w:p>
        </w:tc>
        <w:tc>
          <w:tcPr>
            <w:tcW w:w="850" w:type="dxa"/>
            <w:noWrap/>
            <w:vAlign w:val="center"/>
            <w:hideMark/>
          </w:tcPr>
          <w:p w14:paraId="680FC3BD" w14:textId="78767050" w:rsidR="009D70AD" w:rsidRPr="00174D2F" w:rsidRDefault="009D70AD" w:rsidP="009D70AD">
            <w:pPr>
              <w:pStyle w:val="TableText"/>
              <w:keepNext/>
              <w:keepLines/>
              <w:jc w:val="center"/>
              <w:rPr>
                <w:b/>
                <w:bCs/>
              </w:rPr>
            </w:pPr>
            <w:r w:rsidRPr="00174D2F">
              <w:t>$</w:t>
            </w:r>
            <w:r w:rsidRPr="00174D2F">
              <w:rPr>
                <w:b/>
                <w:bCs/>
              </w:rPr>
              <w:t>redacted</w:t>
            </w:r>
          </w:p>
        </w:tc>
        <w:tc>
          <w:tcPr>
            <w:tcW w:w="993" w:type="dxa"/>
            <w:noWrap/>
            <w:vAlign w:val="center"/>
            <w:hideMark/>
          </w:tcPr>
          <w:p w14:paraId="3FD50DFD" w14:textId="72BFB50E" w:rsidR="009D70AD" w:rsidRPr="00174D2F" w:rsidRDefault="009D70AD" w:rsidP="009D70AD">
            <w:pPr>
              <w:pStyle w:val="TableText"/>
              <w:keepNext/>
              <w:keepLines/>
              <w:jc w:val="center"/>
              <w:rPr>
                <w:b/>
                <w:bCs/>
              </w:rPr>
            </w:pPr>
            <w:r w:rsidRPr="00174D2F">
              <w:t>$</w:t>
            </w:r>
            <w:r w:rsidRPr="00174D2F">
              <w:rPr>
                <w:b/>
                <w:bCs/>
              </w:rPr>
              <w:t>redacted</w:t>
            </w:r>
            <w:r w:rsidR="180B8EEE" w:rsidRPr="10812078">
              <w:rPr>
                <w:b/>
                <w:bCs/>
              </w:rPr>
              <w:t xml:space="preserve"> </w:t>
            </w:r>
            <w:r w:rsidR="68EF87C6" w:rsidRPr="0006231C">
              <w:rPr>
                <w:vertAlign w:val="superscript"/>
              </w:rPr>
              <w:t>1</w:t>
            </w:r>
          </w:p>
        </w:tc>
        <w:tc>
          <w:tcPr>
            <w:tcW w:w="850" w:type="dxa"/>
            <w:noWrap/>
            <w:vAlign w:val="center"/>
            <w:hideMark/>
          </w:tcPr>
          <w:p w14:paraId="6B868510" w14:textId="77777777" w:rsidR="009D70AD" w:rsidRPr="00174D2F" w:rsidRDefault="009D70AD" w:rsidP="009D70AD">
            <w:pPr>
              <w:pStyle w:val="TableText"/>
              <w:keepNext/>
              <w:keepLines/>
              <w:jc w:val="center"/>
              <w:rPr>
                <w:b/>
                <w:bCs/>
              </w:rPr>
            </w:pPr>
            <w:r w:rsidRPr="00174D2F">
              <w:rPr>
                <w:b/>
                <w:bCs/>
              </w:rPr>
              <w:t>-</w:t>
            </w:r>
          </w:p>
        </w:tc>
      </w:tr>
      <w:tr w:rsidR="009D70AD" w:rsidRPr="00102634" w14:paraId="0C78941F" w14:textId="77777777" w:rsidTr="00A10B51">
        <w:trPr>
          <w:trHeight w:val="20"/>
        </w:trPr>
        <w:tc>
          <w:tcPr>
            <w:tcW w:w="279" w:type="dxa"/>
          </w:tcPr>
          <w:p w14:paraId="304E2990" w14:textId="77777777" w:rsidR="009D70AD" w:rsidRPr="00102634" w:rsidRDefault="009D70AD" w:rsidP="009D70AD">
            <w:pPr>
              <w:pStyle w:val="TableText"/>
              <w:keepNext/>
              <w:keepLines/>
              <w:rPr>
                <w:b/>
                <w:bCs/>
              </w:rPr>
            </w:pPr>
            <w:r w:rsidRPr="00102634">
              <w:rPr>
                <w:b/>
                <w:bCs/>
              </w:rPr>
              <w:t>E1</w:t>
            </w:r>
          </w:p>
        </w:tc>
        <w:tc>
          <w:tcPr>
            <w:tcW w:w="4617" w:type="dxa"/>
            <w:noWrap/>
          </w:tcPr>
          <w:p w14:paraId="419D51BA" w14:textId="77777777" w:rsidR="009D70AD" w:rsidRPr="00102634" w:rsidRDefault="009D70AD" w:rsidP="009D70AD">
            <w:pPr>
              <w:pStyle w:val="TableText"/>
              <w:keepNext/>
              <w:keepLines/>
              <w:rPr>
                <w:b/>
                <w:bCs/>
              </w:rPr>
            </w:pPr>
            <w:r w:rsidRPr="00102634">
              <w:rPr>
                <w:b/>
                <w:bCs/>
              </w:rPr>
              <w:t>CAPI + FULV (ITT) PFS = gen gamma; OS = log logistic</w:t>
            </w:r>
          </w:p>
        </w:tc>
        <w:tc>
          <w:tcPr>
            <w:tcW w:w="824" w:type="dxa"/>
            <w:noWrap/>
            <w:vAlign w:val="center"/>
          </w:tcPr>
          <w:p w14:paraId="4B55334C" w14:textId="77777777" w:rsidR="009D70AD" w:rsidRPr="0006231C" w:rsidRDefault="009D70AD" w:rsidP="009D70AD">
            <w:pPr>
              <w:pStyle w:val="TableText"/>
              <w:keepNext/>
              <w:keepLines/>
              <w:jc w:val="center"/>
              <w:rPr>
                <w:b/>
              </w:rPr>
            </w:pPr>
            <w:r w:rsidRPr="0006231C">
              <w:rPr>
                <w:b/>
              </w:rPr>
              <w:t>0.67</w:t>
            </w:r>
          </w:p>
        </w:tc>
        <w:tc>
          <w:tcPr>
            <w:tcW w:w="796" w:type="dxa"/>
            <w:noWrap/>
            <w:vAlign w:val="center"/>
          </w:tcPr>
          <w:p w14:paraId="1E9DC593" w14:textId="77777777" w:rsidR="009D70AD" w:rsidRPr="0006231C" w:rsidRDefault="009D70AD" w:rsidP="009D70AD">
            <w:pPr>
              <w:pStyle w:val="TableText"/>
              <w:keepNext/>
              <w:keepLines/>
              <w:jc w:val="center"/>
              <w:rPr>
                <w:b/>
              </w:rPr>
            </w:pPr>
            <w:r w:rsidRPr="0006231C">
              <w:rPr>
                <w:b/>
              </w:rPr>
              <w:t>0.48</w:t>
            </w:r>
          </w:p>
        </w:tc>
        <w:tc>
          <w:tcPr>
            <w:tcW w:w="850" w:type="dxa"/>
            <w:noWrap/>
            <w:vAlign w:val="center"/>
          </w:tcPr>
          <w:p w14:paraId="25B15F83" w14:textId="3F91CE00" w:rsidR="009D70AD" w:rsidRPr="00174D2F" w:rsidRDefault="009D70AD" w:rsidP="009D70AD">
            <w:pPr>
              <w:pStyle w:val="TableText"/>
              <w:keepNext/>
              <w:keepLines/>
              <w:jc w:val="center"/>
              <w:rPr>
                <w:b/>
                <w:bCs/>
              </w:rPr>
            </w:pPr>
            <w:r w:rsidRPr="00174D2F">
              <w:t>$</w:t>
            </w:r>
            <w:r w:rsidRPr="00174D2F">
              <w:rPr>
                <w:b/>
                <w:bCs/>
              </w:rPr>
              <w:t>redacted</w:t>
            </w:r>
          </w:p>
        </w:tc>
        <w:tc>
          <w:tcPr>
            <w:tcW w:w="993" w:type="dxa"/>
            <w:noWrap/>
            <w:vAlign w:val="center"/>
          </w:tcPr>
          <w:p w14:paraId="20A9E687" w14:textId="5798AFD7" w:rsidR="009D70AD" w:rsidRPr="00174D2F" w:rsidRDefault="009D70AD" w:rsidP="009D70AD">
            <w:pPr>
              <w:pStyle w:val="TableText"/>
              <w:keepNext/>
              <w:keepLines/>
              <w:jc w:val="center"/>
              <w:rPr>
                <w:b/>
                <w:bCs/>
              </w:rPr>
            </w:pPr>
            <w:r w:rsidRPr="00174D2F">
              <w:t>$</w:t>
            </w:r>
            <w:r w:rsidRPr="00174D2F">
              <w:rPr>
                <w:b/>
                <w:bCs/>
              </w:rPr>
              <w:t>redacted</w:t>
            </w:r>
            <w:r w:rsidR="28E78CC0" w:rsidRPr="10812078">
              <w:rPr>
                <w:b/>
                <w:bCs/>
              </w:rPr>
              <w:t xml:space="preserve"> </w:t>
            </w:r>
            <w:r w:rsidR="56720688" w:rsidRPr="10812078">
              <w:rPr>
                <w:vertAlign w:val="superscript"/>
              </w:rPr>
              <w:t>2</w:t>
            </w:r>
          </w:p>
        </w:tc>
        <w:tc>
          <w:tcPr>
            <w:tcW w:w="850" w:type="dxa"/>
            <w:noWrap/>
          </w:tcPr>
          <w:p w14:paraId="30FD9CE4" w14:textId="179E9CC8" w:rsidR="009D70AD" w:rsidRPr="00174D2F" w:rsidRDefault="009D70AD" w:rsidP="009D70AD">
            <w:pPr>
              <w:pStyle w:val="TableText"/>
              <w:keepNext/>
              <w:keepLines/>
              <w:jc w:val="center"/>
              <w:rPr>
                <w:b/>
              </w:rPr>
            </w:pPr>
            <w:r w:rsidRPr="00174D2F">
              <w:rPr>
                <w:b/>
                <w:bCs/>
              </w:rPr>
              <w:t>redacted</w:t>
            </w:r>
          </w:p>
        </w:tc>
      </w:tr>
      <w:tr w:rsidR="009D70AD" w:rsidRPr="00102634" w14:paraId="677990E2" w14:textId="77777777" w:rsidTr="00A10B51">
        <w:trPr>
          <w:trHeight w:val="20"/>
        </w:trPr>
        <w:tc>
          <w:tcPr>
            <w:tcW w:w="279" w:type="dxa"/>
          </w:tcPr>
          <w:p w14:paraId="08D73312" w14:textId="77777777" w:rsidR="009D70AD" w:rsidRPr="00102634" w:rsidRDefault="009D70AD" w:rsidP="009D70AD">
            <w:pPr>
              <w:pStyle w:val="TableText"/>
              <w:keepNext/>
              <w:keepLines/>
            </w:pPr>
            <w:r w:rsidRPr="00102634">
              <w:t>E2</w:t>
            </w:r>
          </w:p>
        </w:tc>
        <w:tc>
          <w:tcPr>
            <w:tcW w:w="4617" w:type="dxa"/>
            <w:noWrap/>
          </w:tcPr>
          <w:p w14:paraId="42CEE9CB" w14:textId="77777777" w:rsidR="009D70AD" w:rsidRPr="00102634" w:rsidRDefault="009D70AD" w:rsidP="009D70AD">
            <w:pPr>
              <w:pStyle w:val="TableText"/>
              <w:keepNext/>
              <w:keepLines/>
            </w:pPr>
            <w:r w:rsidRPr="00102634">
              <w:t>CAPI + FULV (ITT)</w:t>
            </w:r>
            <w:r w:rsidRPr="00102634">
              <w:rPr>
                <w:b/>
                <w:bCs/>
              </w:rPr>
              <w:t xml:space="preserve"> </w:t>
            </w:r>
            <w:r w:rsidRPr="00102634">
              <w:t>PFS = log normal</w:t>
            </w:r>
          </w:p>
        </w:tc>
        <w:tc>
          <w:tcPr>
            <w:tcW w:w="824" w:type="dxa"/>
            <w:noWrap/>
            <w:vAlign w:val="center"/>
          </w:tcPr>
          <w:p w14:paraId="16EBE9B0" w14:textId="77777777" w:rsidR="009D70AD" w:rsidRPr="0006231C" w:rsidRDefault="009D70AD" w:rsidP="009D70AD">
            <w:pPr>
              <w:pStyle w:val="TableText"/>
              <w:keepNext/>
              <w:keepLines/>
              <w:jc w:val="center"/>
            </w:pPr>
            <w:r w:rsidRPr="0006231C">
              <w:t>0.67</w:t>
            </w:r>
          </w:p>
        </w:tc>
        <w:tc>
          <w:tcPr>
            <w:tcW w:w="796" w:type="dxa"/>
            <w:noWrap/>
            <w:vAlign w:val="center"/>
          </w:tcPr>
          <w:p w14:paraId="7370CFB7" w14:textId="77777777" w:rsidR="009D70AD" w:rsidRPr="0006231C" w:rsidRDefault="009D70AD" w:rsidP="009D70AD">
            <w:pPr>
              <w:pStyle w:val="TableText"/>
              <w:keepNext/>
              <w:keepLines/>
              <w:jc w:val="center"/>
            </w:pPr>
            <w:r w:rsidRPr="0006231C">
              <w:t>0.45</w:t>
            </w:r>
          </w:p>
        </w:tc>
        <w:tc>
          <w:tcPr>
            <w:tcW w:w="850" w:type="dxa"/>
            <w:noWrap/>
            <w:vAlign w:val="center"/>
          </w:tcPr>
          <w:p w14:paraId="49DD83F6" w14:textId="3AF157AF" w:rsidR="009D70AD" w:rsidRPr="00174D2F" w:rsidRDefault="009D70AD" w:rsidP="009D70AD">
            <w:pPr>
              <w:pStyle w:val="TableText"/>
              <w:keepNext/>
              <w:keepLines/>
              <w:jc w:val="center"/>
            </w:pPr>
            <w:r w:rsidRPr="00174D2F">
              <w:t>$</w:t>
            </w:r>
            <w:r w:rsidRPr="00174D2F">
              <w:rPr>
                <w:b/>
                <w:bCs/>
              </w:rPr>
              <w:t>redacted</w:t>
            </w:r>
          </w:p>
        </w:tc>
        <w:tc>
          <w:tcPr>
            <w:tcW w:w="993" w:type="dxa"/>
            <w:noWrap/>
            <w:vAlign w:val="center"/>
          </w:tcPr>
          <w:p w14:paraId="521C3E2C" w14:textId="57BDA2CC" w:rsidR="009D70AD" w:rsidRPr="00174D2F" w:rsidRDefault="009D70AD" w:rsidP="009D70AD">
            <w:pPr>
              <w:pStyle w:val="TableText"/>
              <w:keepNext/>
              <w:keepLines/>
              <w:jc w:val="center"/>
            </w:pPr>
            <w:r w:rsidRPr="00174D2F">
              <w:t>$</w:t>
            </w:r>
            <w:r w:rsidRPr="00174D2F">
              <w:rPr>
                <w:b/>
                <w:bCs/>
              </w:rPr>
              <w:t>redacted</w:t>
            </w:r>
            <w:r w:rsidR="0834E78E" w:rsidRPr="10812078">
              <w:rPr>
                <w:b/>
                <w:bCs/>
              </w:rPr>
              <w:t xml:space="preserve"> </w:t>
            </w:r>
            <w:r w:rsidR="767C5B36" w:rsidRPr="10812078">
              <w:rPr>
                <w:vertAlign w:val="superscript"/>
              </w:rPr>
              <w:t>2</w:t>
            </w:r>
          </w:p>
        </w:tc>
        <w:tc>
          <w:tcPr>
            <w:tcW w:w="850" w:type="dxa"/>
            <w:noWrap/>
          </w:tcPr>
          <w:p w14:paraId="2089F49B" w14:textId="211B5E3A" w:rsidR="009D70AD" w:rsidRPr="00174D2F" w:rsidRDefault="009D70AD" w:rsidP="009D70AD">
            <w:pPr>
              <w:pStyle w:val="TableText"/>
              <w:keepNext/>
              <w:keepLines/>
              <w:jc w:val="center"/>
            </w:pPr>
            <w:r w:rsidRPr="00174D2F">
              <w:rPr>
                <w:b/>
                <w:bCs/>
              </w:rPr>
              <w:t>redacted</w:t>
            </w:r>
          </w:p>
        </w:tc>
      </w:tr>
      <w:tr w:rsidR="009D70AD" w:rsidRPr="00102634" w14:paraId="76074642" w14:textId="77777777" w:rsidTr="00A10B51">
        <w:trPr>
          <w:trHeight w:val="20"/>
        </w:trPr>
        <w:tc>
          <w:tcPr>
            <w:tcW w:w="279" w:type="dxa"/>
          </w:tcPr>
          <w:p w14:paraId="3DB81F3E" w14:textId="77777777" w:rsidR="009D70AD" w:rsidRPr="00102634" w:rsidRDefault="009D70AD" w:rsidP="009D70AD">
            <w:pPr>
              <w:pStyle w:val="TableText"/>
              <w:keepNext/>
              <w:keepLines/>
            </w:pPr>
            <w:r w:rsidRPr="00102634">
              <w:t>E3</w:t>
            </w:r>
          </w:p>
        </w:tc>
        <w:tc>
          <w:tcPr>
            <w:tcW w:w="4617" w:type="dxa"/>
            <w:noWrap/>
          </w:tcPr>
          <w:p w14:paraId="5B937200" w14:textId="77777777" w:rsidR="009D70AD" w:rsidRPr="00102634" w:rsidRDefault="009D70AD" w:rsidP="009D70AD">
            <w:pPr>
              <w:pStyle w:val="TableText"/>
              <w:keepNext/>
              <w:keepLines/>
            </w:pPr>
            <w:r w:rsidRPr="00102634">
              <w:t>CAPI + FULV (ITT)</w:t>
            </w:r>
            <w:r w:rsidRPr="00102634">
              <w:rPr>
                <w:b/>
                <w:bCs/>
              </w:rPr>
              <w:t xml:space="preserve"> </w:t>
            </w:r>
            <w:r w:rsidRPr="00102634">
              <w:t>OS = exponential</w:t>
            </w:r>
          </w:p>
        </w:tc>
        <w:tc>
          <w:tcPr>
            <w:tcW w:w="824" w:type="dxa"/>
            <w:noWrap/>
          </w:tcPr>
          <w:p w14:paraId="42895A18" w14:textId="77777777" w:rsidR="009D70AD" w:rsidRPr="0006231C" w:rsidRDefault="009D70AD" w:rsidP="009D70AD">
            <w:pPr>
              <w:pStyle w:val="TableText"/>
              <w:keepNext/>
              <w:keepLines/>
              <w:jc w:val="center"/>
            </w:pPr>
            <w:r w:rsidRPr="0006231C">
              <w:t>0.32</w:t>
            </w:r>
          </w:p>
        </w:tc>
        <w:tc>
          <w:tcPr>
            <w:tcW w:w="796" w:type="dxa"/>
            <w:noWrap/>
          </w:tcPr>
          <w:p w14:paraId="2A521A5F" w14:textId="77777777" w:rsidR="009D70AD" w:rsidRPr="0006231C" w:rsidRDefault="009D70AD" w:rsidP="009D70AD">
            <w:pPr>
              <w:pStyle w:val="TableText"/>
              <w:keepNext/>
              <w:keepLines/>
              <w:jc w:val="center"/>
            </w:pPr>
            <w:r w:rsidRPr="0006231C">
              <w:t>0.26</w:t>
            </w:r>
          </w:p>
        </w:tc>
        <w:tc>
          <w:tcPr>
            <w:tcW w:w="850" w:type="dxa"/>
            <w:noWrap/>
            <w:vAlign w:val="center"/>
          </w:tcPr>
          <w:p w14:paraId="2ACA6536" w14:textId="31FAA30C" w:rsidR="009D70AD" w:rsidRPr="00174D2F" w:rsidRDefault="009D70AD" w:rsidP="009D70AD">
            <w:pPr>
              <w:pStyle w:val="TableText"/>
              <w:keepNext/>
              <w:keepLines/>
              <w:jc w:val="center"/>
            </w:pPr>
            <w:r w:rsidRPr="00174D2F">
              <w:t>$</w:t>
            </w:r>
            <w:r w:rsidRPr="00174D2F">
              <w:rPr>
                <w:b/>
                <w:bCs/>
              </w:rPr>
              <w:t>redacted</w:t>
            </w:r>
          </w:p>
        </w:tc>
        <w:tc>
          <w:tcPr>
            <w:tcW w:w="993" w:type="dxa"/>
            <w:noWrap/>
            <w:vAlign w:val="center"/>
          </w:tcPr>
          <w:p w14:paraId="31999306" w14:textId="774DE43D" w:rsidR="009D70AD" w:rsidRPr="00174D2F" w:rsidRDefault="009D70AD" w:rsidP="009D70AD">
            <w:pPr>
              <w:pStyle w:val="TableText"/>
              <w:keepNext/>
              <w:keepLines/>
              <w:jc w:val="center"/>
            </w:pPr>
            <w:r w:rsidRPr="00174D2F">
              <w:t>$</w:t>
            </w:r>
            <w:r w:rsidRPr="00174D2F">
              <w:rPr>
                <w:b/>
                <w:bCs/>
              </w:rPr>
              <w:t>redacted</w:t>
            </w:r>
            <w:r w:rsidR="4F37B1BC" w:rsidRPr="10812078">
              <w:rPr>
                <w:b/>
                <w:bCs/>
              </w:rPr>
              <w:t xml:space="preserve"> </w:t>
            </w:r>
            <w:r w:rsidR="3C866597" w:rsidRPr="10812078">
              <w:rPr>
                <w:vertAlign w:val="superscript"/>
              </w:rPr>
              <w:t>4</w:t>
            </w:r>
          </w:p>
        </w:tc>
        <w:tc>
          <w:tcPr>
            <w:tcW w:w="850" w:type="dxa"/>
            <w:noWrap/>
          </w:tcPr>
          <w:p w14:paraId="6BAA0ED1" w14:textId="0239F30C" w:rsidR="009D70AD" w:rsidRPr="00174D2F" w:rsidRDefault="009D70AD" w:rsidP="009D70AD">
            <w:pPr>
              <w:pStyle w:val="TableText"/>
              <w:keepNext/>
              <w:keepLines/>
              <w:jc w:val="center"/>
            </w:pPr>
            <w:r w:rsidRPr="00174D2F">
              <w:rPr>
                <w:b/>
                <w:bCs/>
              </w:rPr>
              <w:t>redacted</w:t>
            </w:r>
          </w:p>
        </w:tc>
      </w:tr>
      <w:tr w:rsidR="009D70AD" w:rsidRPr="00102634" w14:paraId="5D29A982" w14:textId="77777777" w:rsidTr="00A10B51">
        <w:trPr>
          <w:trHeight w:val="20"/>
        </w:trPr>
        <w:tc>
          <w:tcPr>
            <w:tcW w:w="279" w:type="dxa"/>
          </w:tcPr>
          <w:p w14:paraId="101F4632" w14:textId="77777777" w:rsidR="009D70AD" w:rsidRPr="00102634" w:rsidRDefault="009D70AD" w:rsidP="009D70AD">
            <w:pPr>
              <w:pStyle w:val="TableText"/>
              <w:keepNext/>
              <w:keepLines/>
            </w:pPr>
            <w:r w:rsidRPr="00102634">
              <w:t>E4</w:t>
            </w:r>
          </w:p>
        </w:tc>
        <w:tc>
          <w:tcPr>
            <w:tcW w:w="4617" w:type="dxa"/>
            <w:noWrap/>
          </w:tcPr>
          <w:p w14:paraId="1AD49527" w14:textId="4F71167D" w:rsidR="009D70AD" w:rsidRPr="00102634" w:rsidRDefault="009D70AD" w:rsidP="009D70AD">
            <w:pPr>
              <w:pStyle w:val="TableText"/>
              <w:keepNext/>
              <w:keepLines/>
            </w:pPr>
            <w:r>
              <w:t>E</w:t>
            </w:r>
            <w:r w:rsidRPr="00102634">
              <w:t>1 + time horizon 10 years</w:t>
            </w:r>
          </w:p>
        </w:tc>
        <w:tc>
          <w:tcPr>
            <w:tcW w:w="824" w:type="dxa"/>
            <w:noWrap/>
          </w:tcPr>
          <w:p w14:paraId="686ABA5A" w14:textId="77777777" w:rsidR="009D70AD" w:rsidRPr="0006231C" w:rsidRDefault="009D70AD" w:rsidP="009D70AD">
            <w:pPr>
              <w:pStyle w:val="TableText"/>
              <w:keepNext/>
              <w:keepLines/>
              <w:jc w:val="center"/>
            </w:pPr>
            <w:r w:rsidRPr="0006231C">
              <w:t>0.48</w:t>
            </w:r>
          </w:p>
        </w:tc>
        <w:tc>
          <w:tcPr>
            <w:tcW w:w="796" w:type="dxa"/>
            <w:noWrap/>
          </w:tcPr>
          <w:p w14:paraId="617C0FF2" w14:textId="77777777" w:rsidR="009D70AD" w:rsidRPr="0006231C" w:rsidRDefault="009D70AD" w:rsidP="009D70AD">
            <w:pPr>
              <w:pStyle w:val="TableText"/>
              <w:keepNext/>
              <w:keepLines/>
              <w:jc w:val="center"/>
            </w:pPr>
            <w:r w:rsidRPr="0006231C">
              <w:t>0.36</w:t>
            </w:r>
          </w:p>
        </w:tc>
        <w:tc>
          <w:tcPr>
            <w:tcW w:w="850" w:type="dxa"/>
            <w:noWrap/>
            <w:vAlign w:val="center"/>
          </w:tcPr>
          <w:p w14:paraId="6F7C9D6A" w14:textId="042DC2A5" w:rsidR="009D70AD" w:rsidRPr="00174D2F" w:rsidRDefault="009D70AD" w:rsidP="009D70AD">
            <w:pPr>
              <w:pStyle w:val="TableText"/>
              <w:keepNext/>
              <w:keepLines/>
              <w:jc w:val="center"/>
            </w:pPr>
            <w:r w:rsidRPr="00174D2F">
              <w:t>$</w:t>
            </w:r>
            <w:r w:rsidRPr="00174D2F">
              <w:rPr>
                <w:b/>
                <w:bCs/>
              </w:rPr>
              <w:t>redacted</w:t>
            </w:r>
          </w:p>
        </w:tc>
        <w:tc>
          <w:tcPr>
            <w:tcW w:w="993" w:type="dxa"/>
            <w:noWrap/>
            <w:vAlign w:val="center"/>
          </w:tcPr>
          <w:p w14:paraId="1AAFD7EF" w14:textId="6A90D8A8" w:rsidR="009D70AD" w:rsidRPr="00174D2F" w:rsidRDefault="009D70AD" w:rsidP="009D70AD">
            <w:pPr>
              <w:pStyle w:val="TableText"/>
              <w:keepNext/>
              <w:keepLines/>
              <w:jc w:val="center"/>
            </w:pPr>
            <w:r w:rsidRPr="00174D2F">
              <w:t>$</w:t>
            </w:r>
            <w:r w:rsidRPr="00174D2F">
              <w:rPr>
                <w:b/>
                <w:bCs/>
              </w:rPr>
              <w:t>redacted</w:t>
            </w:r>
            <w:r w:rsidR="3B7D0771" w:rsidRPr="10812078">
              <w:rPr>
                <w:b/>
                <w:bCs/>
              </w:rPr>
              <w:t xml:space="preserve"> </w:t>
            </w:r>
            <w:r w:rsidR="35A0AB1F" w:rsidRPr="10812078">
              <w:rPr>
                <w:vertAlign w:val="superscript"/>
              </w:rPr>
              <w:t>3</w:t>
            </w:r>
          </w:p>
        </w:tc>
        <w:tc>
          <w:tcPr>
            <w:tcW w:w="850" w:type="dxa"/>
            <w:noWrap/>
          </w:tcPr>
          <w:p w14:paraId="66FB9901" w14:textId="51D49603" w:rsidR="009D70AD" w:rsidRPr="00174D2F" w:rsidRDefault="009D70AD" w:rsidP="009D70AD">
            <w:pPr>
              <w:pStyle w:val="TableText"/>
              <w:keepNext/>
              <w:keepLines/>
              <w:jc w:val="center"/>
            </w:pPr>
            <w:r w:rsidRPr="00174D2F">
              <w:rPr>
                <w:b/>
                <w:bCs/>
              </w:rPr>
              <w:t>redacted</w:t>
            </w:r>
          </w:p>
        </w:tc>
      </w:tr>
      <w:tr w:rsidR="009D70AD" w:rsidRPr="00102634" w14:paraId="1080BD58" w14:textId="77777777" w:rsidTr="00A10B51">
        <w:trPr>
          <w:trHeight w:val="20"/>
        </w:trPr>
        <w:tc>
          <w:tcPr>
            <w:tcW w:w="279" w:type="dxa"/>
          </w:tcPr>
          <w:p w14:paraId="2258BA84" w14:textId="77777777" w:rsidR="009D70AD" w:rsidRPr="00102634" w:rsidRDefault="009D70AD" w:rsidP="009D70AD">
            <w:pPr>
              <w:pStyle w:val="TableText"/>
              <w:keepNext/>
              <w:keepLines/>
            </w:pPr>
            <w:r w:rsidRPr="00102634">
              <w:t>E5</w:t>
            </w:r>
          </w:p>
        </w:tc>
        <w:tc>
          <w:tcPr>
            <w:tcW w:w="4617" w:type="dxa"/>
            <w:noWrap/>
          </w:tcPr>
          <w:p w14:paraId="40F82F12" w14:textId="10747F30" w:rsidR="009D70AD" w:rsidRPr="00102634" w:rsidRDefault="009D70AD" w:rsidP="009D70AD">
            <w:pPr>
              <w:pStyle w:val="TableText"/>
              <w:keepNext/>
              <w:keepLines/>
            </w:pPr>
            <w:r>
              <w:t>E</w:t>
            </w:r>
            <w:r w:rsidRPr="00102634">
              <w:t>4 + RDI 100%</w:t>
            </w:r>
          </w:p>
        </w:tc>
        <w:tc>
          <w:tcPr>
            <w:tcW w:w="824" w:type="dxa"/>
            <w:noWrap/>
          </w:tcPr>
          <w:p w14:paraId="0C32AC92" w14:textId="77777777" w:rsidR="009D70AD" w:rsidRPr="0006231C" w:rsidRDefault="009D70AD" w:rsidP="009D70AD">
            <w:pPr>
              <w:pStyle w:val="TableText"/>
              <w:keepNext/>
              <w:keepLines/>
              <w:jc w:val="center"/>
            </w:pPr>
            <w:r w:rsidRPr="0006231C">
              <w:t>0.48</w:t>
            </w:r>
          </w:p>
        </w:tc>
        <w:tc>
          <w:tcPr>
            <w:tcW w:w="796" w:type="dxa"/>
            <w:noWrap/>
          </w:tcPr>
          <w:p w14:paraId="0F130727" w14:textId="77777777" w:rsidR="009D70AD" w:rsidRPr="0006231C" w:rsidRDefault="009D70AD" w:rsidP="009D70AD">
            <w:pPr>
              <w:pStyle w:val="TableText"/>
              <w:keepNext/>
              <w:keepLines/>
              <w:jc w:val="center"/>
            </w:pPr>
            <w:r w:rsidRPr="0006231C">
              <w:t>0.36</w:t>
            </w:r>
          </w:p>
        </w:tc>
        <w:tc>
          <w:tcPr>
            <w:tcW w:w="850" w:type="dxa"/>
            <w:noWrap/>
            <w:vAlign w:val="center"/>
          </w:tcPr>
          <w:p w14:paraId="680619CA" w14:textId="638BDEB5" w:rsidR="009D70AD" w:rsidRPr="00174D2F" w:rsidRDefault="009D70AD" w:rsidP="009D70AD">
            <w:pPr>
              <w:pStyle w:val="TableText"/>
              <w:keepNext/>
              <w:keepLines/>
              <w:jc w:val="center"/>
            </w:pPr>
            <w:r w:rsidRPr="00174D2F">
              <w:t>$</w:t>
            </w:r>
            <w:r w:rsidRPr="00174D2F">
              <w:rPr>
                <w:b/>
                <w:bCs/>
              </w:rPr>
              <w:t>redacted</w:t>
            </w:r>
          </w:p>
        </w:tc>
        <w:tc>
          <w:tcPr>
            <w:tcW w:w="993" w:type="dxa"/>
            <w:noWrap/>
            <w:vAlign w:val="center"/>
          </w:tcPr>
          <w:p w14:paraId="4D18442E" w14:textId="07EBBBFF" w:rsidR="009D70AD" w:rsidRPr="00174D2F" w:rsidRDefault="009D70AD" w:rsidP="009D70AD">
            <w:pPr>
              <w:pStyle w:val="TableText"/>
              <w:keepNext/>
              <w:keepLines/>
              <w:jc w:val="center"/>
            </w:pPr>
            <w:r w:rsidRPr="00174D2F">
              <w:t>$</w:t>
            </w:r>
            <w:r w:rsidRPr="00174D2F">
              <w:rPr>
                <w:b/>
                <w:bCs/>
              </w:rPr>
              <w:t>redacted</w:t>
            </w:r>
            <w:r w:rsidR="2FBB3B0F" w:rsidRPr="10812078">
              <w:rPr>
                <w:b/>
                <w:bCs/>
              </w:rPr>
              <w:t xml:space="preserve"> </w:t>
            </w:r>
            <w:r w:rsidR="72E8F2A2" w:rsidRPr="10812078">
              <w:rPr>
                <w:vertAlign w:val="superscript"/>
              </w:rPr>
              <w:t>4</w:t>
            </w:r>
          </w:p>
        </w:tc>
        <w:tc>
          <w:tcPr>
            <w:tcW w:w="850" w:type="dxa"/>
            <w:noWrap/>
          </w:tcPr>
          <w:p w14:paraId="36FC84D5" w14:textId="7997CADF" w:rsidR="009D70AD" w:rsidRPr="00174D2F" w:rsidRDefault="009D70AD" w:rsidP="009D70AD">
            <w:pPr>
              <w:pStyle w:val="TableText"/>
              <w:keepNext/>
              <w:keepLines/>
              <w:jc w:val="center"/>
            </w:pPr>
            <w:r w:rsidRPr="00174D2F">
              <w:rPr>
                <w:b/>
                <w:bCs/>
              </w:rPr>
              <w:t>redacted</w:t>
            </w:r>
          </w:p>
        </w:tc>
      </w:tr>
      <w:tr w:rsidR="009D70AD" w:rsidRPr="00102634" w14:paraId="53B3DF86" w14:textId="77777777" w:rsidTr="00A10B51">
        <w:trPr>
          <w:trHeight w:val="20"/>
        </w:trPr>
        <w:tc>
          <w:tcPr>
            <w:tcW w:w="279" w:type="dxa"/>
          </w:tcPr>
          <w:p w14:paraId="35EC83E7" w14:textId="77777777" w:rsidR="009D70AD" w:rsidRPr="00102634" w:rsidRDefault="009D70AD" w:rsidP="009D70AD">
            <w:pPr>
              <w:pStyle w:val="TableText"/>
              <w:keepNext/>
              <w:keepLines/>
            </w:pPr>
            <w:r w:rsidRPr="00102634">
              <w:t>E6</w:t>
            </w:r>
          </w:p>
        </w:tc>
        <w:tc>
          <w:tcPr>
            <w:tcW w:w="4617" w:type="dxa"/>
            <w:noWrap/>
          </w:tcPr>
          <w:p w14:paraId="4D8D11D4" w14:textId="7798EAC9" w:rsidR="009D70AD" w:rsidRPr="00102634" w:rsidRDefault="009D70AD" w:rsidP="009D70AD">
            <w:pPr>
              <w:pStyle w:val="TableText"/>
              <w:keepNext/>
              <w:keepLines/>
            </w:pPr>
            <w:r>
              <w:t>E</w:t>
            </w:r>
            <w:r w:rsidRPr="00102634">
              <w:t>5 + trial-based PD utility 0.748</w:t>
            </w:r>
          </w:p>
        </w:tc>
        <w:tc>
          <w:tcPr>
            <w:tcW w:w="824" w:type="dxa"/>
            <w:noWrap/>
          </w:tcPr>
          <w:p w14:paraId="37F1D4D9" w14:textId="77777777" w:rsidR="009D70AD" w:rsidRPr="0006231C" w:rsidRDefault="009D70AD" w:rsidP="009D70AD">
            <w:pPr>
              <w:pStyle w:val="TableText"/>
              <w:keepNext/>
              <w:keepLines/>
              <w:jc w:val="center"/>
            </w:pPr>
            <w:r w:rsidRPr="0006231C">
              <w:t>0.48</w:t>
            </w:r>
          </w:p>
        </w:tc>
        <w:tc>
          <w:tcPr>
            <w:tcW w:w="796" w:type="dxa"/>
            <w:noWrap/>
          </w:tcPr>
          <w:p w14:paraId="537F52B6" w14:textId="77777777" w:rsidR="009D70AD" w:rsidRPr="0006231C" w:rsidRDefault="009D70AD" w:rsidP="009D70AD">
            <w:pPr>
              <w:pStyle w:val="TableText"/>
              <w:keepNext/>
              <w:keepLines/>
              <w:jc w:val="center"/>
            </w:pPr>
            <w:r w:rsidRPr="0006231C">
              <w:t>0.38</w:t>
            </w:r>
          </w:p>
        </w:tc>
        <w:tc>
          <w:tcPr>
            <w:tcW w:w="850" w:type="dxa"/>
            <w:noWrap/>
            <w:vAlign w:val="center"/>
          </w:tcPr>
          <w:p w14:paraId="5694EDB4" w14:textId="4F4ED7C7" w:rsidR="009D70AD" w:rsidRPr="00174D2F" w:rsidRDefault="009D70AD" w:rsidP="009D70AD">
            <w:pPr>
              <w:pStyle w:val="TableText"/>
              <w:keepNext/>
              <w:keepLines/>
              <w:jc w:val="center"/>
            </w:pPr>
            <w:r w:rsidRPr="00174D2F">
              <w:t>$</w:t>
            </w:r>
            <w:r w:rsidRPr="00174D2F">
              <w:rPr>
                <w:b/>
                <w:bCs/>
              </w:rPr>
              <w:t>redacted</w:t>
            </w:r>
          </w:p>
        </w:tc>
        <w:tc>
          <w:tcPr>
            <w:tcW w:w="993" w:type="dxa"/>
            <w:noWrap/>
            <w:vAlign w:val="center"/>
          </w:tcPr>
          <w:p w14:paraId="2A6FE736" w14:textId="1EB8D66B" w:rsidR="009D70AD" w:rsidRPr="00174D2F" w:rsidRDefault="009D70AD" w:rsidP="009D70AD">
            <w:pPr>
              <w:pStyle w:val="TableText"/>
              <w:keepNext/>
              <w:keepLines/>
              <w:jc w:val="center"/>
            </w:pPr>
            <w:r w:rsidRPr="00174D2F">
              <w:t>$</w:t>
            </w:r>
            <w:r w:rsidRPr="00174D2F">
              <w:rPr>
                <w:b/>
                <w:bCs/>
              </w:rPr>
              <w:t>redacted</w:t>
            </w:r>
            <w:r w:rsidR="42FB9AA5" w:rsidRPr="10812078">
              <w:rPr>
                <w:b/>
                <w:bCs/>
              </w:rPr>
              <w:t xml:space="preserve"> </w:t>
            </w:r>
            <w:r w:rsidR="10662191" w:rsidRPr="10812078">
              <w:rPr>
                <w:vertAlign w:val="superscript"/>
              </w:rPr>
              <w:t>4</w:t>
            </w:r>
          </w:p>
        </w:tc>
        <w:tc>
          <w:tcPr>
            <w:tcW w:w="850" w:type="dxa"/>
            <w:noWrap/>
          </w:tcPr>
          <w:p w14:paraId="2205CDC6" w14:textId="34069AA4" w:rsidR="009D70AD" w:rsidRPr="00174D2F" w:rsidRDefault="009D70AD" w:rsidP="009D70AD">
            <w:pPr>
              <w:pStyle w:val="TableText"/>
              <w:keepNext/>
              <w:keepLines/>
              <w:jc w:val="center"/>
            </w:pPr>
            <w:r w:rsidRPr="00174D2F">
              <w:rPr>
                <w:b/>
                <w:bCs/>
              </w:rPr>
              <w:t>redacted</w:t>
            </w:r>
          </w:p>
        </w:tc>
      </w:tr>
    </w:tbl>
    <w:p w14:paraId="3692F32B" w14:textId="77777777" w:rsidR="005D6D39" w:rsidRPr="00102634" w:rsidRDefault="005D6D39" w:rsidP="0011204B">
      <w:pPr>
        <w:pStyle w:val="TableFigureFooter"/>
        <w:keepNext/>
        <w:keepLines/>
      </w:pPr>
      <w:r w:rsidRPr="00102634">
        <w:t>Source: constructed during the evaluation using the economic model and Attachment 3.2 to the submission</w:t>
      </w:r>
    </w:p>
    <w:p w14:paraId="3E878A25" w14:textId="04BCC97B" w:rsidR="005D6D39" w:rsidRPr="00102634" w:rsidRDefault="005D6D39" w:rsidP="0011204B">
      <w:pPr>
        <w:pStyle w:val="TableFigureFooter"/>
        <w:keepNext/>
        <w:keepLines/>
      </w:pPr>
      <w:r w:rsidRPr="00102634">
        <w:rPr>
          <w:rFonts w:eastAsia="Arial"/>
        </w:rPr>
        <w:t xml:space="preserve">AIC = Akaike information criterion; BIC = AIC = Bayesian information criterion; </w:t>
      </w:r>
      <w:r w:rsidRPr="00102634">
        <w:t xml:space="preserve">CAPI = capivasertib; FULV = </w:t>
      </w:r>
      <w:proofErr w:type="spellStart"/>
      <w:r w:rsidRPr="00102634">
        <w:t>fulvestrant</w:t>
      </w:r>
      <w:proofErr w:type="spellEnd"/>
      <w:r w:rsidRPr="00102634">
        <w:t xml:space="preserve">; Inc = incremental; ICER = incremental cost effectiveness ratio; LYG = life year gained; </w:t>
      </w:r>
      <w:r w:rsidR="00CF2410">
        <w:t>PBO</w:t>
      </w:r>
      <w:r w:rsidRPr="00102634">
        <w:t xml:space="preserve"> = placebo; QALYs = quality adjusted life years</w:t>
      </w:r>
      <w:r w:rsidR="00920DA5">
        <w:t xml:space="preserve">; </w:t>
      </w:r>
      <w:r w:rsidR="00920DA5" w:rsidRPr="00102634">
        <w:t>%Δ</w:t>
      </w:r>
      <w:r w:rsidR="00920DA5">
        <w:t xml:space="preserve"> = percentage change from the submission’s base case ICER</w:t>
      </w:r>
    </w:p>
    <w:p w14:paraId="70CB78E4" w14:textId="77777777" w:rsidR="005D6D39" w:rsidRPr="00102634" w:rsidRDefault="005D6D39" w:rsidP="0011204B">
      <w:pPr>
        <w:pStyle w:val="TableFigureFooter"/>
        <w:keepNext/>
        <w:keepLines/>
      </w:pPr>
      <w:r w:rsidRPr="00102634">
        <w:t xml:space="preserve">E1: assumed no testing (including associated testing costs); efficacy was informed by CAPI+FULV arm from ITT data (including extrapolations); extrapolations selected according to best AIC/BIC fit (PFS = gen gamma and OS = log logistic) </w:t>
      </w:r>
    </w:p>
    <w:p w14:paraId="48E9BFA9" w14:textId="77777777" w:rsidR="005D6D39" w:rsidRPr="00102634" w:rsidRDefault="005D6D39" w:rsidP="0011204B">
      <w:pPr>
        <w:pStyle w:val="TableFigureFooter"/>
        <w:keepNext/>
        <w:keepLines/>
      </w:pPr>
      <w:r w:rsidRPr="00102634">
        <w:t>E2: same as E1 except PFS extrapolation = log normal</w:t>
      </w:r>
    </w:p>
    <w:p w14:paraId="4A6A818C" w14:textId="77777777" w:rsidR="005D6D39" w:rsidRPr="00102634" w:rsidRDefault="005D6D39" w:rsidP="0011204B">
      <w:pPr>
        <w:pStyle w:val="TableFigureFooter"/>
        <w:keepNext/>
        <w:keepLines/>
      </w:pPr>
      <w:r w:rsidRPr="00102634">
        <w:t xml:space="preserve">E3: same as E1 except OS extrapolation = exponential (despite being the last ranked AIC/BIC fit, this extrapolation produced an OS curve with convergence and did not cross over with the placebo + FULV base case extrapolations).  </w:t>
      </w:r>
    </w:p>
    <w:p w14:paraId="72F8B8D0" w14:textId="77777777" w:rsidR="005D6D39" w:rsidRPr="00102634" w:rsidRDefault="005D6D39" w:rsidP="0011204B">
      <w:pPr>
        <w:pStyle w:val="TableFigureFooter"/>
        <w:keepNext/>
        <w:keepLines/>
      </w:pPr>
      <w:r w:rsidRPr="00102634">
        <w:t>E4: same as E1 and additionally set the time horizon to 10 years</w:t>
      </w:r>
    </w:p>
    <w:p w14:paraId="4AD7056A" w14:textId="77777777" w:rsidR="005D6D39" w:rsidRPr="00102634" w:rsidRDefault="005D6D39" w:rsidP="0011204B">
      <w:pPr>
        <w:pStyle w:val="TableFigureFooter"/>
        <w:keepNext/>
        <w:keepLines/>
      </w:pPr>
      <w:r w:rsidRPr="00102634">
        <w:t>E5: same as E4 and additionally set RDI = 100% (Cell B12 = 100%, ‘Drug costs’ worksheet)</w:t>
      </w:r>
    </w:p>
    <w:p w14:paraId="73CCC74D" w14:textId="031EC595" w:rsidR="10812078" w:rsidRDefault="005D6D39" w:rsidP="10812078">
      <w:pPr>
        <w:pStyle w:val="TableFigureFooter"/>
        <w:keepNext/>
        <w:keepLines/>
      </w:pPr>
      <w:r w:rsidRPr="00102634">
        <w:t>E6: same as E5 and additionally applied the trial-based PD utility value (Cell B6 = 0.748, ‘Utilities’ worksheet)</w:t>
      </w:r>
    </w:p>
    <w:p w14:paraId="1E61DF80" w14:textId="033B91C8" w:rsidR="400B4369" w:rsidRDefault="400B4369" w:rsidP="008D6418">
      <w:pPr>
        <w:pStyle w:val="TableFigureFooter"/>
        <w:spacing w:before="240"/>
        <w:rPr>
          <w:b/>
          <w:bCs/>
        </w:rPr>
      </w:pPr>
      <w:r>
        <w:t>The redacted values correspond to the following ranges:</w:t>
      </w:r>
    </w:p>
    <w:p w14:paraId="5BBDA551" w14:textId="560F719E" w:rsidR="400B4369" w:rsidRDefault="400B4369" w:rsidP="10812078">
      <w:pPr>
        <w:pStyle w:val="TableFigureFooter"/>
        <w:rPr>
          <w:vertAlign w:val="superscript"/>
        </w:rPr>
      </w:pPr>
      <w:r w:rsidRPr="10812078">
        <w:rPr>
          <w:vertAlign w:val="superscript"/>
        </w:rPr>
        <w:t xml:space="preserve">1 </w:t>
      </w:r>
      <w:r w:rsidRPr="10812078">
        <w:t>$75,000 to &lt;$95,000</w:t>
      </w:r>
    </w:p>
    <w:p w14:paraId="20C708BF" w14:textId="5F24D99D" w:rsidR="03E42CB6" w:rsidRDefault="03E42CB6" w:rsidP="10812078">
      <w:pPr>
        <w:pStyle w:val="TableFigureFooter"/>
      </w:pPr>
      <w:r w:rsidRPr="0006231C">
        <w:rPr>
          <w:vertAlign w:val="superscript"/>
        </w:rPr>
        <w:t>2</w:t>
      </w:r>
      <w:r w:rsidR="25B52461" w:rsidRPr="10812078">
        <w:rPr>
          <w:vertAlign w:val="superscript"/>
        </w:rPr>
        <w:t xml:space="preserve"> </w:t>
      </w:r>
      <w:r w:rsidRPr="10812078">
        <w:t>$95,000 to &lt;$115,000</w:t>
      </w:r>
    </w:p>
    <w:p w14:paraId="0EA6FD5D" w14:textId="3D323793" w:rsidR="03E42CB6" w:rsidRDefault="03E42CB6" w:rsidP="10812078">
      <w:pPr>
        <w:pStyle w:val="TableFigureFooter"/>
      </w:pPr>
      <w:r w:rsidRPr="0006231C">
        <w:rPr>
          <w:vertAlign w:val="superscript"/>
        </w:rPr>
        <w:t>3</w:t>
      </w:r>
      <w:r w:rsidR="7FDB20FE" w:rsidRPr="10812078">
        <w:rPr>
          <w:vertAlign w:val="superscript"/>
        </w:rPr>
        <w:t xml:space="preserve"> </w:t>
      </w:r>
      <w:r w:rsidRPr="10812078">
        <w:t>$135,000 to &lt;$155,000</w:t>
      </w:r>
    </w:p>
    <w:p w14:paraId="7B658466" w14:textId="6E89CB08" w:rsidR="10812078" w:rsidRDefault="03E42CB6" w:rsidP="008D6418">
      <w:pPr>
        <w:pStyle w:val="TableFigureFooter"/>
      </w:pPr>
      <w:r w:rsidRPr="0006231C">
        <w:rPr>
          <w:vertAlign w:val="superscript"/>
        </w:rPr>
        <w:t>4</w:t>
      </w:r>
      <w:r w:rsidR="6134436D" w:rsidRPr="0006231C">
        <w:rPr>
          <w:vertAlign w:val="superscript"/>
        </w:rPr>
        <w:t xml:space="preserve"> </w:t>
      </w:r>
      <w:r w:rsidR="6134436D" w:rsidRPr="10812078">
        <w:t>$155,000 to &lt;$255,000</w:t>
      </w:r>
    </w:p>
    <w:p w14:paraId="13B559F7" w14:textId="784F1168" w:rsidR="000454E6" w:rsidRPr="00C24C30" w:rsidRDefault="005D6D39" w:rsidP="005D6D39">
      <w:pPr>
        <w:rPr>
          <w:rFonts w:ascii="Franklin Gothic Book" w:hAnsi="Franklin Gothic Book"/>
          <w:sz w:val="22"/>
        </w:rPr>
      </w:pPr>
      <w:r w:rsidRPr="00C24C30">
        <w:rPr>
          <w:rFonts w:ascii="Franklin Gothic Book" w:hAnsi="Franklin Gothic Book"/>
          <w:sz w:val="22"/>
        </w:rPr>
        <w:t xml:space="preserve">Assuming no testing and </w:t>
      </w:r>
      <w:r w:rsidR="795D4419" w:rsidRPr="00C24C30">
        <w:rPr>
          <w:rFonts w:ascii="Franklin Gothic Book" w:hAnsi="Franklin Gothic Book"/>
          <w:sz w:val="22"/>
        </w:rPr>
        <w:t>that</w:t>
      </w:r>
      <w:r w:rsidR="0038C535" w:rsidRPr="00C24C30">
        <w:rPr>
          <w:rFonts w:ascii="Franklin Gothic Book" w:hAnsi="Franklin Gothic Book"/>
          <w:sz w:val="22"/>
        </w:rPr>
        <w:t xml:space="preserve"> </w:t>
      </w:r>
      <w:r w:rsidRPr="00C24C30">
        <w:rPr>
          <w:rFonts w:ascii="Franklin Gothic Book" w:hAnsi="Franklin Gothic Book"/>
          <w:sz w:val="22"/>
        </w:rPr>
        <w:t>patients are treated irrespective of biomarker status</w:t>
      </w:r>
      <w:r w:rsidR="6D7044F8" w:rsidRPr="00C24C30">
        <w:rPr>
          <w:rFonts w:ascii="Franklin Gothic Book" w:hAnsi="Franklin Gothic Book"/>
          <w:sz w:val="22"/>
        </w:rPr>
        <w:t>,</w:t>
      </w:r>
      <w:r w:rsidRPr="00C24C30">
        <w:rPr>
          <w:rFonts w:ascii="Franklin Gothic Book" w:hAnsi="Franklin Gothic Book"/>
          <w:sz w:val="22"/>
        </w:rPr>
        <w:t xml:space="preserve"> and applying the best statistically fitting curves</w:t>
      </w:r>
      <w:r w:rsidR="63B8549D" w:rsidRPr="00C24C30">
        <w:rPr>
          <w:rFonts w:ascii="Franklin Gothic Book" w:hAnsi="Franklin Gothic Book"/>
          <w:sz w:val="22"/>
        </w:rPr>
        <w:t>,</w:t>
      </w:r>
      <w:r w:rsidRPr="00C24C30">
        <w:rPr>
          <w:rFonts w:ascii="Franklin Gothic Book" w:hAnsi="Franklin Gothic Book"/>
          <w:sz w:val="22"/>
        </w:rPr>
        <w:t xml:space="preserve"> led to a </w:t>
      </w:r>
      <w:r w:rsidR="009D70AD">
        <w:rPr>
          <w:rFonts w:ascii="Franklin Gothic Book" w:hAnsi="Franklin Gothic Book"/>
          <w:b/>
          <w:bCs/>
          <w:sz w:val="22"/>
        </w:rPr>
        <w:t>redacted</w:t>
      </w:r>
      <w:r w:rsidR="089D400A" w:rsidRPr="10812078">
        <w:rPr>
          <w:rFonts w:ascii="Franklin Gothic Book" w:hAnsi="Franklin Gothic Book"/>
          <w:sz w:val="22"/>
        </w:rPr>
        <w:t>%</w:t>
      </w:r>
      <w:r w:rsidRPr="00C24C30">
        <w:rPr>
          <w:rFonts w:ascii="Franklin Gothic Book" w:hAnsi="Franklin Gothic Book"/>
          <w:sz w:val="22"/>
        </w:rPr>
        <w:t xml:space="preserve"> increase in the base case ICER (from $</w:t>
      </w:r>
      <w:r w:rsidR="00174D2F">
        <w:rPr>
          <w:rFonts w:ascii="Franklin Gothic Book" w:hAnsi="Franklin Gothic Book"/>
          <w:sz w:val="22"/>
        </w:rPr>
        <w:t>75,000 to &lt;$95,000/QALY to $95,000 to &lt;$115,000/</w:t>
      </w:r>
      <w:r w:rsidRPr="00C24C30">
        <w:rPr>
          <w:rFonts w:ascii="Franklin Gothic Book" w:hAnsi="Franklin Gothic Book"/>
          <w:sz w:val="22"/>
        </w:rPr>
        <w:t xml:space="preserve">QALY gained; scenario E1). </w:t>
      </w:r>
      <w:r w:rsidR="00A05CD0" w:rsidRPr="00C24C30">
        <w:rPr>
          <w:rFonts w:ascii="Franklin Gothic Book" w:hAnsi="Franklin Gothic Book"/>
          <w:sz w:val="22"/>
        </w:rPr>
        <w:t xml:space="preserve">Under this scenario CAPI is now received in 100% of the ‘intervention arm’ rather than only ~45% in the proposed test </w:t>
      </w:r>
      <w:r w:rsidR="00A05CD0" w:rsidRPr="00174D2F">
        <w:rPr>
          <w:rFonts w:ascii="Franklin Gothic Book" w:hAnsi="Franklin Gothic Book"/>
          <w:sz w:val="22"/>
        </w:rPr>
        <w:t>scenario base case and the ITT results showed a benefit in all patients treated with CAPI+FULV</w:t>
      </w:r>
      <w:r w:rsidR="0052232E" w:rsidRPr="00174D2F">
        <w:rPr>
          <w:rFonts w:ascii="Franklin Gothic Book" w:hAnsi="Franklin Gothic Book"/>
          <w:sz w:val="22"/>
        </w:rPr>
        <w:t xml:space="preserve"> (0.93 LYG in the scenario vs 0.67 LYG in the base case)</w:t>
      </w:r>
      <w:r w:rsidR="00A05CD0" w:rsidRPr="00174D2F">
        <w:rPr>
          <w:rFonts w:ascii="Franklin Gothic Book" w:hAnsi="Franklin Gothic Book"/>
          <w:sz w:val="22"/>
        </w:rPr>
        <w:t>. This</w:t>
      </w:r>
      <w:r w:rsidRPr="00174D2F" w:rsidDel="000454E6">
        <w:rPr>
          <w:rFonts w:ascii="Franklin Gothic Book" w:hAnsi="Franklin Gothic Book"/>
          <w:sz w:val="22"/>
        </w:rPr>
        <w:t xml:space="preserve"> </w:t>
      </w:r>
      <w:r w:rsidR="000454E6" w:rsidRPr="00174D2F">
        <w:rPr>
          <w:rFonts w:ascii="Franklin Gothic Book" w:hAnsi="Franklin Gothic Book"/>
          <w:sz w:val="22"/>
        </w:rPr>
        <w:t xml:space="preserve">increased </w:t>
      </w:r>
      <w:r w:rsidR="0052232E" w:rsidRPr="00174D2F">
        <w:rPr>
          <w:rFonts w:ascii="Franklin Gothic Book" w:hAnsi="Franklin Gothic Book"/>
          <w:sz w:val="22"/>
        </w:rPr>
        <w:t xml:space="preserve">the </w:t>
      </w:r>
      <w:r w:rsidR="000454E6" w:rsidRPr="00174D2F">
        <w:rPr>
          <w:rFonts w:ascii="Franklin Gothic Book" w:hAnsi="Franklin Gothic Book"/>
          <w:sz w:val="22"/>
        </w:rPr>
        <w:t>cost of CAPI treatment in the scenario analysis compared to the base case ($</w:t>
      </w:r>
      <w:r w:rsidR="00174D2F" w:rsidRPr="00174D2F">
        <w:rPr>
          <w:rFonts w:ascii="Franklin Gothic Book" w:hAnsi="Franklin Gothic Book"/>
          <w:b/>
          <w:bCs/>
          <w:sz w:val="22"/>
        </w:rPr>
        <w:t>redacted</w:t>
      </w:r>
      <w:r w:rsidR="000454E6" w:rsidRPr="00174D2F">
        <w:rPr>
          <w:rFonts w:ascii="Franklin Gothic Book" w:hAnsi="Franklin Gothic Book"/>
          <w:sz w:val="22"/>
        </w:rPr>
        <w:t xml:space="preserve"> vs $</w:t>
      </w:r>
      <w:r w:rsidR="00174D2F" w:rsidRPr="00174D2F">
        <w:rPr>
          <w:rFonts w:ascii="Franklin Gothic Book" w:hAnsi="Franklin Gothic Book"/>
          <w:b/>
          <w:bCs/>
          <w:sz w:val="22"/>
        </w:rPr>
        <w:t>redacted</w:t>
      </w:r>
      <w:r w:rsidR="000454E6" w:rsidRPr="00C24C30">
        <w:rPr>
          <w:rFonts w:ascii="Franklin Gothic Book" w:hAnsi="Franklin Gothic Book"/>
          <w:sz w:val="22"/>
        </w:rPr>
        <w:t xml:space="preserve">) </w:t>
      </w:r>
      <w:r w:rsidR="00A05CD0" w:rsidRPr="00C24C30">
        <w:rPr>
          <w:rFonts w:ascii="Franklin Gothic Book" w:hAnsi="Franklin Gothic Book"/>
          <w:sz w:val="22"/>
        </w:rPr>
        <w:t xml:space="preserve">and </w:t>
      </w:r>
      <w:r w:rsidR="000454E6" w:rsidRPr="00C24C30">
        <w:rPr>
          <w:rFonts w:ascii="Franklin Gothic Book" w:hAnsi="Franklin Gothic Book"/>
          <w:sz w:val="22"/>
        </w:rPr>
        <w:t xml:space="preserve">was accompanied by a greater QALY </w:t>
      </w:r>
      <w:r w:rsidR="000454E6" w:rsidRPr="00174D2F">
        <w:rPr>
          <w:rFonts w:ascii="Franklin Gothic Book" w:hAnsi="Franklin Gothic Book"/>
          <w:sz w:val="22"/>
        </w:rPr>
        <w:t>gain (0.48 vs 0.29 incremental QALY gain); albeit</w:t>
      </w:r>
      <w:r w:rsidR="000454E6" w:rsidRPr="00C24C30">
        <w:rPr>
          <w:rFonts w:ascii="Franklin Gothic Book" w:hAnsi="Franklin Gothic Book"/>
          <w:sz w:val="22"/>
        </w:rPr>
        <w:t xml:space="preserve"> to a lesser extent compared to the cost increase. </w:t>
      </w:r>
      <w:r w:rsidR="00A05CD0" w:rsidRPr="00C24C30">
        <w:rPr>
          <w:rFonts w:ascii="Franklin Gothic Book" w:hAnsi="Franklin Gothic Book"/>
          <w:sz w:val="22"/>
        </w:rPr>
        <w:t xml:space="preserve">Testing costs were no longer incurred, though this accounted for only </w:t>
      </w:r>
      <w:r w:rsidR="00174D2F">
        <w:rPr>
          <w:rFonts w:ascii="Franklin Gothic Book" w:hAnsi="Franklin Gothic Book"/>
          <w:b/>
          <w:bCs/>
          <w:sz w:val="22"/>
        </w:rPr>
        <w:t>redacted</w:t>
      </w:r>
      <w:r w:rsidR="322EC56F" w:rsidRPr="10812078">
        <w:rPr>
          <w:rFonts w:ascii="Franklin Gothic Book" w:hAnsi="Franklin Gothic Book"/>
          <w:sz w:val="22"/>
        </w:rPr>
        <w:t>%</w:t>
      </w:r>
      <w:r w:rsidR="00A05CD0" w:rsidRPr="00C24C30">
        <w:rPr>
          <w:rFonts w:ascii="Franklin Gothic Book" w:hAnsi="Franklin Gothic Book"/>
          <w:sz w:val="22"/>
        </w:rPr>
        <w:t xml:space="preserve"> of the total incremental cost in the submission’s economic evaluation. </w:t>
      </w:r>
    </w:p>
    <w:p w14:paraId="48B2BCC8" w14:textId="341DF448"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Assuming scenario analysis E1 as representative of treating non-biomarker selected patients, the resulting modelled PFS and OS curves are presented in </w:t>
      </w:r>
      <w:r w:rsidR="007069BE" w:rsidRPr="00C24C30">
        <w:rPr>
          <w:rFonts w:ascii="Franklin Gothic Book" w:hAnsi="Franklin Gothic Book"/>
          <w:sz w:val="22"/>
        </w:rPr>
        <w:t xml:space="preserve">Figure </w:t>
      </w:r>
      <w:r w:rsidR="001B6FC6">
        <w:rPr>
          <w:rFonts w:ascii="Franklin Gothic Book" w:hAnsi="Franklin Gothic Book"/>
          <w:sz w:val="22"/>
        </w:rPr>
        <w:t>4</w:t>
      </w:r>
      <w:r w:rsidRPr="00C24C30">
        <w:rPr>
          <w:rFonts w:ascii="Franklin Gothic Book" w:hAnsi="Franklin Gothic Book"/>
          <w:sz w:val="22"/>
        </w:rPr>
        <w:t>. Additionally applying a time horizon of 10 years, an RDI of 100</w:t>
      </w:r>
      <w:r w:rsidR="0038C535" w:rsidRPr="00C24C30">
        <w:rPr>
          <w:rFonts w:ascii="Franklin Gothic Book" w:hAnsi="Franklin Gothic Book"/>
          <w:sz w:val="22"/>
        </w:rPr>
        <w:t>%</w:t>
      </w:r>
      <w:r w:rsidR="05A58F40" w:rsidRPr="00C24C30">
        <w:rPr>
          <w:rFonts w:ascii="Franklin Gothic Book" w:hAnsi="Franklin Gothic Book"/>
          <w:sz w:val="22"/>
        </w:rPr>
        <w:t>,</w:t>
      </w:r>
      <w:r w:rsidRPr="00C24C30">
        <w:rPr>
          <w:rFonts w:ascii="Franklin Gothic Book" w:hAnsi="Franklin Gothic Book"/>
          <w:sz w:val="22"/>
        </w:rPr>
        <w:t xml:space="preserve"> and the trial-based PD utility value (0.748) led to a net </w:t>
      </w:r>
      <w:r w:rsidR="00174D2F">
        <w:rPr>
          <w:rFonts w:ascii="Franklin Gothic Book" w:hAnsi="Franklin Gothic Book"/>
          <w:b/>
          <w:bCs/>
          <w:sz w:val="22"/>
        </w:rPr>
        <w:t>redacted</w:t>
      </w:r>
      <w:r w:rsidR="5D71AC3E" w:rsidRPr="10812078">
        <w:rPr>
          <w:rFonts w:ascii="Franklin Gothic Book" w:hAnsi="Franklin Gothic Book"/>
          <w:sz w:val="22"/>
        </w:rPr>
        <w:t>%</w:t>
      </w:r>
      <w:r w:rsidRPr="00C24C30">
        <w:rPr>
          <w:rFonts w:ascii="Franklin Gothic Book" w:hAnsi="Franklin Gothic Book"/>
          <w:sz w:val="22"/>
        </w:rPr>
        <w:t xml:space="preserve"> increase from the base case </w:t>
      </w:r>
      <w:r w:rsidRPr="00174D2F">
        <w:rPr>
          <w:rFonts w:ascii="Franklin Gothic Book" w:hAnsi="Franklin Gothic Book"/>
          <w:sz w:val="22"/>
        </w:rPr>
        <w:t>ICER ($</w:t>
      </w:r>
      <w:r w:rsidR="00174D2F" w:rsidRPr="00174D2F">
        <w:rPr>
          <w:rFonts w:ascii="Franklin Gothic Book" w:hAnsi="Franklin Gothic Book"/>
          <w:sz w:val="22"/>
        </w:rPr>
        <w:t>155,000 to &lt;$255,000</w:t>
      </w:r>
      <w:r w:rsidRPr="00174D2F">
        <w:rPr>
          <w:rFonts w:ascii="Franklin Gothic Book" w:hAnsi="Franklin Gothic Book"/>
          <w:sz w:val="22"/>
        </w:rPr>
        <w:t xml:space="preserve"> per QALY</w:t>
      </w:r>
      <w:r w:rsidRPr="00C24C30">
        <w:rPr>
          <w:rFonts w:ascii="Franklin Gothic Book" w:hAnsi="Franklin Gothic Book"/>
          <w:sz w:val="22"/>
        </w:rPr>
        <w:t xml:space="preserve"> gained i.e., scenario analysis B6).</w:t>
      </w:r>
    </w:p>
    <w:p w14:paraId="4AE07228" w14:textId="70563709" w:rsidR="00FB40BB" w:rsidRPr="00102634" w:rsidRDefault="00FB40BB" w:rsidP="003F6F2A">
      <w:pPr>
        <w:pStyle w:val="Caption"/>
      </w:pPr>
      <w:r w:rsidRPr="00102634">
        <w:lastRenderedPageBreak/>
        <w:t xml:space="preserve">Figure </w:t>
      </w:r>
      <w:r w:rsidR="0016064D">
        <w:fldChar w:fldCharType="begin"/>
      </w:r>
      <w:r w:rsidR="0016064D">
        <w:instrText xml:space="preserve"> SEQ Figure_MSAC. \* ARABIC </w:instrText>
      </w:r>
      <w:r w:rsidR="0016064D">
        <w:fldChar w:fldCharType="separate"/>
      </w:r>
      <w:r w:rsidR="0016064D">
        <w:rPr>
          <w:noProof/>
        </w:rPr>
        <w:t>4</w:t>
      </w:r>
      <w:r w:rsidR="0016064D">
        <w:rPr>
          <w:noProof/>
        </w:rPr>
        <w:fldChar w:fldCharType="end"/>
      </w:r>
      <w:r w:rsidRPr="00102634">
        <w:t xml:space="preserve">: Modelled PFS and OS in scenario E1 </w:t>
      </w:r>
    </w:p>
    <w:p w14:paraId="0C01101D" w14:textId="77777777" w:rsidR="005D6D39" w:rsidRPr="00102634" w:rsidRDefault="005D6D39" w:rsidP="00C24C30">
      <w:pPr>
        <w:pStyle w:val="InstructionalText"/>
        <w:keepNext/>
        <w:keepLines/>
      </w:pPr>
      <w:r w:rsidRPr="00102634">
        <w:rPr>
          <w:noProof/>
          <w:color w:val="2B579A"/>
          <w:shd w:val="clear" w:color="auto" w:fill="E6E6E6"/>
          <w:lang w:eastAsia="en-AU"/>
        </w:rPr>
        <w:drawing>
          <wp:inline distT="0" distB="0" distL="0" distR="0" wp14:anchorId="077B6449" wp14:editId="0463A9F9">
            <wp:extent cx="5585460" cy="3019256"/>
            <wp:effectExtent l="0" t="0" r="0" b="0"/>
            <wp:docPr id="1284309199" name="Picture 4" descr="A graph of different colored lines showing modelled PFS and OS in scenario 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09199" name="Picture 4" descr="A graph of different colored lines showing modelled PFS and OS in scenario E1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8909" cy="3026526"/>
                    </a:xfrm>
                    <a:prstGeom prst="rect">
                      <a:avLst/>
                    </a:prstGeom>
                    <a:noFill/>
                  </pic:spPr>
                </pic:pic>
              </a:graphicData>
            </a:graphic>
          </wp:inline>
        </w:drawing>
      </w:r>
    </w:p>
    <w:p w14:paraId="1D2AD695" w14:textId="77777777" w:rsidR="005D6D39" w:rsidRPr="00102634" w:rsidRDefault="005D6D39" w:rsidP="00C24C30">
      <w:pPr>
        <w:pStyle w:val="TableFigureFooter"/>
        <w:keepNext/>
        <w:keepLines/>
      </w:pPr>
      <w:r w:rsidRPr="00102634">
        <w:t>Source: constructed during the evaluation using ‘Extrapolations CAPI (P1)’ and ‘Extrapolations CAPI ITT’ worksheets from the economic model and Attachment 3.2 to the submission</w:t>
      </w:r>
    </w:p>
    <w:p w14:paraId="0F76E527" w14:textId="77777777" w:rsidR="005D6D39" w:rsidRPr="00102634" w:rsidRDefault="005D6D39" w:rsidP="00C24C30">
      <w:pPr>
        <w:pStyle w:val="TableFigureFooter"/>
        <w:keepNext/>
        <w:keepLines/>
      </w:pPr>
      <w:r w:rsidRPr="00102634">
        <w:t xml:space="preserve">CAPI = capivasertib; FULV = </w:t>
      </w:r>
      <w:proofErr w:type="spellStart"/>
      <w:r w:rsidRPr="00102634">
        <w:t>fulvestrant</w:t>
      </w:r>
      <w:proofErr w:type="spellEnd"/>
      <w:r w:rsidRPr="00102634">
        <w:t>; ITT = intention to treat; PFS = progression free survival; OS = overall survival</w:t>
      </w:r>
    </w:p>
    <w:p w14:paraId="5F41C688" w14:textId="77777777" w:rsidR="005D6D39" w:rsidRPr="00102634" w:rsidRDefault="005D6D39" w:rsidP="00C24C30">
      <w:pPr>
        <w:pStyle w:val="TableFigureFooter"/>
        <w:keepNext/>
        <w:keepLines/>
      </w:pPr>
      <w:r w:rsidRPr="00102634">
        <w:t xml:space="preserve">Note: extrapolation selected </w:t>
      </w:r>
      <w:proofErr w:type="gramStart"/>
      <w:r w:rsidRPr="00102634">
        <w:t>base</w:t>
      </w:r>
      <w:proofErr w:type="gramEnd"/>
      <w:r w:rsidRPr="00102634">
        <w:t xml:space="preserve"> on best statistical AIC/BIC fit and visual plausibility </w:t>
      </w:r>
    </w:p>
    <w:p w14:paraId="796A468A" w14:textId="77777777" w:rsidR="005D6D39" w:rsidRPr="00C24C30" w:rsidRDefault="005D6D39"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48" w:name="_Toc177560715"/>
      <w:r w:rsidRPr="00C24C30">
        <w:rPr>
          <w:rFonts w:ascii="Franklin Gothic Medium" w:hAnsi="Franklin Gothic Medium"/>
          <w:b w:val="0"/>
          <w:i w:val="0"/>
          <w:snapToGrid/>
          <w:color w:val="000000" w:themeColor="text1"/>
          <w:sz w:val="32"/>
          <w:szCs w:val="26"/>
        </w:rPr>
        <w:t>Financial/budgetary impacts</w:t>
      </w:r>
      <w:bookmarkEnd w:id="48"/>
    </w:p>
    <w:p w14:paraId="792F2DA9" w14:textId="72F08D6F" w:rsidR="005D6D39" w:rsidRPr="00C24C30" w:rsidRDefault="005D6D39" w:rsidP="005D6D39">
      <w:pPr>
        <w:rPr>
          <w:rFonts w:ascii="Franklin Gothic Book" w:hAnsi="Franklin Gothic Book"/>
          <w:sz w:val="22"/>
        </w:rPr>
      </w:pPr>
      <w:r w:rsidRPr="00C24C30">
        <w:rPr>
          <w:rFonts w:ascii="Franklin Gothic Book" w:hAnsi="Franklin Gothic Book"/>
          <w:sz w:val="22"/>
        </w:rPr>
        <w:t>The submission adopted an epidemiological approach to estimate the financial impact of testing for AKT pathway alterations (</w:t>
      </w:r>
      <w:r w:rsidRPr="00C24C30">
        <w:rPr>
          <w:rFonts w:ascii="Franklin Gothic Book" w:hAnsi="Franklin Gothic Book"/>
          <w:i/>
          <w:iCs/>
          <w:sz w:val="22"/>
        </w:rPr>
        <w:t xml:space="preserve">PIK3CA, AKT1, </w:t>
      </w:r>
      <w:r w:rsidRPr="00C24C30">
        <w:rPr>
          <w:rFonts w:ascii="Franklin Gothic Book" w:hAnsi="Franklin Gothic Book"/>
          <w:sz w:val="22"/>
        </w:rPr>
        <w:t>or</w:t>
      </w:r>
      <w:r w:rsidRPr="00C24C30">
        <w:rPr>
          <w:rFonts w:ascii="Franklin Gothic Book" w:hAnsi="Franklin Gothic Book"/>
          <w:i/>
          <w:iCs/>
          <w:sz w:val="22"/>
        </w:rPr>
        <w:t xml:space="preserve"> PTEN</w:t>
      </w:r>
      <w:r w:rsidRPr="00C24C30">
        <w:rPr>
          <w:rFonts w:ascii="Franklin Gothic Book" w:hAnsi="Franklin Gothic Book"/>
          <w:sz w:val="22"/>
        </w:rPr>
        <w:t xml:space="preserve">) and treatment with CAPI+FULV in </w:t>
      </w:r>
      <w:r w:rsidR="2A624213" w:rsidRPr="00C24C30">
        <w:rPr>
          <w:rFonts w:ascii="Franklin Gothic Book" w:hAnsi="Franklin Gothic Book"/>
          <w:sz w:val="22"/>
        </w:rPr>
        <w:t xml:space="preserve">patients with </w:t>
      </w:r>
      <w:r w:rsidRPr="00C24C30">
        <w:rPr>
          <w:rFonts w:ascii="Franklin Gothic Book" w:hAnsi="Franklin Gothic Book"/>
          <w:sz w:val="22"/>
        </w:rPr>
        <w:t>HR+/HER2- locally advanced or metastatic breast cancer following disease progression or recurrence on or after an ET with or without a CDK4/6 inhibitor.</w:t>
      </w:r>
    </w:p>
    <w:p w14:paraId="21F7A10F" w14:textId="440FE41D"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inputs and data sources used are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_Ref174966092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17</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w:t>
      </w:r>
    </w:p>
    <w:p w14:paraId="33EA8F3F" w14:textId="2C9195B4" w:rsidR="005D6D39" w:rsidRPr="00102634" w:rsidRDefault="005D6D39" w:rsidP="003F6F2A">
      <w:pPr>
        <w:pStyle w:val="Caption"/>
        <w:rPr>
          <w:rStyle w:val="CommentReference"/>
          <w:b/>
        </w:rPr>
      </w:pPr>
      <w:bookmarkStart w:id="49" w:name="_Ref174966092"/>
      <w:r w:rsidRPr="00102634">
        <w:t xml:space="preserve">Table </w:t>
      </w:r>
      <w:r w:rsidR="0016064D">
        <w:fldChar w:fldCharType="begin"/>
      </w:r>
      <w:r w:rsidR="0016064D">
        <w:instrText xml:space="preserve"> SEQ Table_MSAC. \* ARABIC </w:instrText>
      </w:r>
      <w:r w:rsidR="0016064D">
        <w:fldChar w:fldCharType="separate"/>
      </w:r>
      <w:r w:rsidR="0016064D">
        <w:rPr>
          <w:noProof/>
        </w:rPr>
        <w:t>17</w:t>
      </w:r>
      <w:r w:rsidR="0016064D">
        <w:rPr>
          <w:noProof/>
        </w:rPr>
        <w:fldChar w:fldCharType="end"/>
      </w:r>
      <w:bookmarkEnd w:id="49"/>
      <w:r w:rsidRPr="00102634">
        <w:t xml:space="preserve">: </w:t>
      </w:r>
      <w:r w:rsidRPr="00102634">
        <w:rPr>
          <w:rStyle w:val="CommentReference"/>
          <w:b/>
        </w:rPr>
        <w:t>Key inputs for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820"/>
        <w:gridCol w:w="3067"/>
      </w:tblGrid>
      <w:tr w:rsidR="005D6D39" w:rsidRPr="00102634" w14:paraId="5481B26D" w14:textId="77777777">
        <w:trPr>
          <w:cantSplit/>
          <w:tblHeader/>
        </w:trPr>
        <w:tc>
          <w:tcPr>
            <w:tcW w:w="1129" w:type="dxa"/>
            <w:vAlign w:val="center"/>
          </w:tcPr>
          <w:p w14:paraId="488632B6" w14:textId="77777777" w:rsidR="005D6D39" w:rsidRPr="00102634" w:rsidRDefault="005D6D39">
            <w:pPr>
              <w:pStyle w:val="In-tableHeading"/>
              <w:jc w:val="center"/>
              <w:rPr>
                <w:lang w:val="en-AU"/>
              </w:rPr>
            </w:pPr>
            <w:r w:rsidRPr="00102634">
              <w:rPr>
                <w:lang w:val="en-AU"/>
              </w:rPr>
              <w:t>Data</w:t>
            </w:r>
          </w:p>
        </w:tc>
        <w:tc>
          <w:tcPr>
            <w:tcW w:w="4820" w:type="dxa"/>
            <w:vAlign w:val="center"/>
          </w:tcPr>
          <w:p w14:paraId="5F544D40" w14:textId="77777777" w:rsidR="005D6D39" w:rsidRPr="00102634" w:rsidRDefault="005D6D39">
            <w:pPr>
              <w:pStyle w:val="In-tableHeading"/>
              <w:rPr>
                <w:lang w:val="en-AU"/>
              </w:rPr>
            </w:pPr>
            <w:r w:rsidRPr="00102634">
              <w:rPr>
                <w:lang w:val="en-AU"/>
              </w:rPr>
              <w:t>Value and source</w:t>
            </w:r>
          </w:p>
        </w:tc>
        <w:tc>
          <w:tcPr>
            <w:tcW w:w="3067" w:type="dxa"/>
            <w:vAlign w:val="center"/>
          </w:tcPr>
          <w:p w14:paraId="402487FC" w14:textId="77777777" w:rsidR="005D6D39" w:rsidRPr="00102634" w:rsidRDefault="005D6D39">
            <w:pPr>
              <w:pStyle w:val="In-tableHeading"/>
              <w:jc w:val="center"/>
              <w:rPr>
                <w:lang w:val="en-AU"/>
              </w:rPr>
            </w:pPr>
            <w:r w:rsidRPr="00102634">
              <w:rPr>
                <w:lang w:val="en-AU"/>
              </w:rPr>
              <w:t>Comment</w:t>
            </w:r>
          </w:p>
        </w:tc>
      </w:tr>
      <w:tr w:rsidR="005D6D39" w:rsidRPr="00102634" w14:paraId="32AB46F4" w14:textId="77777777">
        <w:trPr>
          <w:cantSplit/>
        </w:trPr>
        <w:tc>
          <w:tcPr>
            <w:tcW w:w="9016" w:type="dxa"/>
            <w:gridSpan w:val="3"/>
            <w:vAlign w:val="center"/>
          </w:tcPr>
          <w:p w14:paraId="0EA6DE4F" w14:textId="77777777" w:rsidR="005D6D39" w:rsidRPr="00102634" w:rsidRDefault="005D6D39">
            <w:pPr>
              <w:pStyle w:val="In-tableHeading"/>
              <w:rPr>
                <w:lang w:val="en-AU"/>
              </w:rPr>
            </w:pPr>
            <w:r w:rsidRPr="00102634">
              <w:rPr>
                <w:lang w:val="en-AU"/>
              </w:rPr>
              <w:t>Eligible population</w:t>
            </w:r>
          </w:p>
        </w:tc>
      </w:tr>
      <w:tr w:rsidR="005D6D39" w:rsidRPr="00102634" w14:paraId="119B5E7C" w14:textId="77777777">
        <w:trPr>
          <w:cantSplit/>
        </w:trPr>
        <w:tc>
          <w:tcPr>
            <w:tcW w:w="1129" w:type="dxa"/>
            <w:vAlign w:val="center"/>
          </w:tcPr>
          <w:p w14:paraId="6FCDD8B4" w14:textId="77777777" w:rsidR="005D6D39" w:rsidRPr="00102634" w:rsidRDefault="005D6D39">
            <w:pPr>
              <w:pStyle w:val="In-tableHeading"/>
              <w:rPr>
                <w:b w:val="0"/>
                <w:bCs/>
                <w:lang w:val="en-AU"/>
              </w:rPr>
            </w:pPr>
            <w:r w:rsidRPr="00102634">
              <w:rPr>
                <w:b w:val="0"/>
                <w:bCs/>
                <w:lang w:val="en-AU"/>
              </w:rPr>
              <w:t xml:space="preserve">BC incidence </w:t>
            </w:r>
          </w:p>
        </w:tc>
        <w:tc>
          <w:tcPr>
            <w:tcW w:w="4820" w:type="dxa"/>
            <w:vAlign w:val="center"/>
          </w:tcPr>
          <w:p w14:paraId="46FF57F8" w14:textId="77777777" w:rsidR="005D6D39" w:rsidRPr="00102634" w:rsidRDefault="005D6D39">
            <w:pPr>
              <w:pStyle w:val="In-tableHeading"/>
              <w:rPr>
                <w:lang w:val="en-AU"/>
              </w:rPr>
            </w:pPr>
            <w:r w:rsidRPr="00102634">
              <w:rPr>
                <w:b w:val="0"/>
                <w:bCs/>
                <w:lang w:val="en-AU"/>
              </w:rPr>
              <w:t xml:space="preserve">The submission obtained the BC incidences from the AIHW Cancer in Australia 2021 report (Table S3.4 ‘Cancer in Australia Chapter 3 – Cancer projections and Australia’s ageing population’ data table). </w:t>
            </w:r>
          </w:p>
        </w:tc>
        <w:tc>
          <w:tcPr>
            <w:tcW w:w="3067" w:type="dxa"/>
            <w:vAlign w:val="center"/>
          </w:tcPr>
          <w:p w14:paraId="4CDE9232" w14:textId="77777777" w:rsidR="005D6D39" w:rsidRPr="00102634" w:rsidRDefault="005D6D39">
            <w:pPr>
              <w:pStyle w:val="In-tableHeading"/>
              <w:rPr>
                <w:b w:val="0"/>
                <w:bCs/>
                <w:lang w:val="en-AU"/>
              </w:rPr>
            </w:pPr>
            <w:r w:rsidRPr="00102634">
              <w:rPr>
                <w:b w:val="0"/>
                <w:bCs/>
                <w:lang w:val="en-AU"/>
              </w:rPr>
              <w:t>Reasonable</w:t>
            </w:r>
          </w:p>
        </w:tc>
      </w:tr>
      <w:tr w:rsidR="005D6D39" w:rsidRPr="00102634" w14:paraId="25B62E2C" w14:textId="77777777">
        <w:trPr>
          <w:cantSplit/>
        </w:trPr>
        <w:tc>
          <w:tcPr>
            <w:tcW w:w="1129" w:type="dxa"/>
            <w:vAlign w:val="center"/>
          </w:tcPr>
          <w:p w14:paraId="1084781E" w14:textId="77777777" w:rsidR="005D6D39" w:rsidRPr="00102634" w:rsidRDefault="005D6D39">
            <w:pPr>
              <w:pStyle w:val="In-tableHeading"/>
              <w:rPr>
                <w:b w:val="0"/>
                <w:bCs/>
                <w:lang w:val="en-AU"/>
              </w:rPr>
            </w:pPr>
            <w:r w:rsidRPr="00102634">
              <w:rPr>
                <w:b w:val="0"/>
                <w:bCs/>
                <w:lang w:val="en-AU"/>
              </w:rPr>
              <w:t>% Stage III-IV BC</w:t>
            </w:r>
          </w:p>
        </w:tc>
        <w:tc>
          <w:tcPr>
            <w:tcW w:w="4820" w:type="dxa"/>
            <w:vAlign w:val="center"/>
          </w:tcPr>
          <w:p w14:paraId="4500CBCC" w14:textId="77777777" w:rsidR="005D6D39" w:rsidRPr="00102634" w:rsidRDefault="005D6D39">
            <w:pPr>
              <w:pStyle w:val="In-tableHeading"/>
              <w:rPr>
                <w:b w:val="0"/>
                <w:bCs/>
                <w:lang w:val="en-AU"/>
              </w:rPr>
            </w:pPr>
            <w:r w:rsidRPr="00102634">
              <w:rPr>
                <w:b w:val="0"/>
                <w:bCs/>
                <w:lang w:val="en-AU"/>
              </w:rPr>
              <w:t>The submission estimated the proportion of Stage I-IV BC (including unknown) based on the AIHW Australian Cancer Database 2014. The submission calculated the proportion of advanced or metastatic BC with an adjustment for unknown patients (17.68%)</w:t>
            </w:r>
          </w:p>
        </w:tc>
        <w:tc>
          <w:tcPr>
            <w:tcW w:w="3067" w:type="dxa"/>
            <w:vAlign w:val="center"/>
          </w:tcPr>
          <w:p w14:paraId="4A973417" w14:textId="77777777" w:rsidR="005D6D39" w:rsidRPr="00102634" w:rsidRDefault="005D6D39">
            <w:pPr>
              <w:pStyle w:val="In-tableHeading"/>
              <w:rPr>
                <w:b w:val="0"/>
                <w:bCs/>
                <w:lang w:val="en-AU"/>
              </w:rPr>
            </w:pPr>
            <w:r w:rsidRPr="00102634">
              <w:rPr>
                <w:b w:val="0"/>
                <w:bCs/>
                <w:lang w:val="en-AU"/>
              </w:rPr>
              <w:t>Reasonable. The approach for adjusting for unknown patients was also accepted by the PBAC and DUSC for Olaparib (Table 20, Olaparib PSD, March 2023 PBAC Meeting)</w:t>
            </w:r>
          </w:p>
        </w:tc>
      </w:tr>
      <w:tr w:rsidR="005D6D39" w:rsidRPr="00102634" w14:paraId="53BF0E8E" w14:textId="77777777">
        <w:trPr>
          <w:cantSplit/>
        </w:trPr>
        <w:tc>
          <w:tcPr>
            <w:tcW w:w="1129" w:type="dxa"/>
            <w:vAlign w:val="center"/>
          </w:tcPr>
          <w:p w14:paraId="59162354" w14:textId="77777777" w:rsidR="005D6D39" w:rsidRPr="00102634" w:rsidRDefault="005D6D39">
            <w:pPr>
              <w:pStyle w:val="In-tableHeading"/>
              <w:rPr>
                <w:b w:val="0"/>
                <w:bCs/>
                <w:lang w:val="en-AU"/>
              </w:rPr>
            </w:pPr>
            <w:r w:rsidRPr="00102634">
              <w:rPr>
                <w:b w:val="0"/>
                <w:bCs/>
                <w:lang w:val="en-AU"/>
              </w:rPr>
              <w:t>% HR+/HER2- subtype</w:t>
            </w:r>
          </w:p>
        </w:tc>
        <w:tc>
          <w:tcPr>
            <w:tcW w:w="4820" w:type="dxa"/>
            <w:vAlign w:val="center"/>
          </w:tcPr>
          <w:p w14:paraId="41562315" w14:textId="6A2BDDD7" w:rsidR="005D6D39" w:rsidRPr="00102634" w:rsidRDefault="005D6D39">
            <w:pPr>
              <w:pStyle w:val="In-tableHeading"/>
              <w:rPr>
                <w:b w:val="0"/>
                <w:bCs/>
                <w:lang w:val="en-AU"/>
              </w:rPr>
            </w:pPr>
            <w:r w:rsidRPr="00102634">
              <w:rPr>
                <w:b w:val="0"/>
                <w:bCs/>
                <w:lang w:val="en-AU"/>
              </w:rPr>
              <w:t xml:space="preserve">The proportion of HR+/HER2- subtype was 70%. The submission stated that this proportion was accepted by the PBAC in its consideration of Sacituzumab </w:t>
            </w:r>
            <w:proofErr w:type="spellStart"/>
            <w:r w:rsidR="00102634" w:rsidRPr="00102634">
              <w:rPr>
                <w:b w:val="0"/>
                <w:bCs/>
                <w:lang w:val="en-AU"/>
              </w:rPr>
              <w:t>govitecan</w:t>
            </w:r>
            <w:proofErr w:type="spellEnd"/>
            <w:r w:rsidRPr="00102634">
              <w:rPr>
                <w:b w:val="0"/>
                <w:bCs/>
                <w:lang w:val="en-AU"/>
              </w:rPr>
              <w:t xml:space="preserve"> in July 2023. </w:t>
            </w:r>
          </w:p>
        </w:tc>
        <w:tc>
          <w:tcPr>
            <w:tcW w:w="3067" w:type="dxa"/>
            <w:vAlign w:val="center"/>
          </w:tcPr>
          <w:p w14:paraId="208CC71B" w14:textId="77777777" w:rsidR="005D6D39" w:rsidRPr="00102634" w:rsidRDefault="005D6D39">
            <w:pPr>
              <w:pStyle w:val="In-tableHeading"/>
              <w:rPr>
                <w:b w:val="0"/>
                <w:bCs/>
                <w:lang w:val="en-AU"/>
              </w:rPr>
            </w:pPr>
            <w:r w:rsidRPr="00102634">
              <w:rPr>
                <w:b w:val="0"/>
                <w:bCs/>
                <w:lang w:val="en-AU"/>
              </w:rPr>
              <w:t>Reasonable. This was noted to be consistent with previous submissions to the PBAC (</w:t>
            </w:r>
            <w:proofErr w:type="spellStart"/>
            <w:r w:rsidRPr="00102634">
              <w:rPr>
                <w:b w:val="0"/>
                <w:bCs/>
                <w:lang w:val="en-AU"/>
              </w:rPr>
              <w:t>fulvestrant</w:t>
            </w:r>
            <w:proofErr w:type="spellEnd"/>
            <w:r w:rsidRPr="00102634">
              <w:rPr>
                <w:b w:val="0"/>
                <w:bCs/>
                <w:lang w:val="en-AU"/>
              </w:rPr>
              <w:t xml:space="preserve"> PSD, July 2020 PBAC Meeting; and </w:t>
            </w:r>
            <w:proofErr w:type="spellStart"/>
            <w:r w:rsidRPr="00102634">
              <w:rPr>
                <w:b w:val="0"/>
                <w:bCs/>
                <w:lang w:val="en-AU"/>
              </w:rPr>
              <w:t>abemaciclib</w:t>
            </w:r>
            <w:proofErr w:type="spellEnd"/>
            <w:r w:rsidRPr="00102634">
              <w:rPr>
                <w:b w:val="0"/>
                <w:bCs/>
                <w:lang w:val="en-AU"/>
              </w:rPr>
              <w:t xml:space="preserve"> PSD, March 2022 PBAC Meeting). </w:t>
            </w:r>
          </w:p>
        </w:tc>
      </w:tr>
      <w:tr w:rsidR="005D6D39" w:rsidRPr="00102634" w14:paraId="064F68E1" w14:textId="77777777">
        <w:trPr>
          <w:cantSplit/>
        </w:trPr>
        <w:tc>
          <w:tcPr>
            <w:tcW w:w="1129" w:type="dxa"/>
            <w:vAlign w:val="center"/>
          </w:tcPr>
          <w:p w14:paraId="7FCF0904" w14:textId="77777777" w:rsidR="005D6D39" w:rsidRPr="00102634" w:rsidRDefault="005D6D39">
            <w:pPr>
              <w:pStyle w:val="In-tableHeading"/>
              <w:rPr>
                <w:b w:val="0"/>
                <w:bCs/>
                <w:lang w:val="en-AU"/>
              </w:rPr>
            </w:pPr>
            <w:r w:rsidRPr="00102634">
              <w:rPr>
                <w:b w:val="0"/>
                <w:bCs/>
                <w:lang w:val="en-AU"/>
              </w:rPr>
              <w:t>Test uptake rate</w:t>
            </w:r>
          </w:p>
        </w:tc>
        <w:tc>
          <w:tcPr>
            <w:tcW w:w="4820" w:type="dxa"/>
            <w:vAlign w:val="center"/>
          </w:tcPr>
          <w:p w14:paraId="4499D630" w14:textId="7C3143DF" w:rsidR="005D6D39" w:rsidRPr="00102634" w:rsidRDefault="005D6D39">
            <w:pPr>
              <w:pStyle w:val="In-tableHeading"/>
              <w:rPr>
                <w:lang w:val="en-AU"/>
              </w:rPr>
            </w:pPr>
            <w:r w:rsidRPr="10812078">
              <w:rPr>
                <w:b w:val="0"/>
                <w:lang w:val="en-AU"/>
              </w:rPr>
              <w:t xml:space="preserve">The submission assumed a gradual uptake rate of </w:t>
            </w:r>
            <w:r w:rsidR="002F3415">
              <w:rPr>
                <w:lang w:val="en-AU"/>
              </w:rPr>
              <w:t>redacted</w:t>
            </w:r>
            <w:r w:rsidR="141F288A" w:rsidRPr="10812078">
              <w:rPr>
                <w:b w:val="0"/>
                <w:lang w:val="en-AU"/>
              </w:rPr>
              <w:t>%</w:t>
            </w:r>
            <w:r w:rsidR="000000F9">
              <w:rPr>
                <w:lang w:val="en-AU"/>
              </w:rPr>
              <w:t xml:space="preserve"> </w:t>
            </w:r>
            <w:r w:rsidR="000000F9" w:rsidRPr="10812078">
              <w:rPr>
                <w:b w:val="0"/>
                <w:lang w:val="en-AU"/>
              </w:rPr>
              <w:t xml:space="preserve">in Year 1 </w:t>
            </w:r>
            <w:r w:rsidR="000000F9">
              <w:rPr>
                <w:lang w:val="en-AU"/>
              </w:rPr>
              <w:t>redacted</w:t>
            </w:r>
            <w:r w:rsidR="54BD3EB0" w:rsidRPr="10812078">
              <w:rPr>
                <w:b w:val="0"/>
                <w:lang w:val="en-AU"/>
              </w:rPr>
              <w:t>%</w:t>
            </w:r>
            <w:r w:rsidRPr="10812078">
              <w:rPr>
                <w:b w:val="0"/>
                <w:lang w:val="en-AU"/>
              </w:rPr>
              <w:t xml:space="preserve"> in Year 6. The submission assumed uptake rate would be </w:t>
            </w:r>
            <w:proofErr w:type="gramStart"/>
            <w:r w:rsidRPr="10812078">
              <w:rPr>
                <w:b w:val="0"/>
                <w:lang w:val="en-AU"/>
              </w:rPr>
              <w:t>similar to</w:t>
            </w:r>
            <w:proofErr w:type="gramEnd"/>
            <w:r w:rsidRPr="10812078">
              <w:rPr>
                <w:b w:val="0"/>
                <w:lang w:val="en-AU"/>
              </w:rPr>
              <w:t xml:space="preserve"> BRCA testing that was used in the submission for Olaparib in November 2023. </w:t>
            </w:r>
          </w:p>
        </w:tc>
        <w:tc>
          <w:tcPr>
            <w:tcW w:w="3067" w:type="dxa"/>
            <w:vAlign w:val="center"/>
          </w:tcPr>
          <w:p w14:paraId="5CBAD377" w14:textId="77777777" w:rsidR="005D6D39" w:rsidRPr="00102634" w:rsidRDefault="005D6D39">
            <w:pPr>
              <w:pStyle w:val="In-tableHeading"/>
              <w:rPr>
                <w:b w:val="0"/>
                <w:bCs/>
                <w:lang w:val="en-AU"/>
              </w:rPr>
            </w:pPr>
            <w:r w:rsidRPr="00102634">
              <w:rPr>
                <w:b w:val="0"/>
                <w:bCs/>
                <w:lang w:val="en-AU"/>
              </w:rPr>
              <w:t xml:space="preserve">Test uptake rate in Year 1 and 2 may be underestimated considering that testing in breast cancer patients is common practice. </w:t>
            </w:r>
          </w:p>
        </w:tc>
      </w:tr>
      <w:tr w:rsidR="005D6D39" w:rsidRPr="00102634" w14:paraId="39ED2A5D" w14:textId="77777777">
        <w:trPr>
          <w:cantSplit/>
        </w:trPr>
        <w:tc>
          <w:tcPr>
            <w:tcW w:w="1129" w:type="dxa"/>
            <w:vAlign w:val="center"/>
          </w:tcPr>
          <w:p w14:paraId="2F7741C0" w14:textId="77777777" w:rsidR="005D6D39" w:rsidRPr="00102634" w:rsidRDefault="005D6D39">
            <w:pPr>
              <w:pStyle w:val="In-tableHeading"/>
              <w:rPr>
                <w:b w:val="0"/>
                <w:bCs/>
                <w:lang w:val="en-AU"/>
              </w:rPr>
            </w:pPr>
            <w:r w:rsidRPr="00102634">
              <w:rPr>
                <w:b w:val="0"/>
                <w:bCs/>
                <w:lang w:val="en-AU"/>
              </w:rPr>
              <w:lastRenderedPageBreak/>
              <w:t>% HR+/HER2- locally advanced or metastatic on 1L CDK4/6i</w:t>
            </w:r>
          </w:p>
        </w:tc>
        <w:tc>
          <w:tcPr>
            <w:tcW w:w="4820" w:type="dxa"/>
            <w:vAlign w:val="center"/>
          </w:tcPr>
          <w:p w14:paraId="0D223D91" w14:textId="77777777" w:rsidR="005D6D39" w:rsidRPr="00102634" w:rsidRDefault="005D6D39">
            <w:pPr>
              <w:pStyle w:val="In-tableHeading"/>
              <w:rPr>
                <w:b w:val="0"/>
                <w:bCs/>
                <w:lang w:val="en-AU"/>
              </w:rPr>
            </w:pPr>
            <w:r w:rsidRPr="00102634">
              <w:rPr>
                <w:b w:val="0"/>
                <w:bCs/>
                <w:lang w:val="en-AU"/>
              </w:rPr>
              <w:t xml:space="preserve">The submission based the number of HR+/HER2- locally advanced or metastatic BC patients treated in the 1L with a CDK4/6i on DUSC estimates of CDK4/6i use. The submission stated that DUSC applied a 2% annual growth rate. The submission (p238) stated this estimation was based on Sacituzumab </w:t>
            </w:r>
            <w:proofErr w:type="spellStart"/>
            <w:r w:rsidRPr="00102634">
              <w:rPr>
                <w:b w:val="0"/>
                <w:bCs/>
                <w:lang w:val="en-AU"/>
              </w:rPr>
              <w:t>govitecan</w:t>
            </w:r>
            <w:proofErr w:type="spellEnd"/>
            <w:r w:rsidRPr="00102634">
              <w:rPr>
                <w:b w:val="0"/>
                <w:bCs/>
                <w:lang w:val="en-AU"/>
              </w:rPr>
              <w:t xml:space="preserve"> PSD July 2023 and Trastuzumab </w:t>
            </w:r>
            <w:proofErr w:type="spellStart"/>
            <w:r w:rsidRPr="00102634">
              <w:rPr>
                <w:b w:val="0"/>
                <w:bCs/>
                <w:lang w:val="en-AU"/>
              </w:rPr>
              <w:t>deruxtecan</w:t>
            </w:r>
            <w:proofErr w:type="spellEnd"/>
            <w:r w:rsidRPr="00102634">
              <w:rPr>
                <w:b w:val="0"/>
                <w:bCs/>
                <w:lang w:val="en-AU"/>
              </w:rPr>
              <w:t xml:space="preserve"> November PSD November 2023.</w:t>
            </w:r>
          </w:p>
          <w:p w14:paraId="75A09CD8" w14:textId="77777777" w:rsidR="005D6D39" w:rsidRPr="00102634" w:rsidRDefault="005D6D39">
            <w:pPr>
              <w:pStyle w:val="In-tableHeading"/>
              <w:rPr>
                <w:b w:val="0"/>
                <w:bCs/>
                <w:lang w:val="en-AU"/>
              </w:rPr>
            </w:pPr>
          </w:p>
          <w:p w14:paraId="2DADFB03" w14:textId="77777777" w:rsidR="005D6D39" w:rsidRPr="00102634" w:rsidRDefault="005D6D39">
            <w:pPr>
              <w:pStyle w:val="TableText"/>
            </w:pPr>
            <w:r w:rsidRPr="00102634">
              <w:t xml:space="preserve">The submission assumed that the proportion of patients who did not receive a CDK4/6i in the 1L could be eligible for CAPI+FULV in the 1L setting. </w:t>
            </w:r>
          </w:p>
        </w:tc>
        <w:tc>
          <w:tcPr>
            <w:tcW w:w="3067" w:type="dxa"/>
            <w:vAlign w:val="center"/>
          </w:tcPr>
          <w:p w14:paraId="06837557" w14:textId="77777777" w:rsidR="005D6D39" w:rsidRPr="00102634" w:rsidRDefault="005D6D39">
            <w:pPr>
              <w:pStyle w:val="In-tableHeading"/>
              <w:rPr>
                <w:b w:val="0"/>
                <w:bCs/>
                <w:lang w:val="en-AU"/>
              </w:rPr>
            </w:pPr>
            <w:r w:rsidRPr="00102634">
              <w:rPr>
                <w:b w:val="0"/>
                <w:bCs/>
                <w:lang w:val="en-AU"/>
              </w:rPr>
              <w:t>Sourcing 1L CDK4/6i use from the DUSC was reasonable, however, the 2025 to 2030 estimates could not be verified or reproduced during the evaluation. The Sponsor is requested to explain how these numbers were derived.</w:t>
            </w:r>
          </w:p>
          <w:p w14:paraId="7C393683" w14:textId="77777777" w:rsidR="005D6D39" w:rsidRPr="00102634" w:rsidRDefault="005D6D39">
            <w:pPr>
              <w:pStyle w:val="In-tableHeading"/>
              <w:rPr>
                <w:b w:val="0"/>
                <w:bCs/>
                <w:lang w:val="en-AU"/>
              </w:rPr>
            </w:pPr>
            <w:r w:rsidRPr="00102634">
              <w:rPr>
                <w:b w:val="0"/>
                <w:bCs/>
                <w:lang w:val="en-AU"/>
              </w:rPr>
              <w:t xml:space="preserve"> </w:t>
            </w:r>
          </w:p>
        </w:tc>
      </w:tr>
      <w:tr w:rsidR="005D6D39" w:rsidRPr="00102634" w14:paraId="5FED1DD6" w14:textId="77777777">
        <w:trPr>
          <w:cantSplit/>
        </w:trPr>
        <w:tc>
          <w:tcPr>
            <w:tcW w:w="1129" w:type="dxa"/>
            <w:vAlign w:val="center"/>
          </w:tcPr>
          <w:p w14:paraId="5A7F057B" w14:textId="77777777" w:rsidR="005D6D39" w:rsidRPr="00102634" w:rsidRDefault="005D6D39">
            <w:pPr>
              <w:pStyle w:val="TableText"/>
            </w:pPr>
            <w:r w:rsidRPr="00102634">
              <w:t>% Patients who progress from 1L to 2L treatment</w:t>
            </w:r>
          </w:p>
        </w:tc>
        <w:tc>
          <w:tcPr>
            <w:tcW w:w="4820" w:type="dxa"/>
            <w:vAlign w:val="center"/>
          </w:tcPr>
          <w:p w14:paraId="56021567" w14:textId="77777777" w:rsidR="005D6D39" w:rsidRPr="00102634" w:rsidRDefault="005D6D39">
            <w:pPr>
              <w:pStyle w:val="TableText"/>
            </w:pPr>
            <w:r w:rsidRPr="00102634">
              <w:t xml:space="preserve">The proportion of patients who progress from 1L to 2L setting = 88%. </w:t>
            </w:r>
          </w:p>
          <w:p w14:paraId="28FBE277" w14:textId="77777777" w:rsidR="005D6D39" w:rsidRPr="00102634" w:rsidRDefault="005D6D39">
            <w:pPr>
              <w:pStyle w:val="TableText"/>
            </w:pPr>
          </w:p>
          <w:p w14:paraId="622BC519" w14:textId="77777777" w:rsidR="005D6D39" w:rsidRPr="00102634" w:rsidRDefault="005D6D39">
            <w:pPr>
              <w:pStyle w:val="TableText"/>
            </w:pPr>
            <w:r w:rsidRPr="00102634">
              <w:t xml:space="preserve">The submission stated this was based on the KARMA registry (Wong 2022). KARMA was established in August 2019 as a study of Australian patients who received 1L combination treatment of </w:t>
            </w:r>
            <w:proofErr w:type="spellStart"/>
            <w:r w:rsidRPr="00102634">
              <w:t>ribociclib</w:t>
            </w:r>
            <w:proofErr w:type="spellEnd"/>
            <w:r w:rsidRPr="00102634">
              <w:t xml:space="preserve"> and an AI, where </w:t>
            </w:r>
            <w:proofErr w:type="spellStart"/>
            <w:r w:rsidRPr="00102634">
              <w:t>ribociclib</w:t>
            </w:r>
            <w:proofErr w:type="spellEnd"/>
            <w:r w:rsidRPr="00102634">
              <w:t xml:space="preserve"> was obtained through </w:t>
            </w:r>
            <w:proofErr w:type="gramStart"/>
            <w:r w:rsidRPr="00102634">
              <w:t>a medicines</w:t>
            </w:r>
            <w:proofErr w:type="gramEnd"/>
            <w:r w:rsidRPr="00102634">
              <w:t xml:space="preserve"> accept program between May 2017 and June 2018, This access program included postmenopausal women with HR+/HER2- metastatic BC who had not received prior systemic treatment in the metastatic setting. Wong 2022 (N=160) reported that of the 74 patients who had disease progression on 1L </w:t>
            </w:r>
            <w:proofErr w:type="spellStart"/>
            <w:r w:rsidRPr="00102634">
              <w:t>ribociclib</w:t>
            </w:r>
            <w:proofErr w:type="spellEnd"/>
            <w:r w:rsidRPr="00102634">
              <w:t xml:space="preserve"> + AI, 65 patients (88%) received a 2L therapy. The mean age of patients in the registry was 54.3 years.</w:t>
            </w:r>
          </w:p>
        </w:tc>
        <w:tc>
          <w:tcPr>
            <w:tcW w:w="3067" w:type="dxa"/>
            <w:vAlign w:val="center"/>
          </w:tcPr>
          <w:p w14:paraId="44353011" w14:textId="77777777" w:rsidR="005D6D39" w:rsidRPr="00102634" w:rsidRDefault="005D6D39">
            <w:pPr>
              <w:pStyle w:val="In-tableHeading"/>
              <w:rPr>
                <w:b w:val="0"/>
                <w:bCs/>
                <w:lang w:val="en-AU"/>
              </w:rPr>
            </w:pPr>
            <w:r w:rsidRPr="00102634">
              <w:rPr>
                <w:b w:val="0"/>
                <w:bCs/>
                <w:lang w:val="en-AU"/>
              </w:rPr>
              <w:t xml:space="preserve">Reasonable. The submission assumed that of the patients on 1L CDK4/6i, 88% will progress and be eligible for CAPI in the 2L. </w:t>
            </w:r>
          </w:p>
          <w:p w14:paraId="4781C9CD" w14:textId="77777777" w:rsidR="005D6D39" w:rsidRPr="00102634" w:rsidRDefault="005D6D39">
            <w:pPr>
              <w:pStyle w:val="In-tableHeading"/>
              <w:rPr>
                <w:b w:val="0"/>
                <w:bCs/>
                <w:lang w:val="en-AU"/>
              </w:rPr>
            </w:pPr>
          </w:p>
          <w:p w14:paraId="59279E34" w14:textId="77777777" w:rsidR="005D6D39" w:rsidRPr="00102634" w:rsidRDefault="005D6D39">
            <w:pPr>
              <w:pStyle w:val="In-tableHeading"/>
              <w:rPr>
                <w:lang w:val="en-AU"/>
              </w:rPr>
            </w:pPr>
            <w:r w:rsidRPr="00102634">
              <w:rPr>
                <w:b w:val="0"/>
                <w:bCs/>
                <w:lang w:val="en-AU"/>
              </w:rPr>
              <w:t xml:space="preserve">The requested restriction allows for testing and treatment any time after disease progression on or after an ET. As such, patients in the 3L+ setting would also be eligible for testing and CAPI+FULV. Omission of patients from the 3L+ who have not had CDK4/6i may potentially underestimate the financial estimates. </w:t>
            </w:r>
          </w:p>
        </w:tc>
      </w:tr>
      <w:tr w:rsidR="005D6D39" w:rsidRPr="00102634" w14:paraId="53836BE5" w14:textId="77777777">
        <w:trPr>
          <w:cantSplit/>
        </w:trPr>
        <w:tc>
          <w:tcPr>
            <w:tcW w:w="9016" w:type="dxa"/>
            <w:gridSpan w:val="3"/>
            <w:vAlign w:val="center"/>
          </w:tcPr>
          <w:p w14:paraId="23A6DD45" w14:textId="77777777" w:rsidR="005D6D39" w:rsidRPr="00102634" w:rsidRDefault="005D6D39">
            <w:pPr>
              <w:pStyle w:val="In-tableHeading"/>
              <w:rPr>
                <w:lang w:val="en-AU"/>
              </w:rPr>
            </w:pPr>
            <w:r w:rsidRPr="00102634">
              <w:rPr>
                <w:lang w:val="en-AU"/>
              </w:rPr>
              <w:t>Utilisation</w:t>
            </w:r>
          </w:p>
        </w:tc>
      </w:tr>
      <w:tr w:rsidR="005D6D39" w:rsidRPr="00102634" w14:paraId="3FBFE991" w14:textId="77777777">
        <w:trPr>
          <w:cantSplit/>
        </w:trPr>
        <w:tc>
          <w:tcPr>
            <w:tcW w:w="1129" w:type="dxa"/>
            <w:vAlign w:val="center"/>
          </w:tcPr>
          <w:p w14:paraId="1B92090B" w14:textId="77777777" w:rsidR="005D6D39" w:rsidRPr="00102634" w:rsidRDefault="005D6D39">
            <w:pPr>
              <w:pStyle w:val="TableText"/>
            </w:pPr>
            <w:r w:rsidRPr="00102634">
              <w:t>MBS items</w:t>
            </w:r>
          </w:p>
        </w:tc>
        <w:tc>
          <w:tcPr>
            <w:tcW w:w="4820" w:type="dxa"/>
            <w:vAlign w:val="center"/>
          </w:tcPr>
          <w:p w14:paraId="4C71B028" w14:textId="77777777" w:rsidR="005D6D39" w:rsidRPr="00707957" w:rsidRDefault="005D6D39">
            <w:pPr>
              <w:pStyle w:val="TableText"/>
            </w:pPr>
            <w:r w:rsidRPr="00707957">
              <w:t xml:space="preserve">The proposed MBS fee for AKT pathway testing was $2,200 per test. The submission applied the 85% MBS rebate ($1,870). </w:t>
            </w:r>
          </w:p>
        </w:tc>
        <w:tc>
          <w:tcPr>
            <w:tcW w:w="3067" w:type="dxa"/>
            <w:vAlign w:val="center"/>
          </w:tcPr>
          <w:p w14:paraId="407FBB1C" w14:textId="77777777" w:rsidR="005D6D39" w:rsidRPr="00707957" w:rsidRDefault="005D6D39">
            <w:pPr>
              <w:pStyle w:val="In-tableHeading"/>
              <w:rPr>
                <w:b w:val="0"/>
                <w:bCs/>
                <w:lang w:val="en-AU"/>
              </w:rPr>
            </w:pPr>
            <w:r w:rsidRPr="00707957">
              <w:rPr>
                <w:b w:val="0"/>
                <w:bCs/>
                <w:lang w:val="en-AU"/>
              </w:rPr>
              <w:t xml:space="preserve">Acknowledging the MBS item descriptor allows one test per primary tumour diagnosis, it was not clear how patients with an unknown test result would be handled in practice or if retesting could occur in patients who initially test negative but develop an alteration after disease progression. It is possible these scenarios could lead to out-of-pocket cost to patients and present a potential equity issue and whether these patients would subsequently be eligible for CAPI + FULV if the second test was positive. </w:t>
            </w:r>
          </w:p>
          <w:p w14:paraId="7F39ED12" w14:textId="77777777" w:rsidR="005D6D39" w:rsidRPr="00707957" w:rsidRDefault="005D6D39">
            <w:pPr>
              <w:pStyle w:val="In-tableHeading"/>
              <w:rPr>
                <w:b w:val="0"/>
                <w:bCs/>
                <w:lang w:val="en-AU"/>
              </w:rPr>
            </w:pPr>
          </w:p>
          <w:p w14:paraId="6C48CBD0" w14:textId="77777777" w:rsidR="005D6D39" w:rsidRPr="00707957" w:rsidRDefault="005D6D39">
            <w:pPr>
              <w:pStyle w:val="In-tableHeading"/>
              <w:rPr>
                <w:b w:val="0"/>
                <w:bCs/>
                <w:lang w:val="en-AU"/>
              </w:rPr>
            </w:pPr>
            <w:r w:rsidRPr="00707957">
              <w:rPr>
                <w:b w:val="0"/>
                <w:bCs/>
                <w:lang w:val="en-AU"/>
              </w:rPr>
              <w:t>The submission did not apply the Greatest Permissible Gap ($98.70) to the MBS rebate. This underestimated the MBS costs. The MBS fee applying the Greatest Permissible Gap was $2,101.3.</w:t>
            </w:r>
          </w:p>
        </w:tc>
      </w:tr>
      <w:tr w:rsidR="005D6D39" w:rsidRPr="00102634" w14:paraId="133E75D3" w14:textId="77777777">
        <w:trPr>
          <w:cantSplit/>
        </w:trPr>
        <w:tc>
          <w:tcPr>
            <w:tcW w:w="1129" w:type="dxa"/>
            <w:vAlign w:val="center"/>
          </w:tcPr>
          <w:p w14:paraId="40703505" w14:textId="77777777" w:rsidR="005D6D39" w:rsidRPr="00102634" w:rsidRDefault="005D6D39">
            <w:pPr>
              <w:pStyle w:val="TableText"/>
            </w:pPr>
            <w:r w:rsidRPr="00102634">
              <w:t>Cost offsets</w:t>
            </w:r>
          </w:p>
        </w:tc>
        <w:tc>
          <w:tcPr>
            <w:tcW w:w="4820" w:type="dxa"/>
            <w:vAlign w:val="center"/>
          </w:tcPr>
          <w:p w14:paraId="2BAED663" w14:textId="252D2463" w:rsidR="005D6D39" w:rsidRPr="00102634" w:rsidRDefault="005D6D39">
            <w:pPr>
              <w:pStyle w:val="TableText"/>
            </w:pPr>
            <w:r w:rsidRPr="00102634">
              <w:t xml:space="preserve">A cost offset was calculated assuming that 10% of patients will receive AKT pathway testing from Year 1 to Year 6 in absence of an MBS-funded test.  </w:t>
            </w:r>
          </w:p>
        </w:tc>
        <w:tc>
          <w:tcPr>
            <w:tcW w:w="3067" w:type="dxa"/>
            <w:vAlign w:val="center"/>
          </w:tcPr>
          <w:p w14:paraId="27E4E553" w14:textId="32CA35D6" w:rsidR="005D6D39" w:rsidRPr="00102634" w:rsidRDefault="005D6D39">
            <w:pPr>
              <w:pStyle w:val="In-tableHeading"/>
              <w:rPr>
                <w:b w:val="0"/>
                <w:bCs/>
                <w:lang w:val="en-AU"/>
              </w:rPr>
            </w:pPr>
            <w:r w:rsidRPr="00102634">
              <w:rPr>
                <w:b w:val="0"/>
                <w:bCs/>
                <w:lang w:val="en-AU"/>
              </w:rPr>
              <w:t>The basis for claiming that 10% of patients would already know their AKT pathway alteration status was unclear. The estimation of number of tests in 2L patients (after CDK4/6i) was overestimated as the submission did not consider that only the 88% of patients who progress from 1L to 2L would be tested.</w:t>
            </w:r>
          </w:p>
        </w:tc>
      </w:tr>
    </w:tbl>
    <w:p w14:paraId="5E3ADCDE" w14:textId="77777777" w:rsidR="005D6D39" w:rsidRPr="00102634" w:rsidRDefault="005D6D39" w:rsidP="005D6D39">
      <w:pPr>
        <w:pStyle w:val="TableFigureFooter"/>
      </w:pPr>
      <w:r w:rsidRPr="00102634">
        <w:t>Source: constructed using information from Section 4.1 to 4.3 of the submission</w:t>
      </w:r>
    </w:p>
    <w:p w14:paraId="133819DA" w14:textId="77777777" w:rsidR="005D6D39" w:rsidRPr="00102634" w:rsidRDefault="005D6D39" w:rsidP="005D6D39">
      <w:pPr>
        <w:pStyle w:val="TableFigureFooter"/>
      </w:pPr>
      <w:r w:rsidRPr="00102634">
        <w:lastRenderedPageBreak/>
        <w:t xml:space="preserve">AI = aromatase inhibitor; AIHW = Australian Institute of Health and Welfare; AEMP = approved ex-manufacturer’s price; ARTG = Australian Register of Therapeutic Goods; BC= breast cancer; CAPI = capivasertib; CDK4/6i = Cyclin-dependent kinases 4 and 6 inhibitor; CGP = comprehensive genomic profiling; DPMQ = dispensed price for maximum quantity; DUSC = Drug Utilisation Sub Committee; ECOG PS = Eastern Cooperative Oncology Group Performance Status;  ET = endocrine therapy; FULV = </w:t>
      </w:r>
      <w:proofErr w:type="spellStart"/>
      <w:r w:rsidRPr="00102634">
        <w:t>fulvestrant</w:t>
      </w:r>
      <w:proofErr w:type="spellEnd"/>
      <w:r w:rsidRPr="00102634">
        <w:t xml:space="preserve">; HR+ = hormone positive; HER2- = Human epidermal growth factor receptor 2 negative; KARMA = </w:t>
      </w:r>
      <w:proofErr w:type="spellStart"/>
      <w:r w:rsidRPr="00102634">
        <w:t>Kisqali</w:t>
      </w:r>
      <w:proofErr w:type="spellEnd"/>
      <w:r w:rsidRPr="00102634">
        <w:t xml:space="preserve"> Access Registry for Metastatic breast cancer in Australia; NGS = Next Generation Sequencing; PASC = PICO Advisory Sub-Committee; para = paragraph; PBS = Pharmaceutical Benefits Scheme; PSD = public summary document; pts = patients; SOC = standard of care; RPBS = Repatriation Pharmaceutical Benefits Scheme; 1L = first line; 2L = second line</w:t>
      </w:r>
    </w:p>
    <w:p w14:paraId="6A447491" w14:textId="00359A33"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The patients eligible for testing </w:t>
      </w:r>
      <w:r w:rsidRPr="00C24C30" w:rsidDel="00F655EA">
        <w:rPr>
          <w:rFonts w:ascii="Franklin Gothic Book" w:hAnsi="Franklin Gothic Book"/>
          <w:sz w:val="22"/>
        </w:rPr>
        <w:t xml:space="preserve">and </w:t>
      </w:r>
      <w:r w:rsidRPr="00C24C30">
        <w:rPr>
          <w:rFonts w:ascii="Franklin Gothic Book" w:hAnsi="Franklin Gothic Book"/>
          <w:sz w:val="22"/>
        </w:rPr>
        <w:t xml:space="preserve">the net cost to the MBS is presented in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_Ref174966146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18</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w:t>
      </w:r>
    </w:p>
    <w:p w14:paraId="5F38DD9A" w14:textId="7717F46D" w:rsidR="005D6D39" w:rsidRPr="00C24C30" w:rsidRDefault="005D6D39" w:rsidP="005D6D39">
      <w:pPr>
        <w:rPr>
          <w:rFonts w:ascii="Franklin Gothic Book" w:hAnsi="Franklin Gothic Book"/>
          <w:sz w:val="22"/>
        </w:rPr>
      </w:pPr>
      <w:r w:rsidRPr="00C24C30">
        <w:rPr>
          <w:rFonts w:ascii="Franklin Gothic Book" w:hAnsi="Franklin Gothic Book"/>
          <w:sz w:val="22"/>
        </w:rPr>
        <w:t>The commentary noted the submission was inconsistent with its calculation of total tested patients</w:t>
      </w:r>
      <w:r w:rsidR="524DFD75" w:rsidRPr="00C24C30">
        <w:rPr>
          <w:rFonts w:ascii="Franklin Gothic Book" w:hAnsi="Franklin Gothic Book"/>
          <w:sz w:val="22"/>
        </w:rPr>
        <w:t>,</w:t>
      </w:r>
      <w:r w:rsidRPr="00C24C30">
        <w:rPr>
          <w:rFonts w:ascii="Franklin Gothic Book" w:hAnsi="Franklin Gothic Book"/>
          <w:sz w:val="22"/>
        </w:rPr>
        <w:t xml:space="preserve"> </w:t>
      </w:r>
      <w:r w:rsidR="5E2512BE" w:rsidRPr="00C24C30">
        <w:rPr>
          <w:rFonts w:ascii="Franklin Gothic Book" w:hAnsi="Franklin Gothic Book"/>
          <w:sz w:val="22"/>
        </w:rPr>
        <w:t>because there was no</w:t>
      </w:r>
      <w:r w:rsidR="0038C535" w:rsidRPr="00C24C30">
        <w:rPr>
          <w:rFonts w:ascii="Franklin Gothic Book" w:hAnsi="Franklin Gothic Book"/>
          <w:sz w:val="22"/>
        </w:rPr>
        <w:t xml:space="preserve"> </w:t>
      </w:r>
      <w:r w:rsidR="7BD4FE97" w:rsidRPr="00C24C30">
        <w:rPr>
          <w:rFonts w:ascii="Franklin Gothic Book" w:hAnsi="Franklin Gothic Book"/>
          <w:sz w:val="22"/>
        </w:rPr>
        <w:t>adjust</w:t>
      </w:r>
      <w:r w:rsidR="0E3DBB7B" w:rsidRPr="00C24C30">
        <w:rPr>
          <w:rFonts w:ascii="Franklin Gothic Book" w:hAnsi="Franklin Gothic Book"/>
          <w:sz w:val="22"/>
        </w:rPr>
        <w:t>ment</w:t>
      </w:r>
      <w:r w:rsidR="006F12A4" w:rsidRPr="00C24C30">
        <w:rPr>
          <w:rFonts w:ascii="Franklin Gothic Book" w:hAnsi="Franklin Gothic Book"/>
          <w:sz w:val="22"/>
        </w:rPr>
        <w:t xml:space="preserve"> for the fact that only the 88% of </w:t>
      </w:r>
      <w:r w:rsidRPr="00C24C30">
        <w:rPr>
          <w:rFonts w:ascii="Franklin Gothic Book" w:hAnsi="Franklin Gothic Book"/>
          <w:sz w:val="22"/>
        </w:rPr>
        <w:t xml:space="preserve">patients who progress from 1L to 2L prior </w:t>
      </w:r>
      <w:r w:rsidR="006F12A4" w:rsidRPr="00C24C30">
        <w:rPr>
          <w:rFonts w:ascii="Franklin Gothic Book" w:hAnsi="Franklin Gothic Book"/>
          <w:sz w:val="22"/>
        </w:rPr>
        <w:t xml:space="preserve">will be </w:t>
      </w:r>
      <w:r w:rsidRPr="00C24C30">
        <w:rPr>
          <w:rFonts w:ascii="Franklin Gothic Book" w:hAnsi="Franklin Gothic Book"/>
          <w:sz w:val="22"/>
        </w:rPr>
        <w:t>eligible for testing</w:t>
      </w:r>
      <w:r w:rsidR="007D3C46" w:rsidRPr="00C24C30">
        <w:rPr>
          <w:rFonts w:ascii="Franklin Gothic Book" w:hAnsi="Franklin Gothic Book"/>
          <w:sz w:val="22"/>
        </w:rPr>
        <w:t xml:space="preserve"> for treatment in the 2L setting</w:t>
      </w:r>
      <w:r w:rsidRPr="00C24C30">
        <w:rPr>
          <w:rFonts w:ascii="Franklin Gothic Book" w:hAnsi="Franklin Gothic Book"/>
          <w:sz w:val="22"/>
        </w:rPr>
        <w:t xml:space="preserve">. </w:t>
      </w: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_Ref174966146 \h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18</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presents the estimated tested population that incorporated the 88% of patients who progress from 1L to 2L (E1 and E4); as well as what was presented in the submission and financial workbook (E2 and E3).</w:t>
      </w:r>
    </w:p>
    <w:p w14:paraId="239A519C" w14:textId="178A9871" w:rsidR="005D6D39" w:rsidRPr="00102634" w:rsidRDefault="005D6D39" w:rsidP="003F6F2A">
      <w:pPr>
        <w:pStyle w:val="Caption"/>
      </w:pPr>
      <w:bookmarkStart w:id="50" w:name="_Ref174966146"/>
      <w:r w:rsidRPr="00102634">
        <w:lastRenderedPageBreak/>
        <w:t xml:space="preserve">Table </w:t>
      </w:r>
      <w:r w:rsidR="0016064D">
        <w:fldChar w:fldCharType="begin"/>
      </w:r>
      <w:r w:rsidR="0016064D">
        <w:instrText xml:space="preserve"> SEQ Table_MSAC. \* ARABIC </w:instrText>
      </w:r>
      <w:r w:rsidR="0016064D">
        <w:fldChar w:fldCharType="separate"/>
      </w:r>
      <w:r w:rsidR="0016064D">
        <w:rPr>
          <w:noProof/>
        </w:rPr>
        <w:t>18</w:t>
      </w:r>
      <w:r w:rsidR="0016064D">
        <w:rPr>
          <w:noProof/>
        </w:rPr>
        <w:fldChar w:fldCharType="end"/>
      </w:r>
      <w:bookmarkEnd w:id="50"/>
      <w:r w:rsidRPr="00102634">
        <w:t>: Estimated use and financial implications</w:t>
      </w:r>
    </w:p>
    <w:tbl>
      <w:tblPr>
        <w:tblStyle w:val="HTATableshaded"/>
        <w:tblW w:w="5000" w:type="pct"/>
        <w:tblLayout w:type="fixed"/>
        <w:tblCellMar>
          <w:left w:w="0" w:type="dxa"/>
          <w:right w:w="0" w:type="dxa"/>
        </w:tblCellMar>
        <w:tblLook w:val="04A0" w:firstRow="1" w:lastRow="0" w:firstColumn="1" w:lastColumn="0" w:noHBand="0" w:noVBand="1"/>
      </w:tblPr>
      <w:tblGrid>
        <w:gridCol w:w="421"/>
        <w:gridCol w:w="1984"/>
        <w:gridCol w:w="992"/>
        <w:gridCol w:w="936"/>
        <w:gridCol w:w="937"/>
        <w:gridCol w:w="936"/>
        <w:gridCol w:w="937"/>
        <w:gridCol w:w="936"/>
        <w:gridCol w:w="937"/>
      </w:tblGrid>
      <w:tr w:rsidR="005D6D39" w:rsidRPr="00102634" w14:paraId="2C207325" w14:textId="77777777">
        <w:trPr>
          <w:cnfStyle w:val="100000000000" w:firstRow="1" w:lastRow="0" w:firstColumn="0" w:lastColumn="0" w:oddVBand="0" w:evenVBand="0" w:oddHBand="0" w:evenHBand="0" w:firstRowFirstColumn="0" w:firstRowLastColumn="0" w:lastRowFirstColumn="0" w:lastRowLastColumn="0"/>
          <w:trHeight w:val="255"/>
          <w:tblHeader/>
        </w:trPr>
        <w:tc>
          <w:tcPr>
            <w:tcW w:w="421" w:type="dxa"/>
            <w:vAlign w:val="center"/>
          </w:tcPr>
          <w:p w14:paraId="7239A064" w14:textId="77777777" w:rsidR="005D6D39" w:rsidRPr="00102634" w:rsidRDefault="005D6D39" w:rsidP="00C24C30">
            <w:pPr>
              <w:pStyle w:val="TableText"/>
              <w:keepNext/>
              <w:keepLines/>
              <w:rPr>
                <w:b/>
                <w:bCs/>
              </w:rPr>
            </w:pPr>
          </w:p>
        </w:tc>
        <w:tc>
          <w:tcPr>
            <w:tcW w:w="1984" w:type="dxa"/>
            <w:vAlign w:val="center"/>
          </w:tcPr>
          <w:p w14:paraId="27CB0A8D" w14:textId="77777777" w:rsidR="005D6D39" w:rsidRPr="00102634" w:rsidRDefault="005D6D39" w:rsidP="00C24C30">
            <w:pPr>
              <w:pStyle w:val="TableText"/>
              <w:keepNext/>
              <w:keepLines/>
              <w:rPr>
                <w:b/>
                <w:bCs/>
              </w:rPr>
            </w:pPr>
          </w:p>
        </w:tc>
        <w:tc>
          <w:tcPr>
            <w:tcW w:w="992" w:type="dxa"/>
            <w:vAlign w:val="center"/>
          </w:tcPr>
          <w:p w14:paraId="33607E31" w14:textId="77777777" w:rsidR="005D6D39" w:rsidRPr="00102634" w:rsidRDefault="005D6D39" w:rsidP="00C24C30">
            <w:pPr>
              <w:pStyle w:val="TableText"/>
              <w:keepNext/>
              <w:keepLines/>
              <w:rPr>
                <w:b/>
                <w:bCs/>
              </w:rPr>
            </w:pPr>
            <w:r w:rsidRPr="00102634">
              <w:rPr>
                <w:b/>
                <w:bCs/>
              </w:rPr>
              <w:t>Value</w:t>
            </w:r>
          </w:p>
        </w:tc>
        <w:tc>
          <w:tcPr>
            <w:tcW w:w="936" w:type="dxa"/>
            <w:noWrap/>
            <w:vAlign w:val="center"/>
            <w:hideMark/>
          </w:tcPr>
          <w:p w14:paraId="17D5F5C5" w14:textId="77777777" w:rsidR="005D6D39" w:rsidRPr="00102634" w:rsidRDefault="005D6D39" w:rsidP="00C24C30">
            <w:pPr>
              <w:pStyle w:val="TableText"/>
              <w:keepNext/>
              <w:keepLines/>
              <w:jc w:val="center"/>
              <w:rPr>
                <w:b/>
                <w:bCs/>
              </w:rPr>
            </w:pPr>
            <w:r w:rsidRPr="00102634">
              <w:rPr>
                <w:b/>
                <w:bCs/>
              </w:rPr>
              <w:t>2025</w:t>
            </w:r>
          </w:p>
        </w:tc>
        <w:tc>
          <w:tcPr>
            <w:tcW w:w="937" w:type="dxa"/>
            <w:noWrap/>
            <w:vAlign w:val="center"/>
            <w:hideMark/>
          </w:tcPr>
          <w:p w14:paraId="0642437D" w14:textId="77777777" w:rsidR="005D6D39" w:rsidRPr="00102634" w:rsidRDefault="005D6D39" w:rsidP="00C24C30">
            <w:pPr>
              <w:pStyle w:val="TableText"/>
              <w:keepNext/>
              <w:keepLines/>
              <w:jc w:val="center"/>
              <w:rPr>
                <w:b/>
                <w:bCs/>
              </w:rPr>
            </w:pPr>
            <w:r w:rsidRPr="00102634">
              <w:rPr>
                <w:b/>
                <w:bCs/>
              </w:rPr>
              <w:t>2026</w:t>
            </w:r>
          </w:p>
        </w:tc>
        <w:tc>
          <w:tcPr>
            <w:tcW w:w="936" w:type="dxa"/>
            <w:noWrap/>
            <w:vAlign w:val="center"/>
            <w:hideMark/>
          </w:tcPr>
          <w:p w14:paraId="3723B960" w14:textId="77777777" w:rsidR="005D6D39" w:rsidRPr="00102634" w:rsidRDefault="005D6D39" w:rsidP="00C24C30">
            <w:pPr>
              <w:pStyle w:val="TableText"/>
              <w:keepNext/>
              <w:keepLines/>
              <w:jc w:val="center"/>
              <w:rPr>
                <w:b/>
                <w:bCs/>
              </w:rPr>
            </w:pPr>
            <w:r w:rsidRPr="00102634">
              <w:rPr>
                <w:b/>
                <w:bCs/>
              </w:rPr>
              <w:t>2027</w:t>
            </w:r>
          </w:p>
        </w:tc>
        <w:tc>
          <w:tcPr>
            <w:tcW w:w="937" w:type="dxa"/>
            <w:noWrap/>
            <w:vAlign w:val="center"/>
            <w:hideMark/>
          </w:tcPr>
          <w:p w14:paraId="708B5CBB" w14:textId="77777777" w:rsidR="005D6D39" w:rsidRPr="00102634" w:rsidRDefault="005D6D39" w:rsidP="00C24C30">
            <w:pPr>
              <w:pStyle w:val="TableText"/>
              <w:keepNext/>
              <w:keepLines/>
              <w:jc w:val="center"/>
              <w:rPr>
                <w:b/>
                <w:bCs/>
              </w:rPr>
            </w:pPr>
            <w:r w:rsidRPr="00102634">
              <w:rPr>
                <w:b/>
                <w:bCs/>
              </w:rPr>
              <w:t>2028</w:t>
            </w:r>
          </w:p>
        </w:tc>
        <w:tc>
          <w:tcPr>
            <w:tcW w:w="936" w:type="dxa"/>
            <w:noWrap/>
            <w:vAlign w:val="center"/>
            <w:hideMark/>
          </w:tcPr>
          <w:p w14:paraId="2D716F5D" w14:textId="77777777" w:rsidR="005D6D39" w:rsidRPr="00102634" w:rsidRDefault="005D6D39" w:rsidP="00C24C30">
            <w:pPr>
              <w:pStyle w:val="TableText"/>
              <w:keepNext/>
              <w:keepLines/>
              <w:jc w:val="center"/>
              <w:rPr>
                <w:b/>
                <w:bCs/>
              </w:rPr>
            </w:pPr>
            <w:r w:rsidRPr="00102634">
              <w:rPr>
                <w:b/>
                <w:bCs/>
              </w:rPr>
              <w:t>2029</w:t>
            </w:r>
          </w:p>
        </w:tc>
        <w:tc>
          <w:tcPr>
            <w:tcW w:w="937" w:type="dxa"/>
            <w:noWrap/>
            <w:vAlign w:val="center"/>
            <w:hideMark/>
          </w:tcPr>
          <w:p w14:paraId="73CA1F52" w14:textId="77777777" w:rsidR="005D6D39" w:rsidRPr="00102634" w:rsidRDefault="005D6D39" w:rsidP="00C24C30">
            <w:pPr>
              <w:pStyle w:val="TableText"/>
              <w:keepNext/>
              <w:keepLines/>
              <w:jc w:val="center"/>
              <w:rPr>
                <w:b/>
                <w:bCs/>
              </w:rPr>
            </w:pPr>
            <w:r w:rsidRPr="00102634">
              <w:rPr>
                <w:b/>
                <w:bCs/>
              </w:rPr>
              <w:t>2030</w:t>
            </w:r>
          </w:p>
        </w:tc>
      </w:tr>
      <w:tr w:rsidR="005D6D39" w:rsidRPr="00102634" w14:paraId="2E4638B2" w14:textId="77777777">
        <w:trPr>
          <w:trHeight w:val="255"/>
        </w:trPr>
        <w:tc>
          <w:tcPr>
            <w:tcW w:w="421" w:type="dxa"/>
            <w:vAlign w:val="center"/>
          </w:tcPr>
          <w:p w14:paraId="73EE0AB6" w14:textId="77777777" w:rsidR="005D6D39" w:rsidRPr="00102634" w:rsidRDefault="005D6D39" w:rsidP="00C24C30">
            <w:pPr>
              <w:pStyle w:val="TableText"/>
              <w:keepNext/>
              <w:keepLines/>
            </w:pPr>
            <w:r w:rsidRPr="00102634">
              <w:t>A1</w:t>
            </w:r>
          </w:p>
        </w:tc>
        <w:tc>
          <w:tcPr>
            <w:tcW w:w="1984" w:type="dxa"/>
            <w:vAlign w:val="center"/>
          </w:tcPr>
          <w:p w14:paraId="0E1DD1C5" w14:textId="77777777" w:rsidR="005D6D39" w:rsidRPr="00102634" w:rsidRDefault="005D6D39" w:rsidP="00C24C30">
            <w:pPr>
              <w:pStyle w:val="TableText"/>
              <w:keepNext/>
              <w:keepLines/>
            </w:pPr>
            <w:r w:rsidRPr="00102634">
              <w:t>BC incidence</w:t>
            </w:r>
          </w:p>
        </w:tc>
        <w:tc>
          <w:tcPr>
            <w:tcW w:w="992" w:type="dxa"/>
            <w:vAlign w:val="center"/>
          </w:tcPr>
          <w:p w14:paraId="29052A8A" w14:textId="77777777" w:rsidR="005D6D39" w:rsidRPr="00102634" w:rsidRDefault="005D6D39" w:rsidP="00C24C30">
            <w:pPr>
              <w:pStyle w:val="TableText"/>
              <w:keepNext/>
              <w:keepLines/>
            </w:pPr>
            <w:r w:rsidRPr="00102634">
              <w:t>-</w:t>
            </w:r>
          </w:p>
        </w:tc>
        <w:tc>
          <w:tcPr>
            <w:tcW w:w="936" w:type="dxa"/>
            <w:noWrap/>
            <w:vAlign w:val="center"/>
            <w:hideMark/>
          </w:tcPr>
          <w:p w14:paraId="463DBDE9" w14:textId="77777777" w:rsidR="005D6D39" w:rsidRPr="0006231C" w:rsidRDefault="005D6D39" w:rsidP="00C24C30">
            <w:pPr>
              <w:pStyle w:val="TableText"/>
              <w:keepNext/>
              <w:keepLines/>
              <w:jc w:val="center"/>
            </w:pPr>
            <w:r w:rsidRPr="0006231C">
              <w:t>22,221</w:t>
            </w:r>
          </w:p>
        </w:tc>
        <w:tc>
          <w:tcPr>
            <w:tcW w:w="937" w:type="dxa"/>
            <w:noWrap/>
            <w:vAlign w:val="center"/>
            <w:hideMark/>
          </w:tcPr>
          <w:p w14:paraId="49AB5BF3" w14:textId="77777777" w:rsidR="005D6D39" w:rsidRPr="0006231C" w:rsidRDefault="005D6D39" w:rsidP="00C24C30">
            <w:pPr>
              <w:pStyle w:val="TableText"/>
              <w:keepNext/>
              <w:keepLines/>
              <w:jc w:val="center"/>
            </w:pPr>
            <w:r w:rsidRPr="0006231C">
              <w:t>22,709</w:t>
            </w:r>
          </w:p>
        </w:tc>
        <w:tc>
          <w:tcPr>
            <w:tcW w:w="936" w:type="dxa"/>
            <w:noWrap/>
            <w:vAlign w:val="center"/>
            <w:hideMark/>
          </w:tcPr>
          <w:p w14:paraId="4DF35DFB" w14:textId="77777777" w:rsidR="005D6D39" w:rsidRPr="0006231C" w:rsidRDefault="005D6D39" w:rsidP="00C24C30">
            <w:pPr>
              <w:pStyle w:val="TableText"/>
              <w:keepNext/>
              <w:keepLines/>
              <w:jc w:val="center"/>
            </w:pPr>
            <w:r w:rsidRPr="0006231C">
              <w:t>23,186</w:t>
            </w:r>
          </w:p>
        </w:tc>
        <w:tc>
          <w:tcPr>
            <w:tcW w:w="937" w:type="dxa"/>
            <w:noWrap/>
            <w:vAlign w:val="center"/>
            <w:hideMark/>
          </w:tcPr>
          <w:p w14:paraId="0C6944D2" w14:textId="77777777" w:rsidR="005D6D39" w:rsidRPr="0006231C" w:rsidRDefault="005D6D39" w:rsidP="00C24C30">
            <w:pPr>
              <w:pStyle w:val="TableText"/>
              <w:keepNext/>
              <w:keepLines/>
              <w:jc w:val="center"/>
            </w:pPr>
            <w:r w:rsidRPr="0006231C">
              <w:t>23,678</w:t>
            </w:r>
          </w:p>
        </w:tc>
        <w:tc>
          <w:tcPr>
            <w:tcW w:w="936" w:type="dxa"/>
            <w:noWrap/>
            <w:vAlign w:val="center"/>
            <w:hideMark/>
          </w:tcPr>
          <w:p w14:paraId="3D81EF93" w14:textId="77777777" w:rsidR="005D6D39" w:rsidRPr="0006231C" w:rsidRDefault="005D6D39" w:rsidP="00C24C30">
            <w:pPr>
              <w:pStyle w:val="TableText"/>
              <w:keepNext/>
              <w:keepLines/>
              <w:jc w:val="center"/>
            </w:pPr>
            <w:r w:rsidRPr="0006231C">
              <w:t>24,173</w:t>
            </w:r>
          </w:p>
        </w:tc>
        <w:tc>
          <w:tcPr>
            <w:tcW w:w="937" w:type="dxa"/>
            <w:noWrap/>
            <w:vAlign w:val="center"/>
            <w:hideMark/>
          </w:tcPr>
          <w:p w14:paraId="3CD0B896" w14:textId="77777777" w:rsidR="005D6D39" w:rsidRPr="0006231C" w:rsidRDefault="005D6D39" w:rsidP="00C24C30">
            <w:pPr>
              <w:pStyle w:val="TableText"/>
              <w:keepNext/>
              <w:keepLines/>
              <w:jc w:val="center"/>
            </w:pPr>
            <w:r w:rsidRPr="0006231C">
              <w:t>24,667</w:t>
            </w:r>
          </w:p>
        </w:tc>
      </w:tr>
      <w:tr w:rsidR="005D6D39" w:rsidRPr="00102634" w14:paraId="4D1086B6" w14:textId="77777777">
        <w:trPr>
          <w:trHeight w:val="255"/>
        </w:trPr>
        <w:tc>
          <w:tcPr>
            <w:tcW w:w="421" w:type="dxa"/>
            <w:vAlign w:val="center"/>
          </w:tcPr>
          <w:p w14:paraId="56F9D536" w14:textId="77777777" w:rsidR="005D6D39" w:rsidRPr="00102634" w:rsidRDefault="005D6D39" w:rsidP="00C24C30">
            <w:pPr>
              <w:pStyle w:val="TableText"/>
              <w:keepNext/>
              <w:keepLines/>
            </w:pPr>
            <w:r w:rsidRPr="00102634">
              <w:t>A2</w:t>
            </w:r>
          </w:p>
        </w:tc>
        <w:tc>
          <w:tcPr>
            <w:tcW w:w="1984" w:type="dxa"/>
            <w:vAlign w:val="center"/>
          </w:tcPr>
          <w:p w14:paraId="49755C92" w14:textId="77777777" w:rsidR="005D6D39" w:rsidRPr="00102634" w:rsidRDefault="005D6D39" w:rsidP="00C24C30">
            <w:pPr>
              <w:pStyle w:val="TableText"/>
              <w:keepNext/>
              <w:keepLines/>
            </w:pPr>
            <w:r w:rsidRPr="00102634">
              <w:t>Stage III/IV BC (17.7%)</w:t>
            </w:r>
          </w:p>
        </w:tc>
        <w:tc>
          <w:tcPr>
            <w:tcW w:w="992" w:type="dxa"/>
            <w:vAlign w:val="center"/>
          </w:tcPr>
          <w:p w14:paraId="366D32B8" w14:textId="77777777" w:rsidR="005D6D39" w:rsidRPr="00102634" w:rsidRDefault="005D6D39" w:rsidP="00C24C30">
            <w:pPr>
              <w:pStyle w:val="TableText"/>
              <w:keepNext/>
              <w:keepLines/>
            </w:pPr>
            <w:r w:rsidRPr="00102634">
              <w:t>A1×17.7%</w:t>
            </w:r>
          </w:p>
        </w:tc>
        <w:tc>
          <w:tcPr>
            <w:tcW w:w="936" w:type="dxa"/>
            <w:noWrap/>
            <w:vAlign w:val="center"/>
            <w:hideMark/>
          </w:tcPr>
          <w:p w14:paraId="163F82FB" w14:textId="77777777" w:rsidR="005D6D39" w:rsidRPr="0006231C" w:rsidRDefault="005D6D39" w:rsidP="00C24C30">
            <w:pPr>
              <w:pStyle w:val="TableText"/>
              <w:keepNext/>
              <w:keepLines/>
              <w:jc w:val="center"/>
            </w:pPr>
            <w:r w:rsidRPr="0006231C">
              <w:t>3,928</w:t>
            </w:r>
          </w:p>
        </w:tc>
        <w:tc>
          <w:tcPr>
            <w:tcW w:w="937" w:type="dxa"/>
            <w:noWrap/>
            <w:vAlign w:val="center"/>
            <w:hideMark/>
          </w:tcPr>
          <w:p w14:paraId="1D908B43" w14:textId="77777777" w:rsidR="005D6D39" w:rsidRPr="0006231C" w:rsidRDefault="005D6D39" w:rsidP="00C24C30">
            <w:pPr>
              <w:pStyle w:val="TableText"/>
              <w:keepNext/>
              <w:keepLines/>
              <w:jc w:val="center"/>
            </w:pPr>
            <w:r w:rsidRPr="0006231C">
              <w:t>4,015</w:t>
            </w:r>
          </w:p>
        </w:tc>
        <w:tc>
          <w:tcPr>
            <w:tcW w:w="936" w:type="dxa"/>
            <w:noWrap/>
            <w:vAlign w:val="center"/>
            <w:hideMark/>
          </w:tcPr>
          <w:p w14:paraId="4D3B4608" w14:textId="77777777" w:rsidR="005D6D39" w:rsidRPr="0006231C" w:rsidRDefault="005D6D39" w:rsidP="00C24C30">
            <w:pPr>
              <w:pStyle w:val="TableText"/>
              <w:keepNext/>
              <w:keepLines/>
              <w:jc w:val="center"/>
            </w:pPr>
            <w:r w:rsidRPr="0006231C">
              <w:t>4,099</w:t>
            </w:r>
          </w:p>
        </w:tc>
        <w:tc>
          <w:tcPr>
            <w:tcW w:w="937" w:type="dxa"/>
            <w:noWrap/>
            <w:vAlign w:val="center"/>
            <w:hideMark/>
          </w:tcPr>
          <w:p w14:paraId="75FA7FB0" w14:textId="77777777" w:rsidR="005D6D39" w:rsidRPr="0006231C" w:rsidRDefault="005D6D39" w:rsidP="00C24C30">
            <w:pPr>
              <w:pStyle w:val="TableText"/>
              <w:keepNext/>
              <w:keepLines/>
              <w:jc w:val="center"/>
            </w:pPr>
            <w:r w:rsidRPr="0006231C">
              <w:t>4,186</w:t>
            </w:r>
          </w:p>
        </w:tc>
        <w:tc>
          <w:tcPr>
            <w:tcW w:w="936" w:type="dxa"/>
            <w:noWrap/>
            <w:vAlign w:val="center"/>
            <w:hideMark/>
          </w:tcPr>
          <w:p w14:paraId="26017A86" w14:textId="77777777" w:rsidR="005D6D39" w:rsidRPr="0006231C" w:rsidRDefault="005D6D39" w:rsidP="00C24C30">
            <w:pPr>
              <w:pStyle w:val="TableText"/>
              <w:keepNext/>
              <w:keepLines/>
              <w:jc w:val="center"/>
            </w:pPr>
            <w:r w:rsidRPr="0006231C">
              <w:t>4,273</w:t>
            </w:r>
          </w:p>
        </w:tc>
        <w:tc>
          <w:tcPr>
            <w:tcW w:w="937" w:type="dxa"/>
            <w:noWrap/>
            <w:vAlign w:val="center"/>
            <w:hideMark/>
          </w:tcPr>
          <w:p w14:paraId="21C63CA0" w14:textId="77777777" w:rsidR="005D6D39" w:rsidRPr="0006231C" w:rsidRDefault="005D6D39" w:rsidP="00C24C30">
            <w:pPr>
              <w:pStyle w:val="TableText"/>
              <w:keepNext/>
              <w:keepLines/>
              <w:jc w:val="center"/>
            </w:pPr>
            <w:r w:rsidRPr="0006231C">
              <w:t>4,361</w:t>
            </w:r>
          </w:p>
        </w:tc>
      </w:tr>
      <w:tr w:rsidR="005D6D39" w:rsidRPr="00102634" w14:paraId="315C3114" w14:textId="77777777">
        <w:trPr>
          <w:trHeight w:val="255"/>
        </w:trPr>
        <w:tc>
          <w:tcPr>
            <w:tcW w:w="421" w:type="dxa"/>
            <w:vAlign w:val="center"/>
          </w:tcPr>
          <w:p w14:paraId="0E0CE3FD" w14:textId="77777777" w:rsidR="005D6D39" w:rsidRPr="00102634" w:rsidRDefault="005D6D39" w:rsidP="00C24C30">
            <w:pPr>
              <w:pStyle w:val="TableText"/>
              <w:keepNext/>
              <w:keepLines/>
            </w:pPr>
            <w:r w:rsidRPr="00102634">
              <w:t>A3</w:t>
            </w:r>
          </w:p>
        </w:tc>
        <w:tc>
          <w:tcPr>
            <w:tcW w:w="1984" w:type="dxa"/>
            <w:vAlign w:val="center"/>
          </w:tcPr>
          <w:p w14:paraId="1F931BA8" w14:textId="77777777" w:rsidR="005D6D39" w:rsidRPr="00102634" w:rsidRDefault="005D6D39" w:rsidP="00C24C30">
            <w:pPr>
              <w:pStyle w:val="TableText"/>
              <w:keepNext/>
              <w:keepLines/>
            </w:pPr>
            <w:r w:rsidRPr="00102634">
              <w:t>HR+/HER2- subtype (70%)</w:t>
            </w:r>
          </w:p>
        </w:tc>
        <w:tc>
          <w:tcPr>
            <w:tcW w:w="992" w:type="dxa"/>
            <w:vAlign w:val="center"/>
          </w:tcPr>
          <w:p w14:paraId="6998BF17" w14:textId="77777777" w:rsidR="005D6D39" w:rsidRPr="00102634" w:rsidRDefault="005D6D39" w:rsidP="00C24C30">
            <w:pPr>
              <w:pStyle w:val="TableText"/>
              <w:keepNext/>
              <w:keepLines/>
            </w:pPr>
            <w:r w:rsidRPr="00102634">
              <w:t>A2×70%</w:t>
            </w:r>
          </w:p>
        </w:tc>
        <w:tc>
          <w:tcPr>
            <w:tcW w:w="936" w:type="dxa"/>
            <w:noWrap/>
            <w:vAlign w:val="center"/>
            <w:hideMark/>
          </w:tcPr>
          <w:p w14:paraId="23E7C500" w14:textId="77777777" w:rsidR="005D6D39" w:rsidRPr="0006231C" w:rsidRDefault="005D6D39" w:rsidP="00C24C30">
            <w:pPr>
              <w:pStyle w:val="TableText"/>
              <w:keepNext/>
              <w:keepLines/>
              <w:jc w:val="center"/>
            </w:pPr>
            <w:r w:rsidRPr="0006231C">
              <w:t>2,750</w:t>
            </w:r>
          </w:p>
        </w:tc>
        <w:tc>
          <w:tcPr>
            <w:tcW w:w="937" w:type="dxa"/>
            <w:noWrap/>
            <w:vAlign w:val="center"/>
            <w:hideMark/>
          </w:tcPr>
          <w:p w14:paraId="0D7D5D35" w14:textId="77777777" w:rsidR="005D6D39" w:rsidRPr="0006231C" w:rsidRDefault="005D6D39" w:rsidP="00C24C30">
            <w:pPr>
              <w:pStyle w:val="TableText"/>
              <w:keepNext/>
              <w:keepLines/>
              <w:jc w:val="center"/>
            </w:pPr>
            <w:r w:rsidRPr="0006231C">
              <w:t>2,810</w:t>
            </w:r>
          </w:p>
        </w:tc>
        <w:tc>
          <w:tcPr>
            <w:tcW w:w="936" w:type="dxa"/>
            <w:noWrap/>
            <w:vAlign w:val="center"/>
            <w:hideMark/>
          </w:tcPr>
          <w:p w14:paraId="1D6D6351" w14:textId="77777777" w:rsidR="005D6D39" w:rsidRPr="0006231C" w:rsidRDefault="005D6D39" w:rsidP="00C24C30">
            <w:pPr>
              <w:pStyle w:val="TableText"/>
              <w:keepNext/>
              <w:keepLines/>
              <w:jc w:val="center"/>
            </w:pPr>
            <w:r w:rsidRPr="0006231C">
              <w:t>2,869</w:t>
            </w:r>
          </w:p>
        </w:tc>
        <w:tc>
          <w:tcPr>
            <w:tcW w:w="937" w:type="dxa"/>
            <w:noWrap/>
            <w:vAlign w:val="center"/>
            <w:hideMark/>
          </w:tcPr>
          <w:p w14:paraId="0887E296" w14:textId="77777777" w:rsidR="005D6D39" w:rsidRPr="0006231C" w:rsidRDefault="005D6D39" w:rsidP="00C24C30">
            <w:pPr>
              <w:pStyle w:val="TableText"/>
              <w:keepNext/>
              <w:keepLines/>
              <w:jc w:val="center"/>
            </w:pPr>
            <w:r w:rsidRPr="0006231C">
              <w:t>2,930</w:t>
            </w:r>
          </w:p>
        </w:tc>
        <w:tc>
          <w:tcPr>
            <w:tcW w:w="936" w:type="dxa"/>
            <w:noWrap/>
            <w:vAlign w:val="center"/>
            <w:hideMark/>
          </w:tcPr>
          <w:p w14:paraId="600C44E5" w14:textId="77777777" w:rsidR="005D6D39" w:rsidRPr="0006231C" w:rsidRDefault="005D6D39" w:rsidP="00C24C30">
            <w:pPr>
              <w:pStyle w:val="TableText"/>
              <w:keepNext/>
              <w:keepLines/>
              <w:jc w:val="center"/>
            </w:pPr>
            <w:r w:rsidRPr="0006231C">
              <w:t>2,991</w:t>
            </w:r>
          </w:p>
        </w:tc>
        <w:tc>
          <w:tcPr>
            <w:tcW w:w="937" w:type="dxa"/>
            <w:noWrap/>
            <w:vAlign w:val="center"/>
            <w:hideMark/>
          </w:tcPr>
          <w:p w14:paraId="51BBEC11" w14:textId="77777777" w:rsidR="005D6D39" w:rsidRPr="0006231C" w:rsidRDefault="005D6D39" w:rsidP="00C24C30">
            <w:pPr>
              <w:pStyle w:val="TableText"/>
              <w:keepNext/>
              <w:keepLines/>
              <w:jc w:val="center"/>
            </w:pPr>
            <w:r w:rsidRPr="0006231C">
              <w:t>3,053</w:t>
            </w:r>
          </w:p>
        </w:tc>
      </w:tr>
      <w:tr w:rsidR="005D6D39" w:rsidRPr="00102634" w14:paraId="268D5A0A" w14:textId="77777777">
        <w:trPr>
          <w:trHeight w:val="255"/>
        </w:trPr>
        <w:tc>
          <w:tcPr>
            <w:tcW w:w="9016" w:type="dxa"/>
            <w:gridSpan w:val="9"/>
            <w:vAlign w:val="center"/>
          </w:tcPr>
          <w:p w14:paraId="38D38B22" w14:textId="74FE7409" w:rsidR="005D6D39" w:rsidRPr="00102634" w:rsidRDefault="005D6D39" w:rsidP="00C24C30">
            <w:pPr>
              <w:pStyle w:val="TableText"/>
              <w:keepNext/>
              <w:keepLines/>
              <w:rPr>
                <w:b/>
                <w:bCs/>
              </w:rPr>
            </w:pPr>
            <w:r w:rsidRPr="00102634">
              <w:rPr>
                <w:b/>
                <w:bCs/>
              </w:rPr>
              <w:t xml:space="preserve">Pts eligible for 1L </w:t>
            </w:r>
            <w:r w:rsidR="00F655EA">
              <w:rPr>
                <w:b/>
                <w:bCs/>
              </w:rPr>
              <w:t>testing</w:t>
            </w:r>
          </w:p>
        </w:tc>
      </w:tr>
      <w:tr w:rsidR="0095685F" w:rsidRPr="00102634" w14:paraId="5A35D780" w14:textId="77777777" w:rsidTr="0006231C">
        <w:trPr>
          <w:trHeight w:val="255"/>
        </w:trPr>
        <w:tc>
          <w:tcPr>
            <w:tcW w:w="0" w:type="dxa"/>
            <w:vAlign w:val="center"/>
          </w:tcPr>
          <w:p w14:paraId="17C3FE70" w14:textId="77777777" w:rsidR="0095685F" w:rsidRPr="00102634" w:rsidRDefault="0095685F" w:rsidP="0095685F">
            <w:pPr>
              <w:pStyle w:val="TableText"/>
              <w:keepNext/>
              <w:keepLines/>
            </w:pPr>
            <w:r w:rsidRPr="00102634">
              <w:t>B1</w:t>
            </w:r>
          </w:p>
        </w:tc>
        <w:tc>
          <w:tcPr>
            <w:tcW w:w="0" w:type="dxa"/>
            <w:vAlign w:val="center"/>
          </w:tcPr>
          <w:p w14:paraId="5504C921" w14:textId="77777777" w:rsidR="0095685F" w:rsidRPr="00102634" w:rsidRDefault="0095685F" w:rsidP="0095685F">
            <w:pPr>
              <w:pStyle w:val="TableText"/>
              <w:keepNext/>
              <w:keepLines/>
            </w:pPr>
            <w:r w:rsidRPr="00102634">
              <w:t>Pts on 1L CDK4/6i</w:t>
            </w:r>
          </w:p>
        </w:tc>
        <w:tc>
          <w:tcPr>
            <w:tcW w:w="0" w:type="dxa"/>
            <w:vAlign w:val="center"/>
          </w:tcPr>
          <w:p w14:paraId="33A4EAE7" w14:textId="77777777" w:rsidR="0095685F" w:rsidRPr="00102634" w:rsidRDefault="0095685F" w:rsidP="0095685F">
            <w:pPr>
              <w:pStyle w:val="TableText"/>
              <w:keepNext/>
              <w:keepLines/>
            </w:pPr>
            <w:r w:rsidRPr="00102634">
              <w:t>DUSC estimates</w:t>
            </w:r>
          </w:p>
        </w:tc>
        <w:tc>
          <w:tcPr>
            <w:tcW w:w="0" w:type="dxa"/>
            <w:noWrap/>
            <w:vAlign w:val="center"/>
            <w:hideMark/>
          </w:tcPr>
          <w:p w14:paraId="58D479AE" w14:textId="0905BA6D" w:rsidR="0095685F" w:rsidRPr="008327D9" w:rsidRDefault="1712B0B0" w:rsidP="0095685F">
            <w:pPr>
              <w:pStyle w:val="TableText"/>
              <w:keepNext/>
              <w:keepLines/>
              <w:jc w:val="center"/>
              <w:rPr>
                <w:highlight w:val="yellow"/>
              </w:rPr>
            </w:pPr>
            <w:r w:rsidRPr="10812078">
              <w:rPr>
                <w:b/>
                <w:bCs/>
              </w:rPr>
              <w:t>redacted</w:t>
            </w:r>
            <w:r w:rsidR="62671ECE" w:rsidRPr="10812078">
              <w:rPr>
                <w:vertAlign w:val="superscript"/>
              </w:rPr>
              <w:t xml:space="preserve"> 2</w:t>
            </w:r>
          </w:p>
        </w:tc>
        <w:tc>
          <w:tcPr>
            <w:tcW w:w="0" w:type="dxa"/>
            <w:noWrap/>
            <w:hideMark/>
          </w:tcPr>
          <w:p w14:paraId="6A4CF947" w14:textId="3BCD972D" w:rsidR="0095685F" w:rsidRPr="008327D9" w:rsidRDefault="1712B0B0" w:rsidP="0095685F">
            <w:pPr>
              <w:pStyle w:val="TableText"/>
              <w:keepNext/>
              <w:keepLines/>
              <w:jc w:val="center"/>
              <w:rPr>
                <w:highlight w:val="yellow"/>
              </w:rPr>
            </w:pPr>
            <w:r w:rsidRPr="10812078">
              <w:rPr>
                <w:b/>
                <w:bCs/>
              </w:rPr>
              <w:t>redacted</w:t>
            </w:r>
            <w:r w:rsidR="25A79FE9" w:rsidRPr="10812078">
              <w:rPr>
                <w:vertAlign w:val="superscript"/>
              </w:rPr>
              <w:t xml:space="preserve"> 2</w:t>
            </w:r>
          </w:p>
        </w:tc>
        <w:tc>
          <w:tcPr>
            <w:tcW w:w="0" w:type="dxa"/>
            <w:noWrap/>
            <w:hideMark/>
          </w:tcPr>
          <w:p w14:paraId="2603F64E" w14:textId="592D804C" w:rsidR="0095685F" w:rsidRPr="008327D9" w:rsidRDefault="1712B0B0" w:rsidP="0095685F">
            <w:pPr>
              <w:pStyle w:val="TableText"/>
              <w:keepNext/>
              <w:keepLines/>
              <w:jc w:val="center"/>
              <w:rPr>
                <w:highlight w:val="yellow"/>
              </w:rPr>
            </w:pPr>
            <w:r w:rsidRPr="10812078">
              <w:rPr>
                <w:b/>
                <w:bCs/>
              </w:rPr>
              <w:t>redacted</w:t>
            </w:r>
            <w:r w:rsidR="413C1064" w:rsidRPr="10812078">
              <w:rPr>
                <w:vertAlign w:val="superscript"/>
              </w:rPr>
              <w:t xml:space="preserve"> 2</w:t>
            </w:r>
          </w:p>
        </w:tc>
        <w:tc>
          <w:tcPr>
            <w:tcW w:w="0" w:type="dxa"/>
            <w:noWrap/>
            <w:hideMark/>
          </w:tcPr>
          <w:p w14:paraId="010CDC31" w14:textId="419FD37A" w:rsidR="0095685F" w:rsidRPr="008327D9" w:rsidRDefault="1712B0B0" w:rsidP="0095685F">
            <w:pPr>
              <w:pStyle w:val="TableText"/>
              <w:keepNext/>
              <w:keepLines/>
              <w:jc w:val="center"/>
              <w:rPr>
                <w:highlight w:val="yellow"/>
              </w:rPr>
            </w:pPr>
            <w:r w:rsidRPr="10812078">
              <w:rPr>
                <w:b/>
                <w:bCs/>
              </w:rPr>
              <w:t>redacted</w:t>
            </w:r>
            <w:r w:rsidR="7FF679A0" w:rsidRPr="10812078">
              <w:rPr>
                <w:vertAlign w:val="superscript"/>
              </w:rPr>
              <w:t xml:space="preserve"> 2</w:t>
            </w:r>
          </w:p>
        </w:tc>
        <w:tc>
          <w:tcPr>
            <w:tcW w:w="0" w:type="dxa"/>
            <w:noWrap/>
            <w:hideMark/>
          </w:tcPr>
          <w:p w14:paraId="6567ECB6" w14:textId="2B80D06E" w:rsidR="0095685F" w:rsidRPr="008327D9" w:rsidRDefault="1712B0B0" w:rsidP="0095685F">
            <w:pPr>
              <w:pStyle w:val="TableText"/>
              <w:keepNext/>
              <w:keepLines/>
              <w:jc w:val="center"/>
              <w:rPr>
                <w:highlight w:val="yellow"/>
              </w:rPr>
            </w:pPr>
            <w:r w:rsidRPr="10812078">
              <w:rPr>
                <w:b/>
                <w:bCs/>
              </w:rPr>
              <w:t>redacted</w:t>
            </w:r>
            <w:r w:rsidR="7CCEE9D2" w:rsidRPr="10812078">
              <w:rPr>
                <w:vertAlign w:val="superscript"/>
              </w:rPr>
              <w:t xml:space="preserve"> 2</w:t>
            </w:r>
          </w:p>
        </w:tc>
        <w:tc>
          <w:tcPr>
            <w:tcW w:w="0" w:type="dxa"/>
            <w:noWrap/>
            <w:hideMark/>
          </w:tcPr>
          <w:p w14:paraId="5EF0E2B3" w14:textId="07C8CF07" w:rsidR="0095685F" w:rsidRPr="008327D9" w:rsidRDefault="1712B0B0" w:rsidP="0095685F">
            <w:pPr>
              <w:pStyle w:val="TableText"/>
              <w:keepNext/>
              <w:keepLines/>
              <w:jc w:val="center"/>
              <w:rPr>
                <w:highlight w:val="yellow"/>
              </w:rPr>
            </w:pPr>
            <w:r w:rsidRPr="10812078">
              <w:rPr>
                <w:b/>
                <w:bCs/>
              </w:rPr>
              <w:t>redacted</w:t>
            </w:r>
            <w:r w:rsidR="7CCEE9D2" w:rsidRPr="10812078">
              <w:rPr>
                <w:vertAlign w:val="superscript"/>
              </w:rPr>
              <w:t xml:space="preserve"> 2</w:t>
            </w:r>
          </w:p>
        </w:tc>
      </w:tr>
      <w:tr w:rsidR="0095685F" w:rsidRPr="00102634" w14:paraId="2CD0A520" w14:textId="77777777" w:rsidTr="0006231C">
        <w:trPr>
          <w:trHeight w:val="255"/>
        </w:trPr>
        <w:tc>
          <w:tcPr>
            <w:tcW w:w="0" w:type="dxa"/>
            <w:vAlign w:val="center"/>
          </w:tcPr>
          <w:p w14:paraId="5E99279C" w14:textId="77777777" w:rsidR="0095685F" w:rsidRPr="00102634" w:rsidRDefault="0095685F" w:rsidP="0095685F">
            <w:pPr>
              <w:pStyle w:val="TableText"/>
              <w:keepNext/>
              <w:keepLines/>
            </w:pPr>
            <w:r w:rsidRPr="00102634">
              <w:t>B2</w:t>
            </w:r>
          </w:p>
        </w:tc>
        <w:tc>
          <w:tcPr>
            <w:tcW w:w="0" w:type="dxa"/>
            <w:vAlign w:val="center"/>
          </w:tcPr>
          <w:p w14:paraId="34916AE8" w14:textId="77777777" w:rsidR="0095685F" w:rsidRPr="00102634" w:rsidRDefault="0095685F" w:rsidP="0095685F">
            <w:pPr>
              <w:pStyle w:val="TableText"/>
              <w:keepNext/>
              <w:keepLines/>
            </w:pPr>
            <w:r w:rsidRPr="00102634">
              <w:t>Pt not eligible for 1L CDK4/6i</w:t>
            </w:r>
          </w:p>
        </w:tc>
        <w:tc>
          <w:tcPr>
            <w:tcW w:w="0" w:type="dxa"/>
            <w:vAlign w:val="center"/>
          </w:tcPr>
          <w:p w14:paraId="49BF1AF3" w14:textId="77777777" w:rsidR="0095685F" w:rsidRPr="00102634" w:rsidRDefault="0095685F" w:rsidP="0095685F">
            <w:pPr>
              <w:pStyle w:val="TableText"/>
              <w:keepNext/>
              <w:keepLines/>
            </w:pPr>
            <w:r w:rsidRPr="00102634">
              <w:t>A3–B1</w:t>
            </w:r>
          </w:p>
        </w:tc>
        <w:tc>
          <w:tcPr>
            <w:tcW w:w="0" w:type="dxa"/>
            <w:noWrap/>
            <w:hideMark/>
          </w:tcPr>
          <w:p w14:paraId="4379BFDB" w14:textId="3DBAE276" w:rsidR="0095685F" w:rsidRPr="008327D9" w:rsidRDefault="1712B0B0" w:rsidP="0095685F">
            <w:pPr>
              <w:pStyle w:val="TableText"/>
              <w:keepNext/>
              <w:keepLines/>
              <w:jc w:val="center"/>
              <w:rPr>
                <w:highlight w:val="yellow"/>
              </w:rPr>
            </w:pPr>
            <w:r w:rsidRPr="10812078">
              <w:rPr>
                <w:b/>
                <w:bCs/>
              </w:rPr>
              <w:t>redacted</w:t>
            </w:r>
            <w:r w:rsidR="7B2AF2A4" w:rsidRPr="10812078">
              <w:rPr>
                <w:vertAlign w:val="superscript"/>
              </w:rPr>
              <w:t xml:space="preserve"> 2</w:t>
            </w:r>
          </w:p>
        </w:tc>
        <w:tc>
          <w:tcPr>
            <w:tcW w:w="0" w:type="dxa"/>
            <w:noWrap/>
            <w:hideMark/>
          </w:tcPr>
          <w:p w14:paraId="30C21DC2" w14:textId="458E9512" w:rsidR="0095685F" w:rsidRPr="008327D9" w:rsidRDefault="1712B0B0" w:rsidP="0095685F">
            <w:pPr>
              <w:pStyle w:val="TableText"/>
              <w:keepNext/>
              <w:keepLines/>
              <w:jc w:val="center"/>
              <w:rPr>
                <w:highlight w:val="yellow"/>
              </w:rPr>
            </w:pPr>
            <w:r w:rsidRPr="10812078">
              <w:rPr>
                <w:b/>
                <w:bCs/>
              </w:rPr>
              <w:t>redacted</w:t>
            </w:r>
            <w:r w:rsidR="0FC349D9" w:rsidRPr="10812078">
              <w:rPr>
                <w:vertAlign w:val="superscript"/>
              </w:rPr>
              <w:t xml:space="preserve"> 2</w:t>
            </w:r>
          </w:p>
        </w:tc>
        <w:tc>
          <w:tcPr>
            <w:tcW w:w="0" w:type="dxa"/>
            <w:noWrap/>
            <w:hideMark/>
          </w:tcPr>
          <w:p w14:paraId="21FC7638" w14:textId="09F9A2F7" w:rsidR="0095685F" w:rsidRPr="008327D9" w:rsidRDefault="1712B0B0" w:rsidP="0095685F">
            <w:pPr>
              <w:pStyle w:val="TableText"/>
              <w:keepNext/>
              <w:keepLines/>
              <w:jc w:val="center"/>
              <w:rPr>
                <w:highlight w:val="yellow"/>
              </w:rPr>
            </w:pPr>
            <w:r w:rsidRPr="10812078">
              <w:rPr>
                <w:b/>
                <w:bCs/>
              </w:rPr>
              <w:t>redacted</w:t>
            </w:r>
            <w:r w:rsidR="3C618510" w:rsidRPr="10812078">
              <w:rPr>
                <w:vertAlign w:val="superscript"/>
              </w:rPr>
              <w:t xml:space="preserve"> 1</w:t>
            </w:r>
          </w:p>
        </w:tc>
        <w:tc>
          <w:tcPr>
            <w:tcW w:w="0" w:type="dxa"/>
            <w:noWrap/>
            <w:hideMark/>
          </w:tcPr>
          <w:p w14:paraId="6D4FF48B" w14:textId="48EDA5E3" w:rsidR="0095685F" w:rsidRPr="008327D9" w:rsidRDefault="1712B0B0" w:rsidP="0095685F">
            <w:pPr>
              <w:pStyle w:val="TableText"/>
              <w:keepNext/>
              <w:keepLines/>
              <w:jc w:val="center"/>
              <w:rPr>
                <w:highlight w:val="yellow"/>
              </w:rPr>
            </w:pPr>
            <w:r w:rsidRPr="10812078">
              <w:rPr>
                <w:b/>
                <w:bCs/>
              </w:rPr>
              <w:t>redacted</w:t>
            </w:r>
            <w:r w:rsidR="2D9C7535" w:rsidRPr="10812078">
              <w:rPr>
                <w:vertAlign w:val="superscript"/>
              </w:rPr>
              <w:t xml:space="preserve"> 1</w:t>
            </w:r>
          </w:p>
        </w:tc>
        <w:tc>
          <w:tcPr>
            <w:tcW w:w="0" w:type="dxa"/>
            <w:noWrap/>
            <w:hideMark/>
          </w:tcPr>
          <w:p w14:paraId="2F656D29" w14:textId="6001CC3B" w:rsidR="0095685F" w:rsidRPr="008327D9" w:rsidRDefault="1712B0B0" w:rsidP="0095685F">
            <w:pPr>
              <w:pStyle w:val="TableText"/>
              <w:keepNext/>
              <w:keepLines/>
              <w:jc w:val="center"/>
              <w:rPr>
                <w:highlight w:val="yellow"/>
              </w:rPr>
            </w:pPr>
            <w:r w:rsidRPr="10812078">
              <w:rPr>
                <w:b/>
                <w:bCs/>
              </w:rPr>
              <w:t>redacted</w:t>
            </w:r>
            <w:r w:rsidR="172A388C" w:rsidRPr="10812078">
              <w:rPr>
                <w:vertAlign w:val="superscript"/>
              </w:rPr>
              <w:t xml:space="preserve"> 1</w:t>
            </w:r>
          </w:p>
        </w:tc>
        <w:tc>
          <w:tcPr>
            <w:tcW w:w="0" w:type="dxa"/>
            <w:noWrap/>
            <w:hideMark/>
          </w:tcPr>
          <w:p w14:paraId="611990B0" w14:textId="4004DA4F" w:rsidR="0095685F" w:rsidRPr="008327D9" w:rsidRDefault="1712B0B0" w:rsidP="0095685F">
            <w:pPr>
              <w:pStyle w:val="TableText"/>
              <w:keepNext/>
              <w:keepLines/>
              <w:jc w:val="center"/>
              <w:rPr>
                <w:highlight w:val="yellow"/>
              </w:rPr>
            </w:pPr>
            <w:r w:rsidRPr="10812078">
              <w:rPr>
                <w:b/>
                <w:bCs/>
              </w:rPr>
              <w:t>redacted</w:t>
            </w:r>
            <w:r w:rsidR="57625165" w:rsidRPr="10812078">
              <w:rPr>
                <w:vertAlign w:val="superscript"/>
              </w:rPr>
              <w:t xml:space="preserve"> 1</w:t>
            </w:r>
          </w:p>
        </w:tc>
      </w:tr>
      <w:tr w:rsidR="0095685F" w:rsidRPr="00102634" w14:paraId="698242EA" w14:textId="77777777" w:rsidTr="0006231C">
        <w:trPr>
          <w:trHeight w:val="255"/>
        </w:trPr>
        <w:tc>
          <w:tcPr>
            <w:tcW w:w="0" w:type="dxa"/>
            <w:vAlign w:val="center"/>
          </w:tcPr>
          <w:p w14:paraId="5B5B99C2" w14:textId="77777777" w:rsidR="0095685F" w:rsidRPr="00102634" w:rsidRDefault="0095685F" w:rsidP="0095685F">
            <w:pPr>
              <w:pStyle w:val="TableText"/>
              <w:keepNext/>
              <w:keepLines/>
            </w:pPr>
            <w:r w:rsidRPr="00102634">
              <w:t>B3</w:t>
            </w:r>
          </w:p>
        </w:tc>
        <w:tc>
          <w:tcPr>
            <w:tcW w:w="0" w:type="dxa"/>
            <w:vAlign w:val="center"/>
          </w:tcPr>
          <w:p w14:paraId="64269F36" w14:textId="77777777" w:rsidR="0095685F" w:rsidRPr="00102634" w:rsidRDefault="0095685F" w:rsidP="0095685F">
            <w:pPr>
              <w:pStyle w:val="TableText"/>
              <w:keepNext/>
              <w:keepLines/>
              <w:rPr>
                <w:b/>
                <w:bCs/>
              </w:rPr>
            </w:pPr>
            <w:r w:rsidRPr="00102634">
              <w:rPr>
                <w:b/>
                <w:bCs/>
              </w:rPr>
              <w:t xml:space="preserve">Test uptake rate </w:t>
            </w:r>
          </w:p>
          <w:p w14:paraId="38B6BE7F" w14:textId="77777777" w:rsidR="0095685F" w:rsidRPr="00102634" w:rsidRDefault="0095685F" w:rsidP="0095685F">
            <w:pPr>
              <w:pStyle w:val="TableText"/>
              <w:keepNext/>
              <w:keepLines/>
              <w:rPr>
                <w:b/>
                <w:bCs/>
              </w:rPr>
            </w:pPr>
            <w:r w:rsidRPr="00102634">
              <w:rPr>
                <w:b/>
                <w:bCs/>
              </w:rPr>
              <w:t>(1L tested population)</w:t>
            </w:r>
          </w:p>
        </w:tc>
        <w:tc>
          <w:tcPr>
            <w:tcW w:w="0" w:type="dxa"/>
            <w:vAlign w:val="center"/>
          </w:tcPr>
          <w:p w14:paraId="55B6ECD8" w14:textId="1537F19A" w:rsidR="0095685F" w:rsidRPr="00102634" w:rsidRDefault="0095685F" w:rsidP="0095685F">
            <w:pPr>
              <w:pStyle w:val="TableText"/>
              <w:keepNext/>
              <w:keepLines/>
              <w:rPr>
                <w:b/>
                <w:bCs/>
                <w:vertAlign w:val="superscript"/>
              </w:rPr>
            </w:pPr>
            <w:r w:rsidRPr="00102634">
              <w:rPr>
                <w:b/>
                <w:bCs/>
              </w:rPr>
              <w:t>B2×</w:t>
            </w:r>
            <w:r w:rsidRPr="0095685F">
              <w:rPr>
                <w:b/>
                <w:bCs/>
              </w:rPr>
              <w:t xml:space="preserve"> </w:t>
            </w:r>
            <w:proofErr w:type="spellStart"/>
            <w:r w:rsidRPr="0095685F">
              <w:rPr>
                <w:b/>
                <w:bCs/>
              </w:rPr>
              <w:t>redacted</w:t>
            </w:r>
            <w:r w:rsidRPr="00102634">
              <w:rPr>
                <w:b/>
                <w:bCs/>
                <w:vertAlign w:val="superscript"/>
              </w:rPr>
              <w:t>a</w:t>
            </w:r>
            <w:proofErr w:type="spellEnd"/>
          </w:p>
        </w:tc>
        <w:tc>
          <w:tcPr>
            <w:tcW w:w="0" w:type="dxa"/>
            <w:noWrap/>
            <w:hideMark/>
          </w:tcPr>
          <w:p w14:paraId="65A90B16" w14:textId="1E3C5FD0" w:rsidR="0095685F" w:rsidRPr="008327D9" w:rsidRDefault="1712B0B0" w:rsidP="0095685F">
            <w:pPr>
              <w:pStyle w:val="TableText"/>
              <w:keepNext/>
              <w:keepLines/>
              <w:jc w:val="center"/>
              <w:rPr>
                <w:b/>
                <w:bCs/>
                <w:highlight w:val="yellow"/>
              </w:rPr>
            </w:pPr>
            <w:r w:rsidRPr="10812078">
              <w:rPr>
                <w:b/>
                <w:bCs/>
              </w:rPr>
              <w:t>redacted</w:t>
            </w:r>
            <w:r w:rsidR="12074B07" w:rsidRPr="10812078">
              <w:rPr>
                <w:vertAlign w:val="superscript"/>
              </w:rPr>
              <w:t xml:space="preserve"> 1</w:t>
            </w:r>
          </w:p>
        </w:tc>
        <w:tc>
          <w:tcPr>
            <w:tcW w:w="0" w:type="dxa"/>
            <w:noWrap/>
            <w:hideMark/>
          </w:tcPr>
          <w:p w14:paraId="211B250F" w14:textId="0D347141" w:rsidR="0095685F" w:rsidRPr="008327D9" w:rsidRDefault="1712B0B0" w:rsidP="0095685F">
            <w:pPr>
              <w:pStyle w:val="TableText"/>
              <w:keepNext/>
              <w:keepLines/>
              <w:jc w:val="center"/>
              <w:rPr>
                <w:b/>
                <w:bCs/>
                <w:highlight w:val="yellow"/>
              </w:rPr>
            </w:pPr>
            <w:r w:rsidRPr="10812078">
              <w:rPr>
                <w:b/>
                <w:bCs/>
              </w:rPr>
              <w:t>redacted</w:t>
            </w:r>
            <w:r w:rsidR="0096A0A5" w:rsidRPr="10812078">
              <w:rPr>
                <w:vertAlign w:val="superscript"/>
              </w:rPr>
              <w:t xml:space="preserve"> 1</w:t>
            </w:r>
          </w:p>
        </w:tc>
        <w:tc>
          <w:tcPr>
            <w:tcW w:w="0" w:type="dxa"/>
            <w:noWrap/>
            <w:hideMark/>
          </w:tcPr>
          <w:p w14:paraId="296970AA" w14:textId="2FE9710E" w:rsidR="0095685F" w:rsidRPr="008327D9" w:rsidRDefault="1712B0B0" w:rsidP="0095685F">
            <w:pPr>
              <w:pStyle w:val="TableText"/>
              <w:keepNext/>
              <w:keepLines/>
              <w:jc w:val="center"/>
              <w:rPr>
                <w:b/>
                <w:bCs/>
                <w:highlight w:val="yellow"/>
              </w:rPr>
            </w:pPr>
            <w:r w:rsidRPr="10812078">
              <w:rPr>
                <w:b/>
                <w:bCs/>
              </w:rPr>
              <w:t>redacted</w:t>
            </w:r>
            <w:r w:rsidR="028C8ECC" w:rsidRPr="10812078">
              <w:rPr>
                <w:vertAlign w:val="superscript"/>
              </w:rPr>
              <w:t xml:space="preserve"> 1</w:t>
            </w:r>
          </w:p>
        </w:tc>
        <w:tc>
          <w:tcPr>
            <w:tcW w:w="0" w:type="dxa"/>
            <w:noWrap/>
            <w:hideMark/>
          </w:tcPr>
          <w:p w14:paraId="4D13F6C9" w14:textId="29A2E088" w:rsidR="0095685F" w:rsidRPr="008327D9" w:rsidRDefault="1712B0B0" w:rsidP="0095685F">
            <w:pPr>
              <w:pStyle w:val="TableText"/>
              <w:keepNext/>
              <w:keepLines/>
              <w:jc w:val="center"/>
              <w:rPr>
                <w:b/>
                <w:bCs/>
                <w:highlight w:val="yellow"/>
              </w:rPr>
            </w:pPr>
            <w:r w:rsidRPr="10812078">
              <w:rPr>
                <w:b/>
                <w:bCs/>
              </w:rPr>
              <w:t>redacted</w:t>
            </w:r>
            <w:r w:rsidR="4BBC69AD" w:rsidRPr="10812078">
              <w:rPr>
                <w:vertAlign w:val="superscript"/>
              </w:rPr>
              <w:t xml:space="preserve"> 1</w:t>
            </w:r>
          </w:p>
        </w:tc>
        <w:tc>
          <w:tcPr>
            <w:tcW w:w="0" w:type="dxa"/>
            <w:noWrap/>
            <w:hideMark/>
          </w:tcPr>
          <w:p w14:paraId="11EF4C5F" w14:textId="688C8EF4" w:rsidR="0095685F" w:rsidRPr="008327D9" w:rsidRDefault="1712B0B0" w:rsidP="0095685F">
            <w:pPr>
              <w:pStyle w:val="TableText"/>
              <w:keepNext/>
              <w:keepLines/>
              <w:jc w:val="center"/>
              <w:rPr>
                <w:b/>
                <w:bCs/>
                <w:highlight w:val="yellow"/>
              </w:rPr>
            </w:pPr>
            <w:r w:rsidRPr="10812078">
              <w:rPr>
                <w:b/>
                <w:bCs/>
              </w:rPr>
              <w:t>redacted</w:t>
            </w:r>
            <w:r w:rsidR="435D6002" w:rsidRPr="10812078">
              <w:rPr>
                <w:vertAlign w:val="superscript"/>
              </w:rPr>
              <w:t xml:space="preserve"> 1</w:t>
            </w:r>
          </w:p>
        </w:tc>
        <w:tc>
          <w:tcPr>
            <w:tcW w:w="0" w:type="dxa"/>
            <w:noWrap/>
            <w:hideMark/>
          </w:tcPr>
          <w:p w14:paraId="245199B4" w14:textId="735526C4" w:rsidR="0095685F" w:rsidRPr="008327D9" w:rsidRDefault="1712B0B0" w:rsidP="0095685F">
            <w:pPr>
              <w:pStyle w:val="TableText"/>
              <w:keepNext/>
              <w:keepLines/>
              <w:jc w:val="center"/>
              <w:rPr>
                <w:b/>
                <w:bCs/>
                <w:highlight w:val="yellow"/>
              </w:rPr>
            </w:pPr>
            <w:r w:rsidRPr="10812078">
              <w:rPr>
                <w:b/>
                <w:bCs/>
              </w:rPr>
              <w:t>redacted</w:t>
            </w:r>
            <w:r w:rsidR="45BD10A2" w:rsidRPr="10812078">
              <w:rPr>
                <w:vertAlign w:val="superscript"/>
              </w:rPr>
              <w:t xml:space="preserve"> 1</w:t>
            </w:r>
          </w:p>
        </w:tc>
      </w:tr>
      <w:tr w:rsidR="0095685F" w:rsidRPr="00102634" w14:paraId="3A34E6FA" w14:textId="77777777" w:rsidTr="0006231C">
        <w:trPr>
          <w:trHeight w:val="255"/>
        </w:trPr>
        <w:tc>
          <w:tcPr>
            <w:tcW w:w="0" w:type="dxa"/>
            <w:vAlign w:val="center"/>
          </w:tcPr>
          <w:p w14:paraId="454DF182" w14:textId="77777777" w:rsidR="0095685F" w:rsidRPr="00102634" w:rsidRDefault="0095685F" w:rsidP="0095685F">
            <w:pPr>
              <w:pStyle w:val="TableText"/>
              <w:keepNext/>
              <w:keepLines/>
            </w:pPr>
            <w:r w:rsidRPr="00102634">
              <w:t>B4</w:t>
            </w:r>
          </w:p>
        </w:tc>
        <w:tc>
          <w:tcPr>
            <w:tcW w:w="0" w:type="dxa"/>
            <w:vAlign w:val="center"/>
          </w:tcPr>
          <w:p w14:paraId="5A36F4A6" w14:textId="77777777" w:rsidR="0095685F" w:rsidRPr="00102634" w:rsidRDefault="0095685F" w:rsidP="0095685F">
            <w:pPr>
              <w:pStyle w:val="TableText"/>
              <w:keepNext/>
              <w:keepLines/>
            </w:pPr>
            <w:r w:rsidRPr="00102634">
              <w:t xml:space="preserve">Pts assumed to have been tested already </w:t>
            </w:r>
          </w:p>
        </w:tc>
        <w:tc>
          <w:tcPr>
            <w:tcW w:w="0" w:type="dxa"/>
            <w:vAlign w:val="center"/>
          </w:tcPr>
          <w:p w14:paraId="095457C7" w14:textId="77777777" w:rsidR="0095685F" w:rsidRPr="00102634" w:rsidRDefault="0095685F" w:rsidP="0095685F">
            <w:pPr>
              <w:pStyle w:val="TableText"/>
              <w:keepNext/>
              <w:keepLines/>
            </w:pPr>
            <w:r w:rsidRPr="00102634">
              <w:t>B2x10%</w:t>
            </w:r>
          </w:p>
        </w:tc>
        <w:tc>
          <w:tcPr>
            <w:tcW w:w="0" w:type="dxa"/>
            <w:noWrap/>
          </w:tcPr>
          <w:p w14:paraId="03B82E1C" w14:textId="24BD1E46" w:rsidR="0095685F" w:rsidRPr="008327D9" w:rsidRDefault="1712B0B0" w:rsidP="0095685F">
            <w:pPr>
              <w:pStyle w:val="TableText"/>
              <w:keepNext/>
              <w:keepLines/>
              <w:jc w:val="center"/>
              <w:rPr>
                <w:b/>
                <w:bCs/>
                <w:highlight w:val="yellow"/>
              </w:rPr>
            </w:pPr>
            <w:r w:rsidRPr="10812078">
              <w:rPr>
                <w:b/>
                <w:bCs/>
              </w:rPr>
              <w:t>redacted</w:t>
            </w:r>
            <w:r w:rsidR="6ABFDDB6" w:rsidRPr="10812078">
              <w:rPr>
                <w:vertAlign w:val="superscript"/>
              </w:rPr>
              <w:t xml:space="preserve"> 1</w:t>
            </w:r>
          </w:p>
        </w:tc>
        <w:tc>
          <w:tcPr>
            <w:tcW w:w="0" w:type="dxa"/>
            <w:noWrap/>
          </w:tcPr>
          <w:p w14:paraId="4BCDA038" w14:textId="063F1AA8" w:rsidR="0095685F" w:rsidRPr="008327D9" w:rsidRDefault="1712B0B0" w:rsidP="0095685F">
            <w:pPr>
              <w:pStyle w:val="TableText"/>
              <w:keepNext/>
              <w:keepLines/>
              <w:jc w:val="center"/>
              <w:rPr>
                <w:b/>
                <w:bCs/>
                <w:highlight w:val="yellow"/>
              </w:rPr>
            </w:pPr>
            <w:r w:rsidRPr="10812078">
              <w:rPr>
                <w:b/>
                <w:bCs/>
              </w:rPr>
              <w:t>redacted</w:t>
            </w:r>
            <w:r w:rsidR="416AFA18" w:rsidRPr="10812078">
              <w:rPr>
                <w:vertAlign w:val="superscript"/>
              </w:rPr>
              <w:t xml:space="preserve"> 1</w:t>
            </w:r>
          </w:p>
        </w:tc>
        <w:tc>
          <w:tcPr>
            <w:tcW w:w="0" w:type="dxa"/>
            <w:noWrap/>
          </w:tcPr>
          <w:p w14:paraId="2A885917" w14:textId="3DEE4D7D" w:rsidR="0095685F" w:rsidRPr="008327D9" w:rsidRDefault="1712B0B0" w:rsidP="0095685F">
            <w:pPr>
              <w:pStyle w:val="TableText"/>
              <w:keepNext/>
              <w:keepLines/>
              <w:jc w:val="center"/>
              <w:rPr>
                <w:b/>
                <w:bCs/>
                <w:highlight w:val="yellow"/>
              </w:rPr>
            </w:pPr>
            <w:r w:rsidRPr="10812078">
              <w:rPr>
                <w:b/>
                <w:bCs/>
              </w:rPr>
              <w:t>redacted</w:t>
            </w:r>
            <w:r w:rsidR="7F5B900D" w:rsidRPr="10812078">
              <w:rPr>
                <w:vertAlign w:val="superscript"/>
              </w:rPr>
              <w:t xml:space="preserve"> 1</w:t>
            </w:r>
          </w:p>
        </w:tc>
        <w:tc>
          <w:tcPr>
            <w:tcW w:w="0" w:type="dxa"/>
            <w:noWrap/>
          </w:tcPr>
          <w:p w14:paraId="4BCE8B8A" w14:textId="7A1F7F8F" w:rsidR="0095685F" w:rsidRPr="008327D9" w:rsidRDefault="1712B0B0" w:rsidP="0095685F">
            <w:pPr>
              <w:pStyle w:val="TableText"/>
              <w:keepNext/>
              <w:keepLines/>
              <w:jc w:val="center"/>
              <w:rPr>
                <w:b/>
                <w:bCs/>
                <w:highlight w:val="yellow"/>
              </w:rPr>
            </w:pPr>
            <w:r w:rsidRPr="10812078">
              <w:rPr>
                <w:b/>
                <w:bCs/>
              </w:rPr>
              <w:t>redacted</w:t>
            </w:r>
            <w:r w:rsidR="50F64013" w:rsidRPr="10812078">
              <w:rPr>
                <w:vertAlign w:val="superscript"/>
              </w:rPr>
              <w:t xml:space="preserve"> 1</w:t>
            </w:r>
          </w:p>
        </w:tc>
        <w:tc>
          <w:tcPr>
            <w:tcW w:w="0" w:type="dxa"/>
            <w:noWrap/>
          </w:tcPr>
          <w:p w14:paraId="4DCC1236" w14:textId="256D9846" w:rsidR="0095685F" w:rsidRPr="008327D9" w:rsidRDefault="1712B0B0" w:rsidP="0095685F">
            <w:pPr>
              <w:pStyle w:val="TableText"/>
              <w:keepNext/>
              <w:keepLines/>
              <w:jc w:val="center"/>
              <w:rPr>
                <w:b/>
                <w:bCs/>
                <w:highlight w:val="yellow"/>
              </w:rPr>
            </w:pPr>
            <w:r w:rsidRPr="10812078">
              <w:rPr>
                <w:b/>
                <w:bCs/>
              </w:rPr>
              <w:t>redacted</w:t>
            </w:r>
            <w:r w:rsidR="72259F6B" w:rsidRPr="10812078">
              <w:rPr>
                <w:vertAlign w:val="superscript"/>
              </w:rPr>
              <w:t xml:space="preserve"> 1</w:t>
            </w:r>
          </w:p>
        </w:tc>
        <w:tc>
          <w:tcPr>
            <w:tcW w:w="0" w:type="dxa"/>
            <w:noWrap/>
          </w:tcPr>
          <w:p w14:paraId="28E37CBB" w14:textId="78776AB3" w:rsidR="0095685F" w:rsidRPr="008327D9" w:rsidRDefault="1712B0B0" w:rsidP="0095685F">
            <w:pPr>
              <w:pStyle w:val="TableText"/>
              <w:keepNext/>
              <w:keepLines/>
              <w:jc w:val="center"/>
              <w:rPr>
                <w:b/>
                <w:bCs/>
                <w:highlight w:val="yellow"/>
              </w:rPr>
            </w:pPr>
            <w:r w:rsidRPr="10812078">
              <w:rPr>
                <w:b/>
                <w:bCs/>
              </w:rPr>
              <w:t>redacted</w:t>
            </w:r>
            <w:r w:rsidR="5DA22355" w:rsidRPr="10812078">
              <w:rPr>
                <w:vertAlign w:val="superscript"/>
              </w:rPr>
              <w:t xml:space="preserve"> 1</w:t>
            </w:r>
          </w:p>
        </w:tc>
      </w:tr>
      <w:tr w:rsidR="005D6D39" w:rsidRPr="00102634" w14:paraId="1D859440" w14:textId="77777777">
        <w:trPr>
          <w:trHeight w:val="255"/>
        </w:trPr>
        <w:tc>
          <w:tcPr>
            <w:tcW w:w="9016" w:type="dxa"/>
            <w:gridSpan w:val="9"/>
            <w:vAlign w:val="center"/>
          </w:tcPr>
          <w:p w14:paraId="187A0E5C" w14:textId="0EF2D3FA" w:rsidR="005D6D39" w:rsidRPr="00102634" w:rsidRDefault="005D6D39" w:rsidP="00C24C30">
            <w:pPr>
              <w:pStyle w:val="TableText"/>
              <w:keepNext/>
              <w:keepLines/>
              <w:rPr>
                <w:b/>
                <w:bCs/>
              </w:rPr>
            </w:pPr>
            <w:r w:rsidRPr="00102634">
              <w:rPr>
                <w:b/>
                <w:bCs/>
              </w:rPr>
              <w:t xml:space="preserve">Pts eligible for 2L </w:t>
            </w:r>
            <w:r w:rsidR="00F655EA">
              <w:rPr>
                <w:b/>
                <w:bCs/>
              </w:rPr>
              <w:t>testing</w:t>
            </w:r>
            <w:r w:rsidR="00F655EA" w:rsidRPr="00102634">
              <w:rPr>
                <w:b/>
                <w:bCs/>
              </w:rPr>
              <w:t xml:space="preserve"> </w:t>
            </w:r>
            <w:r w:rsidRPr="00102634">
              <w:rPr>
                <w:b/>
                <w:bCs/>
              </w:rPr>
              <w:t>(incorporates 88% of patients who progress from 1L to 2L)</w:t>
            </w:r>
          </w:p>
        </w:tc>
      </w:tr>
      <w:tr w:rsidR="0095685F" w:rsidRPr="00102634" w14:paraId="1D329F98" w14:textId="77777777" w:rsidTr="0006231C">
        <w:trPr>
          <w:trHeight w:val="255"/>
        </w:trPr>
        <w:tc>
          <w:tcPr>
            <w:tcW w:w="0" w:type="dxa"/>
            <w:vAlign w:val="center"/>
          </w:tcPr>
          <w:p w14:paraId="289510E7" w14:textId="77777777" w:rsidR="0095685F" w:rsidRPr="00102634" w:rsidRDefault="0095685F" w:rsidP="0095685F">
            <w:pPr>
              <w:pStyle w:val="TableText"/>
              <w:keepNext/>
              <w:keepLines/>
            </w:pPr>
            <w:r w:rsidRPr="00102634">
              <w:t>C1</w:t>
            </w:r>
          </w:p>
        </w:tc>
        <w:tc>
          <w:tcPr>
            <w:tcW w:w="0" w:type="dxa"/>
            <w:vAlign w:val="center"/>
          </w:tcPr>
          <w:p w14:paraId="79B6237D" w14:textId="77777777" w:rsidR="0095685F" w:rsidRPr="00102634" w:rsidRDefault="0095685F" w:rsidP="0095685F">
            <w:pPr>
              <w:pStyle w:val="TableText"/>
              <w:keepNext/>
              <w:keepLines/>
            </w:pPr>
            <w:r w:rsidRPr="00102634">
              <w:t xml:space="preserve">Pts who </w:t>
            </w:r>
            <w:proofErr w:type="gramStart"/>
            <w:r w:rsidRPr="00102634">
              <w:t>progress</w:t>
            </w:r>
            <w:proofErr w:type="gramEnd"/>
            <w:r w:rsidRPr="00102634">
              <w:t xml:space="preserve"> from 1L to 2L after CDK4/6i (88%)</w:t>
            </w:r>
          </w:p>
        </w:tc>
        <w:tc>
          <w:tcPr>
            <w:tcW w:w="0" w:type="dxa"/>
            <w:vAlign w:val="center"/>
          </w:tcPr>
          <w:p w14:paraId="5B7C6DBE" w14:textId="77777777" w:rsidR="0095685F" w:rsidRPr="00102634" w:rsidRDefault="0095685F" w:rsidP="0095685F">
            <w:pPr>
              <w:pStyle w:val="TableText"/>
              <w:keepNext/>
              <w:keepLines/>
            </w:pPr>
            <w:r w:rsidRPr="00102634">
              <w:t>B1×88%</w:t>
            </w:r>
          </w:p>
        </w:tc>
        <w:tc>
          <w:tcPr>
            <w:tcW w:w="0" w:type="dxa"/>
            <w:noWrap/>
            <w:hideMark/>
          </w:tcPr>
          <w:p w14:paraId="4F8AEB43" w14:textId="18455ADA" w:rsidR="0095685F" w:rsidRPr="008327D9" w:rsidRDefault="1712B0B0" w:rsidP="0095685F">
            <w:pPr>
              <w:pStyle w:val="TableText"/>
              <w:keepNext/>
              <w:keepLines/>
              <w:jc w:val="center"/>
              <w:rPr>
                <w:highlight w:val="yellow"/>
              </w:rPr>
            </w:pPr>
            <w:r w:rsidRPr="10812078">
              <w:rPr>
                <w:b/>
                <w:bCs/>
              </w:rPr>
              <w:t>redacted</w:t>
            </w:r>
            <w:r w:rsidR="61A3F367" w:rsidRPr="10812078">
              <w:rPr>
                <w:vertAlign w:val="superscript"/>
              </w:rPr>
              <w:t xml:space="preserve"> 2</w:t>
            </w:r>
          </w:p>
        </w:tc>
        <w:tc>
          <w:tcPr>
            <w:tcW w:w="0" w:type="dxa"/>
            <w:noWrap/>
            <w:hideMark/>
          </w:tcPr>
          <w:p w14:paraId="1F704FFE" w14:textId="37BB208F" w:rsidR="0095685F" w:rsidRPr="008327D9" w:rsidRDefault="1712B0B0" w:rsidP="0095685F">
            <w:pPr>
              <w:pStyle w:val="TableText"/>
              <w:keepNext/>
              <w:keepLines/>
              <w:jc w:val="center"/>
              <w:rPr>
                <w:highlight w:val="yellow"/>
              </w:rPr>
            </w:pPr>
            <w:r w:rsidRPr="10812078">
              <w:rPr>
                <w:b/>
                <w:bCs/>
              </w:rPr>
              <w:t>redacted</w:t>
            </w:r>
            <w:r w:rsidR="396CAF16" w:rsidRPr="10812078">
              <w:rPr>
                <w:vertAlign w:val="superscript"/>
              </w:rPr>
              <w:t xml:space="preserve"> 2</w:t>
            </w:r>
          </w:p>
        </w:tc>
        <w:tc>
          <w:tcPr>
            <w:tcW w:w="0" w:type="dxa"/>
            <w:noWrap/>
            <w:hideMark/>
          </w:tcPr>
          <w:p w14:paraId="32B99745" w14:textId="20DCCCBE" w:rsidR="0095685F" w:rsidRPr="008327D9" w:rsidRDefault="1712B0B0" w:rsidP="0095685F">
            <w:pPr>
              <w:pStyle w:val="TableText"/>
              <w:keepNext/>
              <w:keepLines/>
              <w:jc w:val="center"/>
              <w:rPr>
                <w:highlight w:val="yellow"/>
              </w:rPr>
            </w:pPr>
            <w:r w:rsidRPr="10812078">
              <w:rPr>
                <w:b/>
                <w:bCs/>
              </w:rPr>
              <w:t>redacted</w:t>
            </w:r>
            <w:r w:rsidR="7E94270F" w:rsidRPr="10812078">
              <w:rPr>
                <w:vertAlign w:val="superscript"/>
              </w:rPr>
              <w:t xml:space="preserve"> 2</w:t>
            </w:r>
          </w:p>
        </w:tc>
        <w:tc>
          <w:tcPr>
            <w:tcW w:w="0" w:type="dxa"/>
            <w:noWrap/>
            <w:hideMark/>
          </w:tcPr>
          <w:p w14:paraId="14ECFD4C" w14:textId="51A750BE" w:rsidR="0095685F" w:rsidRPr="008327D9" w:rsidRDefault="1712B0B0" w:rsidP="0095685F">
            <w:pPr>
              <w:pStyle w:val="TableText"/>
              <w:keepNext/>
              <w:keepLines/>
              <w:jc w:val="center"/>
              <w:rPr>
                <w:highlight w:val="yellow"/>
              </w:rPr>
            </w:pPr>
            <w:r w:rsidRPr="10812078">
              <w:rPr>
                <w:b/>
                <w:bCs/>
              </w:rPr>
              <w:t>redacted</w:t>
            </w:r>
            <w:r w:rsidR="1F31BE5E" w:rsidRPr="10812078">
              <w:rPr>
                <w:vertAlign w:val="superscript"/>
              </w:rPr>
              <w:t xml:space="preserve"> 2</w:t>
            </w:r>
          </w:p>
        </w:tc>
        <w:tc>
          <w:tcPr>
            <w:tcW w:w="0" w:type="dxa"/>
            <w:noWrap/>
            <w:hideMark/>
          </w:tcPr>
          <w:p w14:paraId="62BE0E2B" w14:textId="1AD159F3" w:rsidR="0095685F" w:rsidRPr="008327D9" w:rsidRDefault="1712B0B0" w:rsidP="0095685F">
            <w:pPr>
              <w:pStyle w:val="TableText"/>
              <w:keepNext/>
              <w:keepLines/>
              <w:jc w:val="center"/>
              <w:rPr>
                <w:highlight w:val="yellow"/>
              </w:rPr>
            </w:pPr>
            <w:r w:rsidRPr="10812078">
              <w:rPr>
                <w:b/>
                <w:bCs/>
              </w:rPr>
              <w:t>redacted</w:t>
            </w:r>
            <w:r w:rsidR="0D844B25" w:rsidRPr="10812078">
              <w:rPr>
                <w:vertAlign w:val="superscript"/>
              </w:rPr>
              <w:t xml:space="preserve"> 2</w:t>
            </w:r>
          </w:p>
        </w:tc>
        <w:tc>
          <w:tcPr>
            <w:tcW w:w="0" w:type="dxa"/>
            <w:noWrap/>
            <w:hideMark/>
          </w:tcPr>
          <w:p w14:paraId="3032855A" w14:textId="6C747958" w:rsidR="0095685F" w:rsidRPr="008327D9" w:rsidRDefault="1712B0B0" w:rsidP="0095685F">
            <w:pPr>
              <w:pStyle w:val="TableText"/>
              <w:keepNext/>
              <w:keepLines/>
              <w:jc w:val="center"/>
              <w:rPr>
                <w:highlight w:val="yellow"/>
              </w:rPr>
            </w:pPr>
            <w:r w:rsidRPr="10812078">
              <w:rPr>
                <w:b/>
                <w:bCs/>
              </w:rPr>
              <w:t>redacted</w:t>
            </w:r>
            <w:r w:rsidR="2CF9D8CB" w:rsidRPr="10812078">
              <w:rPr>
                <w:vertAlign w:val="superscript"/>
              </w:rPr>
              <w:t xml:space="preserve"> 2</w:t>
            </w:r>
          </w:p>
        </w:tc>
      </w:tr>
      <w:tr w:rsidR="0095685F" w:rsidRPr="00102634" w14:paraId="79529238" w14:textId="77777777" w:rsidTr="0006231C">
        <w:trPr>
          <w:trHeight w:val="255"/>
        </w:trPr>
        <w:tc>
          <w:tcPr>
            <w:tcW w:w="0" w:type="dxa"/>
            <w:vAlign w:val="center"/>
          </w:tcPr>
          <w:p w14:paraId="3A215227" w14:textId="77777777" w:rsidR="0095685F" w:rsidRPr="00102634" w:rsidRDefault="0095685F" w:rsidP="0095685F">
            <w:pPr>
              <w:pStyle w:val="TableText"/>
              <w:keepNext/>
              <w:keepLines/>
            </w:pPr>
            <w:r w:rsidRPr="00102634">
              <w:t>C2</w:t>
            </w:r>
          </w:p>
        </w:tc>
        <w:tc>
          <w:tcPr>
            <w:tcW w:w="0" w:type="dxa"/>
            <w:vAlign w:val="center"/>
          </w:tcPr>
          <w:p w14:paraId="2B596408" w14:textId="77777777" w:rsidR="0095685F" w:rsidRPr="00102634" w:rsidRDefault="0095685F" w:rsidP="0095685F">
            <w:pPr>
              <w:pStyle w:val="TableText"/>
              <w:keepNext/>
              <w:keepLines/>
              <w:rPr>
                <w:b/>
                <w:bCs/>
              </w:rPr>
            </w:pPr>
            <w:r w:rsidRPr="00102634">
              <w:rPr>
                <w:b/>
                <w:bCs/>
              </w:rPr>
              <w:t xml:space="preserve">Test uptake rate </w:t>
            </w:r>
          </w:p>
          <w:p w14:paraId="1F5F53C9" w14:textId="77777777" w:rsidR="0095685F" w:rsidRPr="00102634" w:rsidRDefault="0095685F" w:rsidP="0095685F">
            <w:pPr>
              <w:pStyle w:val="TableText"/>
              <w:keepNext/>
              <w:keepLines/>
              <w:rPr>
                <w:b/>
                <w:bCs/>
              </w:rPr>
            </w:pPr>
            <w:r w:rsidRPr="00102634">
              <w:rPr>
                <w:b/>
                <w:bCs/>
              </w:rPr>
              <w:t>(2L tested population)</w:t>
            </w:r>
          </w:p>
        </w:tc>
        <w:tc>
          <w:tcPr>
            <w:tcW w:w="0" w:type="dxa"/>
            <w:vAlign w:val="center"/>
          </w:tcPr>
          <w:p w14:paraId="271E076F" w14:textId="4B601C67" w:rsidR="0095685F" w:rsidRPr="00102634" w:rsidRDefault="0095685F" w:rsidP="0095685F">
            <w:pPr>
              <w:pStyle w:val="TableText"/>
              <w:keepNext/>
              <w:keepLines/>
              <w:rPr>
                <w:b/>
                <w:bCs/>
              </w:rPr>
            </w:pPr>
            <w:r w:rsidRPr="00102634">
              <w:rPr>
                <w:b/>
                <w:bCs/>
              </w:rPr>
              <w:t>C1×</w:t>
            </w:r>
            <w:r w:rsidRPr="0095685F">
              <w:rPr>
                <w:b/>
                <w:bCs/>
              </w:rPr>
              <w:t xml:space="preserve"> </w:t>
            </w:r>
            <w:proofErr w:type="spellStart"/>
            <w:r w:rsidRPr="0095685F">
              <w:rPr>
                <w:b/>
                <w:bCs/>
              </w:rPr>
              <w:t>redacted</w:t>
            </w:r>
            <w:r w:rsidRPr="00102634">
              <w:rPr>
                <w:b/>
                <w:bCs/>
                <w:vertAlign w:val="superscript"/>
              </w:rPr>
              <w:t>a</w:t>
            </w:r>
            <w:proofErr w:type="spellEnd"/>
          </w:p>
        </w:tc>
        <w:tc>
          <w:tcPr>
            <w:tcW w:w="0" w:type="dxa"/>
            <w:noWrap/>
            <w:hideMark/>
          </w:tcPr>
          <w:p w14:paraId="460FF6C1" w14:textId="412E89F0" w:rsidR="0095685F" w:rsidRPr="008327D9" w:rsidRDefault="1712B0B0" w:rsidP="0095685F">
            <w:pPr>
              <w:pStyle w:val="TableText"/>
              <w:keepNext/>
              <w:keepLines/>
              <w:jc w:val="center"/>
              <w:rPr>
                <w:b/>
                <w:bCs/>
                <w:highlight w:val="yellow"/>
              </w:rPr>
            </w:pPr>
            <w:r w:rsidRPr="10812078">
              <w:rPr>
                <w:b/>
                <w:bCs/>
              </w:rPr>
              <w:t>redacted</w:t>
            </w:r>
            <w:r w:rsidR="2B58CF79" w:rsidRPr="10812078">
              <w:rPr>
                <w:vertAlign w:val="superscript"/>
              </w:rPr>
              <w:t xml:space="preserve"> 2</w:t>
            </w:r>
          </w:p>
        </w:tc>
        <w:tc>
          <w:tcPr>
            <w:tcW w:w="0" w:type="dxa"/>
            <w:noWrap/>
            <w:hideMark/>
          </w:tcPr>
          <w:p w14:paraId="6D7A2440" w14:textId="316E92F5" w:rsidR="0095685F" w:rsidRPr="008327D9" w:rsidRDefault="1712B0B0" w:rsidP="0095685F">
            <w:pPr>
              <w:pStyle w:val="TableText"/>
              <w:keepNext/>
              <w:keepLines/>
              <w:jc w:val="center"/>
              <w:rPr>
                <w:b/>
                <w:bCs/>
                <w:highlight w:val="yellow"/>
              </w:rPr>
            </w:pPr>
            <w:r w:rsidRPr="10812078">
              <w:rPr>
                <w:b/>
                <w:bCs/>
              </w:rPr>
              <w:t>redacted</w:t>
            </w:r>
            <w:r w:rsidR="33356135" w:rsidRPr="10812078">
              <w:rPr>
                <w:vertAlign w:val="superscript"/>
              </w:rPr>
              <w:t xml:space="preserve"> 2</w:t>
            </w:r>
          </w:p>
        </w:tc>
        <w:tc>
          <w:tcPr>
            <w:tcW w:w="0" w:type="dxa"/>
            <w:noWrap/>
            <w:hideMark/>
          </w:tcPr>
          <w:p w14:paraId="01CD98CD" w14:textId="7A088184" w:rsidR="0095685F" w:rsidRPr="008327D9" w:rsidRDefault="1712B0B0" w:rsidP="0095685F">
            <w:pPr>
              <w:pStyle w:val="TableText"/>
              <w:keepNext/>
              <w:keepLines/>
              <w:jc w:val="center"/>
              <w:rPr>
                <w:b/>
                <w:bCs/>
                <w:highlight w:val="yellow"/>
              </w:rPr>
            </w:pPr>
            <w:r w:rsidRPr="10812078">
              <w:rPr>
                <w:b/>
                <w:bCs/>
              </w:rPr>
              <w:t>redacted</w:t>
            </w:r>
            <w:r w:rsidR="628D922D" w:rsidRPr="10812078">
              <w:rPr>
                <w:vertAlign w:val="superscript"/>
              </w:rPr>
              <w:t xml:space="preserve"> 2</w:t>
            </w:r>
          </w:p>
        </w:tc>
        <w:tc>
          <w:tcPr>
            <w:tcW w:w="0" w:type="dxa"/>
            <w:noWrap/>
            <w:hideMark/>
          </w:tcPr>
          <w:p w14:paraId="476B932A" w14:textId="335D8DDB" w:rsidR="0095685F" w:rsidRPr="008327D9" w:rsidRDefault="1712B0B0" w:rsidP="0095685F">
            <w:pPr>
              <w:pStyle w:val="TableText"/>
              <w:keepNext/>
              <w:keepLines/>
              <w:jc w:val="center"/>
              <w:rPr>
                <w:b/>
                <w:bCs/>
                <w:highlight w:val="yellow"/>
              </w:rPr>
            </w:pPr>
            <w:r w:rsidRPr="10812078">
              <w:rPr>
                <w:b/>
                <w:bCs/>
              </w:rPr>
              <w:t>redacted</w:t>
            </w:r>
            <w:r w:rsidR="3C2E510C" w:rsidRPr="10812078">
              <w:rPr>
                <w:vertAlign w:val="superscript"/>
              </w:rPr>
              <w:t xml:space="preserve"> 2</w:t>
            </w:r>
          </w:p>
        </w:tc>
        <w:tc>
          <w:tcPr>
            <w:tcW w:w="0" w:type="dxa"/>
            <w:noWrap/>
            <w:hideMark/>
          </w:tcPr>
          <w:p w14:paraId="04F98FED" w14:textId="2717C96D" w:rsidR="0095685F" w:rsidRPr="008327D9" w:rsidRDefault="1712B0B0" w:rsidP="0095685F">
            <w:pPr>
              <w:pStyle w:val="TableText"/>
              <w:keepNext/>
              <w:keepLines/>
              <w:jc w:val="center"/>
              <w:rPr>
                <w:b/>
                <w:bCs/>
                <w:highlight w:val="yellow"/>
              </w:rPr>
            </w:pPr>
            <w:r w:rsidRPr="10812078">
              <w:rPr>
                <w:b/>
                <w:bCs/>
              </w:rPr>
              <w:t>redacted</w:t>
            </w:r>
            <w:r w:rsidR="6ED833EB" w:rsidRPr="10812078">
              <w:rPr>
                <w:vertAlign w:val="superscript"/>
              </w:rPr>
              <w:t xml:space="preserve"> 2</w:t>
            </w:r>
          </w:p>
        </w:tc>
        <w:tc>
          <w:tcPr>
            <w:tcW w:w="0" w:type="dxa"/>
            <w:noWrap/>
            <w:hideMark/>
          </w:tcPr>
          <w:p w14:paraId="75131D29" w14:textId="56971D48" w:rsidR="0095685F" w:rsidRPr="008327D9" w:rsidRDefault="1712B0B0" w:rsidP="0095685F">
            <w:pPr>
              <w:pStyle w:val="TableText"/>
              <w:keepNext/>
              <w:keepLines/>
              <w:jc w:val="center"/>
              <w:rPr>
                <w:b/>
                <w:bCs/>
                <w:highlight w:val="yellow"/>
              </w:rPr>
            </w:pPr>
            <w:r w:rsidRPr="10812078">
              <w:rPr>
                <w:b/>
                <w:bCs/>
              </w:rPr>
              <w:t>redacted</w:t>
            </w:r>
            <w:r w:rsidR="1E57DEF6" w:rsidRPr="10812078">
              <w:rPr>
                <w:vertAlign w:val="superscript"/>
              </w:rPr>
              <w:t xml:space="preserve"> 2</w:t>
            </w:r>
          </w:p>
        </w:tc>
      </w:tr>
      <w:tr w:rsidR="0095685F" w:rsidRPr="00102634" w14:paraId="69517700" w14:textId="77777777" w:rsidTr="0006231C">
        <w:trPr>
          <w:trHeight w:val="255"/>
        </w:trPr>
        <w:tc>
          <w:tcPr>
            <w:tcW w:w="0" w:type="dxa"/>
            <w:vAlign w:val="center"/>
          </w:tcPr>
          <w:p w14:paraId="6FC076EF" w14:textId="77777777" w:rsidR="0095685F" w:rsidRPr="00102634" w:rsidRDefault="0095685F" w:rsidP="0095685F">
            <w:pPr>
              <w:pStyle w:val="TableText"/>
              <w:keepNext/>
              <w:keepLines/>
            </w:pPr>
            <w:r w:rsidRPr="00102634">
              <w:t>C3</w:t>
            </w:r>
          </w:p>
        </w:tc>
        <w:tc>
          <w:tcPr>
            <w:tcW w:w="0" w:type="dxa"/>
            <w:vAlign w:val="center"/>
          </w:tcPr>
          <w:p w14:paraId="459FB41F" w14:textId="77777777" w:rsidR="0095685F" w:rsidRPr="00102634" w:rsidRDefault="0095685F" w:rsidP="0095685F">
            <w:pPr>
              <w:pStyle w:val="TableText"/>
              <w:keepNext/>
              <w:keepLines/>
            </w:pPr>
            <w:r w:rsidRPr="00102634">
              <w:t>Pts assumed to have been tested already</w:t>
            </w:r>
          </w:p>
        </w:tc>
        <w:tc>
          <w:tcPr>
            <w:tcW w:w="0" w:type="dxa"/>
            <w:vAlign w:val="center"/>
          </w:tcPr>
          <w:p w14:paraId="1ACDE880" w14:textId="77777777" w:rsidR="0095685F" w:rsidRPr="00102634" w:rsidRDefault="0095685F" w:rsidP="0095685F">
            <w:pPr>
              <w:pStyle w:val="TableText"/>
              <w:keepNext/>
              <w:keepLines/>
            </w:pPr>
            <w:r w:rsidRPr="00102634">
              <w:t>C1x10%</w:t>
            </w:r>
          </w:p>
        </w:tc>
        <w:tc>
          <w:tcPr>
            <w:tcW w:w="0" w:type="dxa"/>
            <w:noWrap/>
          </w:tcPr>
          <w:p w14:paraId="685D24CE" w14:textId="7E4B4651" w:rsidR="0095685F" w:rsidRPr="008327D9" w:rsidRDefault="1712B0B0" w:rsidP="0095685F">
            <w:pPr>
              <w:pStyle w:val="TableText"/>
              <w:keepNext/>
              <w:keepLines/>
              <w:jc w:val="center"/>
              <w:rPr>
                <w:b/>
                <w:bCs/>
                <w:highlight w:val="yellow"/>
              </w:rPr>
            </w:pPr>
            <w:r w:rsidRPr="10812078">
              <w:rPr>
                <w:b/>
                <w:bCs/>
              </w:rPr>
              <w:t>redacted</w:t>
            </w:r>
            <w:r w:rsidR="55D8CE9D" w:rsidRPr="10812078">
              <w:rPr>
                <w:vertAlign w:val="superscript"/>
              </w:rPr>
              <w:t xml:space="preserve"> 1</w:t>
            </w:r>
          </w:p>
        </w:tc>
        <w:tc>
          <w:tcPr>
            <w:tcW w:w="0" w:type="dxa"/>
            <w:noWrap/>
          </w:tcPr>
          <w:p w14:paraId="5859D66A" w14:textId="28D59899" w:rsidR="0095685F" w:rsidRPr="008327D9" w:rsidRDefault="1712B0B0" w:rsidP="0095685F">
            <w:pPr>
              <w:pStyle w:val="TableText"/>
              <w:keepNext/>
              <w:keepLines/>
              <w:jc w:val="center"/>
              <w:rPr>
                <w:b/>
                <w:bCs/>
                <w:highlight w:val="yellow"/>
              </w:rPr>
            </w:pPr>
            <w:r w:rsidRPr="10812078">
              <w:rPr>
                <w:b/>
                <w:bCs/>
              </w:rPr>
              <w:t>redacted</w:t>
            </w:r>
            <w:r w:rsidR="23C73946" w:rsidRPr="10812078">
              <w:rPr>
                <w:vertAlign w:val="superscript"/>
              </w:rPr>
              <w:t xml:space="preserve"> 1</w:t>
            </w:r>
          </w:p>
        </w:tc>
        <w:tc>
          <w:tcPr>
            <w:tcW w:w="0" w:type="dxa"/>
            <w:noWrap/>
          </w:tcPr>
          <w:p w14:paraId="098389B6" w14:textId="254BF323" w:rsidR="0095685F" w:rsidRPr="008327D9" w:rsidRDefault="1712B0B0" w:rsidP="0095685F">
            <w:pPr>
              <w:pStyle w:val="TableText"/>
              <w:keepNext/>
              <w:keepLines/>
              <w:jc w:val="center"/>
              <w:rPr>
                <w:b/>
                <w:bCs/>
                <w:highlight w:val="yellow"/>
              </w:rPr>
            </w:pPr>
            <w:r w:rsidRPr="10812078">
              <w:rPr>
                <w:b/>
                <w:bCs/>
              </w:rPr>
              <w:t>redacted</w:t>
            </w:r>
            <w:r w:rsidR="791D61DA" w:rsidRPr="10812078">
              <w:rPr>
                <w:vertAlign w:val="superscript"/>
              </w:rPr>
              <w:t xml:space="preserve"> 1</w:t>
            </w:r>
          </w:p>
        </w:tc>
        <w:tc>
          <w:tcPr>
            <w:tcW w:w="0" w:type="dxa"/>
            <w:noWrap/>
          </w:tcPr>
          <w:p w14:paraId="1646BF7F" w14:textId="6DBB391D" w:rsidR="0095685F" w:rsidRPr="008327D9" w:rsidRDefault="1712B0B0" w:rsidP="0095685F">
            <w:pPr>
              <w:pStyle w:val="TableText"/>
              <w:keepNext/>
              <w:keepLines/>
              <w:jc w:val="center"/>
              <w:rPr>
                <w:b/>
                <w:bCs/>
                <w:highlight w:val="yellow"/>
              </w:rPr>
            </w:pPr>
            <w:r w:rsidRPr="10812078">
              <w:rPr>
                <w:b/>
                <w:bCs/>
              </w:rPr>
              <w:t>redacted</w:t>
            </w:r>
            <w:r w:rsidR="6E10A21C" w:rsidRPr="10812078">
              <w:rPr>
                <w:vertAlign w:val="superscript"/>
              </w:rPr>
              <w:t xml:space="preserve"> 1</w:t>
            </w:r>
          </w:p>
        </w:tc>
        <w:tc>
          <w:tcPr>
            <w:tcW w:w="0" w:type="dxa"/>
            <w:noWrap/>
          </w:tcPr>
          <w:p w14:paraId="332D1D57" w14:textId="428AFE9A" w:rsidR="0095685F" w:rsidRPr="008327D9" w:rsidRDefault="1712B0B0" w:rsidP="0095685F">
            <w:pPr>
              <w:pStyle w:val="TableText"/>
              <w:keepNext/>
              <w:keepLines/>
              <w:jc w:val="center"/>
              <w:rPr>
                <w:b/>
                <w:bCs/>
                <w:highlight w:val="yellow"/>
              </w:rPr>
            </w:pPr>
            <w:r w:rsidRPr="10812078">
              <w:rPr>
                <w:b/>
                <w:bCs/>
              </w:rPr>
              <w:t>redacted</w:t>
            </w:r>
            <w:r w:rsidR="6326F75E" w:rsidRPr="10812078">
              <w:rPr>
                <w:vertAlign w:val="superscript"/>
              </w:rPr>
              <w:t xml:space="preserve"> 1</w:t>
            </w:r>
          </w:p>
        </w:tc>
        <w:tc>
          <w:tcPr>
            <w:tcW w:w="0" w:type="dxa"/>
            <w:noWrap/>
          </w:tcPr>
          <w:p w14:paraId="64CB60E7" w14:textId="69563787" w:rsidR="0095685F" w:rsidRPr="008327D9" w:rsidRDefault="1712B0B0" w:rsidP="0095685F">
            <w:pPr>
              <w:pStyle w:val="TableText"/>
              <w:keepNext/>
              <w:keepLines/>
              <w:jc w:val="center"/>
              <w:rPr>
                <w:b/>
                <w:bCs/>
                <w:highlight w:val="yellow"/>
              </w:rPr>
            </w:pPr>
            <w:r w:rsidRPr="10812078">
              <w:rPr>
                <w:b/>
                <w:bCs/>
              </w:rPr>
              <w:t>redacted</w:t>
            </w:r>
            <w:r w:rsidR="206F3924" w:rsidRPr="10812078">
              <w:rPr>
                <w:vertAlign w:val="superscript"/>
              </w:rPr>
              <w:t xml:space="preserve"> 1</w:t>
            </w:r>
          </w:p>
        </w:tc>
      </w:tr>
      <w:tr w:rsidR="005D6D39" w:rsidRPr="00102634" w14:paraId="7CF3290A" w14:textId="77777777">
        <w:trPr>
          <w:trHeight w:val="255"/>
        </w:trPr>
        <w:tc>
          <w:tcPr>
            <w:tcW w:w="9016" w:type="dxa"/>
            <w:gridSpan w:val="9"/>
            <w:vAlign w:val="center"/>
          </w:tcPr>
          <w:p w14:paraId="3629CEE6" w14:textId="77777777" w:rsidR="005D6D39" w:rsidRPr="00102634" w:rsidRDefault="005D6D39" w:rsidP="00C24C30">
            <w:pPr>
              <w:pStyle w:val="TableText"/>
              <w:keepNext/>
              <w:keepLines/>
              <w:rPr>
                <w:b/>
                <w:bCs/>
                <w:vertAlign w:val="superscript"/>
              </w:rPr>
            </w:pPr>
            <w:r w:rsidRPr="00102634">
              <w:rPr>
                <w:b/>
                <w:bCs/>
              </w:rPr>
              <w:t xml:space="preserve">Total tested and treated population </w:t>
            </w:r>
          </w:p>
        </w:tc>
      </w:tr>
      <w:tr w:rsidR="0095685F" w:rsidRPr="00102634" w14:paraId="3CB4AC0D" w14:textId="77777777">
        <w:trPr>
          <w:trHeight w:val="255"/>
        </w:trPr>
        <w:tc>
          <w:tcPr>
            <w:tcW w:w="421" w:type="dxa"/>
            <w:vAlign w:val="center"/>
          </w:tcPr>
          <w:p w14:paraId="177A5C85" w14:textId="77777777" w:rsidR="0095685F" w:rsidRPr="00102634" w:rsidRDefault="0095685F" w:rsidP="0095685F">
            <w:pPr>
              <w:pStyle w:val="TableText"/>
              <w:keepNext/>
              <w:keepLines/>
            </w:pPr>
            <w:r w:rsidRPr="00102634">
              <w:t>E1</w:t>
            </w:r>
          </w:p>
        </w:tc>
        <w:tc>
          <w:tcPr>
            <w:tcW w:w="1984" w:type="dxa"/>
            <w:vAlign w:val="center"/>
          </w:tcPr>
          <w:p w14:paraId="4C3C25C5" w14:textId="2FEA5F5E" w:rsidR="0095685F" w:rsidRPr="00102634" w:rsidRDefault="0095685F" w:rsidP="0095685F">
            <w:pPr>
              <w:pStyle w:val="TableText"/>
              <w:keepNext/>
              <w:keepLines/>
              <w:rPr>
                <w:b/>
                <w:bCs/>
                <w:vertAlign w:val="superscript"/>
              </w:rPr>
            </w:pPr>
            <w:r w:rsidRPr="00102634">
              <w:rPr>
                <w:b/>
                <w:bCs/>
              </w:rPr>
              <w:t>Total tested population</w:t>
            </w:r>
            <w:r>
              <w:rPr>
                <w:b/>
                <w:bCs/>
              </w:rPr>
              <w:t xml:space="preserve"> </w:t>
            </w:r>
            <w:r w:rsidRPr="00102634">
              <w:rPr>
                <w:b/>
                <w:bCs/>
                <w:vertAlign w:val="superscript"/>
              </w:rPr>
              <w:t>b</w:t>
            </w:r>
          </w:p>
        </w:tc>
        <w:tc>
          <w:tcPr>
            <w:tcW w:w="992" w:type="dxa"/>
            <w:vAlign w:val="center"/>
          </w:tcPr>
          <w:p w14:paraId="3A81CD09" w14:textId="77777777" w:rsidR="0095685F" w:rsidRPr="00102634" w:rsidRDefault="0095685F" w:rsidP="0095685F">
            <w:pPr>
              <w:pStyle w:val="TableText"/>
              <w:keepNext/>
              <w:keepLines/>
              <w:rPr>
                <w:b/>
                <w:bCs/>
              </w:rPr>
            </w:pPr>
            <w:r w:rsidRPr="00102634">
              <w:rPr>
                <w:b/>
                <w:bCs/>
              </w:rPr>
              <w:t>B3+C2</w:t>
            </w:r>
          </w:p>
        </w:tc>
        <w:tc>
          <w:tcPr>
            <w:tcW w:w="936" w:type="dxa"/>
            <w:noWrap/>
          </w:tcPr>
          <w:p w14:paraId="20A39D46" w14:textId="2B9D313A" w:rsidR="0095685F" w:rsidRPr="008327D9" w:rsidRDefault="0095685F" w:rsidP="0095685F">
            <w:pPr>
              <w:pStyle w:val="TableText"/>
              <w:keepNext/>
              <w:keepLines/>
              <w:jc w:val="center"/>
              <w:rPr>
                <w:b/>
                <w:bCs/>
                <w:highlight w:val="yellow"/>
              </w:rPr>
            </w:pPr>
            <w:r w:rsidRPr="00621EC8">
              <w:rPr>
                <w:b/>
                <w:bCs/>
              </w:rPr>
              <w:t>redacted</w:t>
            </w:r>
          </w:p>
        </w:tc>
        <w:tc>
          <w:tcPr>
            <w:tcW w:w="937" w:type="dxa"/>
            <w:noWrap/>
          </w:tcPr>
          <w:p w14:paraId="3FD55973" w14:textId="48764939" w:rsidR="0095685F" w:rsidRPr="008327D9" w:rsidRDefault="0095685F" w:rsidP="0095685F">
            <w:pPr>
              <w:pStyle w:val="TableText"/>
              <w:keepNext/>
              <w:keepLines/>
              <w:jc w:val="center"/>
              <w:rPr>
                <w:b/>
                <w:bCs/>
                <w:highlight w:val="yellow"/>
              </w:rPr>
            </w:pPr>
            <w:r w:rsidRPr="00621EC8">
              <w:rPr>
                <w:b/>
                <w:bCs/>
              </w:rPr>
              <w:t>redacted</w:t>
            </w:r>
          </w:p>
        </w:tc>
        <w:tc>
          <w:tcPr>
            <w:tcW w:w="936" w:type="dxa"/>
            <w:noWrap/>
          </w:tcPr>
          <w:p w14:paraId="76D57481" w14:textId="7CE3F0A9" w:rsidR="0095685F" w:rsidRPr="008327D9" w:rsidRDefault="0095685F" w:rsidP="0095685F">
            <w:pPr>
              <w:pStyle w:val="TableText"/>
              <w:keepNext/>
              <w:keepLines/>
              <w:jc w:val="center"/>
              <w:rPr>
                <w:b/>
                <w:bCs/>
                <w:highlight w:val="yellow"/>
              </w:rPr>
            </w:pPr>
            <w:r w:rsidRPr="00621EC8">
              <w:rPr>
                <w:b/>
                <w:bCs/>
              </w:rPr>
              <w:t>redacted</w:t>
            </w:r>
          </w:p>
        </w:tc>
        <w:tc>
          <w:tcPr>
            <w:tcW w:w="937" w:type="dxa"/>
            <w:noWrap/>
          </w:tcPr>
          <w:p w14:paraId="75E36FFF" w14:textId="4F94853F" w:rsidR="0095685F" w:rsidRPr="008327D9" w:rsidRDefault="0095685F" w:rsidP="0095685F">
            <w:pPr>
              <w:pStyle w:val="TableText"/>
              <w:keepNext/>
              <w:keepLines/>
              <w:jc w:val="center"/>
              <w:rPr>
                <w:b/>
                <w:bCs/>
                <w:highlight w:val="yellow"/>
              </w:rPr>
            </w:pPr>
            <w:r w:rsidRPr="00621EC8">
              <w:rPr>
                <w:b/>
                <w:bCs/>
              </w:rPr>
              <w:t>redacted</w:t>
            </w:r>
          </w:p>
        </w:tc>
        <w:tc>
          <w:tcPr>
            <w:tcW w:w="936" w:type="dxa"/>
            <w:noWrap/>
          </w:tcPr>
          <w:p w14:paraId="314C82A6" w14:textId="0FC8937D" w:rsidR="0095685F" w:rsidRPr="008327D9" w:rsidRDefault="0095685F" w:rsidP="0095685F">
            <w:pPr>
              <w:pStyle w:val="TableText"/>
              <w:keepNext/>
              <w:keepLines/>
              <w:jc w:val="center"/>
              <w:rPr>
                <w:b/>
                <w:bCs/>
                <w:highlight w:val="yellow"/>
              </w:rPr>
            </w:pPr>
            <w:r w:rsidRPr="00621EC8">
              <w:rPr>
                <w:b/>
                <w:bCs/>
              </w:rPr>
              <w:t>redacted</w:t>
            </w:r>
          </w:p>
        </w:tc>
        <w:tc>
          <w:tcPr>
            <w:tcW w:w="937" w:type="dxa"/>
            <w:noWrap/>
          </w:tcPr>
          <w:p w14:paraId="5F3CDB44" w14:textId="1CCECE78" w:rsidR="0095685F" w:rsidRPr="008327D9" w:rsidRDefault="0095685F" w:rsidP="0095685F">
            <w:pPr>
              <w:pStyle w:val="TableText"/>
              <w:keepNext/>
              <w:keepLines/>
              <w:jc w:val="center"/>
              <w:rPr>
                <w:b/>
                <w:bCs/>
                <w:highlight w:val="yellow"/>
              </w:rPr>
            </w:pPr>
            <w:r w:rsidRPr="00621EC8">
              <w:rPr>
                <w:b/>
                <w:bCs/>
              </w:rPr>
              <w:t>redacted</w:t>
            </w:r>
          </w:p>
        </w:tc>
      </w:tr>
      <w:tr w:rsidR="0095685F" w:rsidRPr="00102634" w14:paraId="4FA8F2EC" w14:textId="77777777" w:rsidTr="0006231C">
        <w:trPr>
          <w:trHeight w:val="255"/>
        </w:trPr>
        <w:tc>
          <w:tcPr>
            <w:tcW w:w="0" w:type="dxa"/>
            <w:vAlign w:val="center"/>
          </w:tcPr>
          <w:p w14:paraId="7A393B39" w14:textId="77777777" w:rsidR="0095685F" w:rsidRPr="00102634" w:rsidRDefault="0095685F" w:rsidP="0095685F">
            <w:pPr>
              <w:pStyle w:val="TableText"/>
              <w:keepNext/>
              <w:keepLines/>
            </w:pPr>
            <w:r w:rsidRPr="00102634">
              <w:t>E2</w:t>
            </w:r>
          </w:p>
        </w:tc>
        <w:tc>
          <w:tcPr>
            <w:tcW w:w="0" w:type="dxa"/>
            <w:vAlign w:val="center"/>
          </w:tcPr>
          <w:p w14:paraId="00A1E502" w14:textId="4D595FF5" w:rsidR="0095685F" w:rsidRPr="00102634" w:rsidRDefault="0095685F" w:rsidP="0095685F">
            <w:pPr>
              <w:pStyle w:val="TableText"/>
              <w:keepNext/>
              <w:keepLines/>
              <w:rPr>
                <w:vertAlign w:val="superscript"/>
              </w:rPr>
            </w:pPr>
            <w:r w:rsidRPr="00102634">
              <w:t>Total tested population in submission main body</w:t>
            </w:r>
            <w:r>
              <w:t xml:space="preserve"> </w:t>
            </w:r>
            <w:r w:rsidRPr="00102634">
              <w:rPr>
                <w:vertAlign w:val="superscript"/>
              </w:rPr>
              <w:t>c</w:t>
            </w:r>
          </w:p>
        </w:tc>
        <w:tc>
          <w:tcPr>
            <w:tcW w:w="0" w:type="dxa"/>
            <w:vAlign w:val="center"/>
          </w:tcPr>
          <w:p w14:paraId="5DDB3566" w14:textId="77777777" w:rsidR="0095685F" w:rsidRPr="00102634" w:rsidRDefault="0095685F" w:rsidP="0095685F">
            <w:pPr>
              <w:pStyle w:val="TableText"/>
              <w:keepNext/>
              <w:keepLines/>
            </w:pPr>
            <w:r w:rsidRPr="00102634">
              <w:t>Tables 4.21 and 4.22 of submission</w:t>
            </w:r>
          </w:p>
        </w:tc>
        <w:tc>
          <w:tcPr>
            <w:tcW w:w="0" w:type="dxa"/>
            <w:noWrap/>
          </w:tcPr>
          <w:p w14:paraId="3D9C6252" w14:textId="44D3A3F1"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3374C80B" w14:textId="06451FEF"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222B2930" w14:textId="24E6BCF6"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6CD7CC15" w14:textId="42EBF87E"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2DBD43EE" w14:textId="71A8CC6B"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50E3D681" w14:textId="73B70C1F" w:rsidR="0095685F" w:rsidRPr="008327D9" w:rsidRDefault="0095685F" w:rsidP="0095685F">
            <w:pPr>
              <w:pStyle w:val="TableText"/>
              <w:keepNext/>
              <w:keepLines/>
              <w:jc w:val="center"/>
              <w:rPr>
                <w:b/>
                <w:bCs/>
                <w:highlight w:val="yellow"/>
              </w:rPr>
            </w:pPr>
            <w:r w:rsidRPr="00621EC8">
              <w:rPr>
                <w:b/>
                <w:bCs/>
              </w:rPr>
              <w:t>redacted</w:t>
            </w:r>
          </w:p>
        </w:tc>
      </w:tr>
      <w:tr w:rsidR="0095685F" w:rsidRPr="00102634" w14:paraId="7FE564FE" w14:textId="77777777" w:rsidTr="0006231C">
        <w:trPr>
          <w:trHeight w:val="255"/>
        </w:trPr>
        <w:tc>
          <w:tcPr>
            <w:tcW w:w="0" w:type="dxa"/>
            <w:vAlign w:val="center"/>
          </w:tcPr>
          <w:p w14:paraId="1F7C1C55" w14:textId="77777777" w:rsidR="0095685F" w:rsidRPr="00102634" w:rsidRDefault="0095685F" w:rsidP="0095685F">
            <w:pPr>
              <w:pStyle w:val="TableText"/>
              <w:keepNext/>
              <w:keepLines/>
            </w:pPr>
            <w:r w:rsidRPr="00102634">
              <w:t>E3</w:t>
            </w:r>
          </w:p>
        </w:tc>
        <w:tc>
          <w:tcPr>
            <w:tcW w:w="0" w:type="dxa"/>
            <w:vAlign w:val="center"/>
          </w:tcPr>
          <w:p w14:paraId="77579F20" w14:textId="78C3066D" w:rsidR="0095685F" w:rsidRPr="00102634" w:rsidRDefault="0095685F" w:rsidP="0095685F">
            <w:pPr>
              <w:pStyle w:val="TableText"/>
              <w:keepNext/>
              <w:keepLines/>
              <w:rPr>
                <w:vertAlign w:val="superscript"/>
              </w:rPr>
            </w:pPr>
            <w:r w:rsidRPr="00102634">
              <w:t>Total tested population in financial estimate spreadsheet</w:t>
            </w:r>
            <w:r>
              <w:t xml:space="preserve"> </w:t>
            </w:r>
            <w:r w:rsidRPr="00102634">
              <w:rPr>
                <w:vertAlign w:val="superscript"/>
              </w:rPr>
              <w:t>d</w:t>
            </w:r>
          </w:p>
        </w:tc>
        <w:tc>
          <w:tcPr>
            <w:tcW w:w="0" w:type="dxa"/>
            <w:vAlign w:val="center"/>
          </w:tcPr>
          <w:p w14:paraId="77807BF1" w14:textId="77777777" w:rsidR="0095685F" w:rsidRPr="00102634" w:rsidRDefault="0095685F" w:rsidP="0095685F">
            <w:pPr>
              <w:pStyle w:val="TableText"/>
              <w:keepNext/>
              <w:keepLines/>
            </w:pPr>
            <w:r w:rsidRPr="00102634">
              <w:t>Sheet 7 of spreadsheet</w:t>
            </w:r>
          </w:p>
        </w:tc>
        <w:tc>
          <w:tcPr>
            <w:tcW w:w="0" w:type="dxa"/>
            <w:noWrap/>
          </w:tcPr>
          <w:p w14:paraId="171FCD5B" w14:textId="5058E6CA"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3A15D8D3" w14:textId="7D9AB204"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732BFC67" w14:textId="32AC2D1A"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797EEEE1" w14:textId="124B1CC8"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159F2A7F" w14:textId="669BF26E" w:rsidR="0095685F" w:rsidRPr="008327D9" w:rsidRDefault="0095685F" w:rsidP="0095685F">
            <w:pPr>
              <w:pStyle w:val="TableText"/>
              <w:keepNext/>
              <w:keepLines/>
              <w:jc w:val="center"/>
              <w:rPr>
                <w:b/>
                <w:bCs/>
                <w:highlight w:val="yellow"/>
              </w:rPr>
            </w:pPr>
            <w:r w:rsidRPr="00621EC8">
              <w:rPr>
                <w:b/>
                <w:bCs/>
              </w:rPr>
              <w:t>redacted</w:t>
            </w:r>
          </w:p>
        </w:tc>
        <w:tc>
          <w:tcPr>
            <w:tcW w:w="0" w:type="dxa"/>
            <w:noWrap/>
          </w:tcPr>
          <w:p w14:paraId="162E0E40" w14:textId="07B054A2" w:rsidR="0095685F" w:rsidRPr="008327D9" w:rsidRDefault="0095685F" w:rsidP="0095685F">
            <w:pPr>
              <w:pStyle w:val="TableText"/>
              <w:keepNext/>
              <w:keepLines/>
              <w:jc w:val="center"/>
              <w:rPr>
                <w:b/>
                <w:bCs/>
                <w:highlight w:val="yellow"/>
              </w:rPr>
            </w:pPr>
            <w:r w:rsidRPr="00621EC8">
              <w:rPr>
                <w:b/>
                <w:bCs/>
              </w:rPr>
              <w:t>redacted</w:t>
            </w:r>
          </w:p>
        </w:tc>
      </w:tr>
      <w:tr w:rsidR="005D6D39" w:rsidRPr="00102634" w14:paraId="771B42B9" w14:textId="77777777">
        <w:trPr>
          <w:trHeight w:val="255"/>
        </w:trPr>
        <w:tc>
          <w:tcPr>
            <w:tcW w:w="9016" w:type="dxa"/>
            <w:gridSpan w:val="9"/>
            <w:tcBorders>
              <w:top w:val="double" w:sz="4" w:space="0" w:color="auto"/>
            </w:tcBorders>
            <w:vAlign w:val="center"/>
          </w:tcPr>
          <w:p w14:paraId="706894A4" w14:textId="4D73770E" w:rsidR="005D6D39" w:rsidRPr="00102634" w:rsidRDefault="005D6D39" w:rsidP="00C24C30">
            <w:pPr>
              <w:pStyle w:val="TableText"/>
              <w:keepNext/>
              <w:keepLines/>
              <w:rPr>
                <w:b/>
                <w:bCs/>
              </w:rPr>
            </w:pPr>
            <w:r w:rsidRPr="00102634">
              <w:rPr>
                <w:b/>
                <w:bCs/>
              </w:rPr>
              <w:t>Net cost MBS (incorporated 88% who progress from 1L to 2L)</w:t>
            </w:r>
          </w:p>
        </w:tc>
      </w:tr>
      <w:tr w:rsidR="0095685F" w:rsidRPr="00102634" w14:paraId="7838EED6" w14:textId="77777777" w:rsidTr="0006231C">
        <w:trPr>
          <w:trHeight w:val="255"/>
        </w:trPr>
        <w:tc>
          <w:tcPr>
            <w:tcW w:w="0" w:type="dxa"/>
            <w:vAlign w:val="center"/>
          </w:tcPr>
          <w:p w14:paraId="6BDBA9D1" w14:textId="77777777" w:rsidR="0095685F" w:rsidRPr="00102634" w:rsidRDefault="0095685F" w:rsidP="0095685F">
            <w:pPr>
              <w:pStyle w:val="TableText"/>
              <w:keepNext/>
              <w:keepLines/>
            </w:pPr>
            <w:r w:rsidRPr="00102634">
              <w:t>F1</w:t>
            </w:r>
          </w:p>
        </w:tc>
        <w:tc>
          <w:tcPr>
            <w:tcW w:w="0" w:type="dxa"/>
            <w:vAlign w:val="center"/>
          </w:tcPr>
          <w:p w14:paraId="650EA571" w14:textId="77777777" w:rsidR="0095685F" w:rsidRPr="00102634" w:rsidRDefault="0095685F" w:rsidP="0095685F">
            <w:pPr>
              <w:pStyle w:val="TableText"/>
              <w:keepNext/>
              <w:keepLines/>
              <w:rPr>
                <w:b/>
                <w:bCs/>
              </w:rPr>
            </w:pPr>
            <w:r w:rsidRPr="00102634">
              <w:t xml:space="preserve">Cost of testing </w:t>
            </w:r>
          </w:p>
        </w:tc>
        <w:tc>
          <w:tcPr>
            <w:tcW w:w="0" w:type="dxa"/>
            <w:vAlign w:val="center"/>
          </w:tcPr>
          <w:p w14:paraId="7DEDDD41" w14:textId="77777777" w:rsidR="0095685F" w:rsidRPr="00384B51" w:rsidRDefault="0095685F" w:rsidP="0095685F">
            <w:pPr>
              <w:pStyle w:val="TableText"/>
              <w:keepNext/>
              <w:keepLines/>
            </w:pPr>
            <w:r w:rsidRPr="00384B51">
              <w:t>E1x$1,870</w:t>
            </w:r>
            <w:r w:rsidRPr="00384B51">
              <w:rPr>
                <w:vertAlign w:val="superscript"/>
              </w:rPr>
              <w:t>e</w:t>
            </w:r>
          </w:p>
        </w:tc>
        <w:tc>
          <w:tcPr>
            <w:tcW w:w="0" w:type="dxa"/>
            <w:noWrap/>
            <w:vAlign w:val="center"/>
          </w:tcPr>
          <w:p w14:paraId="294DF476" w14:textId="12AB8932" w:rsidR="0095685F" w:rsidRPr="008327D9" w:rsidRDefault="0095685F" w:rsidP="0095685F">
            <w:pPr>
              <w:pStyle w:val="TableText"/>
              <w:keepNext/>
              <w:keepLines/>
              <w:jc w:val="center"/>
              <w:rPr>
                <w:b/>
                <w:bCs/>
                <w:highlight w:val="yellow"/>
              </w:rPr>
            </w:pPr>
            <w:r w:rsidRPr="0095685F">
              <w:t>$</w:t>
            </w:r>
            <w:r w:rsidR="1712B0B0" w:rsidRPr="10812078">
              <w:rPr>
                <w:b/>
                <w:bCs/>
              </w:rPr>
              <w:t>redacted</w:t>
            </w:r>
            <w:r w:rsidR="5F345FBC" w:rsidRPr="10812078">
              <w:rPr>
                <w:vertAlign w:val="superscript"/>
              </w:rPr>
              <w:t xml:space="preserve"> 3</w:t>
            </w:r>
          </w:p>
        </w:tc>
        <w:tc>
          <w:tcPr>
            <w:tcW w:w="0" w:type="dxa"/>
            <w:noWrap/>
          </w:tcPr>
          <w:p w14:paraId="2EA8116F" w14:textId="59BAFB6F" w:rsidR="0095685F" w:rsidRPr="008327D9" w:rsidRDefault="0095685F" w:rsidP="0095685F">
            <w:pPr>
              <w:pStyle w:val="TableText"/>
              <w:keepNext/>
              <w:keepLines/>
              <w:jc w:val="center"/>
              <w:rPr>
                <w:b/>
                <w:bCs/>
                <w:highlight w:val="yellow"/>
              </w:rPr>
            </w:pPr>
            <w:r w:rsidRPr="000D0E7A">
              <w:t>$</w:t>
            </w:r>
            <w:r w:rsidRPr="000D0E7A">
              <w:rPr>
                <w:b/>
                <w:bCs/>
              </w:rPr>
              <w:t>redacted</w:t>
            </w:r>
            <w:r w:rsidR="22B82CE1" w:rsidRPr="10812078">
              <w:rPr>
                <w:vertAlign w:val="superscript"/>
              </w:rPr>
              <w:t xml:space="preserve"> 3</w:t>
            </w:r>
          </w:p>
        </w:tc>
        <w:tc>
          <w:tcPr>
            <w:tcW w:w="0" w:type="dxa"/>
            <w:noWrap/>
          </w:tcPr>
          <w:p w14:paraId="00B19C81" w14:textId="754CBAF8" w:rsidR="0095685F" w:rsidRPr="008327D9" w:rsidRDefault="0095685F" w:rsidP="0095685F">
            <w:pPr>
              <w:pStyle w:val="TableText"/>
              <w:keepNext/>
              <w:keepLines/>
              <w:jc w:val="center"/>
              <w:rPr>
                <w:b/>
                <w:bCs/>
                <w:highlight w:val="yellow"/>
              </w:rPr>
            </w:pPr>
            <w:r w:rsidRPr="000D0E7A">
              <w:t>$</w:t>
            </w:r>
            <w:r w:rsidRPr="000D0E7A">
              <w:rPr>
                <w:b/>
                <w:bCs/>
              </w:rPr>
              <w:t>redacted</w:t>
            </w:r>
            <w:r w:rsidR="7789AE54" w:rsidRPr="10812078">
              <w:rPr>
                <w:vertAlign w:val="superscript"/>
              </w:rPr>
              <w:t xml:space="preserve"> 3</w:t>
            </w:r>
          </w:p>
        </w:tc>
        <w:tc>
          <w:tcPr>
            <w:tcW w:w="0" w:type="dxa"/>
            <w:noWrap/>
          </w:tcPr>
          <w:p w14:paraId="38CDB7C9" w14:textId="1BADC0A5" w:rsidR="0095685F" w:rsidRPr="008327D9" w:rsidRDefault="0095685F" w:rsidP="0095685F">
            <w:pPr>
              <w:pStyle w:val="TableText"/>
              <w:keepNext/>
              <w:keepLines/>
              <w:jc w:val="center"/>
              <w:rPr>
                <w:b/>
                <w:bCs/>
                <w:highlight w:val="yellow"/>
              </w:rPr>
            </w:pPr>
            <w:r w:rsidRPr="000D0E7A">
              <w:t>$</w:t>
            </w:r>
            <w:r w:rsidRPr="000D0E7A">
              <w:rPr>
                <w:b/>
                <w:bCs/>
              </w:rPr>
              <w:t>redacted</w:t>
            </w:r>
            <w:r w:rsidR="5E90BFA2" w:rsidRPr="10812078">
              <w:rPr>
                <w:vertAlign w:val="superscript"/>
              </w:rPr>
              <w:t xml:space="preserve"> 3</w:t>
            </w:r>
          </w:p>
        </w:tc>
        <w:tc>
          <w:tcPr>
            <w:tcW w:w="0" w:type="dxa"/>
            <w:noWrap/>
          </w:tcPr>
          <w:p w14:paraId="47107954" w14:textId="73C439DA" w:rsidR="0095685F" w:rsidRPr="008327D9" w:rsidRDefault="0095685F" w:rsidP="0095685F">
            <w:pPr>
              <w:pStyle w:val="TableText"/>
              <w:keepNext/>
              <w:keepLines/>
              <w:jc w:val="center"/>
              <w:rPr>
                <w:b/>
                <w:bCs/>
                <w:highlight w:val="yellow"/>
              </w:rPr>
            </w:pPr>
            <w:r w:rsidRPr="000D0E7A">
              <w:t>$</w:t>
            </w:r>
            <w:r w:rsidRPr="000D0E7A">
              <w:rPr>
                <w:b/>
                <w:bCs/>
              </w:rPr>
              <w:t>redacted</w:t>
            </w:r>
            <w:r w:rsidR="571D833E" w:rsidRPr="10812078">
              <w:rPr>
                <w:vertAlign w:val="superscript"/>
              </w:rPr>
              <w:t xml:space="preserve"> 3</w:t>
            </w:r>
          </w:p>
        </w:tc>
        <w:tc>
          <w:tcPr>
            <w:tcW w:w="0" w:type="dxa"/>
            <w:noWrap/>
          </w:tcPr>
          <w:p w14:paraId="5E0B729E" w14:textId="49EC5E13" w:rsidR="0095685F" w:rsidRPr="008327D9" w:rsidRDefault="0095685F" w:rsidP="0095685F">
            <w:pPr>
              <w:pStyle w:val="TableText"/>
              <w:keepNext/>
              <w:keepLines/>
              <w:jc w:val="center"/>
              <w:rPr>
                <w:b/>
                <w:bCs/>
                <w:highlight w:val="yellow"/>
              </w:rPr>
            </w:pPr>
            <w:r w:rsidRPr="000D0E7A">
              <w:t>$</w:t>
            </w:r>
            <w:r w:rsidRPr="000D0E7A">
              <w:rPr>
                <w:b/>
                <w:bCs/>
              </w:rPr>
              <w:t>redacted</w:t>
            </w:r>
            <w:r w:rsidR="0094E372" w:rsidRPr="10812078">
              <w:rPr>
                <w:vertAlign w:val="superscript"/>
              </w:rPr>
              <w:t xml:space="preserve"> 3</w:t>
            </w:r>
          </w:p>
        </w:tc>
      </w:tr>
      <w:tr w:rsidR="0095685F" w:rsidRPr="00102634" w14:paraId="22E8122A" w14:textId="77777777" w:rsidTr="0006231C">
        <w:trPr>
          <w:trHeight w:val="255"/>
        </w:trPr>
        <w:tc>
          <w:tcPr>
            <w:tcW w:w="0" w:type="dxa"/>
            <w:vAlign w:val="center"/>
          </w:tcPr>
          <w:p w14:paraId="3B2F86F9" w14:textId="77777777" w:rsidR="0095685F" w:rsidRPr="00102634" w:rsidRDefault="0095685F" w:rsidP="0095685F">
            <w:pPr>
              <w:pStyle w:val="TableText"/>
              <w:keepNext/>
              <w:keepLines/>
            </w:pPr>
            <w:r w:rsidRPr="00102634">
              <w:t>F2</w:t>
            </w:r>
          </w:p>
        </w:tc>
        <w:tc>
          <w:tcPr>
            <w:tcW w:w="0" w:type="dxa"/>
            <w:vAlign w:val="center"/>
          </w:tcPr>
          <w:p w14:paraId="2959C26B" w14:textId="77777777" w:rsidR="0095685F" w:rsidRPr="00102634" w:rsidRDefault="0095685F" w:rsidP="0095685F">
            <w:pPr>
              <w:pStyle w:val="TableText"/>
              <w:keepNext/>
              <w:keepLines/>
              <w:rPr>
                <w:b/>
                <w:bCs/>
              </w:rPr>
            </w:pPr>
            <w:r w:rsidRPr="00102634">
              <w:t xml:space="preserve">Cost offset </w:t>
            </w:r>
            <w:r w:rsidRPr="00102634">
              <w:rPr>
                <w:vertAlign w:val="superscript"/>
              </w:rPr>
              <w:t>f</w:t>
            </w:r>
          </w:p>
        </w:tc>
        <w:tc>
          <w:tcPr>
            <w:tcW w:w="0" w:type="dxa"/>
            <w:vAlign w:val="center"/>
          </w:tcPr>
          <w:p w14:paraId="7384530B" w14:textId="77777777" w:rsidR="0095685F" w:rsidRPr="00384B51" w:rsidRDefault="0095685F" w:rsidP="0095685F">
            <w:pPr>
              <w:pStyle w:val="TableText"/>
              <w:keepNext/>
              <w:keepLines/>
            </w:pPr>
            <w:r w:rsidRPr="00384B51">
              <w:t>(B4+C3) x$1,870</w:t>
            </w:r>
          </w:p>
        </w:tc>
        <w:tc>
          <w:tcPr>
            <w:tcW w:w="0" w:type="dxa"/>
            <w:noWrap/>
          </w:tcPr>
          <w:p w14:paraId="3672B479" w14:textId="0BE1DEBD" w:rsidR="0095685F" w:rsidRPr="008327D9" w:rsidRDefault="0095685F" w:rsidP="0095685F">
            <w:pPr>
              <w:pStyle w:val="TableText"/>
              <w:keepNext/>
              <w:keepLines/>
              <w:jc w:val="center"/>
              <w:rPr>
                <w:b/>
                <w:bCs/>
                <w:highlight w:val="yellow"/>
              </w:rPr>
            </w:pPr>
            <w:r w:rsidRPr="00932A9D">
              <w:t>$</w:t>
            </w:r>
            <w:r w:rsidRPr="00932A9D">
              <w:rPr>
                <w:b/>
                <w:bCs/>
              </w:rPr>
              <w:t>redacted</w:t>
            </w:r>
            <w:r w:rsidR="4C7B3DA9" w:rsidRPr="10812078">
              <w:rPr>
                <w:b/>
                <w:bCs/>
              </w:rPr>
              <w:t xml:space="preserve"> </w:t>
            </w:r>
            <w:r w:rsidR="4C7B3DA9" w:rsidRPr="10812078">
              <w:rPr>
                <w:vertAlign w:val="superscript"/>
              </w:rPr>
              <w:t>4</w:t>
            </w:r>
            <w:r w:rsidR="27A1C29C" w:rsidRPr="10812078">
              <w:rPr>
                <w:highlight w:val="yellow"/>
              </w:rPr>
              <w:t xml:space="preserve"> </w:t>
            </w:r>
          </w:p>
        </w:tc>
        <w:tc>
          <w:tcPr>
            <w:tcW w:w="0" w:type="dxa"/>
            <w:noWrap/>
          </w:tcPr>
          <w:p w14:paraId="698259F3" w14:textId="732AB859" w:rsidR="0095685F" w:rsidRPr="008327D9" w:rsidRDefault="0095685F" w:rsidP="0095685F">
            <w:pPr>
              <w:pStyle w:val="TableText"/>
              <w:keepNext/>
              <w:keepLines/>
              <w:jc w:val="center"/>
              <w:rPr>
                <w:b/>
                <w:bCs/>
                <w:highlight w:val="yellow"/>
              </w:rPr>
            </w:pPr>
            <w:r w:rsidRPr="00932A9D">
              <w:t>$</w:t>
            </w:r>
            <w:r w:rsidRPr="00932A9D">
              <w:rPr>
                <w:b/>
                <w:bCs/>
              </w:rPr>
              <w:t>redacted</w:t>
            </w:r>
            <w:r w:rsidR="256B7A50" w:rsidRPr="10812078">
              <w:rPr>
                <w:vertAlign w:val="superscript"/>
              </w:rPr>
              <w:t xml:space="preserve"> 4</w:t>
            </w:r>
            <w:r w:rsidR="256B7A50" w:rsidRPr="10812078">
              <w:rPr>
                <w:highlight w:val="yellow"/>
              </w:rPr>
              <w:t xml:space="preserve"> </w:t>
            </w:r>
          </w:p>
        </w:tc>
        <w:tc>
          <w:tcPr>
            <w:tcW w:w="0" w:type="dxa"/>
            <w:noWrap/>
          </w:tcPr>
          <w:p w14:paraId="48C1B0DE" w14:textId="48EF174E" w:rsidR="0095685F" w:rsidRPr="008327D9" w:rsidRDefault="0095685F" w:rsidP="0095685F">
            <w:pPr>
              <w:pStyle w:val="TableText"/>
              <w:keepNext/>
              <w:keepLines/>
              <w:jc w:val="center"/>
              <w:rPr>
                <w:b/>
                <w:bCs/>
                <w:highlight w:val="yellow"/>
              </w:rPr>
            </w:pPr>
            <w:r w:rsidRPr="00932A9D">
              <w:t>$</w:t>
            </w:r>
            <w:r w:rsidRPr="00932A9D">
              <w:rPr>
                <w:b/>
                <w:bCs/>
              </w:rPr>
              <w:t>redacted</w:t>
            </w:r>
            <w:r w:rsidR="67D00FF6" w:rsidRPr="10812078">
              <w:rPr>
                <w:vertAlign w:val="superscript"/>
              </w:rPr>
              <w:t xml:space="preserve"> 4</w:t>
            </w:r>
            <w:r w:rsidR="67D00FF6" w:rsidRPr="10812078">
              <w:rPr>
                <w:highlight w:val="yellow"/>
              </w:rPr>
              <w:t xml:space="preserve"> </w:t>
            </w:r>
          </w:p>
        </w:tc>
        <w:tc>
          <w:tcPr>
            <w:tcW w:w="0" w:type="dxa"/>
            <w:noWrap/>
          </w:tcPr>
          <w:p w14:paraId="49AB1C93" w14:textId="175DF79C" w:rsidR="0095685F" w:rsidRPr="008327D9" w:rsidRDefault="0095685F" w:rsidP="0095685F">
            <w:pPr>
              <w:pStyle w:val="TableText"/>
              <w:keepNext/>
              <w:keepLines/>
              <w:jc w:val="center"/>
              <w:rPr>
                <w:b/>
                <w:bCs/>
                <w:highlight w:val="yellow"/>
              </w:rPr>
            </w:pPr>
            <w:r w:rsidRPr="00932A9D">
              <w:t>$</w:t>
            </w:r>
            <w:r w:rsidRPr="00932A9D">
              <w:rPr>
                <w:b/>
                <w:bCs/>
              </w:rPr>
              <w:t>redacted</w:t>
            </w:r>
            <w:r w:rsidR="5ECED8A5" w:rsidRPr="10812078">
              <w:rPr>
                <w:vertAlign w:val="superscript"/>
              </w:rPr>
              <w:t xml:space="preserve"> 4</w:t>
            </w:r>
            <w:r w:rsidR="5ECED8A5" w:rsidRPr="10812078">
              <w:rPr>
                <w:highlight w:val="yellow"/>
              </w:rPr>
              <w:t xml:space="preserve"> </w:t>
            </w:r>
          </w:p>
        </w:tc>
        <w:tc>
          <w:tcPr>
            <w:tcW w:w="0" w:type="dxa"/>
            <w:noWrap/>
          </w:tcPr>
          <w:p w14:paraId="44740AC5" w14:textId="0AF0E135" w:rsidR="0095685F" w:rsidRPr="008327D9" w:rsidRDefault="0095685F" w:rsidP="0095685F">
            <w:pPr>
              <w:pStyle w:val="TableText"/>
              <w:keepNext/>
              <w:keepLines/>
              <w:jc w:val="center"/>
              <w:rPr>
                <w:b/>
                <w:bCs/>
                <w:highlight w:val="yellow"/>
              </w:rPr>
            </w:pPr>
            <w:r w:rsidRPr="00932A9D">
              <w:t>$</w:t>
            </w:r>
            <w:r w:rsidRPr="00932A9D">
              <w:rPr>
                <w:b/>
                <w:bCs/>
              </w:rPr>
              <w:t>redacted</w:t>
            </w:r>
            <w:r w:rsidR="1A330579" w:rsidRPr="10812078">
              <w:rPr>
                <w:vertAlign w:val="superscript"/>
              </w:rPr>
              <w:t xml:space="preserve"> 4</w:t>
            </w:r>
            <w:r w:rsidR="1A330579" w:rsidRPr="10812078">
              <w:rPr>
                <w:highlight w:val="yellow"/>
              </w:rPr>
              <w:t xml:space="preserve"> </w:t>
            </w:r>
          </w:p>
        </w:tc>
        <w:tc>
          <w:tcPr>
            <w:tcW w:w="0" w:type="dxa"/>
            <w:noWrap/>
          </w:tcPr>
          <w:p w14:paraId="32CDF977" w14:textId="55FC774F" w:rsidR="0095685F" w:rsidRPr="008327D9" w:rsidRDefault="0095685F" w:rsidP="0095685F">
            <w:pPr>
              <w:pStyle w:val="TableText"/>
              <w:keepNext/>
              <w:keepLines/>
              <w:jc w:val="center"/>
              <w:rPr>
                <w:b/>
                <w:bCs/>
                <w:highlight w:val="yellow"/>
              </w:rPr>
            </w:pPr>
            <w:r w:rsidRPr="00932A9D">
              <w:t>$</w:t>
            </w:r>
            <w:r w:rsidRPr="00932A9D">
              <w:rPr>
                <w:b/>
                <w:bCs/>
              </w:rPr>
              <w:t>redacted</w:t>
            </w:r>
            <w:r w:rsidR="19CF104B" w:rsidRPr="10812078">
              <w:rPr>
                <w:vertAlign w:val="superscript"/>
              </w:rPr>
              <w:t xml:space="preserve"> 4</w:t>
            </w:r>
            <w:r w:rsidR="19CF104B" w:rsidRPr="10812078">
              <w:rPr>
                <w:highlight w:val="yellow"/>
              </w:rPr>
              <w:t xml:space="preserve"> </w:t>
            </w:r>
          </w:p>
        </w:tc>
      </w:tr>
      <w:tr w:rsidR="0095685F" w:rsidRPr="00102634" w14:paraId="32EBD3E8" w14:textId="77777777" w:rsidTr="0006231C">
        <w:trPr>
          <w:trHeight w:val="255"/>
        </w:trPr>
        <w:tc>
          <w:tcPr>
            <w:tcW w:w="0" w:type="dxa"/>
            <w:vAlign w:val="center"/>
          </w:tcPr>
          <w:p w14:paraId="3C0D971F" w14:textId="77777777" w:rsidR="0095685F" w:rsidRPr="00102634" w:rsidRDefault="0095685F" w:rsidP="0095685F">
            <w:pPr>
              <w:pStyle w:val="TableText"/>
              <w:keepNext/>
              <w:keepLines/>
            </w:pPr>
            <w:r w:rsidRPr="00102634">
              <w:t>F3</w:t>
            </w:r>
          </w:p>
        </w:tc>
        <w:tc>
          <w:tcPr>
            <w:tcW w:w="0" w:type="dxa"/>
            <w:vAlign w:val="center"/>
          </w:tcPr>
          <w:p w14:paraId="706B4D23" w14:textId="77777777" w:rsidR="0095685F" w:rsidRPr="00102634" w:rsidRDefault="0095685F" w:rsidP="0095685F">
            <w:pPr>
              <w:pStyle w:val="TableText"/>
              <w:keepNext/>
              <w:keepLines/>
            </w:pPr>
            <w:r w:rsidRPr="00102634">
              <w:t>Net cost MBS</w:t>
            </w:r>
          </w:p>
        </w:tc>
        <w:tc>
          <w:tcPr>
            <w:tcW w:w="0" w:type="dxa"/>
            <w:vAlign w:val="center"/>
          </w:tcPr>
          <w:p w14:paraId="5F7B1F7D" w14:textId="77777777" w:rsidR="0095685F" w:rsidRPr="00384B51" w:rsidRDefault="0095685F" w:rsidP="0095685F">
            <w:pPr>
              <w:pStyle w:val="TableText"/>
              <w:keepNext/>
              <w:keepLines/>
            </w:pPr>
            <w:r w:rsidRPr="00384B51">
              <w:t>F1+F2</w:t>
            </w:r>
          </w:p>
        </w:tc>
        <w:tc>
          <w:tcPr>
            <w:tcW w:w="0" w:type="dxa"/>
            <w:noWrap/>
          </w:tcPr>
          <w:p w14:paraId="1173EE48" w14:textId="5179EF5C" w:rsidR="0095685F" w:rsidRPr="008327D9" w:rsidRDefault="0095685F" w:rsidP="0095685F">
            <w:pPr>
              <w:pStyle w:val="TableText"/>
              <w:keepNext/>
              <w:keepLines/>
              <w:jc w:val="center"/>
              <w:rPr>
                <w:b/>
                <w:bCs/>
                <w:highlight w:val="yellow"/>
              </w:rPr>
            </w:pPr>
            <w:r w:rsidRPr="00932A9D">
              <w:t>$</w:t>
            </w:r>
            <w:r w:rsidRPr="00932A9D">
              <w:rPr>
                <w:b/>
                <w:bCs/>
              </w:rPr>
              <w:t>redacted</w:t>
            </w:r>
            <w:r w:rsidR="6C5F0949" w:rsidRPr="10812078">
              <w:rPr>
                <w:vertAlign w:val="superscript"/>
              </w:rPr>
              <w:t xml:space="preserve"> 3</w:t>
            </w:r>
          </w:p>
        </w:tc>
        <w:tc>
          <w:tcPr>
            <w:tcW w:w="0" w:type="dxa"/>
            <w:noWrap/>
          </w:tcPr>
          <w:p w14:paraId="2788FAE7" w14:textId="4DE07835" w:rsidR="0095685F" w:rsidRPr="008327D9" w:rsidRDefault="0095685F" w:rsidP="0095685F">
            <w:pPr>
              <w:pStyle w:val="TableText"/>
              <w:keepNext/>
              <w:keepLines/>
              <w:jc w:val="center"/>
              <w:rPr>
                <w:b/>
                <w:bCs/>
                <w:highlight w:val="yellow"/>
              </w:rPr>
            </w:pPr>
            <w:r w:rsidRPr="00932A9D">
              <w:t>$</w:t>
            </w:r>
            <w:r w:rsidRPr="00932A9D">
              <w:rPr>
                <w:b/>
                <w:bCs/>
              </w:rPr>
              <w:t>redacted</w:t>
            </w:r>
            <w:r w:rsidR="57CAF699" w:rsidRPr="10812078">
              <w:rPr>
                <w:vertAlign w:val="superscript"/>
              </w:rPr>
              <w:t xml:space="preserve"> 3</w:t>
            </w:r>
          </w:p>
        </w:tc>
        <w:tc>
          <w:tcPr>
            <w:tcW w:w="0" w:type="dxa"/>
            <w:noWrap/>
          </w:tcPr>
          <w:p w14:paraId="4D0E32FA" w14:textId="377076A6" w:rsidR="0095685F" w:rsidRPr="008327D9" w:rsidRDefault="0095685F" w:rsidP="0095685F">
            <w:pPr>
              <w:pStyle w:val="TableText"/>
              <w:keepNext/>
              <w:keepLines/>
              <w:jc w:val="center"/>
              <w:rPr>
                <w:b/>
                <w:bCs/>
                <w:highlight w:val="yellow"/>
              </w:rPr>
            </w:pPr>
            <w:r w:rsidRPr="00932A9D">
              <w:t>$</w:t>
            </w:r>
            <w:r w:rsidRPr="00932A9D">
              <w:rPr>
                <w:b/>
                <w:bCs/>
              </w:rPr>
              <w:t>redacted</w:t>
            </w:r>
            <w:r w:rsidR="65262BAC" w:rsidRPr="10812078">
              <w:rPr>
                <w:vertAlign w:val="superscript"/>
              </w:rPr>
              <w:t xml:space="preserve"> 3</w:t>
            </w:r>
          </w:p>
        </w:tc>
        <w:tc>
          <w:tcPr>
            <w:tcW w:w="0" w:type="dxa"/>
            <w:noWrap/>
          </w:tcPr>
          <w:p w14:paraId="34C69077" w14:textId="70849FA2" w:rsidR="0095685F" w:rsidRPr="008327D9" w:rsidRDefault="0095685F" w:rsidP="0095685F">
            <w:pPr>
              <w:pStyle w:val="TableText"/>
              <w:keepNext/>
              <w:keepLines/>
              <w:jc w:val="center"/>
              <w:rPr>
                <w:b/>
                <w:bCs/>
                <w:highlight w:val="yellow"/>
              </w:rPr>
            </w:pPr>
            <w:r w:rsidRPr="00932A9D">
              <w:t>$</w:t>
            </w:r>
            <w:r w:rsidRPr="00932A9D">
              <w:rPr>
                <w:b/>
                <w:bCs/>
              </w:rPr>
              <w:t>redacted</w:t>
            </w:r>
            <w:r w:rsidR="1071961B" w:rsidRPr="10812078">
              <w:rPr>
                <w:vertAlign w:val="superscript"/>
              </w:rPr>
              <w:t xml:space="preserve"> 3</w:t>
            </w:r>
          </w:p>
        </w:tc>
        <w:tc>
          <w:tcPr>
            <w:tcW w:w="0" w:type="dxa"/>
            <w:noWrap/>
          </w:tcPr>
          <w:p w14:paraId="40A0F16F" w14:textId="2AED082F" w:rsidR="0095685F" w:rsidRPr="008327D9" w:rsidRDefault="0095685F" w:rsidP="0095685F">
            <w:pPr>
              <w:pStyle w:val="TableText"/>
              <w:keepNext/>
              <w:keepLines/>
              <w:jc w:val="center"/>
              <w:rPr>
                <w:b/>
                <w:bCs/>
                <w:highlight w:val="yellow"/>
              </w:rPr>
            </w:pPr>
            <w:r w:rsidRPr="00932A9D">
              <w:t>$</w:t>
            </w:r>
            <w:r w:rsidRPr="00932A9D">
              <w:rPr>
                <w:b/>
                <w:bCs/>
              </w:rPr>
              <w:t>redacted</w:t>
            </w:r>
            <w:r w:rsidR="00980A82" w:rsidRPr="10812078">
              <w:rPr>
                <w:vertAlign w:val="superscript"/>
              </w:rPr>
              <w:t xml:space="preserve"> 3</w:t>
            </w:r>
          </w:p>
        </w:tc>
        <w:tc>
          <w:tcPr>
            <w:tcW w:w="0" w:type="dxa"/>
            <w:noWrap/>
          </w:tcPr>
          <w:p w14:paraId="795AFEBF" w14:textId="625FB024" w:rsidR="0095685F" w:rsidRPr="008327D9" w:rsidRDefault="0095685F" w:rsidP="0095685F">
            <w:pPr>
              <w:pStyle w:val="TableText"/>
              <w:keepNext/>
              <w:keepLines/>
              <w:jc w:val="center"/>
              <w:rPr>
                <w:b/>
                <w:bCs/>
                <w:highlight w:val="yellow"/>
              </w:rPr>
            </w:pPr>
            <w:r w:rsidRPr="00932A9D">
              <w:t>$</w:t>
            </w:r>
            <w:r w:rsidRPr="00932A9D">
              <w:rPr>
                <w:b/>
                <w:bCs/>
              </w:rPr>
              <w:t>redacted</w:t>
            </w:r>
            <w:r w:rsidR="578BB47B" w:rsidRPr="10812078">
              <w:rPr>
                <w:vertAlign w:val="superscript"/>
              </w:rPr>
              <w:t xml:space="preserve"> 3</w:t>
            </w:r>
          </w:p>
        </w:tc>
      </w:tr>
      <w:tr w:rsidR="005D6D39" w:rsidRPr="00102634" w14:paraId="0F4E8D1C" w14:textId="77777777">
        <w:trPr>
          <w:trHeight w:val="255"/>
        </w:trPr>
        <w:tc>
          <w:tcPr>
            <w:tcW w:w="9016" w:type="dxa"/>
            <w:gridSpan w:val="9"/>
            <w:vAlign w:val="center"/>
          </w:tcPr>
          <w:p w14:paraId="1C2D4220" w14:textId="0FB491AA" w:rsidR="005D6D39" w:rsidRPr="00102634" w:rsidRDefault="005D6D39" w:rsidP="00C24C30">
            <w:pPr>
              <w:pStyle w:val="TableText"/>
              <w:keepNext/>
              <w:keepLines/>
            </w:pPr>
            <w:r w:rsidRPr="00102634">
              <w:rPr>
                <w:b/>
                <w:bCs/>
              </w:rPr>
              <w:t>Net cost MBS estimated in submission (</w:t>
            </w:r>
            <w:r w:rsidR="005D0EF1">
              <w:rPr>
                <w:b/>
                <w:bCs/>
              </w:rPr>
              <w:t>Assumed patients did not progress from 1</w:t>
            </w:r>
            <w:r w:rsidRPr="00102634">
              <w:rPr>
                <w:b/>
                <w:bCs/>
              </w:rPr>
              <w:t>L</w:t>
            </w:r>
            <w:r w:rsidR="005D0EF1">
              <w:rPr>
                <w:b/>
                <w:bCs/>
              </w:rPr>
              <w:t xml:space="preserve"> to 2L</w:t>
            </w:r>
            <w:r w:rsidRPr="00102634">
              <w:rPr>
                <w:b/>
                <w:bCs/>
              </w:rPr>
              <w:t>)</w:t>
            </w:r>
          </w:p>
        </w:tc>
      </w:tr>
      <w:tr w:rsidR="0095685F" w:rsidRPr="00102634" w14:paraId="6F0AE32E" w14:textId="77777777" w:rsidTr="0006231C">
        <w:trPr>
          <w:trHeight w:val="255"/>
        </w:trPr>
        <w:tc>
          <w:tcPr>
            <w:tcW w:w="0" w:type="dxa"/>
            <w:vAlign w:val="center"/>
          </w:tcPr>
          <w:p w14:paraId="53882996" w14:textId="77777777" w:rsidR="0095685F" w:rsidRPr="00102634" w:rsidRDefault="0095685F" w:rsidP="0095685F">
            <w:pPr>
              <w:pStyle w:val="TableText"/>
              <w:keepNext/>
              <w:keepLines/>
            </w:pPr>
            <w:r w:rsidRPr="00102634">
              <w:t>F4</w:t>
            </w:r>
          </w:p>
        </w:tc>
        <w:tc>
          <w:tcPr>
            <w:tcW w:w="0" w:type="dxa"/>
            <w:vAlign w:val="center"/>
          </w:tcPr>
          <w:p w14:paraId="29B04519" w14:textId="77777777" w:rsidR="0095685F" w:rsidRPr="00102634" w:rsidRDefault="0095685F" w:rsidP="0095685F">
            <w:pPr>
              <w:pStyle w:val="TableText"/>
              <w:keepNext/>
              <w:keepLines/>
            </w:pPr>
            <w:r w:rsidRPr="00102634">
              <w:t>Cost of testing</w:t>
            </w:r>
          </w:p>
        </w:tc>
        <w:tc>
          <w:tcPr>
            <w:tcW w:w="0" w:type="dxa"/>
            <w:vAlign w:val="center"/>
          </w:tcPr>
          <w:p w14:paraId="6A578F3F" w14:textId="77777777" w:rsidR="0095685F" w:rsidRPr="00384B51" w:rsidRDefault="0095685F" w:rsidP="0095685F">
            <w:pPr>
              <w:pStyle w:val="TableText"/>
              <w:keepNext/>
              <w:keepLines/>
            </w:pPr>
            <w:r w:rsidRPr="00384B51">
              <w:t>E3x$1,870</w:t>
            </w:r>
            <w:r w:rsidRPr="00384B51">
              <w:rPr>
                <w:vertAlign w:val="superscript"/>
              </w:rPr>
              <w:t>e</w:t>
            </w:r>
          </w:p>
        </w:tc>
        <w:tc>
          <w:tcPr>
            <w:tcW w:w="0" w:type="dxa"/>
            <w:noWrap/>
          </w:tcPr>
          <w:p w14:paraId="3C1F4272" w14:textId="0BF53058" w:rsidR="0095685F" w:rsidRPr="008327D9" w:rsidRDefault="0095685F" w:rsidP="0095685F">
            <w:pPr>
              <w:pStyle w:val="TableText"/>
              <w:keepNext/>
              <w:keepLines/>
              <w:jc w:val="center"/>
              <w:rPr>
                <w:highlight w:val="yellow"/>
              </w:rPr>
            </w:pPr>
            <w:r w:rsidRPr="00AF17C5">
              <w:t>$</w:t>
            </w:r>
            <w:r w:rsidRPr="00AF17C5">
              <w:rPr>
                <w:b/>
                <w:bCs/>
              </w:rPr>
              <w:t>redacted</w:t>
            </w:r>
            <w:r w:rsidR="6B810024" w:rsidRPr="10812078">
              <w:rPr>
                <w:vertAlign w:val="superscript"/>
              </w:rPr>
              <w:t xml:space="preserve"> 3</w:t>
            </w:r>
          </w:p>
        </w:tc>
        <w:tc>
          <w:tcPr>
            <w:tcW w:w="0" w:type="dxa"/>
            <w:noWrap/>
          </w:tcPr>
          <w:p w14:paraId="1644F219" w14:textId="584C5C96" w:rsidR="0095685F" w:rsidRPr="008327D9" w:rsidRDefault="0095685F" w:rsidP="0095685F">
            <w:pPr>
              <w:pStyle w:val="TableText"/>
              <w:keepNext/>
              <w:keepLines/>
              <w:jc w:val="center"/>
              <w:rPr>
                <w:highlight w:val="yellow"/>
              </w:rPr>
            </w:pPr>
            <w:r w:rsidRPr="00AF17C5">
              <w:t>$</w:t>
            </w:r>
            <w:r w:rsidRPr="00AF17C5">
              <w:rPr>
                <w:b/>
                <w:bCs/>
              </w:rPr>
              <w:t>redacted</w:t>
            </w:r>
            <w:r w:rsidR="00940045" w:rsidRPr="10812078">
              <w:rPr>
                <w:vertAlign w:val="superscript"/>
              </w:rPr>
              <w:t xml:space="preserve"> 3</w:t>
            </w:r>
          </w:p>
        </w:tc>
        <w:tc>
          <w:tcPr>
            <w:tcW w:w="0" w:type="dxa"/>
            <w:noWrap/>
          </w:tcPr>
          <w:p w14:paraId="6E086506" w14:textId="0488BE50" w:rsidR="0095685F" w:rsidRPr="008327D9" w:rsidRDefault="0095685F" w:rsidP="0095685F">
            <w:pPr>
              <w:pStyle w:val="TableText"/>
              <w:keepNext/>
              <w:keepLines/>
              <w:jc w:val="center"/>
              <w:rPr>
                <w:highlight w:val="yellow"/>
              </w:rPr>
            </w:pPr>
            <w:r w:rsidRPr="00AF17C5">
              <w:t>$</w:t>
            </w:r>
            <w:r w:rsidRPr="00AF17C5">
              <w:rPr>
                <w:b/>
                <w:bCs/>
              </w:rPr>
              <w:t>redacted</w:t>
            </w:r>
            <w:r w:rsidR="7FB05E1E" w:rsidRPr="10812078">
              <w:rPr>
                <w:vertAlign w:val="superscript"/>
              </w:rPr>
              <w:t xml:space="preserve"> 3</w:t>
            </w:r>
          </w:p>
        </w:tc>
        <w:tc>
          <w:tcPr>
            <w:tcW w:w="0" w:type="dxa"/>
            <w:noWrap/>
          </w:tcPr>
          <w:p w14:paraId="53187D02" w14:textId="0CF9B20C" w:rsidR="0095685F" w:rsidRPr="008327D9" w:rsidRDefault="0095685F" w:rsidP="0095685F">
            <w:pPr>
              <w:pStyle w:val="TableText"/>
              <w:keepNext/>
              <w:keepLines/>
              <w:jc w:val="center"/>
              <w:rPr>
                <w:highlight w:val="yellow"/>
              </w:rPr>
            </w:pPr>
            <w:r w:rsidRPr="00AF17C5">
              <w:t>$</w:t>
            </w:r>
            <w:r w:rsidRPr="00AF17C5">
              <w:rPr>
                <w:b/>
                <w:bCs/>
              </w:rPr>
              <w:t>redacted</w:t>
            </w:r>
            <w:r w:rsidR="62DFB11F" w:rsidRPr="10812078">
              <w:rPr>
                <w:vertAlign w:val="superscript"/>
              </w:rPr>
              <w:t xml:space="preserve"> 3</w:t>
            </w:r>
          </w:p>
        </w:tc>
        <w:tc>
          <w:tcPr>
            <w:tcW w:w="0" w:type="dxa"/>
            <w:noWrap/>
          </w:tcPr>
          <w:p w14:paraId="6D8089DE" w14:textId="62302590" w:rsidR="0095685F" w:rsidRPr="008327D9" w:rsidRDefault="0095685F" w:rsidP="0095685F">
            <w:pPr>
              <w:pStyle w:val="TableText"/>
              <w:keepNext/>
              <w:keepLines/>
              <w:jc w:val="center"/>
              <w:rPr>
                <w:highlight w:val="yellow"/>
              </w:rPr>
            </w:pPr>
            <w:r w:rsidRPr="00AF17C5">
              <w:t>$</w:t>
            </w:r>
            <w:r w:rsidRPr="00AF17C5">
              <w:rPr>
                <w:b/>
                <w:bCs/>
              </w:rPr>
              <w:t>redacted</w:t>
            </w:r>
            <w:r w:rsidR="521F2403" w:rsidRPr="10812078">
              <w:rPr>
                <w:vertAlign w:val="superscript"/>
              </w:rPr>
              <w:t xml:space="preserve"> 3</w:t>
            </w:r>
          </w:p>
        </w:tc>
        <w:tc>
          <w:tcPr>
            <w:tcW w:w="0" w:type="dxa"/>
            <w:noWrap/>
          </w:tcPr>
          <w:p w14:paraId="7736092C" w14:textId="6C1DEFC9" w:rsidR="0095685F" w:rsidRPr="008327D9" w:rsidRDefault="0095685F" w:rsidP="0095685F">
            <w:pPr>
              <w:pStyle w:val="TableText"/>
              <w:keepNext/>
              <w:keepLines/>
              <w:jc w:val="center"/>
              <w:rPr>
                <w:highlight w:val="yellow"/>
              </w:rPr>
            </w:pPr>
            <w:r w:rsidRPr="00AF17C5">
              <w:t>$</w:t>
            </w:r>
            <w:r w:rsidRPr="00AF17C5">
              <w:rPr>
                <w:b/>
                <w:bCs/>
              </w:rPr>
              <w:t>redacted</w:t>
            </w:r>
            <w:r w:rsidR="49FF492E" w:rsidRPr="10812078">
              <w:rPr>
                <w:vertAlign w:val="superscript"/>
              </w:rPr>
              <w:t xml:space="preserve"> 3</w:t>
            </w:r>
          </w:p>
        </w:tc>
      </w:tr>
      <w:tr w:rsidR="0095685F" w:rsidRPr="00102634" w14:paraId="41DCDCE1" w14:textId="77777777" w:rsidTr="0006231C">
        <w:trPr>
          <w:trHeight w:val="255"/>
        </w:trPr>
        <w:tc>
          <w:tcPr>
            <w:tcW w:w="0" w:type="dxa"/>
            <w:vAlign w:val="center"/>
          </w:tcPr>
          <w:p w14:paraId="0FBA41D7" w14:textId="77777777" w:rsidR="0095685F" w:rsidRPr="00102634" w:rsidRDefault="0095685F" w:rsidP="0095685F">
            <w:pPr>
              <w:pStyle w:val="TableText"/>
              <w:keepNext/>
              <w:keepLines/>
            </w:pPr>
            <w:r w:rsidRPr="00102634">
              <w:t>F5</w:t>
            </w:r>
          </w:p>
        </w:tc>
        <w:tc>
          <w:tcPr>
            <w:tcW w:w="0" w:type="dxa"/>
            <w:vAlign w:val="center"/>
          </w:tcPr>
          <w:p w14:paraId="777C9EC2" w14:textId="77777777" w:rsidR="0095685F" w:rsidRPr="00102634" w:rsidRDefault="0095685F" w:rsidP="0095685F">
            <w:pPr>
              <w:pStyle w:val="TableText"/>
              <w:keepNext/>
              <w:keepLines/>
            </w:pPr>
            <w:r w:rsidRPr="00102634">
              <w:t xml:space="preserve">Cost offset </w:t>
            </w:r>
            <w:r w:rsidRPr="00102634">
              <w:rPr>
                <w:vertAlign w:val="superscript"/>
              </w:rPr>
              <w:t>f</w:t>
            </w:r>
          </w:p>
        </w:tc>
        <w:tc>
          <w:tcPr>
            <w:tcW w:w="0" w:type="dxa"/>
            <w:vAlign w:val="center"/>
          </w:tcPr>
          <w:p w14:paraId="02E36786" w14:textId="77777777" w:rsidR="0095685F" w:rsidRPr="00384B51" w:rsidRDefault="0095685F" w:rsidP="0095685F">
            <w:pPr>
              <w:pStyle w:val="TableText"/>
              <w:keepNext/>
              <w:keepLines/>
            </w:pPr>
            <w:r w:rsidRPr="00384B51">
              <w:t>(B4+C3) x$1,870</w:t>
            </w:r>
          </w:p>
        </w:tc>
        <w:tc>
          <w:tcPr>
            <w:tcW w:w="0" w:type="dxa"/>
            <w:noWrap/>
          </w:tcPr>
          <w:p w14:paraId="69073AA5" w14:textId="5384D021" w:rsidR="0095685F" w:rsidRPr="008327D9" w:rsidRDefault="0095685F" w:rsidP="0095685F">
            <w:pPr>
              <w:pStyle w:val="TableText"/>
              <w:keepNext/>
              <w:keepLines/>
              <w:jc w:val="center"/>
              <w:rPr>
                <w:highlight w:val="yellow"/>
              </w:rPr>
            </w:pPr>
            <w:r w:rsidRPr="00AF17C5">
              <w:t>$</w:t>
            </w:r>
            <w:r w:rsidRPr="00AF17C5">
              <w:rPr>
                <w:b/>
                <w:bCs/>
              </w:rPr>
              <w:t>redacted</w:t>
            </w:r>
            <w:r w:rsidR="6E3B35C8" w:rsidRPr="10812078">
              <w:rPr>
                <w:vertAlign w:val="superscript"/>
              </w:rPr>
              <w:t xml:space="preserve"> </w:t>
            </w:r>
            <w:r w:rsidR="4C7AE42F" w:rsidRPr="10812078">
              <w:rPr>
                <w:vertAlign w:val="superscript"/>
              </w:rPr>
              <w:t>4</w:t>
            </w:r>
            <w:r w:rsidR="6E3B35C8" w:rsidRPr="10812078">
              <w:rPr>
                <w:highlight w:val="yellow"/>
              </w:rPr>
              <w:t xml:space="preserve"> </w:t>
            </w:r>
          </w:p>
        </w:tc>
        <w:tc>
          <w:tcPr>
            <w:tcW w:w="0" w:type="dxa"/>
            <w:noWrap/>
          </w:tcPr>
          <w:p w14:paraId="5561CA46" w14:textId="29316139" w:rsidR="0095685F" w:rsidRPr="008327D9" w:rsidRDefault="0095685F" w:rsidP="0095685F">
            <w:pPr>
              <w:pStyle w:val="TableText"/>
              <w:keepNext/>
              <w:keepLines/>
              <w:jc w:val="center"/>
              <w:rPr>
                <w:highlight w:val="yellow"/>
              </w:rPr>
            </w:pPr>
            <w:r w:rsidRPr="00AF17C5">
              <w:t>$</w:t>
            </w:r>
            <w:r w:rsidRPr="00AF17C5">
              <w:rPr>
                <w:b/>
                <w:bCs/>
              </w:rPr>
              <w:t>redacted</w:t>
            </w:r>
            <w:r w:rsidR="3A0959CB" w:rsidRPr="10812078">
              <w:rPr>
                <w:vertAlign w:val="superscript"/>
              </w:rPr>
              <w:t xml:space="preserve"> 4</w:t>
            </w:r>
            <w:r w:rsidR="3A0959CB" w:rsidRPr="10812078">
              <w:rPr>
                <w:highlight w:val="yellow"/>
              </w:rPr>
              <w:t xml:space="preserve"> </w:t>
            </w:r>
          </w:p>
        </w:tc>
        <w:tc>
          <w:tcPr>
            <w:tcW w:w="0" w:type="dxa"/>
            <w:noWrap/>
          </w:tcPr>
          <w:p w14:paraId="2399B35A" w14:textId="666B9C60" w:rsidR="0095685F" w:rsidRPr="008327D9" w:rsidRDefault="0095685F" w:rsidP="0095685F">
            <w:pPr>
              <w:pStyle w:val="TableText"/>
              <w:keepNext/>
              <w:keepLines/>
              <w:jc w:val="center"/>
              <w:rPr>
                <w:highlight w:val="yellow"/>
              </w:rPr>
            </w:pPr>
            <w:r w:rsidRPr="00AF17C5">
              <w:t>$</w:t>
            </w:r>
            <w:r w:rsidRPr="00AF17C5">
              <w:rPr>
                <w:b/>
                <w:bCs/>
              </w:rPr>
              <w:t>redacted</w:t>
            </w:r>
            <w:r w:rsidR="35E5D629" w:rsidRPr="10812078">
              <w:rPr>
                <w:vertAlign w:val="superscript"/>
              </w:rPr>
              <w:t xml:space="preserve"> 4</w:t>
            </w:r>
            <w:r w:rsidR="35E5D629" w:rsidRPr="10812078">
              <w:rPr>
                <w:highlight w:val="yellow"/>
              </w:rPr>
              <w:t xml:space="preserve"> </w:t>
            </w:r>
          </w:p>
        </w:tc>
        <w:tc>
          <w:tcPr>
            <w:tcW w:w="0" w:type="dxa"/>
            <w:noWrap/>
          </w:tcPr>
          <w:p w14:paraId="5A8247F4" w14:textId="495AF274" w:rsidR="0095685F" w:rsidRPr="008327D9" w:rsidRDefault="0095685F" w:rsidP="0095685F">
            <w:pPr>
              <w:pStyle w:val="TableText"/>
              <w:keepNext/>
              <w:keepLines/>
              <w:jc w:val="center"/>
              <w:rPr>
                <w:highlight w:val="yellow"/>
              </w:rPr>
            </w:pPr>
            <w:r w:rsidRPr="00AF17C5">
              <w:t>$</w:t>
            </w:r>
            <w:r w:rsidRPr="00AF17C5">
              <w:rPr>
                <w:b/>
                <w:bCs/>
              </w:rPr>
              <w:t>redacted</w:t>
            </w:r>
            <w:r w:rsidR="2589EC21" w:rsidRPr="10812078">
              <w:rPr>
                <w:vertAlign w:val="superscript"/>
              </w:rPr>
              <w:t xml:space="preserve"> 4</w:t>
            </w:r>
            <w:r w:rsidR="2589EC21" w:rsidRPr="10812078">
              <w:rPr>
                <w:highlight w:val="yellow"/>
              </w:rPr>
              <w:t xml:space="preserve"> </w:t>
            </w:r>
          </w:p>
        </w:tc>
        <w:tc>
          <w:tcPr>
            <w:tcW w:w="0" w:type="dxa"/>
            <w:noWrap/>
          </w:tcPr>
          <w:p w14:paraId="530F47B0" w14:textId="41143557" w:rsidR="0095685F" w:rsidRPr="008327D9" w:rsidRDefault="0095685F" w:rsidP="0095685F">
            <w:pPr>
              <w:pStyle w:val="TableText"/>
              <w:keepNext/>
              <w:keepLines/>
              <w:jc w:val="center"/>
              <w:rPr>
                <w:highlight w:val="yellow"/>
              </w:rPr>
            </w:pPr>
            <w:r w:rsidRPr="00AF17C5">
              <w:t>$</w:t>
            </w:r>
            <w:r w:rsidRPr="00AF17C5">
              <w:rPr>
                <w:b/>
                <w:bCs/>
              </w:rPr>
              <w:t>redacted</w:t>
            </w:r>
            <w:r w:rsidR="20B41D8A" w:rsidRPr="10812078">
              <w:rPr>
                <w:vertAlign w:val="superscript"/>
              </w:rPr>
              <w:t xml:space="preserve"> 4</w:t>
            </w:r>
            <w:r w:rsidR="20B41D8A" w:rsidRPr="10812078">
              <w:rPr>
                <w:highlight w:val="yellow"/>
              </w:rPr>
              <w:t xml:space="preserve"> </w:t>
            </w:r>
          </w:p>
        </w:tc>
        <w:tc>
          <w:tcPr>
            <w:tcW w:w="0" w:type="dxa"/>
            <w:noWrap/>
          </w:tcPr>
          <w:p w14:paraId="0C3E01EF" w14:textId="3F4F2558" w:rsidR="0095685F" w:rsidRPr="008327D9" w:rsidRDefault="0095685F" w:rsidP="0095685F">
            <w:pPr>
              <w:pStyle w:val="TableText"/>
              <w:keepNext/>
              <w:keepLines/>
              <w:jc w:val="center"/>
              <w:rPr>
                <w:highlight w:val="yellow"/>
              </w:rPr>
            </w:pPr>
            <w:r w:rsidRPr="00AF17C5">
              <w:t>$</w:t>
            </w:r>
            <w:r w:rsidRPr="00AF17C5">
              <w:rPr>
                <w:b/>
                <w:bCs/>
              </w:rPr>
              <w:t>redacted</w:t>
            </w:r>
            <w:r w:rsidR="577D5CEC" w:rsidRPr="10812078">
              <w:rPr>
                <w:vertAlign w:val="superscript"/>
              </w:rPr>
              <w:t xml:space="preserve"> 4</w:t>
            </w:r>
            <w:r w:rsidR="577D5CEC" w:rsidRPr="10812078">
              <w:rPr>
                <w:highlight w:val="yellow"/>
              </w:rPr>
              <w:t xml:space="preserve"> </w:t>
            </w:r>
          </w:p>
        </w:tc>
      </w:tr>
      <w:tr w:rsidR="0095685F" w:rsidRPr="00102634" w14:paraId="51FA470E" w14:textId="77777777" w:rsidTr="0006231C">
        <w:trPr>
          <w:trHeight w:val="255"/>
        </w:trPr>
        <w:tc>
          <w:tcPr>
            <w:tcW w:w="0" w:type="dxa"/>
            <w:vAlign w:val="center"/>
          </w:tcPr>
          <w:p w14:paraId="51128046" w14:textId="77777777" w:rsidR="0095685F" w:rsidRPr="00102634" w:rsidRDefault="0095685F" w:rsidP="0095685F">
            <w:pPr>
              <w:pStyle w:val="TableText"/>
              <w:keepNext/>
              <w:keepLines/>
            </w:pPr>
            <w:r w:rsidRPr="00102634">
              <w:t>F6</w:t>
            </w:r>
          </w:p>
        </w:tc>
        <w:tc>
          <w:tcPr>
            <w:tcW w:w="0" w:type="dxa"/>
            <w:vAlign w:val="center"/>
          </w:tcPr>
          <w:p w14:paraId="4DCFE3C8" w14:textId="77777777" w:rsidR="0095685F" w:rsidRPr="00102634" w:rsidRDefault="0095685F" w:rsidP="0095685F">
            <w:pPr>
              <w:pStyle w:val="TableText"/>
              <w:keepNext/>
              <w:keepLines/>
            </w:pPr>
            <w:r w:rsidRPr="00102634">
              <w:t>Net cost MBS</w:t>
            </w:r>
          </w:p>
        </w:tc>
        <w:tc>
          <w:tcPr>
            <w:tcW w:w="0" w:type="dxa"/>
            <w:vAlign w:val="center"/>
          </w:tcPr>
          <w:p w14:paraId="3B624E24" w14:textId="77777777" w:rsidR="0095685F" w:rsidRPr="00384B51" w:rsidRDefault="0095685F" w:rsidP="0095685F">
            <w:pPr>
              <w:pStyle w:val="TableText"/>
              <w:keepNext/>
              <w:keepLines/>
            </w:pPr>
            <w:r w:rsidRPr="00384B51">
              <w:t>F4+F5</w:t>
            </w:r>
          </w:p>
        </w:tc>
        <w:tc>
          <w:tcPr>
            <w:tcW w:w="0" w:type="dxa"/>
            <w:noWrap/>
          </w:tcPr>
          <w:p w14:paraId="455C96CA" w14:textId="5A587988" w:rsidR="0095685F" w:rsidRPr="008327D9" w:rsidRDefault="0095685F" w:rsidP="0095685F">
            <w:pPr>
              <w:pStyle w:val="TableText"/>
              <w:keepNext/>
              <w:keepLines/>
              <w:jc w:val="center"/>
              <w:rPr>
                <w:highlight w:val="yellow"/>
              </w:rPr>
            </w:pPr>
            <w:r w:rsidRPr="00AF17C5">
              <w:t>$</w:t>
            </w:r>
            <w:r w:rsidRPr="00AF17C5">
              <w:rPr>
                <w:b/>
                <w:bCs/>
              </w:rPr>
              <w:t>redacted</w:t>
            </w:r>
            <w:r w:rsidR="67F9C9E7" w:rsidRPr="10812078">
              <w:rPr>
                <w:vertAlign w:val="superscript"/>
              </w:rPr>
              <w:t xml:space="preserve"> 3</w:t>
            </w:r>
          </w:p>
        </w:tc>
        <w:tc>
          <w:tcPr>
            <w:tcW w:w="0" w:type="dxa"/>
            <w:noWrap/>
          </w:tcPr>
          <w:p w14:paraId="0C11A9D0" w14:textId="0F3B4B13" w:rsidR="0095685F" w:rsidRPr="008327D9" w:rsidRDefault="0095685F" w:rsidP="0095685F">
            <w:pPr>
              <w:pStyle w:val="TableText"/>
              <w:keepNext/>
              <w:keepLines/>
              <w:jc w:val="center"/>
              <w:rPr>
                <w:highlight w:val="yellow"/>
              </w:rPr>
            </w:pPr>
            <w:r w:rsidRPr="00AF17C5">
              <w:t>$</w:t>
            </w:r>
            <w:r w:rsidRPr="00AF17C5">
              <w:rPr>
                <w:b/>
                <w:bCs/>
              </w:rPr>
              <w:t>redacted</w:t>
            </w:r>
            <w:r w:rsidR="6981F3ED" w:rsidRPr="10812078">
              <w:rPr>
                <w:vertAlign w:val="superscript"/>
              </w:rPr>
              <w:t xml:space="preserve"> 3</w:t>
            </w:r>
          </w:p>
        </w:tc>
        <w:tc>
          <w:tcPr>
            <w:tcW w:w="0" w:type="dxa"/>
            <w:noWrap/>
          </w:tcPr>
          <w:p w14:paraId="1CAC4FA8" w14:textId="70BBC442" w:rsidR="0095685F" w:rsidRPr="008327D9" w:rsidRDefault="0095685F" w:rsidP="0095685F">
            <w:pPr>
              <w:pStyle w:val="TableText"/>
              <w:keepNext/>
              <w:keepLines/>
              <w:jc w:val="center"/>
              <w:rPr>
                <w:highlight w:val="yellow"/>
              </w:rPr>
            </w:pPr>
            <w:r w:rsidRPr="00AF17C5">
              <w:t>$</w:t>
            </w:r>
            <w:r w:rsidRPr="00AF17C5">
              <w:rPr>
                <w:b/>
                <w:bCs/>
              </w:rPr>
              <w:t>redacted</w:t>
            </w:r>
            <w:r w:rsidR="5E0793A8" w:rsidRPr="10812078">
              <w:rPr>
                <w:vertAlign w:val="superscript"/>
              </w:rPr>
              <w:t xml:space="preserve"> 3</w:t>
            </w:r>
          </w:p>
        </w:tc>
        <w:tc>
          <w:tcPr>
            <w:tcW w:w="0" w:type="dxa"/>
            <w:noWrap/>
          </w:tcPr>
          <w:p w14:paraId="19789143" w14:textId="6E650632" w:rsidR="0095685F" w:rsidRPr="008327D9" w:rsidRDefault="0095685F" w:rsidP="0095685F">
            <w:pPr>
              <w:pStyle w:val="TableText"/>
              <w:keepNext/>
              <w:keepLines/>
              <w:jc w:val="center"/>
              <w:rPr>
                <w:highlight w:val="yellow"/>
              </w:rPr>
            </w:pPr>
            <w:r w:rsidRPr="00AF17C5">
              <w:t>$</w:t>
            </w:r>
            <w:r w:rsidRPr="00AF17C5">
              <w:rPr>
                <w:b/>
                <w:bCs/>
              </w:rPr>
              <w:t>redacted</w:t>
            </w:r>
            <w:r w:rsidR="6D0A9026" w:rsidRPr="10812078">
              <w:rPr>
                <w:vertAlign w:val="superscript"/>
              </w:rPr>
              <w:t xml:space="preserve"> 3</w:t>
            </w:r>
          </w:p>
        </w:tc>
        <w:tc>
          <w:tcPr>
            <w:tcW w:w="0" w:type="dxa"/>
            <w:noWrap/>
          </w:tcPr>
          <w:p w14:paraId="416977C7" w14:textId="34AB8D7F" w:rsidR="0095685F" w:rsidRPr="008327D9" w:rsidRDefault="0095685F" w:rsidP="0095685F">
            <w:pPr>
              <w:pStyle w:val="TableText"/>
              <w:keepNext/>
              <w:keepLines/>
              <w:jc w:val="center"/>
              <w:rPr>
                <w:highlight w:val="yellow"/>
              </w:rPr>
            </w:pPr>
            <w:r w:rsidRPr="00AF17C5">
              <w:t>$</w:t>
            </w:r>
            <w:r w:rsidRPr="00AF17C5">
              <w:rPr>
                <w:b/>
                <w:bCs/>
              </w:rPr>
              <w:t>redacted</w:t>
            </w:r>
            <w:r w:rsidR="7793AEA7" w:rsidRPr="10812078">
              <w:rPr>
                <w:vertAlign w:val="superscript"/>
              </w:rPr>
              <w:t xml:space="preserve"> 3</w:t>
            </w:r>
          </w:p>
        </w:tc>
        <w:tc>
          <w:tcPr>
            <w:tcW w:w="0" w:type="dxa"/>
            <w:noWrap/>
          </w:tcPr>
          <w:p w14:paraId="0624EF3A" w14:textId="3460192E" w:rsidR="0095685F" w:rsidRPr="008327D9" w:rsidRDefault="0095685F" w:rsidP="0095685F">
            <w:pPr>
              <w:pStyle w:val="TableText"/>
              <w:keepNext/>
              <w:keepLines/>
              <w:jc w:val="center"/>
              <w:rPr>
                <w:highlight w:val="yellow"/>
              </w:rPr>
            </w:pPr>
            <w:r w:rsidRPr="00AF17C5">
              <w:t>$</w:t>
            </w:r>
            <w:r w:rsidRPr="00AF17C5">
              <w:rPr>
                <w:b/>
                <w:bCs/>
              </w:rPr>
              <w:t>redacted</w:t>
            </w:r>
            <w:r w:rsidR="6635F681" w:rsidRPr="10812078">
              <w:rPr>
                <w:vertAlign w:val="superscript"/>
              </w:rPr>
              <w:t xml:space="preserve"> 3</w:t>
            </w:r>
          </w:p>
        </w:tc>
      </w:tr>
    </w:tbl>
    <w:p w14:paraId="12E6C78E" w14:textId="77777777" w:rsidR="005D6D39" w:rsidRPr="00102634" w:rsidRDefault="005D6D39" w:rsidP="00AB6581">
      <w:pPr>
        <w:pStyle w:val="TableFigureFooter"/>
        <w:keepNext/>
        <w:keepLines/>
        <w:widowControl w:val="0"/>
      </w:pPr>
      <w:r w:rsidRPr="00102634">
        <w:t>Source: constructed from ‘Calculation’ worksheet of the financial workbook, Table 4.21 and 4.22, p251 of the submission, Sheet 7, financial estimates spreadsheet, Attachment 4.1 to the submission</w:t>
      </w:r>
    </w:p>
    <w:p w14:paraId="3A8242C4" w14:textId="77777777" w:rsidR="005D6D39" w:rsidRPr="00102634" w:rsidRDefault="005D6D39" w:rsidP="00AB6581">
      <w:pPr>
        <w:pStyle w:val="TableFigureFooter"/>
        <w:keepNext/>
        <w:keepLines/>
        <w:widowControl w:val="0"/>
      </w:pPr>
      <w:r w:rsidRPr="00102634">
        <w:t>BC= breast cancer; CDK4/6i = Cyclin-dependent kinases 4 and 6 inhibitor; DUSC = Drug Utilisation Sub Committee; HR+ = hormone positive; HER2- = Human epidermal growth factor receptor 2 negative; pts = patients 2; 1L = first line; 2L = second line</w:t>
      </w:r>
    </w:p>
    <w:p w14:paraId="32482B2D" w14:textId="65B2BD98" w:rsidR="005D6D39" w:rsidRPr="00102634" w:rsidRDefault="005D6D39" w:rsidP="00AB6581">
      <w:pPr>
        <w:pStyle w:val="TableFigureFooter"/>
        <w:keepNext/>
        <w:keepLines/>
        <w:widowControl w:val="0"/>
      </w:pPr>
      <w:r w:rsidRPr="00102634">
        <w:t xml:space="preserve">a Test uptake </w:t>
      </w:r>
      <w:proofErr w:type="gramStart"/>
      <w:r w:rsidRPr="00102634">
        <w:t>rates:</w:t>
      </w:r>
      <w:proofErr w:type="gramEnd"/>
      <w:r w:rsidRPr="00102634">
        <w:t xml:space="preserve"> </w:t>
      </w:r>
      <w:r w:rsidR="0095685F">
        <w:rPr>
          <w:b/>
          <w:bCs/>
        </w:rPr>
        <w:t>redacted</w:t>
      </w:r>
    </w:p>
    <w:p w14:paraId="15AD2C40" w14:textId="77777777" w:rsidR="005D6D39" w:rsidRPr="00102634" w:rsidRDefault="005D6D39" w:rsidP="00AB6581">
      <w:pPr>
        <w:pStyle w:val="TableFigureFooter"/>
        <w:keepNext/>
        <w:keepLines/>
        <w:widowControl w:val="0"/>
        <w:ind w:left="142" w:hanging="142"/>
      </w:pPr>
      <w:r w:rsidRPr="00102634">
        <w:t xml:space="preserve">b </w:t>
      </w:r>
      <w:proofErr w:type="gramStart"/>
      <w:r w:rsidRPr="00102634">
        <w:t>The</w:t>
      </w:r>
      <w:proofErr w:type="gramEnd"/>
      <w:r w:rsidRPr="00102634">
        <w:t xml:space="preserve"> total test population presented in E1 are the total tested patients in the 1L and 2L that incorporated the proportion of patients who progressed from 1L to 2L (88%). The submission did not include this proportion in its estimation of the tested population. </w:t>
      </w:r>
    </w:p>
    <w:p w14:paraId="2F8750FE" w14:textId="77777777" w:rsidR="005D6D39" w:rsidRPr="00102634" w:rsidRDefault="005D6D39" w:rsidP="00AB6581">
      <w:pPr>
        <w:pStyle w:val="TableFigureFooter"/>
        <w:keepNext/>
        <w:keepLines/>
        <w:widowControl w:val="0"/>
        <w:ind w:left="142" w:hanging="142"/>
      </w:pPr>
      <w:r w:rsidRPr="00102634">
        <w:t xml:space="preserve">c </w:t>
      </w:r>
      <w:proofErr w:type="gramStart"/>
      <w:r w:rsidRPr="00102634">
        <w:t>As</w:t>
      </w:r>
      <w:proofErr w:type="gramEnd"/>
      <w:r w:rsidRPr="00102634">
        <w:t xml:space="preserve"> reported in Tables 4.21 and 4.22 of the submission. Includes offsets from an assumed 10% of patients already knowing AKT pathway alteration status (will not get tested under proposed item) </w:t>
      </w:r>
    </w:p>
    <w:p w14:paraId="753AED86" w14:textId="77777777" w:rsidR="005D6D39" w:rsidRPr="00102634" w:rsidRDefault="005D6D39" w:rsidP="00AB6581">
      <w:pPr>
        <w:pStyle w:val="TableFigureFooter"/>
        <w:keepNext/>
        <w:keepLines/>
        <w:widowControl w:val="0"/>
        <w:ind w:left="142" w:hanging="142"/>
      </w:pPr>
      <w:r w:rsidRPr="00102634">
        <w:t xml:space="preserve">d </w:t>
      </w:r>
      <w:proofErr w:type="gramStart"/>
      <w:r w:rsidRPr="00102634">
        <w:t>As</w:t>
      </w:r>
      <w:proofErr w:type="gramEnd"/>
      <w:r w:rsidRPr="00102634">
        <w:t xml:space="preserve"> reported in the sheet 7, financial estimates spreadsheet, Attachment 4.1 to the submission. These test numbers correspond to the MBS costs estimated by the submission in Table 4.24, p252 of the submission  </w:t>
      </w:r>
    </w:p>
    <w:p w14:paraId="70B711EE" w14:textId="77777777" w:rsidR="005D6D39" w:rsidRPr="00102634" w:rsidRDefault="005D6D39" w:rsidP="00AB6581">
      <w:pPr>
        <w:pStyle w:val="TableFooter"/>
        <w:keepNext/>
        <w:keepLines/>
      </w:pPr>
      <w:r w:rsidRPr="00102634">
        <w:t xml:space="preserve">e Calculated as the total pts eligible for testing multiplied </w:t>
      </w:r>
      <w:r w:rsidRPr="0095685F">
        <w:t>by $1,870. The submission applied the 85% rebate (testing fee = $1,870)</w:t>
      </w:r>
      <w:r w:rsidRPr="00102634">
        <w:t xml:space="preserve"> and did not apply the Greatest Permissible Gap ($98.70). </w:t>
      </w:r>
    </w:p>
    <w:p w14:paraId="3A37D92A" w14:textId="77777777" w:rsidR="005D6D39" w:rsidRPr="00102634" w:rsidRDefault="005D6D39" w:rsidP="00AB6581">
      <w:pPr>
        <w:pStyle w:val="TableFigureFooter"/>
        <w:keepNext/>
        <w:keepLines/>
        <w:widowControl w:val="0"/>
        <w:ind w:left="142" w:hanging="142"/>
      </w:pPr>
      <w:r w:rsidRPr="00102634">
        <w:t>f the cost offset to the MBS assumed that 10% of patients eligible for testing in 1L and 2L (e.g., 10% x 524 = 52 pts in 1L and 10% x 1959 = 196 pts in 2L in Year 1 assumed to have tested already).</w:t>
      </w:r>
    </w:p>
    <w:p w14:paraId="0B92E3EC" w14:textId="77777777" w:rsidR="005D6D39" w:rsidRPr="00102634" w:rsidRDefault="005D6D39" w:rsidP="00AB6581">
      <w:pPr>
        <w:pStyle w:val="TableFigureFooter"/>
        <w:keepNext/>
        <w:keepLines/>
        <w:widowControl w:val="0"/>
        <w:ind w:left="142" w:hanging="142"/>
      </w:pPr>
      <w:r w:rsidRPr="00102634">
        <w:t>Note: the submission assumed that grandfathered patients were not tested again and enter as part of the treated population</w:t>
      </w:r>
    </w:p>
    <w:p w14:paraId="0E1C90B7" w14:textId="033B91C8" w:rsidR="718EF8BD" w:rsidRDefault="718EF8BD" w:rsidP="10812078">
      <w:pPr>
        <w:pStyle w:val="TableFigureFooter"/>
        <w:rPr>
          <w:b/>
          <w:bCs/>
        </w:rPr>
      </w:pPr>
      <w:r>
        <w:t>The redacted values correspond to the following ranges:</w:t>
      </w:r>
    </w:p>
    <w:p w14:paraId="27A90D28" w14:textId="14895490" w:rsidR="718EF8BD" w:rsidRDefault="718EF8BD" w:rsidP="10812078">
      <w:pPr>
        <w:pStyle w:val="TableFigureFooter"/>
      </w:pPr>
      <w:r w:rsidRPr="10812078">
        <w:rPr>
          <w:vertAlign w:val="superscript"/>
        </w:rPr>
        <w:t xml:space="preserve">1 </w:t>
      </w:r>
      <w:r w:rsidR="277D5A9D" w:rsidRPr="10812078">
        <w:t>&lt;500</w:t>
      </w:r>
    </w:p>
    <w:p w14:paraId="1582CCCD" w14:textId="5C5C320A" w:rsidR="718EF8BD" w:rsidRDefault="718EF8BD" w:rsidP="10812078">
      <w:pPr>
        <w:pStyle w:val="TableFigureFooter"/>
      </w:pPr>
      <w:r w:rsidRPr="10812078">
        <w:rPr>
          <w:vertAlign w:val="superscript"/>
        </w:rPr>
        <w:t xml:space="preserve">2 </w:t>
      </w:r>
      <w:r w:rsidR="68FAFB93" w:rsidRPr="10812078">
        <w:t>500 to &lt;5,000</w:t>
      </w:r>
    </w:p>
    <w:p w14:paraId="7D50235F" w14:textId="6EC44C77" w:rsidR="71E30B83" w:rsidRDefault="71E30B83" w:rsidP="10812078">
      <w:pPr>
        <w:pStyle w:val="TableFigureFooter"/>
      </w:pPr>
      <w:r w:rsidRPr="10812078">
        <w:rPr>
          <w:vertAlign w:val="superscript"/>
        </w:rPr>
        <w:t>3</w:t>
      </w:r>
      <w:r w:rsidR="718EF8BD" w:rsidRPr="10812078">
        <w:rPr>
          <w:vertAlign w:val="superscript"/>
        </w:rPr>
        <w:t xml:space="preserve"> </w:t>
      </w:r>
      <w:r w:rsidR="718EF8BD" w:rsidRPr="10812078">
        <w:t>$0 to &lt;$10 million</w:t>
      </w:r>
    </w:p>
    <w:p w14:paraId="52A5E6FD" w14:textId="21CAC995" w:rsidR="45A7DFBA" w:rsidRDefault="45A7DFBA" w:rsidP="00073456">
      <w:pPr>
        <w:pStyle w:val="TableFigureFooter"/>
        <w:keepNext/>
        <w:keepLines/>
        <w:widowControl w:val="0"/>
      </w:pPr>
      <w:r w:rsidRPr="00073456">
        <w:rPr>
          <w:vertAlign w:val="superscript"/>
        </w:rPr>
        <w:t>4</w:t>
      </w:r>
      <w:r w:rsidRPr="10812078">
        <w:rPr>
          <w:vertAlign w:val="superscript"/>
        </w:rPr>
        <w:t xml:space="preserve"> </w:t>
      </w:r>
      <w:r>
        <w:t>net co</w:t>
      </w:r>
      <w:r>
        <w:lastRenderedPageBreak/>
        <w:t>st saving</w:t>
      </w:r>
    </w:p>
    <w:p w14:paraId="031BEFDF" w14:textId="75F44A3D"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During the evaluation, an analysis </w:t>
      </w:r>
      <w:r w:rsidR="7EF8B53C" w:rsidRPr="00C24C30">
        <w:rPr>
          <w:rFonts w:ascii="Franklin Gothic Book" w:hAnsi="Franklin Gothic Book"/>
          <w:sz w:val="22"/>
        </w:rPr>
        <w:t xml:space="preserve">was conducted </w:t>
      </w:r>
      <w:r w:rsidRPr="00C24C30">
        <w:rPr>
          <w:rFonts w:ascii="Franklin Gothic Book" w:hAnsi="Franklin Gothic Book"/>
          <w:sz w:val="22"/>
        </w:rPr>
        <w:t xml:space="preserve">where the eligible patient population incorporated the 88% of patients who progress from the 1L to 2L setting, the net cost to the MBS </w:t>
      </w:r>
      <w:r w:rsidRPr="0095685F">
        <w:rPr>
          <w:rFonts w:ascii="Franklin Gothic Book" w:hAnsi="Franklin Gothic Book"/>
          <w:sz w:val="22"/>
        </w:rPr>
        <w:t>was $</w:t>
      </w:r>
      <w:r w:rsidR="6747DCA3" w:rsidRPr="10812078">
        <w:rPr>
          <w:rFonts w:ascii="Franklin Gothic Book" w:hAnsi="Franklin Gothic Book"/>
          <w:sz w:val="22"/>
        </w:rPr>
        <w:t>0 to &lt;$10 million</w:t>
      </w:r>
      <w:r w:rsidRPr="0095685F">
        <w:rPr>
          <w:rFonts w:ascii="Franklin Gothic Book" w:hAnsi="Franklin Gothic Book"/>
          <w:sz w:val="22"/>
        </w:rPr>
        <w:t xml:space="preserve"> in Year 1 and increasing to $</w:t>
      </w:r>
      <w:r w:rsidR="4282632C" w:rsidRPr="10812078">
        <w:rPr>
          <w:rFonts w:ascii="Franklin Gothic Book" w:hAnsi="Franklin Gothic Book"/>
          <w:sz w:val="22"/>
        </w:rPr>
        <w:t xml:space="preserve">0 to &lt;$10 million </w:t>
      </w:r>
      <w:r w:rsidR="3FA37C9D" w:rsidRPr="10812078">
        <w:rPr>
          <w:rFonts w:ascii="Franklin Gothic Book" w:hAnsi="Franklin Gothic Book"/>
          <w:sz w:val="22"/>
        </w:rPr>
        <w:t>in Year 6</w:t>
      </w:r>
      <w:r w:rsidR="2984832A" w:rsidRPr="10812078">
        <w:rPr>
          <w:rFonts w:ascii="Franklin Gothic Book" w:hAnsi="Franklin Gothic Book"/>
          <w:sz w:val="22"/>
        </w:rPr>
        <w:t>.</w:t>
      </w:r>
      <w:r w:rsidR="3FA37C9D" w:rsidRPr="10812078">
        <w:rPr>
          <w:rFonts w:ascii="Franklin Gothic Book" w:hAnsi="Franklin Gothic Book"/>
          <w:sz w:val="22"/>
        </w:rPr>
        <w:t xml:space="preserve"> </w:t>
      </w:r>
    </w:p>
    <w:p w14:paraId="61CDEA11" w14:textId="28AD15ED"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This was lower than the submission’s estimates which inappropriately did not include the 88% of patients who progress from the 1L to 2L setting and estimated the net cost to the MBS was </w:t>
      </w:r>
      <w:r w:rsidRPr="0095685F">
        <w:rPr>
          <w:rFonts w:ascii="Franklin Gothic Book" w:hAnsi="Franklin Gothic Book"/>
          <w:sz w:val="22"/>
        </w:rPr>
        <w:t>$</w:t>
      </w:r>
      <w:r w:rsidR="0D51F911" w:rsidRPr="10812078">
        <w:rPr>
          <w:rFonts w:ascii="Franklin Gothic Book" w:hAnsi="Franklin Gothic Book"/>
          <w:sz w:val="22"/>
        </w:rPr>
        <w:t>0 to &lt;$10 million</w:t>
      </w:r>
      <w:r w:rsidR="00BE5B14">
        <w:rPr>
          <w:rFonts w:ascii="Franklin Gothic Book" w:hAnsi="Franklin Gothic Book"/>
          <w:sz w:val="22"/>
        </w:rPr>
        <w:t xml:space="preserve"> </w:t>
      </w:r>
      <w:r w:rsidRPr="0095685F">
        <w:rPr>
          <w:rFonts w:ascii="Franklin Gothic Book" w:hAnsi="Franklin Gothic Book"/>
          <w:sz w:val="22"/>
        </w:rPr>
        <w:t>in Year 1 increasing to $</w:t>
      </w:r>
      <w:r w:rsidR="2D79BCB0" w:rsidRPr="10812078">
        <w:rPr>
          <w:rFonts w:ascii="Franklin Gothic Book" w:hAnsi="Franklin Gothic Book"/>
          <w:sz w:val="22"/>
        </w:rPr>
        <w:t>0 to &lt;$10 million</w:t>
      </w:r>
      <w:r w:rsidRPr="0095685F">
        <w:rPr>
          <w:rFonts w:ascii="Franklin Gothic Book" w:hAnsi="Franklin Gothic Book"/>
          <w:sz w:val="22"/>
        </w:rPr>
        <w:t xml:space="preserve"> in Year</w:t>
      </w:r>
      <w:r w:rsidRPr="00C24C30">
        <w:rPr>
          <w:rFonts w:ascii="Franklin Gothic Book" w:hAnsi="Franklin Gothic Book"/>
          <w:sz w:val="22"/>
        </w:rPr>
        <w:t xml:space="preserve"> 6</w:t>
      </w:r>
      <w:r w:rsidR="00C94BA0" w:rsidRPr="00C24C30">
        <w:rPr>
          <w:rFonts w:ascii="Franklin Gothic Book" w:hAnsi="Franklin Gothic Book"/>
          <w:sz w:val="22"/>
        </w:rPr>
        <w:t xml:space="preserve">. </w:t>
      </w:r>
    </w:p>
    <w:p w14:paraId="339986E4" w14:textId="4A506E3E" w:rsidR="005D6D39" w:rsidRPr="00C24C30" w:rsidRDefault="005D6D39" w:rsidP="005D6D39">
      <w:pPr>
        <w:rPr>
          <w:rFonts w:ascii="Franklin Gothic Book" w:hAnsi="Franklin Gothic Book"/>
          <w:sz w:val="22"/>
        </w:rPr>
      </w:pPr>
      <w:r w:rsidRPr="00C24C30">
        <w:rPr>
          <w:rFonts w:ascii="Franklin Gothic Book" w:hAnsi="Franklin Gothic Book"/>
          <w:color w:val="2B579A"/>
          <w:sz w:val="22"/>
          <w:shd w:val="clear" w:color="auto" w:fill="E6E6E6"/>
        </w:rPr>
        <w:fldChar w:fldCharType="begin"/>
      </w:r>
      <w:r w:rsidRPr="00C24C30">
        <w:rPr>
          <w:rFonts w:ascii="Franklin Gothic Book" w:hAnsi="Franklin Gothic Book"/>
          <w:sz w:val="22"/>
        </w:rPr>
        <w:instrText xml:space="preserve"> REF _Ref174966175 \h </w:instrText>
      </w:r>
      <w:r w:rsidR="00C24C30" w:rsidRPr="00C24C30">
        <w:rPr>
          <w:rFonts w:ascii="Franklin Gothic Book" w:hAnsi="Franklin Gothic Book"/>
          <w:color w:val="2B579A"/>
          <w:sz w:val="22"/>
          <w:shd w:val="clear" w:color="auto" w:fill="E6E6E6"/>
        </w:rPr>
        <w:instrText xml:space="preserve"> \* MERGEFORMAT </w:instrText>
      </w:r>
      <w:r w:rsidRPr="00C24C30">
        <w:rPr>
          <w:rFonts w:ascii="Franklin Gothic Book" w:hAnsi="Franklin Gothic Book"/>
          <w:color w:val="2B579A"/>
          <w:sz w:val="22"/>
          <w:shd w:val="clear" w:color="auto" w:fill="E6E6E6"/>
        </w:rPr>
      </w:r>
      <w:r w:rsidRPr="00C24C30">
        <w:rPr>
          <w:rFonts w:ascii="Franklin Gothic Book" w:hAnsi="Franklin Gothic Book"/>
          <w:color w:val="2B579A"/>
          <w:sz w:val="22"/>
          <w:shd w:val="clear" w:color="auto" w:fill="E6E6E6"/>
        </w:rPr>
        <w:fldChar w:fldCharType="separate"/>
      </w:r>
      <w:r w:rsidR="0016064D" w:rsidRPr="00C24C30">
        <w:rPr>
          <w:rFonts w:ascii="Franklin Gothic Book" w:hAnsi="Franklin Gothic Book"/>
          <w:sz w:val="22"/>
        </w:rPr>
        <w:t xml:space="preserve">Table </w:t>
      </w:r>
      <w:r w:rsidR="0016064D" w:rsidRPr="00C24C30">
        <w:rPr>
          <w:rFonts w:ascii="Franklin Gothic Book" w:hAnsi="Franklin Gothic Book"/>
          <w:noProof/>
          <w:sz w:val="22"/>
        </w:rPr>
        <w:t>19</w:t>
      </w:r>
      <w:r w:rsidRPr="00C24C30">
        <w:rPr>
          <w:rFonts w:ascii="Franklin Gothic Book" w:hAnsi="Franklin Gothic Book"/>
          <w:color w:val="2B579A"/>
          <w:sz w:val="22"/>
          <w:shd w:val="clear" w:color="auto" w:fill="E6E6E6"/>
        </w:rPr>
        <w:fldChar w:fldCharType="end"/>
      </w:r>
      <w:r w:rsidRPr="00C24C30">
        <w:rPr>
          <w:rFonts w:ascii="Franklin Gothic Book" w:hAnsi="Franklin Gothic Book"/>
          <w:sz w:val="22"/>
        </w:rPr>
        <w:t xml:space="preserve"> presents the sensitivity analyses of financial estimates as most related to the net cost to the MBS. </w:t>
      </w:r>
    </w:p>
    <w:p w14:paraId="23D894D9" w14:textId="151E20E4" w:rsidR="005D6D39" w:rsidRPr="00102634" w:rsidRDefault="005D6D39" w:rsidP="003F6F2A">
      <w:pPr>
        <w:pStyle w:val="Caption"/>
      </w:pPr>
      <w:bookmarkStart w:id="51" w:name="_Ref174966175"/>
      <w:r w:rsidRPr="00102634">
        <w:t>Table MSAC.</w:t>
      </w:r>
      <w:r w:rsidR="0016064D">
        <w:fldChar w:fldCharType="begin"/>
      </w:r>
      <w:r w:rsidR="0016064D">
        <w:instrText xml:space="preserve"> SEQ Table_MSAC. \* ARABIC </w:instrText>
      </w:r>
      <w:r w:rsidR="0016064D">
        <w:fldChar w:fldCharType="separate"/>
      </w:r>
      <w:r w:rsidR="0016064D">
        <w:rPr>
          <w:noProof/>
        </w:rPr>
        <w:t>19</w:t>
      </w:r>
      <w:r w:rsidR="0016064D">
        <w:rPr>
          <w:noProof/>
        </w:rPr>
        <w:fldChar w:fldCharType="end"/>
      </w:r>
      <w:bookmarkEnd w:id="51"/>
      <w:r w:rsidRPr="00102634">
        <w:t xml:space="preserve">: Sensitivity analysis conducted during the evaluation (based on effective prices) </w:t>
      </w:r>
    </w:p>
    <w:tbl>
      <w:tblPr>
        <w:tblStyle w:val="HTATableshaded"/>
        <w:tblW w:w="5000" w:type="pct"/>
        <w:tblLayout w:type="fixed"/>
        <w:tblCellMar>
          <w:left w:w="0" w:type="dxa"/>
          <w:right w:w="0" w:type="dxa"/>
        </w:tblCellMar>
        <w:tblLook w:val="04A0" w:firstRow="1" w:lastRow="0" w:firstColumn="1" w:lastColumn="0" w:noHBand="0" w:noVBand="1"/>
      </w:tblPr>
      <w:tblGrid>
        <w:gridCol w:w="988"/>
        <w:gridCol w:w="1073"/>
        <w:gridCol w:w="1073"/>
        <w:gridCol w:w="1073"/>
        <w:gridCol w:w="1073"/>
        <w:gridCol w:w="1073"/>
        <w:gridCol w:w="1073"/>
        <w:gridCol w:w="1074"/>
        <w:gridCol w:w="516"/>
      </w:tblGrid>
      <w:tr w:rsidR="005D6D39" w:rsidRPr="00102634" w14:paraId="636A57E5" w14:textId="77777777">
        <w:trPr>
          <w:cnfStyle w:val="100000000000" w:firstRow="1" w:lastRow="0" w:firstColumn="0" w:lastColumn="0" w:oddVBand="0" w:evenVBand="0" w:oddHBand="0" w:evenHBand="0" w:firstRowFirstColumn="0" w:firstRowLastColumn="0" w:lastRowFirstColumn="0" w:lastRowLastColumn="0"/>
          <w:trHeight w:val="20"/>
        </w:trPr>
        <w:tc>
          <w:tcPr>
            <w:tcW w:w="988" w:type="dxa"/>
            <w:noWrap/>
            <w:hideMark/>
          </w:tcPr>
          <w:p w14:paraId="46D30F44" w14:textId="77777777" w:rsidR="005D6D39" w:rsidRPr="00102634" w:rsidRDefault="005D6D39">
            <w:pPr>
              <w:pStyle w:val="TableText"/>
              <w:keepNext/>
            </w:pPr>
          </w:p>
        </w:tc>
        <w:tc>
          <w:tcPr>
            <w:tcW w:w="1073" w:type="dxa"/>
            <w:noWrap/>
            <w:hideMark/>
          </w:tcPr>
          <w:p w14:paraId="29FD73A7" w14:textId="77777777" w:rsidR="005D6D39" w:rsidRPr="00102634" w:rsidRDefault="005D6D39">
            <w:pPr>
              <w:pStyle w:val="TableText"/>
              <w:keepNext/>
              <w:jc w:val="center"/>
              <w:rPr>
                <w:b/>
                <w:bCs/>
              </w:rPr>
            </w:pPr>
            <w:r w:rsidRPr="00102634">
              <w:rPr>
                <w:b/>
                <w:bCs/>
              </w:rPr>
              <w:t>2025</w:t>
            </w:r>
          </w:p>
        </w:tc>
        <w:tc>
          <w:tcPr>
            <w:tcW w:w="1073" w:type="dxa"/>
            <w:noWrap/>
            <w:hideMark/>
          </w:tcPr>
          <w:p w14:paraId="7B4AA03C" w14:textId="77777777" w:rsidR="005D6D39" w:rsidRPr="00102634" w:rsidRDefault="005D6D39">
            <w:pPr>
              <w:pStyle w:val="TableText"/>
              <w:keepNext/>
              <w:jc w:val="center"/>
              <w:rPr>
                <w:b/>
                <w:bCs/>
              </w:rPr>
            </w:pPr>
            <w:r w:rsidRPr="00102634">
              <w:rPr>
                <w:b/>
                <w:bCs/>
              </w:rPr>
              <w:t>2026</w:t>
            </w:r>
          </w:p>
        </w:tc>
        <w:tc>
          <w:tcPr>
            <w:tcW w:w="1073" w:type="dxa"/>
            <w:noWrap/>
            <w:hideMark/>
          </w:tcPr>
          <w:p w14:paraId="78F22471" w14:textId="77777777" w:rsidR="005D6D39" w:rsidRPr="00102634" w:rsidRDefault="005D6D39">
            <w:pPr>
              <w:pStyle w:val="TableText"/>
              <w:keepNext/>
              <w:jc w:val="center"/>
              <w:rPr>
                <w:b/>
                <w:bCs/>
              </w:rPr>
            </w:pPr>
            <w:r w:rsidRPr="00102634">
              <w:rPr>
                <w:b/>
                <w:bCs/>
              </w:rPr>
              <w:t>2027</w:t>
            </w:r>
          </w:p>
        </w:tc>
        <w:tc>
          <w:tcPr>
            <w:tcW w:w="1073" w:type="dxa"/>
            <w:noWrap/>
            <w:hideMark/>
          </w:tcPr>
          <w:p w14:paraId="7C6CEC9F" w14:textId="77777777" w:rsidR="005D6D39" w:rsidRPr="00102634" w:rsidRDefault="005D6D39">
            <w:pPr>
              <w:pStyle w:val="TableText"/>
              <w:keepNext/>
              <w:jc w:val="center"/>
              <w:rPr>
                <w:b/>
                <w:bCs/>
              </w:rPr>
            </w:pPr>
            <w:r w:rsidRPr="00102634">
              <w:rPr>
                <w:b/>
                <w:bCs/>
              </w:rPr>
              <w:t>2028</w:t>
            </w:r>
          </w:p>
        </w:tc>
        <w:tc>
          <w:tcPr>
            <w:tcW w:w="1073" w:type="dxa"/>
            <w:noWrap/>
            <w:hideMark/>
          </w:tcPr>
          <w:p w14:paraId="79BE8D6A" w14:textId="77777777" w:rsidR="005D6D39" w:rsidRPr="00102634" w:rsidRDefault="005D6D39">
            <w:pPr>
              <w:pStyle w:val="TableText"/>
              <w:keepNext/>
              <w:jc w:val="center"/>
              <w:rPr>
                <w:b/>
                <w:bCs/>
              </w:rPr>
            </w:pPr>
            <w:r w:rsidRPr="00102634">
              <w:rPr>
                <w:b/>
                <w:bCs/>
              </w:rPr>
              <w:t>2029</w:t>
            </w:r>
          </w:p>
        </w:tc>
        <w:tc>
          <w:tcPr>
            <w:tcW w:w="1073" w:type="dxa"/>
            <w:noWrap/>
            <w:hideMark/>
          </w:tcPr>
          <w:p w14:paraId="1E440CE0" w14:textId="77777777" w:rsidR="005D6D39" w:rsidRPr="00102634" w:rsidRDefault="005D6D39">
            <w:pPr>
              <w:pStyle w:val="TableText"/>
              <w:keepNext/>
              <w:jc w:val="center"/>
              <w:rPr>
                <w:b/>
                <w:bCs/>
              </w:rPr>
            </w:pPr>
            <w:r w:rsidRPr="00102634">
              <w:rPr>
                <w:b/>
                <w:bCs/>
              </w:rPr>
              <w:t>2030</w:t>
            </w:r>
          </w:p>
        </w:tc>
        <w:tc>
          <w:tcPr>
            <w:tcW w:w="1074" w:type="dxa"/>
            <w:noWrap/>
            <w:hideMark/>
          </w:tcPr>
          <w:p w14:paraId="33AEC079" w14:textId="77777777" w:rsidR="005D6D39" w:rsidRPr="00102634" w:rsidRDefault="005D6D39">
            <w:pPr>
              <w:pStyle w:val="TableText"/>
              <w:keepNext/>
              <w:jc w:val="center"/>
              <w:rPr>
                <w:b/>
                <w:bCs/>
              </w:rPr>
            </w:pPr>
            <w:r w:rsidRPr="00102634">
              <w:rPr>
                <w:b/>
                <w:bCs/>
              </w:rPr>
              <w:t>Total</w:t>
            </w:r>
          </w:p>
        </w:tc>
        <w:tc>
          <w:tcPr>
            <w:tcW w:w="516" w:type="dxa"/>
            <w:noWrap/>
            <w:hideMark/>
          </w:tcPr>
          <w:p w14:paraId="521AA64A" w14:textId="34EC3867" w:rsidR="005D6D39" w:rsidRPr="00102634" w:rsidRDefault="005D6D39">
            <w:pPr>
              <w:pStyle w:val="TableText"/>
              <w:keepNext/>
              <w:jc w:val="center"/>
              <w:rPr>
                <w:b/>
                <w:bCs/>
                <w:vertAlign w:val="superscript"/>
              </w:rPr>
            </w:pPr>
            <w:r w:rsidRPr="00102634">
              <w:rPr>
                <w:b/>
                <w:bCs/>
              </w:rPr>
              <w:t>%Δ</w:t>
            </w:r>
          </w:p>
        </w:tc>
      </w:tr>
      <w:tr w:rsidR="005D6D39" w:rsidRPr="00102634" w14:paraId="7A005C63" w14:textId="77777777">
        <w:trPr>
          <w:trHeight w:val="20"/>
        </w:trPr>
        <w:tc>
          <w:tcPr>
            <w:tcW w:w="9016" w:type="dxa"/>
            <w:gridSpan w:val="9"/>
            <w:noWrap/>
          </w:tcPr>
          <w:p w14:paraId="01BAE56E" w14:textId="5C09761C" w:rsidR="005D6D39" w:rsidRPr="00102634" w:rsidRDefault="005D6D39">
            <w:pPr>
              <w:pStyle w:val="TableText"/>
              <w:keepNext/>
              <w:jc w:val="center"/>
              <w:rPr>
                <w:b/>
                <w:bCs/>
              </w:rPr>
            </w:pPr>
            <w:r w:rsidRPr="00102634">
              <w:rPr>
                <w:b/>
                <w:bCs/>
              </w:rPr>
              <w:t xml:space="preserve">The submission’s </w:t>
            </w:r>
            <w:r w:rsidR="006E5379">
              <w:rPr>
                <w:b/>
                <w:bCs/>
              </w:rPr>
              <w:t>base case net MBS costs</w:t>
            </w:r>
          </w:p>
        </w:tc>
      </w:tr>
      <w:tr w:rsidR="0095685F" w:rsidRPr="00102634" w14:paraId="077A0305" w14:textId="77777777">
        <w:trPr>
          <w:trHeight w:val="20"/>
        </w:trPr>
        <w:tc>
          <w:tcPr>
            <w:tcW w:w="988" w:type="dxa"/>
            <w:noWrap/>
            <w:hideMark/>
          </w:tcPr>
          <w:p w14:paraId="7E9DA0E3" w14:textId="77777777" w:rsidR="0095685F" w:rsidRPr="00102634" w:rsidRDefault="0095685F" w:rsidP="0095685F">
            <w:pPr>
              <w:pStyle w:val="TableText"/>
              <w:keepNext/>
              <w:rPr>
                <w:b/>
                <w:bCs/>
              </w:rPr>
            </w:pPr>
            <w:r w:rsidRPr="00102634">
              <w:rPr>
                <w:b/>
                <w:bCs/>
              </w:rPr>
              <w:t>Cost MBS</w:t>
            </w:r>
          </w:p>
        </w:tc>
        <w:tc>
          <w:tcPr>
            <w:tcW w:w="1073" w:type="dxa"/>
            <w:hideMark/>
          </w:tcPr>
          <w:p w14:paraId="00322AAA" w14:textId="0BE6F528" w:rsidR="0095685F" w:rsidRPr="00BC0E10" w:rsidRDefault="0095685F" w:rsidP="0095685F">
            <w:pPr>
              <w:pStyle w:val="TableText"/>
              <w:keepNext/>
              <w:jc w:val="center"/>
              <w:rPr>
                <w:b/>
                <w:bCs/>
                <w:highlight w:val="yellow"/>
              </w:rPr>
            </w:pPr>
            <w:r w:rsidRPr="00F032A6">
              <w:t>$</w:t>
            </w:r>
            <w:r w:rsidRPr="00F032A6">
              <w:rPr>
                <w:b/>
                <w:bCs/>
              </w:rPr>
              <w:t>redacted</w:t>
            </w:r>
            <w:r w:rsidR="7BCE9002" w:rsidRPr="10812078">
              <w:rPr>
                <w:vertAlign w:val="superscript"/>
              </w:rPr>
              <w:t xml:space="preserve"> 1</w:t>
            </w:r>
          </w:p>
        </w:tc>
        <w:tc>
          <w:tcPr>
            <w:tcW w:w="1073" w:type="dxa"/>
            <w:hideMark/>
          </w:tcPr>
          <w:p w14:paraId="1F9B7B86" w14:textId="3657AC30" w:rsidR="0095685F" w:rsidRPr="00BC0E10" w:rsidRDefault="0095685F" w:rsidP="0095685F">
            <w:pPr>
              <w:pStyle w:val="TableText"/>
              <w:keepNext/>
              <w:jc w:val="center"/>
              <w:rPr>
                <w:b/>
                <w:bCs/>
                <w:highlight w:val="yellow"/>
              </w:rPr>
            </w:pPr>
            <w:r w:rsidRPr="00F032A6">
              <w:t>$</w:t>
            </w:r>
            <w:r w:rsidRPr="00F032A6">
              <w:rPr>
                <w:b/>
                <w:bCs/>
              </w:rPr>
              <w:t>redacted</w:t>
            </w:r>
            <w:r w:rsidR="016C0B22" w:rsidRPr="10812078">
              <w:rPr>
                <w:vertAlign w:val="superscript"/>
              </w:rPr>
              <w:t xml:space="preserve"> 1</w:t>
            </w:r>
          </w:p>
        </w:tc>
        <w:tc>
          <w:tcPr>
            <w:tcW w:w="1073" w:type="dxa"/>
            <w:hideMark/>
          </w:tcPr>
          <w:p w14:paraId="2ADE8D43" w14:textId="5C75912A" w:rsidR="0095685F" w:rsidRPr="00BC0E10" w:rsidRDefault="0095685F" w:rsidP="0095685F">
            <w:pPr>
              <w:pStyle w:val="TableText"/>
              <w:keepNext/>
              <w:jc w:val="center"/>
              <w:rPr>
                <w:b/>
                <w:bCs/>
                <w:highlight w:val="yellow"/>
              </w:rPr>
            </w:pPr>
            <w:r w:rsidRPr="00F032A6">
              <w:t>$</w:t>
            </w:r>
            <w:r w:rsidRPr="00F032A6">
              <w:rPr>
                <w:b/>
                <w:bCs/>
              </w:rPr>
              <w:t>redacted</w:t>
            </w:r>
            <w:r w:rsidR="2B6D2D1B" w:rsidRPr="10812078">
              <w:rPr>
                <w:vertAlign w:val="superscript"/>
              </w:rPr>
              <w:t xml:space="preserve"> 1</w:t>
            </w:r>
          </w:p>
        </w:tc>
        <w:tc>
          <w:tcPr>
            <w:tcW w:w="1073" w:type="dxa"/>
            <w:hideMark/>
          </w:tcPr>
          <w:p w14:paraId="36DE1370" w14:textId="254EEF65" w:rsidR="0095685F" w:rsidRPr="00BC0E10" w:rsidRDefault="0095685F" w:rsidP="0095685F">
            <w:pPr>
              <w:pStyle w:val="TableText"/>
              <w:keepNext/>
              <w:jc w:val="center"/>
              <w:rPr>
                <w:b/>
                <w:bCs/>
                <w:highlight w:val="yellow"/>
              </w:rPr>
            </w:pPr>
            <w:r w:rsidRPr="00F032A6">
              <w:t>$</w:t>
            </w:r>
            <w:r w:rsidRPr="00F032A6">
              <w:rPr>
                <w:b/>
                <w:bCs/>
              </w:rPr>
              <w:t>redacted</w:t>
            </w:r>
            <w:r w:rsidR="0AC7EE42" w:rsidRPr="10812078">
              <w:rPr>
                <w:vertAlign w:val="superscript"/>
              </w:rPr>
              <w:t xml:space="preserve"> 1</w:t>
            </w:r>
          </w:p>
        </w:tc>
        <w:tc>
          <w:tcPr>
            <w:tcW w:w="1073" w:type="dxa"/>
            <w:hideMark/>
          </w:tcPr>
          <w:p w14:paraId="009C9033" w14:textId="6042C830" w:rsidR="0095685F" w:rsidRPr="00BC0E10" w:rsidRDefault="0095685F" w:rsidP="0095685F">
            <w:pPr>
              <w:pStyle w:val="TableText"/>
              <w:keepNext/>
              <w:jc w:val="center"/>
              <w:rPr>
                <w:b/>
                <w:bCs/>
                <w:highlight w:val="yellow"/>
              </w:rPr>
            </w:pPr>
            <w:r w:rsidRPr="00F032A6">
              <w:t>$</w:t>
            </w:r>
            <w:r w:rsidRPr="00F032A6">
              <w:rPr>
                <w:b/>
                <w:bCs/>
              </w:rPr>
              <w:t>redacted</w:t>
            </w:r>
            <w:r w:rsidR="7B07A2F4" w:rsidRPr="10812078">
              <w:rPr>
                <w:vertAlign w:val="superscript"/>
              </w:rPr>
              <w:t xml:space="preserve"> 1</w:t>
            </w:r>
          </w:p>
        </w:tc>
        <w:tc>
          <w:tcPr>
            <w:tcW w:w="1073" w:type="dxa"/>
            <w:hideMark/>
          </w:tcPr>
          <w:p w14:paraId="1154A635" w14:textId="7D06B2C0" w:rsidR="0095685F" w:rsidRPr="00BC0E10" w:rsidRDefault="0095685F" w:rsidP="0095685F">
            <w:pPr>
              <w:pStyle w:val="TableText"/>
              <w:keepNext/>
              <w:jc w:val="center"/>
              <w:rPr>
                <w:b/>
                <w:bCs/>
                <w:highlight w:val="yellow"/>
              </w:rPr>
            </w:pPr>
            <w:r w:rsidRPr="00F032A6">
              <w:t>$</w:t>
            </w:r>
            <w:r w:rsidRPr="00F032A6">
              <w:rPr>
                <w:b/>
                <w:bCs/>
              </w:rPr>
              <w:t>redacted</w:t>
            </w:r>
            <w:r w:rsidR="40C0CE94" w:rsidRPr="10812078">
              <w:rPr>
                <w:vertAlign w:val="superscript"/>
              </w:rPr>
              <w:t xml:space="preserve"> 1</w:t>
            </w:r>
          </w:p>
        </w:tc>
        <w:tc>
          <w:tcPr>
            <w:tcW w:w="1074" w:type="dxa"/>
            <w:hideMark/>
          </w:tcPr>
          <w:p w14:paraId="77790323" w14:textId="05045D60" w:rsidR="0095685F" w:rsidRPr="00BC0E10" w:rsidRDefault="0095685F" w:rsidP="0095685F">
            <w:pPr>
              <w:pStyle w:val="TableText"/>
              <w:keepNext/>
              <w:jc w:val="center"/>
              <w:rPr>
                <w:b/>
                <w:bCs/>
                <w:highlight w:val="yellow"/>
              </w:rPr>
            </w:pPr>
            <w:r w:rsidRPr="00F032A6">
              <w:t>$</w:t>
            </w:r>
            <w:r w:rsidRPr="00F032A6">
              <w:rPr>
                <w:b/>
                <w:bCs/>
              </w:rPr>
              <w:t>redacted</w:t>
            </w:r>
            <w:r w:rsidR="2F6CA352" w:rsidRPr="10812078">
              <w:rPr>
                <w:vertAlign w:val="superscript"/>
              </w:rPr>
              <w:t xml:space="preserve"> 2</w:t>
            </w:r>
          </w:p>
        </w:tc>
        <w:tc>
          <w:tcPr>
            <w:tcW w:w="516" w:type="dxa"/>
            <w:hideMark/>
          </w:tcPr>
          <w:p w14:paraId="787A50C8" w14:textId="77777777" w:rsidR="0095685F" w:rsidRPr="00102634" w:rsidRDefault="0095685F" w:rsidP="0095685F">
            <w:pPr>
              <w:pStyle w:val="TableText"/>
              <w:keepNext/>
              <w:jc w:val="center"/>
              <w:rPr>
                <w:b/>
                <w:bCs/>
              </w:rPr>
            </w:pPr>
            <w:r w:rsidRPr="00102634">
              <w:rPr>
                <w:b/>
                <w:bCs/>
              </w:rPr>
              <w:t>-</w:t>
            </w:r>
          </w:p>
        </w:tc>
      </w:tr>
      <w:tr w:rsidR="005D6D39" w:rsidRPr="00102634" w14:paraId="20DD31AB" w14:textId="77777777">
        <w:trPr>
          <w:trHeight w:val="20"/>
        </w:trPr>
        <w:tc>
          <w:tcPr>
            <w:tcW w:w="9016" w:type="dxa"/>
            <w:gridSpan w:val="9"/>
            <w:noWrap/>
          </w:tcPr>
          <w:p w14:paraId="77480463" w14:textId="77777777" w:rsidR="005D6D39" w:rsidRPr="001E38F0" w:rsidRDefault="005D6D39">
            <w:pPr>
              <w:pStyle w:val="TableText"/>
              <w:keepNext/>
              <w:jc w:val="center"/>
              <w:rPr>
                <w:b/>
                <w:bCs/>
                <w:i/>
                <w:iCs/>
              </w:rPr>
            </w:pPr>
            <w:r w:rsidRPr="001E38F0">
              <w:rPr>
                <w:b/>
                <w:bCs/>
                <w:i/>
                <w:iCs/>
              </w:rPr>
              <w:t>Additional sensitivity analyses conducted during the evaluation</w:t>
            </w:r>
          </w:p>
        </w:tc>
      </w:tr>
      <w:tr w:rsidR="005D6D39" w:rsidRPr="00102634" w14:paraId="54794563" w14:textId="77777777">
        <w:trPr>
          <w:trHeight w:val="20"/>
        </w:trPr>
        <w:tc>
          <w:tcPr>
            <w:tcW w:w="9016" w:type="dxa"/>
            <w:gridSpan w:val="9"/>
            <w:noWrap/>
            <w:hideMark/>
          </w:tcPr>
          <w:p w14:paraId="60C72F95" w14:textId="137ED577" w:rsidR="005D6D39" w:rsidRPr="0095685F" w:rsidRDefault="005D6D39">
            <w:pPr>
              <w:pStyle w:val="TableText"/>
              <w:keepNext/>
              <w:rPr>
                <w:b/>
                <w:bCs/>
              </w:rPr>
            </w:pPr>
            <w:r w:rsidRPr="0095685F">
              <w:rPr>
                <w:b/>
                <w:bCs/>
              </w:rPr>
              <w:t xml:space="preserve">SA1: Test uptake rate 80% yr1, 85% yr2, 90% yr3, 95% yr4+ (base case: </w:t>
            </w:r>
            <w:r w:rsidR="0095685F" w:rsidRPr="0095685F">
              <w:rPr>
                <w:b/>
                <w:bCs/>
              </w:rPr>
              <w:t>redacted</w:t>
            </w:r>
            <w:r w:rsidRPr="0095685F">
              <w:rPr>
                <w:b/>
                <w:bCs/>
              </w:rPr>
              <w:t>)</w:t>
            </w:r>
          </w:p>
        </w:tc>
      </w:tr>
      <w:tr w:rsidR="0095685F" w:rsidRPr="00102634" w14:paraId="512F7A33" w14:textId="77777777">
        <w:trPr>
          <w:trHeight w:val="20"/>
        </w:trPr>
        <w:tc>
          <w:tcPr>
            <w:tcW w:w="988" w:type="dxa"/>
            <w:noWrap/>
            <w:hideMark/>
          </w:tcPr>
          <w:p w14:paraId="04449CEB" w14:textId="77777777" w:rsidR="0095685F" w:rsidRPr="00102634" w:rsidRDefault="0095685F" w:rsidP="0095685F">
            <w:pPr>
              <w:pStyle w:val="TableText"/>
              <w:keepNext/>
            </w:pPr>
            <w:r w:rsidRPr="00102634">
              <w:t>Cost MBS</w:t>
            </w:r>
          </w:p>
        </w:tc>
        <w:tc>
          <w:tcPr>
            <w:tcW w:w="1073" w:type="dxa"/>
            <w:hideMark/>
          </w:tcPr>
          <w:p w14:paraId="57448F0E" w14:textId="03CFE271" w:rsidR="0095685F" w:rsidRPr="00BC0E10" w:rsidRDefault="0095685F" w:rsidP="0095685F">
            <w:pPr>
              <w:pStyle w:val="TableText"/>
              <w:keepNext/>
              <w:jc w:val="center"/>
              <w:rPr>
                <w:highlight w:val="yellow"/>
              </w:rPr>
            </w:pPr>
            <w:r w:rsidRPr="00D8009E">
              <w:t>$</w:t>
            </w:r>
            <w:r w:rsidRPr="00D8009E">
              <w:rPr>
                <w:b/>
                <w:bCs/>
              </w:rPr>
              <w:t>redacted</w:t>
            </w:r>
            <w:r w:rsidR="4B6EE113" w:rsidRPr="10812078">
              <w:rPr>
                <w:vertAlign w:val="superscript"/>
              </w:rPr>
              <w:t xml:space="preserve"> 1</w:t>
            </w:r>
          </w:p>
        </w:tc>
        <w:tc>
          <w:tcPr>
            <w:tcW w:w="1073" w:type="dxa"/>
            <w:hideMark/>
          </w:tcPr>
          <w:p w14:paraId="7C30E1F3" w14:textId="592EC2F8" w:rsidR="0095685F" w:rsidRPr="00BC0E10" w:rsidRDefault="0095685F" w:rsidP="0095685F">
            <w:pPr>
              <w:pStyle w:val="TableText"/>
              <w:keepNext/>
              <w:jc w:val="center"/>
              <w:rPr>
                <w:highlight w:val="yellow"/>
              </w:rPr>
            </w:pPr>
            <w:r w:rsidRPr="00D8009E">
              <w:t>$</w:t>
            </w:r>
            <w:r w:rsidRPr="00D8009E">
              <w:rPr>
                <w:b/>
                <w:bCs/>
              </w:rPr>
              <w:t>redacted</w:t>
            </w:r>
            <w:r w:rsidR="0968831F" w:rsidRPr="10812078">
              <w:rPr>
                <w:vertAlign w:val="superscript"/>
              </w:rPr>
              <w:t xml:space="preserve"> 1</w:t>
            </w:r>
          </w:p>
        </w:tc>
        <w:tc>
          <w:tcPr>
            <w:tcW w:w="1073" w:type="dxa"/>
            <w:hideMark/>
          </w:tcPr>
          <w:p w14:paraId="7A592D9F" w14:textId="71FA8D97" w:rsidR="0095685F" w:rsidRPr="00BC0E10" w:rsidRDefault="0095685F" w:rsidP="0095685F">
            <w:pPr>
              <w:pStyle w:val="TableText"/>
              <w:keepNext/>
              <w:jc w:val="center"/>
              <w:rPr>
                <w:highlight w:val="yellow"/>
              </w:rPr>
            </w:pPr>
            <w:r w:rsidRPr="00D8009E">
              <w:t>$</w:t>
            </w:r>
            <w:r w:rsidRPr="00D8009E">
              <w:rPr>
                <w:b/>
                <w:bCs/>
              </w:rPr>
              <w:t>redacted</w:t>
            </w:r>
            <w:r w:rsidR="3832E629" w:rsidRPr="10812078">
              <w:rPr>
                <w:vertAlign w:val="superscript"/>
              </w:rPr>
              <w:t xml:space="preserve"> 1</w:t>
            </w:r>
          </w:p>
        </w:tc>
        <w:tc>
          <w:tcPr>
            <w:tcW w:w="1073" w:type="dxa"/>
            <w:hideMark/>
          </w:tcPr>
          <w:p w14:paraId="4A3820D3" w14:textId="3416D078" w:rsidR="0095685F" w:rsidRPr="0095685F" w:rsidRDefault="0095685F" w:rsidP="0095685F">
            <w:pPr>
              <w:pStyle w:val="TableText"/>
              <w:keepNext/>
              <w:jc w:val="center"/>
            </w:pPr>
            <w:r w:rsidRPr="0095685F">
              <w:t>$</w:t>
            </w:r>
            <w:r w:rsidRPr="0095685F">
              <w:rPr>
                <w:b/>
                <w:bCs/>
              </w:rPr>
              <w:t>redacted</w:t>
            </w:r>
            <w:r w:rsidR="5140B7D5" w:rsidRPr="10812078">
              <w:rPr>
                <w:vertAlign w:val="superscript"/>
              </w:rPr>
              <w:t xml:space="preserve"> 1</w:t>
            </w:r>
          </w:p>
        </w:tc>
        <w:tc>
          <w:tcPr>
            <w:tcW w:w="1073" w:type="dxa"/>
            <w:hideMark/>
          </w:tcPr>
          <w:p w14:paraId="6650266D" w14:textId="6A4853BF" w:rsidR="0095685F" w:rsidRPr="00BC0E10" w:rsidRDefault="0095685F" w:rsidP="0095685F">
            <w:pPr>
              <w:pStyle w:val="TableText"/>
              <w:keepNext/>
              <w:jc w:val="center"/>
              <w:rPr>
                <w:highlight w:val="yellow"/>
              </w:rPr>
            </w:pPr>
            <w:r w:rsidRPr="00D8009E">
              <w:t>$</w:t>
            </w:r>
            <w:r w:rsidRPr="00D8009E">
              <w:rPr>
                <w:b/>
                <w:bCs/>
              </w:rPr>
              <w:t>redacted</w:t>
            </w:r>
            <w:r w:rsidR="212BB73C" w:rsidRPr="10812078">
              <w:rPr>
                <w:vertAlign w:val="superscript"/>
              </w:rPr>
              <w:t xml:space="preserve"> 1</w:t>
            </w:r>
          </w:p>
        </w:tc>
        <w:tc>
          <w:tcPr>
            <w:tcW w:w="1073" w:type="dxa"/>
            <w:hideMark/>
          </w:tcPr>
          <w:p w14:paraId="2BDF1364" w14:textId="73C1C384" w:rsidR="0095685F" w:rsidRPr="00BC0E10" w:rsidRDefault="0095685F" w:rsidP="0095685F">
            <w:pPr>
              <w:pStyle w:val="TableText"/>
              <w:keepNext/>
              <w:jc w:val="center"/>
              <w:rPr>
                <w:highlight w:val="yellow"/>
              </w:rPr>
            </w:pPr>
            <w:r w:rsidRPr="00D8009E">
              <w:t>$</w:t>
            </w:r>
            <w:r w:rsidRPr="00D8009E">
              <w:rPr>
                <w:b/>
                <w:bCs/>
              </w:rPr>
              <w:t>redacted</w:t>
            </w:r>
            <w:r w:rsidR="1D760063" w:rsidRPr="10812078">
              <w:rPr>
                <w:vertAlign w:val="superscript"/>
              </w:rPr>
              <w:t xml:space="preserve"> 1</w:t>
            </w:r>
          </w:p>
        </w:tc>
        <w:tc>
          <w:tcPr>
            <w:tcW w:w="1074" w:type="dxa"/>
            <w:hideMark/>
          </w:tcPr>
          <w:p w14:paraId="27F7BD78" w14:textId="6B7685D4" w:rsidR="0095685F" w:rsidRPr="00BC0E10" w:rsidRDefault="0095685F" w:rsidP="0095685F">
            <w:pPr>
              <w:pStyle w:val="TableText"/>
              <w:keepNext/>
              <w:jc w:val="center"/>
              <w:rPr>
                <w:highlight w:val="yellow"/>
              </w:rPr>
            </w:pPr>
            <w:r w:rsidRPr="00D8009E">
              <w:t>$</w:t>
            </w:r>
            <w:r w:rsidRPr="00D8009E">
              <w:rPr>
                <w:b/>
                <w:bCs/>
              </w:rPr>
              <w:t>redacted</w:t>
            </w:r>
            <w:r w:rsidR="1DE62C17" w:rsidRPr="10812078">
              <w:rPr>
                <w:vertAlign w:val="superscript"/>
              </w:rPr>
              <w:t xml:space="preserve"> 2</w:t>
            </w:r>
          </w:p>
        </w:tc>
        <w:tc>
          <w:tcPr>
            <w:tcW w:w="516" w:type="dxa"/>
            <w:hideMark/>
          </w:tcPr>
          <w:p w14:paraId="662C6BC6" w14:textId="77777777" w:rsidR="0095685F" w:rsidRPr="00102634" w:rsidRDefault="0095685F" w:rsidP="0095685F">
            <w:pPr>
              <w:pStyle w:val="TableText"/>
              <w:keepNext/>
              <w:jc w:val="center"/>
            </w:pPr>
            <w:r w:rsidRPr="00102634">
              <w:t>+9%</w:t>
            </w:r>
          </w:p>
        </w:tc>
      </w:tr>
      <w:tr w:rsidR="005D6D39" w:rsidRPr="00102634" w14:paraId="6649ED65" w14:textId="77777777">
        <w:trPr>
          <w:trHeight w:val="20"/>
        </w:trPr>
        <w:tc>
          <w:tcPr>
            <w:tcW w:w="9016" w:type="dxa"/>
            <w:gridSpan w:val="9"/>
            <w:noWrap/>
            <w:hideMark/>
          </w:tcPr>
          <w:p w14:paraId="16661BEC" w14:textId="3CF8FEFE" w:rsidR="005D6D39" w:rsidRPr="0095685F" w:rsidRDefault="005D6D39">
            <w:pPr>
              <w:pStyle w:val="TableText"/>
              <w:keepNext/>
              <w:rPr>
                <w:b/>
                <w:bCs/>
              </w:rPr>
            </w:pPr>
            <w:r w:rsidRPr="0095685F">
              <w:rPr>
                <w:b/>
                <w:bCs/>
              </w:rPr>
              <w:t xml:space="preserve">SA2: Test uptake rate = 95% yr1+ (base case: </w:t>
            </w:r>
            <w:r w:rsidR="0095685F" w:rsidRPr="0095685F">
              <w:rPr>
                <w:b/>
                <w:bCs/>
              </w:rPr>
              <w:t>redacted</w:t>
            </w:r>
            <w:r w:rsidRPr="0095685F">
              <w:rPr>
                <w:b/>
                <w:bCs/>
              </w:rPr>
              <w:t>)</w:t>
            </w:r>
          </w:p>
        </w:tc>
      </w:tr>
      <w:tr w:rsidR="0095685F" w:rsidRPr="00102634" w14:paraId="48430B24" w14:textId="77777777">
        <w:trPr>
          <w:trHeight w:val="20"/>
        </w:trPr>
        <w:tc>
          <w:tcPr>
            <w:tcW w:w="988" w:type="dxa"/>
            <w:noWrap/>
            <w:hideMark/>
          </w:tcPr>
          <w:p w14:paraId="67A8C511" w14:textId="77777777" w:rsidR="0095685F" w:rsidRPr="00102634" w:rsidRDefault="0095685F" w:rsidP="0095685F">
            <w:pPr>
              <w:pStyle w:val="TableText"/>
              <w:keepNext/>
            </w:pPr>
            <w:r w:rsidRPr="00102634">
              <w:t>Cost MBS</w:t>
            </w:r>
          </w:p>
        </w:tc>
        <w:tc>
          <w:tcPr>
            <w:tcW w:w="1073" w:type="dxa"/>
            <w:hideMark/>
          </w:tcPr>
          <w:p w14:paraId="509D15A9" w14:textId="375B1C2F" w:rsidR="0095685F" w:rsidRPr="00BC0E10" w:rsidRDefault="0095685F" w:rsidP="0095685F">
            <w:pPr>
              <w:pStyle w:val="TableText"/>
              <w:keepNext/>
              <w:jc w:val="center"/>
              <w:rPr>
                <w:highlight w:val="yellow"/>
              </w:rPr>
            </w:pPr>
            <w:r w:rsidRPr="000A2236">
              <w:t>$</w:t>
            </w:r>
            <w:r w:rsidRPr="000A2236">
              <w:rPr>
                <w:b/>
                <w:bCs/>
              </w:rPr>
              <w:t>redacted</w:t>
            </w:r>
            <w:r w:rsidR="460865D2" w:rsidRPr="10812078">
              <w:rPr>
                <w:vertAlign w:val="superscript"/>
              </w:rPr>
              <w:t xml:space="preserve"> 1</w:t>
            </w:r>
          </w:p>
        </w:tc>
        <w:tc>
          <w:tcPr>
            <w:tcW w:w="1073" w:type="dxa"/>
            <w:hideMark/>
          </w:tcPr>
          <w:p w14:paraId="3554D13B" w14:textId="3D54FC9C" w:rsidR="0095685F" w:rsidRPr="00BC0E10" w:rsidRDefault="0095685F" w:rsidP="0095685F">
            <w:pPr>
              <w:pStyle w:val="TableText"/>
              <w:keepNext/>
              <w:jc w:val="center"/>
              <w:rPr>
                <w:highlight w:val="yellow"/>
              </w:rPr>
            </w:pPr>
            <w:r w:rsidRPr="000A2236">
              <w:t>$</w:t>
            </w:r>
            <w:r w:rsidRPr="000A2236">
              <w:rPr>
                <w:b/>
                <w:bCs/>
              </w:rPr>
              <w:t>redacted</w:t>
            </w:r>
            <w:r w:rsidR="488AE2FB" w:rsidRPr="10812078">
              <w:rPr>
                <w:vertAlign w:val="superscript"/>
              </w:rPr>
              <w:t xml:space="preserve"> 1</w:t>
            </w:r>
          </w:p>
        </w:tc>
        <w:tc>
          <w:tcPr>
            <w:tcW w:w="1073" w:type="dxa"/>
            <w:hideMark/>
          </w:tcPr>
          <w:p w14:paraId="11EBA04C" w14:textId="006BB5BB" w:rsidR="0095685F" w:rsidRPr="00BC0E10" w:rsidRDefault="0095685F" w:rsidP="0095685F">
            <w:pPr>
              <w:pStyle w:val="TableText"/>
              <w:keepNext/>
              <w:jc w:val="center"/>
              <w:rPr>
                <w:highlight w:val="yellow"/>
              </w:rPr>
            </w:pPr>
            <w:r w:rsidRPr="000A2236">
              <w:t>$</w:t>
            </w:r>
            <w:r w:rsidRPr="000A2236">
              <w:rPr>
                <w:b/>
                <w:bCs/>
              </w:rPr>
              <w:t>redacted</w:t>
            </w:r>
            <w:r w:rsidR="29C71E20" w:rsidRPr="10812078">
              <w:rPr>
                <w:vertAlign w:val="superscript"/>
              </w:rPr>
              <w:t xml:space="preserve"> 1</w:t>
            </w:r>
          </w:p>
        </w:tc>
        <w:tc>
          <w:tcPr>
            <w:tcW w:w="1073" w:type="dxa"/>
            <w:hideMark/>
          </w:tcPr>
          <w:p w14:paraId="1771519D" w14:textId="3F277E3B" w:rsidR="0095685F" w:rsidRPr="00BC0E10" w:rsidRDefault="0095685F" w:rsidP="0095685F">
            <w:pPr>
              <w:pStyle w:val="TableText"/>
              <w:keepNext/>
              <w:jc w:val="center"/>
              <w:rPr>
                <w:highlight w:val="yellow"/>
              </w:rPr>
            </w:pPr>
            <w:r w:rsidRPr="000A2236">
              <w:t>$</w:t>
            </w:r>
            <w:r w:rsidRPr="000A2236">
              <w:rPr>
                <w:b/>
                <w:bCs/>
              </w:rPr>
              <w:t>redacted</w:t>
            </w:r>
            <w:r w:rsidR="0D586FE8" w:rsidRPr="10812078">
              <w:rPr>
                <w:vertAlign w:val="superscript"/>
              </w:rPr>
              <w:t xml:space="preserve"> 1</w:t>
            </w:r>
          </w:p>
        </w:tc>
        <w:tc>
          <w:tcPr>
            <w:tcW w:w="1073" w:type="dxa"/>
            <w:hideMark/>
          </w:tcPr>
          <w:p w14:paraId="7154AAE1" w14:textId="69227938" w:rsidR="0095685F" w:rsidRPr="00BC0E10" w:rsidRDefault="0095685F" w:rsidP="0095685F">
            <w:pPr>
              <w:pStyle w:val="TableText"/>
              <w:keepNext/>
              <w:jc w:val="center"/>
              <w:rPr>
                <w:highlight w:val="yellow"/>
              </w:rPr>
            </w:pPr>
            <w:r w:rsidRPr="000A2236">
              <w:t>$</w:t>
            </w:r>
            <w:r w:rsidRPr="000A2236">
              <w:rPr>
                <w:b/>
                <w:bCs/>
              </w:rPr>
              <w:t>redacted</w:t>
            </w:r>
            <w:r w:rsidR="212BB73C" w:rsidRPr="10812078">
              <w:rPr>
                <w:vertAlign w:val="superscript"/>
              </w:rPr>
              <w:t xml:space="preserve"> 1</w:t>
            </w:r>
          </w:p>
        </w:tc>
        <w:tc>
          <w:tcPr>
            <w:tcW w:w="1073" w:type="dxa"/>
            <w:hideMark/>
          </w:tcPr>
          <w:p w14:paraId="582C7871" w14:textId="6A915233" w:rsidR="0095685F" w:rsidRPr="00BC0E10" w:rsidRDefault="0095685F" w:rsidP="0095685F">
            <w:pPr>
              <w:pStyle w:val="TableText"/>
              <w:keepNext/>
              <w:jc w:val="center"/>
              <w:rPr>
                <w:highlight w:val="yellow"/>
              </w:rPr>
            </w:pPr>
            <w:r w:rsidRPr="000A2236">
              <w:t>$</w:t>
            </w:r>
            <w:r w:rsidRPr="000A2236">
              <w:rPr>
                <w:b/>
                <w:bCs/>
              </w:rPr>
              <w:t>redacted</w:t>
            </w:r>
            <w:r w:rsidR="1D760063" w:rsidRPr="10812078">
              <w:rPr>
                <w:vertAlign w:val="superscript"/>
              </w:rPr>
              <w:t xml:space="preserve"> 1</w:t>
            </w:r>
          </w:p>
        </w:tc>
        <w:tc>
          <w:tcPr>
            <w:tcW w:w="1074" w:type="dxa"/>
            <w:hideMark/>
          </w:tcPr>
          <w:p w14:paraId="3D1566E2" w14:textId="640B6E34" w:rsidR="0095685F" w:rsidRPr="00BC0E10" w:rsidRDefault="0095685F" w:rsidP="0095685F">
            <w:pPr>
              <w:pStyle w:val="TableText"/>
              <w:keepNext/>
              <w:jc w:val="center"/>
              <w:rPr>
                <w:highlight w:val="yellow"/>
              </w:rPr>
            </w:pPr>
            <w:r w:rsidRPr="000A2236">
              <w:t>$</w:t>
            </w:r>
            <w:r w:rsidRPr="000A2236">
              <w:rPr>
                <w:b/>
                <w:bCs/>
              </w:rPr>
              <w:t>redacted</w:t>
            </w:r>
            <w:r w:rsidR="293F790A" w:rsidRPr="10812078">
              <w:rPr>
                <w:vertAlign w:val="superscript"/>
              </w:rPr>
              <w:t xml:space="preserve"> 2</w:t>
            </w:r>
          </w:p>
        </w:tc>
        <w:tc>
          <w:tcPr>
            <w:tcW w:w="516" w:type="dxa"/>
            <w:hideMark/>
          </w:tcPr>
          <w:p w14:paraId="7918D227" w14:textId="77777777" w:rsidR="0095685F" w:rsidRPr="00102634" w:rsidRDefault="0095685F" w:rsidP="0095685F">
            <w:pPr>
              <w:pStyle w:val="TableText"/>
              <w:keepNext/>
              <w:jc w:val="center"/>
            </w:pPr>
            <w:r w:rsidRPr="00102634">
              <w:t>+15%</w:t>
            </w:r>
          </w:p>
        </w:tc>
      </w:tr>
      <w:tr w:rsidR="005D6D39" w:rsidRPr="00102634" w14:paraId="5CA6B7D8" w14:textId="77777777">
        <w:trPr>
          <w:trHeight w:val="20"/>
        </w:trPr>
        <w:tc>
          <w:tcPr>
            <w:tcW w:w="9016" w:type="dxa"/>
            <w:gridSpan w:val="9"/>
            <w:noWrap/>
            <w:hideMark/>
          </w:tcPr>
          <w:p w14:paraId="0EB1F8E9" w14:textId="77777777" w:rsidR="005D6D39" w:rsidRPr="00102634" w:rsidRDefault="005D6D39">
            <w:pPr>
              <w:pStyle w:val="TableText"/>
              <w:keepNext/>
              <w:rPr>
                <w:b/>
                <w:bCs/>
              </w:rPr>
            </w:pPr>
            <w:r w:rsidRPr="00102634">
              <w:rPr>
                <w:b/>
                <w:bCs/>
              </w:rPr>
              <w:t>SA3: MBS fee = $2,101.3 (base case = $1,870)</w:t>
            </w:r>
          </w:p>
        </w:tc>
      </w:tr>
      <w:tr w:rsidR="0095685F" w:rsidRPr="00102634" w14:paraId="6528A1C0" w14:textId="77777777">
        <w:trPr>
          <w:trHeight w:val="20"/>
        </w:trPr>
        <w:tc>
          <w:tcPr>
            <w:tcW w:w="988" w:type="dxa"/>
            <w:noWrap/>
            <w:hideMark/>
          </w:tcPr>
          <w:p w14:paraId="2EF7F086" w14:textId="77777777" w:rsidR="0095685F" w:rsidRPr="00102634" w:rsidRDefault="0095685F" w:rsidP="0095685F">
            <w:pPr>
              <w:pStyle w:val="TableText"/>
              <w:keepNext/>
            </w:pPr>
            <w:r w:rsidRPr="00102634">
              <w:t>Cost MBS</w:t>
            </w:r>
          </w:p>
        </w:tc>
        <w:tc>
          <w:tcPr>
            <w:tcW w:w="1073" w:type="dxa"/>
            <w:hideMark/>
          </w:tcPr>
          <w:p w14:paraId="78D306FD" w14:textId="258FAE83" w:rsidR="0095685F" w:rsidRPr="00BC0E10" w:rsidRDefault="0095685F" w:rsidP="0095685F">
            <w:pPr>
              <w:pStyle w:val="TableText"/>
              <w:keepNext/>
              <w:jc w:val="center"/>
              <w:rPr>
                <w:highlight w:val="yellow"/>
              </w:rPr>
            </w:pPr>
            <w:r w:rsidRPr="000B5426">
              <w:t>$</w:t>
            </w:r>
            <w:r w:rsidRPr="000B5426">
              <w:rPr>
                <w:b/>
                <w:bCs/>
              </w:rPr>
              <w:t>redacted</w:t>
            </w:r>
            <w:r w:rsidR="739B2321" w:rsidRPr="10812078">
              <w:rPr>
                <w:vertAlign w:val="superscript"/>
              </w:rPr>
              <w:t xml:space="preserve"> 1</w:t>
            </w:r>
          </w:p>
        </w:tc>
        <w:tc>
          <w:tcPr>
            <w:tcW w:w="1073" w:type="dxa"/>
            <w:hideMark/>
          </w:tcPr>
          <w:p w14:paraId="52C00E99" w14:textId="1426A777" w:rsidR="0095685F" w:rsidRPr="00BC0E10" w:rsidRDefault="0095685F" w:rsidP="0095685F">
            <w:pPr>
              <w:pStyle w:val="TableText"/>
              <w:keepNext/>
              <w:jc w:val="center"/>
              <w:rPr>
                <w:highlight w:val="yellow"/>
              </w:rPr>
            </w:pPr>
            <w:r w:rsidRPr="000B5426">
              <w:t>$</w:t>
            </w:r>
            <w:r w:rsidRPr="000B5426">
              <w:rPr>
                <w:b/>
                <w:bCs/>
              </w:rPr>
              <w:t>redacted</w:t>
            </w:r>
            <w:r w:rsidR="6C9E50D6" w:rsidRPr="10812078">
              <w:rPr>
                <w:vertAlign w:val="superscript"/>
              </w:rPr>
              <w:t xml:space="preserve"> 1</w:t>
            </w:r>
          </w:p>
        </w:tc>
        <w:tc>
          <w:tcPr>
            <w:tcW w:w="1073" w:type="dxa"/>
            <w:hideMark/>
          </w:tcPr>
          <w:p w14:paraId="2CFCD2A2" w14:textId="29F34BD6" w:rsidR="0095685F" w:rsidRPr="00BC0E10" w:rsidRDefault="0095685F" w:rsidP="0095685F">
            <w:pPr>
              <w:pStyle w:val="TableText"/>
              <w:keepNext/>
              <w:jc w:val="center"/>
              <w:rPr>
                <w:highlight w:val="yellow"/>
              </w:rPr>
            </w:pPr>
            <w:r w:rsidRPr="000B5426">
              <w:t>$</w:t>
            </w:r>
            <w:r w:rsidRPr="000B5426">
              <w:rPr>
                <w:b/>
                <w:bCs/>
              </w:rPr>
              <w:t>redacted</w:t>
            </w:r>
            <w:r w:rsidR="02DCB76C" w:rsidRPr="10812078">
              <w:rPr>
                <w:vertAlign w:val="superscript"/>
              </w:rPr>
              <w:t xml:space="preserve"> 1</w:t>
            </w:r>
          </w:p>
        </w:tc>
        <w:tc>
          <w:tcPr>
            <w:tcW w:w="1073" w:type="dxa"/>
            <w:hideMark/>
          </w:tcPr>
          <w:p w14:paraId="7A295C87" w14:textId="75B10EC8" w:rsidR="0095685F" w:rsidRPr="00BC0E10" w:rsidRDefault="0095685F" w:rsidP="0095685F">
            <w:pPr>
              <w:pStyle w:val="TableText"/>
              <w:keepNext/>
              <w:jc w:val="center"/>
              <w:rPr>
                <w:highlight w:val="yellow"/>
              </w:rPr>
            </w:pPr>
            <w:r w:rsidRPr="000B5426">
              <w:t>$</w:t>
            </w:r>
            <w:r w:rsidRPr="000B5426">
              <w:rPr>
                <w:b/>
                <w:bCs/>
              </w:rPr>
              <w:t>redacted</w:t>
            </w:r>
            <w:r w:rsidR="2B516653" w:rsidRPr="10812078">
              <w:rPr>
                <w:vertAlign w:val="superscript"/>
              </w:rPr>
              <w:t xml:space="preserve"> 1</w:t>
            </w:r>
          </w:p>
        </w:tc>
        <w:tc>
          <w:tcPr>
            <w:tcW w:w="1073" w:type="dxa"/>
            <w:hideMark/>
          </w:tcPr>
          <w:p w14:paraId="1FCF926B" w14:textId="2490F7C8" w:rsidR="0095685F" w:rsidRPr="00BC0E10" w:rsidRDefault="0095685F" w:rsidP="0095685F">
            <w:pPr>
              <w:pStyle w:val="TableText"/>
              <w:keepNext/>
              <w:jc w:val="center"/>
              <w:rPr>
                <w:highlight w:val="yellow"/>
              </w:rPr>
            </w:pPr>
            <w:r w:rsidRPr="000B5426">
              <w:t>$</w:t>
            </w:r>
            <w:r w:rsidRPr="000B5426">
              <w:rPr>
                <w:b/>
                <w:bCs/>
              </w:rPr>
              <w:t>redacted</w:t>
            </w:r>
            <w:r w:rsidR="1A03E2F5" w:rsidRPr="10812078">
              <w:rPr>
                <w:vertAlign w:val="superscript"/>
              </w:rPr>
              <w:t xml:space="preserve"> 1</w:t>
            </w:r>
          </w:p>
        </w:tc>
        <w:tc>
          <w:tcPr>
            <w:tcW w:w="1073" w:type="dxa"/>
            <w:hideMark/>
          </w:tcPr>
          <w:p w14:paraId="7930D195" w14:textId="687E8780" w:rsidR="0095685F" w:rsidRPr="00BC0E10" w:rsidRDefault="0095685F" w:rsidP="0095685F">
            <w:pPr>
              <w:pStyle w:val="TableText"/>
              <w:keepNext/>
              <w:jc w:val="center"/>
              <w:rPr>
                <w:highlight w:val="yellow"/>
              </w:rPr>
            </w:pPr>
            <w:r w:rsidRPr="000B5426">
              <w:t>$</w:t>
            </w:r>
            <w:r w:rsidRPr="000B5426">
              <w:rPr>
                <w:b/>
                <w:bCs/>
              </w:rPr>
              <w:t>redacted</w:t>
            </w:r>
            <w:r w:rsidR="2EE265AF" w:rsidRPr="10812078">
              <w:rPr>
                <w:vertAlign w:val="superscript"/>
              </w:rPr>
              <w:t xml:space="preserve"> 1</w:t>
            </w:r>
          </w:p>
        </w:tc>
        <w:tc>
          <w:tcPr>
            <w:tcW w:w="1074" w:type="dxa"/>
            <w:hideMark/>
          </w:tcPr>
          <w:p w14:paraId="60E5429A" w14:textId="59211D27" w:rsidR="0095685F" w:rsidRPr="00BC0E10" w:rsidRDefault="0095685F" w:rsidP="0095685F">
            <w:pPr>
              <w:pStyle w:val="TableText"/>
              <w:keepNext/>
              <w:jc w:val="center"/>
              <w:rPr>
                <w:highlight w:val="yellow"/>
              </w:rPr>
            </w:pPr>
            <w:r w:rsidRPr="000B5426">
              <w:t>$</w:t>
            </w:r>
            <w:r w:rsidRPr="000B5426">
              <w:rPr>
                <w:b/>
                <w:bCs/>
              </w:rPr>
              <w:t>redacted</w:t>
            </w:r>
            <w:r w:rsidR="58583771" w:rsidRPr="10812078">
              <w:rPr>
                <w:vertAlign w:val="superscript"/>
              </w:rPr>
              <w:t xml:space="preserve"> 2</w:t>
            </w:r>
          </w:p>
        </w:tc>
        <w:tc>
          <w:tcPr>
            <w:tcW w:w="516" w:type="dxa"/>
            <w:hideMark/>
          </w:tcPr>
          <w:p w14:paraId="5639095A" w14:textId="77777777" w:rsidR="0095685F" w:rsidRPr="00102634" w:rsidRDefault="0095685F" w:rsidP="0095685F">
            <w:pPr>
              <w:pStyle w:val="TableText"/>
              <w:keepNext/>
              <w:jc w:val="center"/>
            </w:pPr>
            <w:r w:rsidRPr="00102634">
              <w:t>-4%</w:t>
            </w:r>
          </w:p>
        </w:tc>
      </w:tr>
      <w:tr w:rsidR="005D6D39" w:rsidRPr="00102634" w14:paraId="265A77C7" w14:textId="77777777">
        <w:trPr>
          <w:trHeight w:val="20"/>
        </w:trPr>
        <w:tc>
          <w:tcPr>
            <w:tcW w:w="9016" w:type="dxa"/>
            <w:gridSpan w:val="9"/>
            <w:noWrap/>
            <w:hideMark/>
          </w:tcPr>
          <w:p w14:paraId="729056AF" w14:textId="77777777" w:rsidR="005D6D39" w:rsidRPr="00102634" w:rsidRDefault="005D6D39">
            <w:pPr>
              <w:pStyle w:val="TableText"/>
              <w:keepNext/>
              <w:rPr>
                <w:b/>
                <w:bCs/>
              </w:rPr>
            </w:pPr>
            <w:r w:rsidRPr="00102634">
              <w:rPr>
                <w:b/>
                <w:bCs/>
              </w:rPr>
              <w:t>SA4: Incorporate 88% of patients who progress from 1L to 2L (base case = did not apply)</w:t>
            </w:r>
          </w:p>
        </w:tc>
      </w:tr>
      <w:tr w:rsidR="0095685F" w:rsidRPr="00102634" w14:paraId="5F0457D0" w14:textId="77777777">
        <w:trPr>
          <w:trHeight w:val="20"/>
        </w:trPr>
        <w:tc>
          <w:tcPr>
            <w:tcW w:w="988" w:type="dxa"/>
            <w:noWrap/>
            <w:hideMark/>
          </w:tcPr>
          <w:p w14:paraId="4F5060A4" w14:textId="77777777" w:rsidR="0095685F" w:rsidRPr="00102634" w:rsidRDefault="0095685F" w:rsidP="0095685F">
            <w:pPr>
              <w:pStyle w:val="TableText"/>
              <w:keepNext/>
            </w:pPr>
            <w:r w:rsidRPr="00102634">
              <w:t>Cost MBS</w:t>
            </w:r>
          </w:p>
        </w:tc>
        <w:tc>
          <w:tcPr>
            <w:tcW w:w="1073" w:type="dxa"/>
            <w:hideMark/>
          </w:tcPr>
          <w:p w14:paraId="59984A0B" w14:textId="66685155" w:rsidR="0095685F" w:rsidRPr="00BC0E10" w:rsidRDefault="0095685F" w:rsidP="0095685F">
            <w:pPr>
              <w:pStyle w:val="TableText"/>
              <w:keepNext/>
              <w:jc w:val="center"/>
              <w:rPr>
                <w:highlight w:val="yellow"/>
              </w:rPr>
            </w:pPr>
            <w:r w:rsidRPr="008105DD">
              <w:t>$</w:t>
            </w:r>
            <w:r w:rsidRPr="008105DD">
              <w:rPr>
                <w:b/>
                <w:bCs/>
              </w:rPr>
              <w:t>redacted</w:t>
            </w:r>
            <w:r w:rsidR="7EA406D7" w:rsidRPr="10812078">
              <w:rPr>
                <w:vertAlign w:val="superscript"/>
              </w:rPr>
              <w:t xml:space="preserve"> 1</w:t>
            </w:r>
          </w:p>
        </w:tc>
        <w:tc>
          <w:tcPr>
            <w:tcW w:w="1073" w:type="dxa"/>
            <w:hideMark/>
          </w:tcPr>
          <w:p w14:paraId="425D795D" w14:textId="4B0526DC" w:rsidR="0095685F" w:rsidRPr="00BC0E10" w:rsidRDefault="0095685F" w:rsidP="0095685F">
            <w:pPr>
              <w:pStyle w:val="TableText"/>
              <w:keepNext/>
              <w:jc w:val="center"/>
              <w:rPr>
                <w:highlight w:val="yellow"/>
              </w:rPr>
            </w:pPr>
            <w:r w:rsidRPr="008105DD">
              <w:t>$</w:t>
            </w:r>
            <w:r w:rsidRPr="008105DD">
              <w:rPr>
                <w:b/>
                <w:bCs/>
              </w:rPr>
              <w:t>redacted</w:t>
            </w:r>
            <w:r w:rsidR="74D8E014" w:rsidRPr="10812078">
              <w:rPr>
                <w:vertAlign w:val="superscript"/>
              </w:rPr>
              <w:t xml:space="preserve"> 1</w:t>
            </w:r>
          </w:p>
        </w:tc>
        <w:tc>
          <w:tcPr>
            <w:tcW w:w="1073" w:type="dxa"/>
            <w:hideMark/>
          </w:tcPr>
          <w:p w14:paraId="1705B7CF" w14:textId="1FB09EDD" w:rsidR="0095685F" w:rsidRPr="00BC0E10" w:rsidRDefault="0095685F" w:rsidP="0095685F">
            <w:pPr>
              <w:pStyle w:val="TableText"/>
              <w:keepNext/>
              <w:jc w:val="center"/>
              <w:rPr>
                <w:highlight w:val="yellow"/>
              </w:rPr>
            </w:pPr>
            <w:r w:rsidRPr="008105DD">
              <w:t>$</w:t>
            </w:r>
            <w:r w:rsidRPr="008105DD">
              <w:rPr>
                <w:b/>
                <w:bCs/>
              </w:rPr>
              <w:t>redacted</w:t>
            </w:r>
            <w:r w:rsidR="257CFB1F" w:rsidRPr="10812078">
              <w:rPr>
                <w:vertAlign w:val="superscript"/>
              </w:rPr>
              <w:t xml:space="preserve"> 1</w:t>
            </w:r>
          </w:p>
        </w:tc>
        <w:tc>
          <w:tcPr>
            <w:tcW w:w="1073" w:type="dxa"/>
            <w:hideMark/>
          </w:tcPr>
          <w:p w14:paraId="51693D91" w14:textId="55CB4F10" w:rsidR="0095685F" w:rsidRPr="00BC0E10" w:rsidRDefault="0095685F" w:rsidP="0095685F">
            <w:pPr>
              <w:pStyle w:val="TableText"/>
              <w:keepNext/>
              <w:jc w:val="center"/>
              <w:rPr>
                <w:highlight w:val="yellow"/>
              </w:rPr>
            </w:pPr>
            <w:r w:rsidRPr="008105DD">
              <w:t>$</w:t>
            </w:r>
            <w:r w:rsidRPr="008105DD">
              <w:rPr>
                <w:b/>
                <w:bCs/>
              </w:rPr>
              <w:t>redacted</w:t>
            </w:r>
            <w:r w:rsidR="2B516653" w:rsidRPr="10812078">
              <w:rPr>
                <w:vertAlign w:val="superscript"/>
              </w:rPr>
              <w:t xml:space="preserve"> 1</w:t>
            </w:r>
          </w:p>
        </w:tc>
        <w:tc>
          <w:tcPr>
            <w:tcW w:w="1073" w:type="dxa"/>
            <w:hideMark/>
          </w:tcPr>
          <w:p w14:paraId="4D6BB473" w14:textId="73A4FD4A" w:rsidR="0095685F" w:rsidRPr="00BC0E10" w:rsidRDefault="0095685F" w:rsidP="0095685F">
            <w:pPr>
              <w:pStyle w:val="TableText"/>
              <w:keepNext/>
              <w:jc w:val="center"/>
              <w:rPr>
                <w:highlight w:val="yellow"/>
              </w:rPr>
            </w:pPr>
            <w:r w:rsidRPr="008105DD">
              <w:t>$</w:t>
            </w:r>
            <w:r w:rsidRPr="008105DD">
              <w:rPr>
                <w:b/>
                <w:bCs/>
              </w:rPr>
              <w:t>redacted</w:t>
            </w:r>
            <w:r w:rsidR="1A03E2F5" w:rsidRPr="10812078">
              <w:rPr>
                <w:vertAlign w:val="superscript"/>
              </w:rPr>
              <w:t xml:space="preserve"> 1</w:t>
            </w:r>
          </w:p>
        </w:tc>
        <w:tc>
          <w:tcPr>
            <w:tcW w:w="1073" w:type="dxa"/>
            <w:hideMark/>
          </w:tcPr>
          <w:p w14:paraId="37F67246" w14:textId="1B95EFFA" w:rsidR="0095685F" w:rsidRPr="00BC0E10" w:rsidRDefault="0095685F" w:rsidP="0095685F">
            <w:pPr>
              <w:pStyle w:val="TableText"/>
              <w:keepNext/>
              <w:jc w:val="center"/>
              <w:rPr>
                <w:highlight w:val="yellow"/>
              </w:rPr>
            </w:pPr>
            <w:r w:rsidRPr="008105DD">
              <w:t>$</w:t>
            </w:r>
            <w:r w:rsidRPr="008105DD">
              <w:rPr>
                <w:b/>
                <w:bCs/>
              </w:rPr>
              <w:t>redacted</w:t>
            </w:r>
            <w:r w:rsidR="2EE265AF" w:rsidRPr="10812078">
              <w:rPr>
                <w:vertAlign w:val="superscript"/>
              </w:rPr>
              <w:t xml:space="preserve"> 1</w:t>
            </w:r>
          </w:p>
        </w:tc>
        <w:tc>
          <w:tcPr>
            <w:tcW w:w="1074" w:type="dxa"/>
            <w:hideMark/>
          </w:tcPr>
          <w:p w14:paraId="048AC0C0" w14:textId="62241978" w:rsidR="0095685F" w:rsidRPr="00BC0E10" w:rsidRDefault="0095685F" w:rsidP="0095685F">
            <w:pPr>
              <w:pStyle w:val="TableText"/>
              <w:keepNext/>
              <w:jc w:val="center"/>
              <w:rPr>
                <w:highlight w:val="yellow"/>
              </w:rPr>
            </w:pPr>
            <w:r w:rsidRPr="008105DD">
              <w:t>$</w:t>
            </w:r>
            <w:r w:rsidRPr="008105DD">
              <w:rPr>
                <w:b/>
                <w:bCs/>
              </w:rPr>
              <w:t>redacted</w:t>
            </w:r>
            <w:r w:rsidR="464B25C7" w:rsidRPr="10812078">
              <w:rPr>
                <w:vertAlign w:val="superscript"/>
              </w:rPr>
              <w:t xml:space="preserve"> 2</w:t>
            </w:r>
          </w:p>
        </w:tc>
        <w:tc>
          <w:tcPr>
            <w:tcW w:w="516" w:type="dxa"/>
            <w:hideMark/>
          </w:tcPr>
          <w:p w14:paraId="5A1126A4" w14:textId="77777777" w:rsidR="0095685F" w:rsidRPr="00102634" w:rsidRDefault="0095685F" w:rsidP="0095685F">
            <w:pPr>
              <w:pStyle w:val="TableText"/>
              <w:keepNext/>
              <w:jc w:val="center"/>
            </w:pPr>
            <w:r w:rsidRPr="00102634">
              <w:t>-10%</w:t>
            </w:r>
          </w:p>
        </w:tc>
      </w:tr>
      <w:tr w:rsidR="005D6D39" w:rsidRPr="00102634" w14:paraId="3E0E09B2" w14:textId="77777777">
        <w:trPr>
          <w:trHeight w:val="20"/>
        </w:trPr>
        <w:tc>
          <w:tcPr>
            <w:tcW w:w="9016" w:type="dxa"/>
            <w:gridSpan w:val="9"/>
            <w:noWrap/>
          </w:tcPr>
          <w:p w14:paraId="12C581B7" w14:textId="10611FD0" w:rsidR="005D6D39" w:rsidRPr="00102634" w:rsidRDefault="005D6D39">
            <w:pPr>
              <w:pStyle w:val="TableText"/>
              <w:keepNext/>
              <w:rPr>
                <w:b/>
                <w:bCs/>
              </w:rPr>
            </w:pPr>
            <w:r w:rsidRPr="00102634">
              <w:rPr>
                <w:b/>
                <w:bCs/>
              </w:rPr>
              <w:t>SA5: SA</w:t>
            </w:r>
            <w:r w:rsidR="00527C0A">
              <w:rPr>
                <w:b/>
                <w:bCs/>
              </w:rPr>
              <w:t>3</w:t>
            </w:r>
            <w:r w:rsidRPr="00102634">
              <w:rPr>
                <w:b/>
                <w:bCs/>
              </w:rPr>
              <w:t>+SA</w:t>
            </w:r>
            <w:r w:rsidR="00527C0A">
              <w:rPr>
                <w:b/>
                <w:bCs/>
              </w:rPr>
              <w:t>4</w:t>
            </w:r>
          </w:p>
        </w:tc>
      </w:tr>
      <w:tr w:rsidR="0095685F" w:rsidRPr="00102634" w14:paraId="1C67C804" w14:textId="77777777">
        <w:trPr>
          <w:trHeight w:val="20"/>
        </w:trPr>
        <w:tc>
          <w:tcPr>
            <w:tcW w:w="988" w:type="dxa"/>
            <w:noWrap/>
          </w:tcPr>
          <w:p w14:paraId="538C621A" w14:textId="77777777" w:rsidR="0095685F" w:rsidRPr="00102634" w:rsidRDefault="0095685F" w:rsidP="0095685F">
            <w:pPr>
              <w:pStyle w:val="TableText"/>
              <w:keepNext/>
            </w:pPr>
            <w:r w:rsidRPr="00102634">
              <w:t>Cost MBS</w:t>
            </w:r>
          </w:p>
        </w:tc>
        <w:tc>
          <w:tcPr>
            <w:tcW w:w="1073" w:type="dxa"/>
          </w:tcPr>
          <w:p w14:paraId="4B9C5D7B" w14:textId="1DF1EDA8" w:rsidR="0095685F" w:rsidRPr="00BC0E10" w:rsidRDefault="0095685F" w:rsidP="0095685F">
            <w:pPr>
              <w:pStyle w:val="TableText"/>
              <w:keepNext/>
              <w:jc w:val="center"/>
              <w:rPr>
                <w:highlight w:val="yellow"/>
              </w:rPr>
            </w:pPr>
            <w:r w:rsidRPr="00883F1E">
              <w:t>$</w:t>
            </w:r>
            <w:r w:rsidRPr="00883F1E">
              <w:rPr>
                <w:b/>
                <w:bCs/>
              </w:rPr>
              <w:t>redacted</w:t>
            </w:r>
            <w:r w:rsidR="353A63FA" w:rsidRPr="10812078">
              <w:rPr>
                <w:vertAlign w:val="superscript"/>
              </w:rPr>
              <w:t xml:space="preserve"> 1</w:t>
            </w:r>
          </w:p>
        </w:tc>
        <w:tc>
          <w:tcPr>
            <w:tcW w:w="1073" w:type="dxa"/>
          </w:tcPr>
          <w:p w14:paraId="48BB0FF3" w14:textId="6537106F" w:rsidR="0095685F" w:rsidRPr="00BC0E10" w:rsidRDefault="0095685F" w:rsidP="0095685F">
            <w:pPr>
              <w:pStyle w:val="TableText"/>
              <w:keepNext/>
              <w:jc w:val="center"/>
              <w:rPr>
                <w:highlight w:val="yellow"/>
              </w:rPr>
            </w:pPr>
            <w:r w:rsidRPr="00883F1E">
              <w:t>$</w:t>
            </w:r>
            <w:r w:rsidRPr="00883F1E">
              <w:rPr>
                <w:b/>
                <w:bCs/>
              </w:rPr>
              <w:t>redacted</w:t>
            </w:r>
            <w:r w:rsidR="0F4E1AA4" w:rsidRPr="10812078">
              <w:rPr>
                <w:vertAlign w:val="superscript"/>
              </w:rPr>
              <w:t xml:space="preserve"> 1</w:t>
            </w:r>
          </w:p>
        </w:tc>
        <w:tc>
          <w:tcPr>
            <w:tcW w:w="1073" w:type="dxa"/>
          </w:tcPr>
          <w:p w14:paraId="4B5FB611" w14:textId="0C7E5A54" w:rsidR="0095685F" w:rsidRPr="00BC0E10" w:rsidRDefault="0095685F" w:rsidP="0095685F">
            <w:pPr>
              <w:pStyle w:val="TableText"/>
              <w:keepNext/>
              <w:jc w:val="center"/>
              <w:rPr>
                <w:highlight w:val="yellow"/>
              </w:rPr>
            </w:pPr>
            <w:r w:rsidRPr="00883F1E">
              <w:t>$</w:t>
            </w:r>
            <w:r w:rsidRPr="00883F1E">
              <w:rPr>
                <w:b/>
                <w:bCs/>
              </w:rPr>
              <w:t>redacted</w:t>
            </w:r>
            <w:r w:rsidR="41425079" w:rsidRPr="10812078">
              <w:rPr>
                <w:vertAlign w:val="superscript"/>
              </w:rPr>
              <w:t xml:space="preserve"> 1</w:t>
            </w:r>
          </w:p>
        </w:tc>
        <w:tc>
          <w:tcPr>
            <w:tcW w:w="1073" w:type="dxa"/>
          </w:tcPr>
          <w:p w14:paraId="31D88D62" w14:textId="665C007C" w:rsidR="0095685F" w:rsidRPr="00BC0E10" w:rsidRDefault="0095685F" w:rsidP="0095685F">
            <w:pPr>
              <w:pStyle w:val="TableText"/>
              <w:keepNext/>
              <w:jc w:val="center"/>
              <w:rPr>
                <w:highlight w:val="yellow"/>
              </w:rPr>
            </w:pPr>
            <w:r w:rsidRPr="00883F1E">
              <w:t>$</w:t>
            </w:r>
            <w:r w:rsidRPr="00883F1E">
              <w:rPr>
                <w:b/>
                <w:bCs/>
              </w:rPr>
              <w:t>redacted</w:t>
            </w:r>
            <w:r w:rsidR="017B8738" w:rsidRPr="10812078">
              <w:rPr>
                <w:vertAlign w:val="superscript"/>
              </w:rPr>
              <w:t xml:space="preserve"> 1</w:t>
            </w:r>
          </w:p>
        </w:tc>
        <w:tc>
          <w:tcPr>
            <w:tcW w:w="1073" w:type="dxa"/>
          </w:tcPr>
          <w:p w14:paraId="5BB4AEF5" w14:textId="728B892F" w:rsidR="0095685F" w:rsidRPr="00BC0E10" w:rsidRDefault="0095685F" w:rsidP="0095685F">
            <w:pPr>
              <w:pStyle w:val="TableText"/>
              <w:keepNext/>
              <w:jc w:val="center"/>
              <w:rPr>
                <w:highlight w:val="yellow"/>
              </w:rPr>
            </w:pPr>
            <w:r w:rsidRPr="00883F1E">
              <w:t>$</w:t>
            </w:r>
            <w:r w:rsidRPr="00883F1E">
              <w:rPr>
                <w:b/>
                <w:bCs/>
              </w:rPr>
              <w:t>redacted</w:t>
            </w:r>
            <w:r w:rsidR="445CD340" w:rsidRPr="10812078">
              <w:rPr>
                <w:vertAlign w:val="superscript"/>
              </w:rPr>
              <w:t xml:space="preserve"> 1</w:t>
            </w:r>
          </w:p>
        </w:tc>
        <w:tc>
          <w:tcPr>
            <w:tcW w:w="1073" w:type="dxa"/>
          </w:tcPr>
          <w:p w14:paraId="3DA8DC59" w14:textId="6E1ABEBE" w:rsidR="0095685F" w:rsidRPr="00BC0E10" w:rsidRDefault="0095685F" w:rsidP="0095685F">
            <w:pPr>
              <w:pStyle w:val="TableText"/>
              <w:keepNext/>
              <w:jc w:val="center"/>
              <w:rPr>
                <w:highlight w:val="yellow"/>
              </w:rPr>
            </w:pPr>
            <w:r w:rsidRPr="00883F1E">
              <w:t>$</w:t>
            </w:r>
            <w:r w:rsidRPr="00883F1E">
              <w:rPr>
                <w:b/>
                <w:bCs/>
              </w:rPr>
              <w:t>redacted</w:t>
            </w:r>
            <w:r w:rsidR="33196DC0" w:rsidRPr="10812078">
              <w:rPr>
                <w:vertAlign w:val="superscript"/>
              </w:rPr>
              <w:t xml:space="preserve"> 1</w:t>
            </w:r>
          </w:p>
        </w:tc>
        <w:tc>
          <w:tcPr>
            <w:tcW w:w="1074" w:type="dxa"/>
          </w:tcPr>
          <w:p w14:paraId="121A1907" w14:textId="131463CE" w:rsidR="0095685F" w:rsidRPr="00BC0E10" w:rsidRDefault="0095685F" w:rsidP="0095685F">
            <w:pPr>
              <w:pStyle w:val="TableText"/>
              <w:keepNext/>
              <w:jc w:val="center"/>
              <w:rPr>
                <w:highlight w:val="yellow"/>
              </w:rPr>
            </w:pPr>
            <w:r w:rsidRPr="00883F1E">
              <w:t>$</w:t>
            </w:r>
            <w:r w:rsidRPr="00883F1E">
              <w:rPr>
                <w:b/>
                <w:bCs/>
              </w:rPr>
              <w:t>redacted</w:t>
            </w:r>
            <w:r w:rsidR="67FDCD31" w:rsidRPr="10812078">
              <w:rPr>
                <w:vertAlign w:val="superscript"/>
              </w:rPr>
              <w:t xml:space="preserve"> 2</w:t>
            </w:r>
          </w:p>
        </w:tc>
        <w:tc>
          <w:tcPr>
            <w:tcW w:w="516" w:type="dxa"/>
          </w:tcPr>
          <w:p w14:paraId="0E3EDB17" w14:textId="77777777" w:rsidR="0095685F" w:rsidRPr="00102634" w:rsidRDefault="0095685F" w:rsidP="0095685F">
            <w:pPr>
              <w:pStyle w:val="TableText"/>
              <w:keepNext/>
              <w:jc w:val="center"/>
            </w:pPr>
            <w:r w:rsidRPr="00102634">
              <w:t>-14%</w:t>
            </w:r>
          </w:p>
        </w:tc>
      </w:tr>
    </w:tbl>
    <w:p w14:paraId="4941C65B" w14:textId="77777777" w:rsidR="005D6D39" w:rsidRPr="00102634" w:rsidRDefault="005D6D39" w:rsidP="005D6D39">
      <w:pPr>
        <w:pStyle w:val="TableFigureFooter"/>
        <w:keepNext/>
      </w:pPr>
      <w:r w:rsidRPr="00102634">
        <w:t xml:space="preserve">Source: constructed during the evaluation from pp254-6 of the submission; and the financial workbook </w:t>
      </w:r>
    </w:p>
    <w:p w14:paraId="319B391F" w14:textId="0A204F72" w:rsidR="005D6D39" w:rsidRPr="00102634" w:rsidRDefault="005D6D39" w:rsidP="005D6D39">
      <w:pPr>
        <w:pStyle w:val="TableFigureFooter"/>
        <w:keepNext/>
      </w:pPr>
      <w:r w:rsidRPr="00102634">
        <w:t xml:space="preserve">MBS = Medicare Benefits Schedule; PBS = Pharmaceutical Benefits Scheme; SA = sensitivity analysis; </w:t>
      </w:r>
      <w:proofErr w:type="spellStart"/>
      <w:r w:rsidRPr="00102634">
        <w:t>tx</w:t>
      </w:r>
      <w:proofErr w:type="spellEnd"/>
      <w:r w:rsidRPr="00102634">
        <w:t xml:space="preserve"> = treatment; 1L = first line setting; yr = year</w:t>
      </w:r>
      <w:r w:rsidR="006E5379">
        <w:t xml:space="preserve">; </w:t>
      </w:r>
      <w:r w:rsidR="006E5379" w:rsidRPr="006E5379">
        <w:t>%Δ</w:t>
      </w:r>
      <w:r w:rsidR="006E5379">
        <w:t xml:space="preserve"> = </w:t>
      </w:r>
      <w:r w:rsidR="006818AD">
        <w:t>perce</w:t>
      </w:r>
      <w:r w:rsidR="003F39B6">
        <w:t>n</w:t>
      </w:r>
      <w:r w:rsidR="006818AD">
        <w:t>tage</w:t>
      </w:r>
      <w:r w:rsidRPr="00102634">
        <w:t xml:space="preserve"> change from the submission’s base case </w:t>
      </w:r>
      <w:r w:rsidR="006818AD">
        <w:t xml:space="preserve">total </w:t>
      </w:r>
      <w:r w:rsidR="006E5379">
        <w:t>MBS</w:t>
      </w:r>
      <w:r w:rsidR="006E5379" w:rsidRPr="00102634">
        <w:t xml:space="preserve"> </w:t>
      </w:r>
      <w:r w:rsidRPr="00102634">
        <w:t>costs</w:t>
      </w:r>
    </w:p>
    <w:p w14:paraId="2AEB324E" w14:textId="77777777" w:rsidR="005D6D39" w:rsidRPr="00102634" w:rsidRDefault="005D6D39" w:rsidP="005D6D39">
      <w:pPr>
        <w:pStyle w:val="TableFigureFooter"/>
        <w:keepNext/>
      </w:pPr>
      <w:r w:rsidRPr="00102634">
        <w:t>SA1 = test uptake rate 80% Year 1, 85% Year 2, 90% Year 3, 95% Year 4-6</w:t>
      </w:r>
    </w:p>
    <w:p w14:paraId="1BF59E39" w14:textId="77777777" w:rsidR="005D6D39" w:rsidRPr="00102634" w:rsidRDefault="005D6D39" w:rsidP="005D6D39">
      <w:pPr>
        <w:pStyle w:val="TableFigureFooter"/>
        <w:keepNext/>
      </w:pPr>
      <w:r w:rsidRPr="00102634">
        <w:t>SA2 = test uptake rate 95% in Year 1-6</w:t>
      </w:r>
    </w:p>
    <w:p w14:paraId="38C3B9EA" w14:textId="77777777" w:rsidR="005D6D39" w:rsidRPr="00102634" w:rsidRDefault="005D6D39" w:rsidP="005D6D39">
      <w:pPr>
        <w:pStyle w:val="TableFigureFooter"/>
        <w:keepNext/>
      </w:pPr>
      <w:r w:rsidRPr="00102634">
        <w:t xml:space="preserve">SA3 = MBS fee to incorporate Greatest Permissible Gap </w:t>
      </w:r>
      <w:r w:rsidRPr="0095685F">
        <w:t>($98.70) = $2,101.3.</w:t>
      </w:r>
    </w:p>
    <w:p w14:paraId="47C00B3E" w14:textId="77777777" w:rsidR="005D6D39" w:rsidRPr="00102634" w:rsidRDefault="005D6D39" w:rsidP="005D6D39">
      <w:pPr>
        <w:pStyle w:val="TableFigureFooter"/>
        <w:keepNext/>
      </w:pPr>
      <w:r w:rsidRPr="00102634">
        <w:t xml:space="preserve">SA4 = adjust MBS cost offset calculation to incorporate patients who progress from 1L to 2L (88%) and therefore are eligible for testing </w:t>
      </w:r>
    </w:p>
    <w:p w14:paraId="47B6BF1E" w14:textId="7F4C3EF6" w:rsidR="10812078" w:rsidRDefault="005D6D39" w:rsidP="00824FA5">
      <w:pPr>
        <w:pStyle w:val="TableFigureFooter"/>
        <w:keepNext/>
      </w:pPr>
      <w:r w:rsidRPr="00102634">
        <w:t>SA5: SA</w:t>
      </w:r>
      <w:r w:rsidR="00527C0A">
        <w:t>3</w:t>
      </w:r>
      <w:r w:rsidRPr="00102634">
        <w:t>+SA</w:t>
      </w:r>
      <w:r w:rsidR="00527C0A">
        <w:t>4</w:t>
      </w:r>
    </w:p>
    <w:p w14:paraId="12C50BF9" w14:textId="033B91C8" w:rsidR="400B4369" w:rsidRDefault="63CDF81C" w:rsidP="00824FA5">
      <w:pPr>
        <w:pStyle w:val="TableFigureFooter"/>
        <w:spacing w:before="240"/>
        <w:rPr>
          <w:b/>
          <w:bCs/>
        </w:rPr>
      </w:pPr>
      <w:r>
        <w:t>The redacted values correspond to the following ranges:</w:t>
      </w:r>
    </w:p>
    <w:p w14:paraId="44FF3D44" w14:textId="6802C2C4" w:rsidR="63CDF81C" w:rsidRDefault="63CDF81C" w:rsidP="10812078">
      <w:pPr>
        <w:pStyle w:val="TableFigureFooter"/>
      </w:pPr>
      <w:r w:rsidRPr="10812078">
        <w:rPr>
          <w:vertAlign w:val="superscript"/>
        </w:rPr>
        <w:t xml:space="preserve">1 </w:t>
      </w:r>
      <w:r w:rsidRPr="10812078">
        <w:t>$0 to &lt;$10 million</w:t>
      </w:r>
    </w:p>
    <w:p w14:paraId="2BE75582" w14:textId="2FE21C39" w:rsidR="10812078" w:rsidRDefault="63CDF81C" w:rsidP="00824FA5">
      <w:pPr>
        <w:pStyle w:val="TableFigureFooter"/>
        <w:keepNext/>
        <w:keepLines/>
        <w:widowControl w:val="0"/>
      </w:pPr>
      <w:r w:rsidRPr="10812078">
        <w:rPr>
          <w:vertAlign w:val="superscript"/>
        </w:rPr>
        <w:t xml:space="preserve">2 </w:t>
      </w:r>
      <w:r>
        <w:t>$20 million to &lt;$30 million</w:t>
      </w:r>
    </w:p>
    <w:p w14:paraId="0D740353" w14:textId="5877BF4D" w:rsidR="005D6D39" w:rsidRPr="00C24C30" w:rsidRDefault="005D6D39" w:rsidP="005D6D39">
      <w:pPr>
        <w:rPr>
          <w:rFonts w:ascii="Franklin Gothic Book" w:hAnsi="Franklin Gothic Book"/>
          <w:sz w:val="22"/>
        </w:rPr>
      </w:pPr>
      <w:r w:rsidRPr="00C24C30">
        <w:rPr>
          <w:rFonts w:ascii="Franklin Gothic Book" w:hAnsi="Franklin Gothic Book"/>
          <w:sz w:val="22"/>
        </w:rPr>
        <w:t xml:space="preserve">When the 88% of patients who progress from the 1L to 2L setting and the Greatest Permissible </w:t>
      </w:r>
      <w:r w:rsidRPr="0095685F">
        <w:rPr>
          <w:rFonts w:ascii="Franklin Gothic Book" w:hAnsi="Franklin Gothic Book"/>
          <w:sz w:val="22"/>
        </w:rPr>
        <w:t>Gap ($98.70) were applied in an analysis during the evaluation, the net MBS cost decreased by 14% ($</w:t>
      </w:r>
      <w:r w:rsidR="5FCE7EF2" w:rsidRPr="10812078">
        <w:rPr>
          <w:rFonts w:ascii="Franklin Gothic Book" w:hAnsi="Franklin Gothic Book"/>
          <w:sz w:val="22"/>
        </w:rPr>
        <w:t xml:space="preserve">0 to &lt;$10 million </w:t>
      </w:r>
      <w:r w:rsidRPr="0095685F">
        <w:rPr>
          <w:rFonts w:ascii="Franklin Gothic Book" w:hAnsi="Franklin Gothic Book"/>
          <w:sz w:val="22"/>
        </w:rPr>
        <w:t>in Year 1 increasing to $</w:t>
      </w:r>
      <w:r w:rsidR="1E061BB4" w:rsidRPr="10812078">
        <w:rPr>
          <w:rFonts w:ascii="Franklin Gothic Book" w:hAnsi="Franklin Gothic Book"/>
          <w:sz w:val="22"/>
        </w:rPr>
        <w:t xml:space="preserve">0 to &lt;$10 million </w:t>
      </w:r>
      <w:r w:rsidRPr="0095685F">
        <w:rPr>
          <w:rFonts w:ascii="Franklin Gothic Book" w:hAnsi="Franklin Gothic Book"/>
          <w:sz w:val="22"/>
        </w:rPr>
        <w:t>in Year</w:t>
      </w:r>
      <w:r w:rsidRPr="00C24C30">
        <w:rPr>
          <w:rFonts w:ascii="Franklin Gothic Book" w:hAnsi="Franklin Gothic Book"/>
          <w:sz w:val="22"/>
        </w:rPr>
        <w:t xml:space="preserve"> 6). </w:t>
      </w:r>
    </w:p>
    <w:p w14:paraId="36B03B14" w14:textId="6907F5AB" w:rsidR="005D6D39" w:rsidRPr="00C24C30" w:rsidRDefault="005D6D39" w:rsidP="00907A9A">
      <w:pPr>
        <w:rPr>
          <w:rFonts w:ascii="Franklin Gothic Book" w:hAnsi="Franklin Gothic Book"/>
          <w:sz w:val="22"/>
        </w:rPr>
      </w:pPr>
      <w:r w:rsidRPr="00C24C30">
        <w:rPr>
          <w:rFonts w:ascii="Franklin Gothic Book" w:hAnsi="Franklin Gothic Book"/>
          <w:sz w:val="22"/>
        </w:rPr>
        <w:t>Overall, the net financial implications were considered uncertain by the commentary</w:t>
      </w:r>
      <w:r w:rsidR="53E91C8C" w:rsidRPr="00C24C30">
        <w:rPr>
          <w:rFonts w:ascii="Franklin Gothic Book" w:hAnsi="Franklin Gothic Book"/>
          <w:sz w:val="22"/>
        </w:rPr>
        <w:t>, with costs potentially underestimated</w:t>
      </w:r>
      <w:r w:rsidRPr="00C24C30">
        <w:rPr>
          <w:rFonts w:ascii="Franklin Gothic Book" w:hAnsi="Franklin Gothic Book"/>
          <w:sz w:val="22"/>
        </w:rPr>
        <w:t xml:space="preserve"> since:</w:t>
      </w:r>
    </w:p>
    <w:p w14:paraId="5A40EDA0" w14:textId="3BA128D9"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The estimates of patients on a 1L CDK4/6 inhibitor that were claimed to be based on the DUSC estimates could not be verified</w:t>
      </w:r>
      <w:r w:rsidR="29AB0D7F" w:rsidRPr="00C24C30">
        <w:rPr>
          <w:rFonts w:ascii="Franklin Gothic Book" w:hAnsi="Franklin Gothic Book"/>
          <w:sz w:val="22"/>
        </w:rPr>
        <w:t>.</w:t>
      </w:r>
      <w:r w:rsidRPr="00C24C30">
        <w:rPr>
          <w:rFonts w:ascii="Franklin Gothic Book" w:hAnsi="Franklin Gothic Book"/>
          <w:sz w:val="22"/>
        </w:rPr>
        <w:t xml:space="preserve"> </w:t>
      </w:r>
    </w:p>
    <w:p w14:paraId="122FFF5B" w14:textId="5F81268F" w:rsidR="005D6D39" w:rsidRPr="00C24C30" w:rsidRDefault="005D6D39" w:rsidP="005D6D39">
      <w:pPr>
        <w:pStyle w:val="MainBodyBulletPoint"/>
        <w:jc w:val="both"/>
        <w:rPr>
          <w:rFonts w:ascii="Franklin Gothic Book" w:hAnsi="Franklin Gothic Book"/>
          <w:sz w:val="22"/>
        </w:rPr>
      </w:pPr>
      <w:r w:rsidRPr="00C24C30">
        <w:rPr>
          <w:rFonts w:ascii="Franklin Gothic Book" w:hAnsi="Franklin Gothic Book"/>
          <w:sz w:val="22"/>
        </w:rPr>
        <w:t>The test uptake rate in the first two years of listing may be higher in practice given that genetic testing in breast cancer is common practice</w:t>
      </w:r>
      <w:r w:rsidR="5B443BF0" w:rsidRPr="00C24C30">
        <w:rPr>
          <w:rFonts w:ascii="Franklin Gothic Book" w:hAnsi="Franklin Gothic Book"/>
          <w:sz w:val="22"/>
        </w:rPr>
        <w:t>,</w:t>
      </w:r>
      <w:r w:rsidRPr="00C24C30">
        <w:rPr>
          <w:rFonts w:ascii="Franklin Gothic Book" w:hAnsi="Franklin Gothic Book"/>
          <w:sz w:val="22"/>
        </w:rPr>
        <w:t xml:space="preserve"> and the submission excluded patients who could have </w:t>
      </w:r>
      <w:r w:rsidR="006818AD" w:rsidRPr="00C24C30">
        <w:rPr>
          <w:rFonts w:ascii="Franklin Gothic Book" w:hAnsi="Franklin Gothic Book"/>
          <w:sz w:val="22"/>
        </w:rPr>
        <w:t xml:space="preserve">been </w:t>
      </w:r>
      <w:r w:rsidRPr="00C24C30">
        <w:rPr>
          <w:rFonts w:ascii="Franklin Gothic Book" w:hAnsi="Franklin Gothic Book"/>
          <w:sz w:val="22"/>
        </w:rPr>
        <w:t>potentially</w:t>
      </w:r>
      <w:r w:rsidR="006818AD" w:rsidRPr="00C24C30">
        <w:rPr>
          <w:rFonts w:ascii="Franklin Gothic Book" w:hAnsi="Franklin Gothic Book"/>
          <w:sz w:val="22"/>
        </w:rPr>
        <w:t xml:space="preserve"> tested</w:t>
      </w:r>
      <w:r w:rsidRPr="00C24C30">
        <w:rPr>
          <w:rFonts w:ascii="Franklin Gothic Book" w:hAnsi="Franklin Gothic Book"/>
          <w:sz w:val="22"/>
        </w:rPr>
        <w:t xml:space="preserve"> in the 3L+ setting among patients who have not previously had CDK4/6 inhibitors</w:t>
      </w:r>
      <w:r w:rsidR="0AF2FBDA" w:rsidRPr="00C24C30">
        <w:rPr>
          <w:rFonts w:ascii="Franklin Gothic Book" w:hAnsi="Franklin Gothic Book"/>
          <w:sz w:val="22"/>
        </w:rPr>
        <w:t>.</w:t>
      </w:r>
      <w:r w:rsidRPr="00C24C30">
        <w:rPr>
          <w:rFonts w:ascii="Franklin Gothic Book" w:hAnsi="Franklin Gothic Book"/>
          <w:sz w:val="22"/>
        </w:rPr>
        <w:t xml:space="preserve"> </w:t>
      </w:r>
    </w:p>
    <w:p w14:paraId="56CD12E5" w14:textId="544A769E" w:rsidR="005D6D39" w:rsidRPr="00C24C30" w:rsidRDefault="005D6D39"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52" w:name="_Toc177560716"/>
      <w:r w:rsidRPr="00C24C30">
        <w:rPr>
          <w:rFonts w:ascii="Franklin Gothic Medium" w:hAnsi="Franklin Gothic Medium"/>
          <w:b w:val="0"/>
          <w:i w:val="0"/>
          <w:snapToGrid/>
          <w:color w:val="000000" w:themeColor="text1"/>
          <w:sz w:val="32"/>
          <w:szCs w:val="26"/>
        </w:rPr>
        <w:t xml:space="preserve">Other </w:t>
      </w:r>
      <w:bookmarkEnd w:id="52"/>
      <w:r w:rsidR="00C24C30" w:rsidRPr="00C24C30">
        <w:rPr>
          <w:rFonts w:ascii="Franklin Gothic Medium" w:hAnsi="Franklin Gothic Medium"/>
          <w:b w:val="0"/>
          <w:i w:val="0"/>
          <w:snapToGrid/>
          <w:color w:val="000000" w:themeColor="text1"/>
          <w:sz w:val="32"/>
          <w:szCs w:val="26"/>
        </w:rPr>
        <w:t>relevant information</w:t>
      </w:r>
    </w:p>
    <w:p w14:paraId="40F10840" w14:textId="10618F0D" w:rsidR="00C80028" w:rsidRDefault="005D6D39" w:rsidP="00C80028">
      <w:r w:rsidRPr="00102634">
        <w:t>No other significant factors were identified during the evaluation.</w:t>
      </w:r>
    </w:p>
    <w:p w14:paraId="273404D4" w14:textId="44711078" w:rsidR="00C24C30" w:rsidRPr="00C24C30" w:rsidRDefault="00C24C30"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bookmarkStart w:id="53" w:name="_Toc145678765"/>
      <w:bookmarkStart w:id="54" w:name="_Toc150172410"/>
      <w:bookmarkStart w:id="55" w:name="_Toc153462785"/>
      <w:r w:rsidRPr="00C24C30">
        <w:rPr>
          <w:rFonts w:ascii="Franklin Gothic Medium" w:hAnsi="Franklin Gothic Medium"/>
          <w:b w:val="0"/>
          <w:i w:val="0"/>
          <w:snapToGrid/>
          <w:color w:val="000000" w:themeColor="text1"/>
          <w:sz w:val="32"/>
          <w:szCs w:val="26"/>
        </w:rPr>
        <w:lastRenderedPageBreak/>
        <w:t>Key issues from ESC to MSAC</w:t>
      </w:r>
    </w:p>
    <w:bookmarkEnd w:id="53"/>
    <w:bookmarkEnd w:id="54"/>
    <w:bookmarkEnd w:id="55"/>
    <w:p w14:paraId="7147498A" w14:textId="77777777" w:rsidR="00201854" w:rsidRPr="00C24C30" w:rsidRDefault="00201854" w:rsidP="00201854">
      <w:pPr>
        <w:pStyle w:val="4-SubsectionHeading"/>
        <w:rPr>
          <w:rFonts w:ascii="Franklin Gothic Book" w:hAnsi="Franklin Gothic Book"/>
          <w:i w:val="0"/>
          <w:iCs/>
          <w:sz w:val="24"/>
          <w:szCs w:val="24"/>
        </w:rPr>
      </w:pPr>
      <w:r w:rsidRPr="00C24C30">
        <w:rPr>
          <w:rFonts w:ascii="Franklin Gothic Book" w:hAnsi="Franklin Gothic Book"/>
          <w:i w:val="0"/>
          <w:iCs/>
          <w:sz w:val="24"/>
          <w:szCs w:val="24"/>
        </w:rPr>
        <w:t>Main issues for MSAC consideration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201854" w:rsidRPr="00102634" w14:paraId="5366E9DD" w14:textId="77777777" w:rsidTr="002F0040">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auto"/>
          </w:tcPr>
          <w:p w14:paraId="56DD25FF" w14:textId="77777777" w:rsidR="00201854" w:rsidRPr="00C24C30" w:rsidRDefault="00201854" w:rsidP="002F0040">
            <w:pPr>
              <w:rPr>
                <w:rFonts w:ascii="Franklin Gothic Book" w:hAnsi="Franklin Gothic Book" w:cstheme="minorHAnsi"/>
                <w:b w:val="0"/>
                <w:iCs/>
                <w:sz w:val="22"/>
                <w:lang w:val="en-AU"/>
              </w:rPr>
            </w:pPr>
            <w:r w:rsidRPr="00C24C30">
              <w:rPr>
                <w:rFonts w:ascii="Franklin Gothic Book" w:hAnsi="Franklin Gothic Book" w:cstheme="minorHAnsi"/>
                <w:iCs/>
                <w:sz w:val="22"/>
                <w:lang w:val="en-AU"/>
              </w:rPr>
              <w:t>MBS item descriptor</w:t>
            </w:r>
          </w:p>
          <w:p w14:paraId="7D079301" w14:textId="77777777" w:rsidR="00201854" w:rsidRPr="00C24C30" w:rsidRDefault="00201854" w:rsidP="002F0040">
            <w:pPr>
              <w:pStyle w:val="MainBodyBulletPoint"/>
              <w:spacing w:before="120"/>
              <w:ind w:left="357" w:hanging="357"/>
              <w:jc w:val="both"/>
              <w:rPr>
                <w:rFonts w:ascii="Franklin Gothic Book" w:hAnsi="Franklin Gothic Book"/>
                <w:b w:val="0"/>
                <w:sz w:val="22"/>
                <w:lang w:val="en-AU"/>
              </w:rPr>
            </w:pPr>
            <w:r w:rsidRPr="00C24C30">
              <w:rPr>
                <w:rFonts w:ascii="Franklin Gothic Book" w:hAnsi="Franklin Gothic Book"/>
                <w:b w:val="0"/>
                <w:sz w:val="22"/>
                <w:lang w:val="en-AU"/>
              </w:rPr>
              <w:t>The wording of the proposed MBS item descriptor reflected testing earlier in the treatment algorithm than proposed in the PICO confirmation and broader than the population proposed in the PBS restriction, and in the pivotal trial. The broader population is no longer aligned with National Comprehensive Cancer Network (NCCN) guidelines.</w:t>
            </w:r>
          </w:p>
          <w:p w14:paraId="269F98BB" w14:textId="77777777" w:rsidR="00201854" w:rsidRPr="00C24C30" w:rsidRDefault="00201854" w:rsidP="002F0040">
            <w:pPr>
              <w:rPr>
                <w:rFonts w:ascii="Franklin Gothic Book" w:hAnsi="Franklin Gothic Book" w:cstheme="minorHAnsi"/>
                <w:b w:val="0"/>
                <w:iCs/>
                <w:sz w:val="22"/>
                <w:lang w:val="en-AU"/>
              </w:rPr>
            </w:pPr>
            <w:r w:rsidRPr="00C24C30">
              <w:rPr>
                <w:rFonts w:ascii="Franklin Gothic Book" w:hAnsi="Franklin Gothic Book"/>
                <w:sz w:val="22"/>
                <w:lang w:val="en-AU"/>
              </w:rPr>
              <w:t>Clinical issues</w:t>
            </w:r>
          </w:p>
          <w:p w14:paraId="53B31214" w14:textId="2026D402" w:rsidR="00201854" w:rsidRPr="00C24C30" w:rsidRDefault="00201854" w:rsidP="002F0040">
            <w:pPr>
              <w:pStyle w:val="MainBodyBulletPoint"/>
              <w:spacing w:before="120"/>
              <w:ind w:left="357" w:hanging="357"/>
              <w:jc w:val="both"/>
              <w:rPr>
                <w:rFonts w:ascii="Franklin Gothic Book" w:hAnsi="Franklin Gothic Book"/>
                <w:b w:val="0"/>
                <w:sz w:val="22"/>
                <w:lang w:val="en-AU"/>
              </w:rPr>
            </w:pPr>
            <w:r w:rsidRPr="00C24C30">
              <w:rPr>
                <w:rFonts w:ascii="Franklin Gothic Book" w:hAnsi="Franklin Gothic Book"/>
                <w:b w:val="0"/>
                <w:sz w:val="22"/>
                <w:lang w:val="en-AU"/>
              </w:rPr>
              <w:t>ESC considered it to be uncertain whether AKT</w:t>
            </w:r>
            <w:r w:rsidR="009723D9">
              <w:rPr>
                <w:rFonts w:ascii="Franklin Gothic Book" w:hAnsi="Franklin Gothic Book"/>
                <w:b w:val="0"/>
                <w:sz w:val="22"/>
                <w:lang w:val="en-AU"/>
              </w:rPr>
              <w:t xml:space="preserve"> </w:t>
            </w:r>
            <w:r w:rsidRPr="00C24C30">
              <w:rPr>
                <w:rFonts w:ascii="Franklin Gothic Book" w:hAnsi="Franklin Gothic Book"/>
                <w:b w:val="0"/>
                <w:sz w:val="22"/>
                <w:lang w:val="en-AU"/>
              </w:rPr>
              <w:t>pathway testing should be required prior to treatment with CAPI+FULV, noting:</w:t>
            </w:r>
          </w:p>
          <w:p w14:paraId="17C9626F" w14:textId="77777777" w:rsidR="00201854" w:rsidRPr="00C24C30" w:rsidRDefault="00201854" w:rsidP="002F0040">
            <w:pPr>
              <w:pStyle w:val="MainBodyBulletPoint"/>
              <w:spacing w:before="120"/>
              <w:jc w:val="both"/>
              <w:rPr>
                <w:rFonts w:ascii="Franklin Gothic Book" w:hAnsi="Franklin Gothic Book"/>
                <w:b w:val="0"/>
                <w:sz w:val="22"/>
                <w:lang w:val="en-AU"/>
              </w:rPr>
            </w:pPr>
            <w:r w:rsidRPr="00C24C30">
              <w:rPr>
                <w:rFonts w:ascii="Franklin Gothic Book" w:hAnsi="Franklin Gothic Book"/>
                <w:b w:val="0"/>
                <w:sz w:val="22"/>
                <w:lang w:val="en-AU"/>
              </w:rPr>
              <w:t>The TGA-approved indication for CAPI+FULV is not limited to patients with an AKT pathway alteration.</w:t>
            </w:r>
          </w:p>
          <w:p w14:paraId="23D1F5A5" w14:textId="77777777" w:rsidR="00201854" w:rsidRPr="00C24C30" w:rsidRDefault="00201854" w:rsidP="002F0040">
            <w:pPr>
              <w:pStyle w:val="MainBodyBulletPoint"/>
              <w:spacing w:before="120"/>
              <w:jc w:val="both"/>
              <w:rPr>
                <w:rFonts w:ascii="Franklin Gothic Book" w:hAnsi="Franklin Gothic Book"/>
                <w:b w:val="0"/>
                <w:sz w:val="22"/>
                <w:lang w:val="en-AU"/>
              </w:rPr>
            </w:pPr>
            <w:r w:rsidRPr="00C24C30">
              <w:rPr>
                <w:rFonts w:ascii="Franklin Gothic Book" w:hAnsi="Franklin Gothic Book"/>
                <w:b w:val="0"/>
                <w:sz w:val="22"/>
                <w:lang w:val="en-AU"/>
              </w:rPr>
              <w:t>The pivotal CAPItello-291 trial demonstrated some clinical benefit for all patients regardless of AKT status; however, some patients in the unknown AKT pathway group might have acquired AKT pathway alterations over time without these being detected due to the use of archival tissue.</w:t>
            </w:r>
          </w:p>
          <w:p w14:paraId="48C9930F" w14:textId="77777777" w:rsidR="00201854" w:rsidRPr="00C24C30" w:rsidRDefault="00201854" w:rsidP="002F0040">
            <w:pPr>
              <w:pStyle w:val="MainBodyBulletPoint"/>
              <w:spacing w:before="120"/>
              <w:ind w:left="357" w:hanging="357"/>
              <w:jc w:val="both"/>
              <w:rPr>
                <w:rFonts w:ascii="Franklin Gothic Book" w:hAnsi="Franklin Gothic Book"/>
                <w:b w:val="0"/>
                <w:bCs/>
                <w:iCs/>
                <w:sz w:val="22"/>
                <w:lang w:val="en-AU"/>
              </w:rPr>
            </w:pPr>
            <w:r w:rsidRPr="00C24C30">
              <w:rPr>
                <w:rFonts w:ascii="Franklin Gothic Book" w:hAnsi="Franklin Gothic Book"/>
                <w:b w:val="0"/>
                <w:bCs/>
                <w:iCs/>
                <w:sz w:val="22"/>
                <w:lang w:val="en-AU"/>
              </w:rPr>
              <w:t xml:space="preserve">Results from CAPItello-291 and tests for interaction suggested </w:t>
            </w:r>
            <w:r w:rsidRPr="00C24C30">
              <w:rPr>
                <w:rFonts w:ascii="Franklin Gothic Book" w:hAnsi="Franklin Gothic Book"/>
                <w:b w:val="0"/>
                <w:iCs/>
                <w:sz w:val="22"/>
                <w:lang w:val="en-AU"/>
              </w:rPr>
              <w:t xml:space="preserve">that </w:t>
            </w:r>
            <w:r w:rsidRPr="00C24C30">
              <w:rPr>
                <w:rFonts w:ascii="Franklin Gothic Book" w:hAnsi="Franklin Gothic Book"/>
                <w:b w:val="0"/>
                <w:bCs/>
                <w:iCs/>
                <w:sz w:val="22"/>
                <w:lang w:val="en-AU"/>
              </w:rPr>
              <w:t xml:space="preserve">being AKT pathway altered was predictive of a PFS benefit (PFS hazard ratio [HR]=0.50, 95% CI 0.38, 0.65, p&lt;0.001) when compared to patients with known </w:t>
            </w:r>
            <w:r w:rsidRPr="00C24C30" w:rsidDel="00714CDA">
              <w:rPr>
                <w:rFonts w:ascii="Franklin Gothic Book" w:hAnsi="Franklin Gothic Book"/>
                <w:b w:val="0"/>
                <w:bCs/>
                <w:iCs/>
                <w:sz w:val="22"/>
                <w:lang w:val="en-AU"/>
              </w:rPr>
              <w:t>non</w:t>
            </w:r>
            <w:r w:rsidRPr="00C24C30">
              <w:rPr>
                <w:rFonts w:ascii="Franklin Gothic Book" w:hAnsi="Franklin Gothic Book"/>
                <w:b w:val="0"/>
                <w:bCs/>
                <w:iCs/>
                <w:sz w:val="22"/>
                <w:lang w:val="en-AU"/>
              </w:rPr>
              <w:t xml:space="preserve"> AKT pathway alterations (excluding unknown AKT pathway status patients; PFS HR=0.79, 95% CI 0.61, 1.02). This was not observed when compared to the </w:t>
            </w:r>
            <w:r w:rsidRPr="00C24C30" w:rsidDel="00714CDA">
              <w:rPr>
                <w:rFonts w:ascii="Franklin Gothic Book" w:hAnsi="Franklin Gothic Book"/>
                <w:b w:val="0"/>
                <w:bCs/>
                <w:iCs/>
                <w:sz w:val="22"/>
                <w:lang w:val="en-AU"/>
              </w:rPr>
              <w:t>non</w:t>
            </w:r>
            <w:r w:rsidRPr="00C24C30">
              <w:rPr>
                <w:rFonts w:ascii="Franklin Gothic Book" w:hAnsi="Franklin Gothic Book"/>
                <w:b w:val="0"/>
                <w:bCs/>
                <w:iCs/>
                <w:sz w:val="22"/>
                <w:lang w:val="en-AU"/>
              </w:rPr>
              <w:t xml:space="preserve"> AKT pathway altered subgroup inclusive of patients with unknown AKT pathway status (PFS HR=0.70, 95% CI 0.56, 0.88). The latter subgroup must be considered since the true complement in clinical practice would include both known </w:t>
            </w:r>
            <w:r w:rsidRPr="00C24C30" w:rsidDel="00714CDA">
              <w:rPr>
                <w:rFonts w:ascii="Franklin Gothic Book" w:hAnsi="Franklin Gothic Book"/>
                <w:b w:val="0"/>
                <w:bCs/>
                <w:iCs/>
                <w:sz w:val="22"/>
                <w:lang w:val="en-AU"/>
              </w:rPr>
              <w:t>non</w:t>
            </w:r>
            <w:r w:rsidRPr="00C24C30">
              <w:rPr>
                <w:rFonts w:ascii="Franklin Gothic Book" w:hAnsi="Franklin Gothic Book"/>
                <w:b w:val="0"/>
                <w:bCs/>
                <w:iCs/>
                <w:sz w:val="22"/>
                <w:lang w:val="en-AU"/>
              </w:rPr>
              <w:t xml:space="preserve"> AKT pathway altered and unknown AKT status patients. However, it is acknowledged that </w:t>
            </w:r>
            <w:r w:rsidRPr="00C24C30">
              <w:rPr>
                <w:rFonts w:ascii="Franklin Gothic Book" w:hAnsi="Franklin Gothic Book"/>
                <w:b w:val="0"/>
                <w:iCs/>
                <w:sz w:val="22"/>
                <w:lang w:val="en-AU"/>
              </w:rPr>
              <w:t>the</w:t>
            </w:r>
            <w:r w:rsidRPr="00C24C30">
              <w:rPr>
                <w:rFonts w:ascii="Franklin Gothic Book" w:hAnsi="Franklin Gothic Book"/>
                <w:b w:val="0"/>
                <w:bCs/>
                <w:iCs/>
                <w:sz w:val="22"/>
                <w:lang w:val="en-AU"/>
              </w:rPr>
              <w:t xml:space="preserve"> lack of a treatment effect modifier in the true complement could be related to the performance of </w:t>
            </w:r>
            <w:proofErr w:type="spellStart"/>
            <w:r w:rsidRPr="00C24C30">
              <w:rPr>
                <w:rFonts w:ascii="Franklin Gothic Book" w:hAnsi="Franklin Gothic Book"/>
                <w:b w:val="0"/>
                <w:bCs/>
                <w:iCs/>
                <w:sz w:val="22"/>
                <w:lang w:val="en-AU"/>
              </w:rPr>
              <w:t>FoundationOneCDx</w:t>
            </w:r>
            <w:proofErr w:type="spellEnd"/>
            <w:r w:rsidRPr="00C24C30">
              <w:rPr>
                <w:rFonts w:ascii="Franklin Gothic Book" w:hAnsi="Franklin Gothic Book"/>
                <w:b w:val="0"/>
                <w:bCs/>
                <w:iCs/>
                <w:sz w:val="22"/>
                <w:lang w:val="en-AU"/>
              </w:rPr>
              <w:t xml:space="preserve"> as the clinical utility standard (15% of all patients were classified as having unknown AKT pathway alteration</w:t>
            </w:r>
            <w:r w:rsidRPr="00C24C30">
              <w:rPr>
                <w:rFonts w:ascii="Franklin Gothic Book" w:hAnsi="Franklin Gothic Book"/>
                <w:b w:val="0"/>
                <w:iCs/>
                <w:sz w:val="22"/>
                <w:lang w:val="en-AU"/>
              </w:rPr>
              <w:t>),</w:t>
            </w:r>
            <w:r w:rsidRPr="00C24C30">
              <w:rPr>
                <w:rFonts w:ascii="Franklin Gothic Book" w:hAnsi="Franklin Gothic Book"/>
                <w:b w:val="0"/>
                <w:bCs/>
                <w:iCs/>
                <w:sz w:val="22"/>
                <w:lang w:val="en-AU"/>
              </w:rPr>
              <w:t xml:space="preserve"> as opposed to the predictive validity of the biomarker.</w:t>
            </w:r>
          </w:p>
          <w:p w14:paraId="781B714D" w14:textId="77777777" w:rsidR="00201854" w:rsidRPr="00C24C30" w:rsidRDefault="00201854" w:rsidP="002F0040">
            <w:pPr>
              <w:pStyle w:val="MainBodyBulletPoint"/>
              <w:spacing w:before="120"/>
              <w:ind w:left="357" w:hanging="357"/>
              <w:jc w:val="both"/>
              <w:rPr>
                <w:rFonts w:ascii="Franklin Gothic Book" w:hAnsi="Franklin Gothic Book"/>
                <w:b w:val="0"/>
                <w:bCs/>
                <w:iCs/>
                <w:sz w:val="22"/>
                <w:lang w:val="en-AU"/>
              </w:rPr>
            </w:pPr>
            <w:r w:rsidRPr="00C24C30">
              <w:rPr>
                <w:rFonts w:ascii="Franklin Gothic Book" w:hAnsi="Franklin Gothic Book"/>
                <w:b w:val="0"/>
                <w:bCs/>
                <w:iCs/>
                <w:sz w:val="22"/>
                <w:lang w:val="en-AU"/>
              </w:rPr>
              <w:t>The predictive effect of AKT pathway testing carried some uncertainty as:</w:t>
            </w:r>
          </w:p>
          <w:p w14:paraId="4FD6826B" w14:textId="77777777" w:rsidR="00201854" w:rsidRPr="00C24C30" w:rsidRDefault="00201854" w:rsidP="0045462B">
            <w:pPr>
              <w:pStyle w:val="MainBodyBulletPoint"/>
              <w:numPr>
                <w:ilvl w:val="1"/>
                <w:numId w:val="6"/>
              </w:numPr>
              <w:spacing w:before="120"/>
              <w:ind w:left="720" w:hanging="357"/>
              <w:jc w:val="both"/>
              <w:rPr>
                <w:rFonts w:ascii="Franklin Gothic Book" w:hAnsi="Franklin Gothic Book"/>
                <w:b w:val="0"/>
                <w:bCs/>
                <w:iCs/>
                <w:sz w:val="22"/>
                <w:lang w:val="en-AU"/>
              </w:rPr>
            </w:pPr>
            <w:r w:rsidRPr="00C24C30">
              <w:rPr>
                <w:rFonts w:ascii="Franklin Gothic Book" w:hAnsi="Franklin Gothic Book"/>
                <w:b w:val="0"/>
                <w:bCs/>
                <w:iCs/>
                <w:sz w:val="22"/>
                <w:lang w:val="en-AU"/>
              </w:rPr>
              <w:t xml:space="preserve">CAPItello-291 did not use the test proposed for use in Australia (Roche AVENIO) to detect </w:t>
            </w:r>
            <w:r w:rsidRPr="00C24C30">
              <w:rPr>
                <w:rFonts w:ascii="Franklin Gothic Book" w:hAnsi="Franklin Gothic Book"/>
                <w:b w:val="0"/>
                <w:iCs/>
                <w:sz w:val="22"/>
                <w:lang w:val="en-AU"/>
              </w:rPr>
              <w:t>PIK3CA, AKT1</w:t>
            </w:r>
            <w:r w:rsidRPr="00C24C30">
              <w:rPr>
                <w:rFonts w:ascii="Franklin Gothic Book" w:hAnsi="Franklin Gothic Book"/>
                <w:b w:val="0"/>
                <w:bCs/>
                <w:iCs/>
                <w:sz w:val="22"/>
                <w:lang w:val="en-AU"/>
              </w:rPr>
              <w:t xml:space="preserve">, and </w:t>
            </w:r>
            <w:r w:rsidRPr="00C24C30">
              <w:rPr>
                <w:rFonts w:ascii="Franklin Gothic Book" w:hAnsi="Franklin Gothic Book"/>
                <w:b w:val="0"/>
                <w:iCs/>
                <w:sz w:val="22"/>
                <w:lang w:val="en-AU"/>
              </w:rPr>
              <w:t>PTEN</w:t>
            </w:r>
            <w:r w:rsidRPr="00C24C30">
              <w:rPr>
                <w:rFonts w:ascii="Franklin Gothic Book" w:hAnsi="Franklin Gothic Book"/>
                <w:b w:val="0"/>
                <w:bCs/>
                <w:iCs/>
                <w:sz w:val="22"/>
                <w:lang w:val="en-AU"/>
              </w:rPr>
              <w:t xml:space="preserve"> variants. Concordance between the Roche AVENIO </w:t>
            </w:r>
            <w:r w:rsidRPr="00C24C30">
              <w:rPr>
                <w:rFonts w:ascii="Franklin Gothic Book" w:hAnsi="Franklin Gothic Book"/>
                <w:b w:val="0"/>
                <w:iCs/>
                <w:sz w:val="22"/>
                <w:lang w:val="en-AU"/>
              </w:rPr>
              <w:t xml:space="preserve">and </w:t>
            </w:r>
            <w:r w:rsidRPr="00C24C30">
              <w:rPr>
                <w:rFonts w:ascii="Franklin Gothic Book" w:hAnsi="Franklin Gothic Book"/>
                <w:b w:val="0"/>
                <w:bCs/>
                <w:iCs/>
                <w:sz w:val="22"/>
                <w:lang w:val="en-AU"/>
              </w:rPr>
              <w:t xml:space="preserve">the </w:t>
            </w:r>
            <w:proofErr w:type="spellStart"/>
            <w:r w:rsidRPr="00C24C30">
              <w:rPr>
                <w:rFonts w:ascii="Franklin Gothic Book" w:hAnsi="Franklin Gothic Book"/>
                <w:b w:val="0"/>
                <w:bCs/>
                <w:iCs/>
                <w:sz w:val="22"/>
                <w:lang w:val="en-AU"/>
              </w:rPr>
              <w:t>FoundationOneCDx</w:t>
            </w:r>
            <w:proofErr w:type="spellEnd"/>
            <w:r w:rsidRPr="00C24C30">
              <w:rPr>
                <w:rFonts w:ascii="Franklin Gothic Book" w:hAnsi="Franklin Gothic Book"/>
                <w:b w:val="0"/>
                <w:bCs/>
                <w:iCs/>
                <w:sz w:val="22"/>
                <w:lang w:val="en-AU"/>
              </w:rPr>
              <w:t xml:space="preserve"> </w:t>
            </w:r>
            <w:r w:rsidRPr="00C24C30">
              <w:rPr>
                <w:rFonts w:ascii="Franklin Gothic Book" w:hAnsi="Franklin Gothic Book"/>
                <w:b w:val="0"/>
                <w:iCs/>
                <w:sz w:val="22"/>
                <w:lang w:val="en-AU"/>
              </w:rPr>
              <w:t xml:space="preserve">tests </w:t>
            </w:r>
            <w:r w:rsidRPr="00C24C30">
              <w:rPr>
                <w:rFonts w:ascii="Franklin Gothic Book" w:hAnsi="Franklin Gothic Book"/>
                <w:b w:val="0"/>
                <w:bCs/>
                <w:iCs/>
                <w:sz w:val="22"/>
                <w:lang w:val="en-AU"/>
              </w:rPr>
              <w:t>was highly uncertain based on the PASC’s assessment of the Monash Health Pathology 2024 study</w:t>
            </w:r>
            <w:r w:rsidRPr="00C24C30">
              <w:rPr>
                <w:rFonts w:ascii="Franklin Gothic Book" w:hAnsi="Franklin Gothic Book"/>
                <w:b w:val="0"/>
                <w:iCs/>
                <w:sz w:val="22"/>
                <w:lang w:val="en-AU"/>
              </w:rPr>
              <w:t>.</w:t>
            </w:r>
            <w:r w:rsidRPr="00C24C30">
              <w:rPr>
                <w:rFonts w:ascii="Franklin Gothic Book" w:hAnsi="Franklin Gothic Book"/>
                <w:b w:val="0"/>
                <w:bCs/>
                <w:iCs/>
                <w:sz w:val="22"/>
                <w:lang w:val="en-AU"/>
              </w:rPr>
              <w:t xml:space="preserve"> </w:t>
            </w:r>
            <w:r w:rsidRPr="00C24C30">
              <w:rPr>
                <w:rFonts w:ascii="Franklin Gothic Book" w:hAnsi="Franklin Gothic Book"/>
                <w:b w:val="0"/>
                <w:iCs/>
                <w:sz w:val="22"/>
                <w:lang w:val="en-AU"/>
              </w:rPr>
              <w:t>The</w:t>
            </w:r>
            <w:r w:rsidRPr="00C24C30">
              <w:rPr>
                <w:rFonts w:ascii="Franklin Gothic Book" w:hAnsi="Franklin Gothic Book"/>
                <w:b w:val="0"/>
                <w:bCs/>
                <w:iCs/>
                <w:sz w:val="22"/>
                <w:lang w:val="en-AU"/>
              </w:rPr>
              <w:t xml:space="preserve"> actual test that will be used in practice was </w:t>
            </w:r>
            <w:r w:rsidRPr="00C24C30">
              <w:rPr>
                <w:rFonts w:ascii="Franklin Gothic Book" w:hAnsi="Franklin Gothic Book"/>
                <w:b w:val="0"/>
                <w:iCs/>
                <w:sz w:val="22"/>
                <w:lang w:val="en-AU"/>
              </w:rPr>
              <w:t xml:space="preserve">also </w:t>
            </w:r>
            <w:r w:rsidRPr="00C24C30">
              <w:rPr>
                <w:rFonts w:ascii="Franklin Gothic Book" w:hAnsi="Franklin Gothic Book"/>
                <w:b w:val="0"/>
                <w:bCs/>
                <w:iCs/>
                <w:sz w:val="22"/>
                <w:lang w:val="en-AU"/>
              </w:rPr>
              <w:t>not clear</w:t>
            </w:r>
            <w:r w:rsidRPr="00C24C30">
              <w:rPr>
                <w:rFonts w:ascii="Franklin Gothic Book" w:hAnsi="Franklin Gothic Book"/>
                <w:b w:val="0"/>
                <w:iCs/>
                <w:sz w:val="22"/>
                <w:lang w:val="en-AU"/>
              </w:rPr>
              <w:t>.</w:t>
            </w:r>
          </w:p>
          <w:p w14:paraId="73562EFD" w14:textId="77777777" w:rsidR="00201854" w:rsidRPr="00C24C30" w:rsidRDefault="00201854" w:rsidP="0045462B">
            <w:pPr>
              <w:pStyle w:val="MainBodyBulletPoint"/>
              <w:numPr>
                <w:ilvl w:val="1"/>
                <w:numId w:val="6"/>
              </w:numPr>
              <w:spacing w:before="120"/>
              <w:ind w:left="720" w:hanging="357"/>
              <w:jc w:val="both"/>
              <w:rPr>
                <w:rStyle w:val="InstructionalTextChar"/>
                <w:rFonts w:ascii="Franklin Gothic Book" w:hAnsi="Franklin Gothic Book"/>
                <w:b w:val="0"/>
                <w:bCs/>
                <w:iCs/>
                <w:color w:val="auto"/>
                <w:sz w:val="22"/>
                <w:lang w:val="en-AU"/>
              </w:rPr>
            </w:pPr>
            <w:r w:rsidRPr="00C24C30">
              <w:rPr>
                <w:rFonts w:ascii="Franklin Gothic Book" w:hAnsi="Franklin Gothic Book"/>
                <w:b w:val="0"/>
                <w:bCs/>
                <w:iCs/>
                <w:sz w:val="22"/>
                <w:lang w:val="en-AU"/>
              </w:rPr>
              <w:t xml:space="preserve">The PFS benefit remains equivocal in the known </w:t>
            </w:r>
            <w:r w:rsidRPr="00C24C30" w:rsidDel="00714CDA">
              <w:rPr>
                <w:rFonts w:ascii="Franklin Gothic Book" w:hAnsi="Franklin Gothic Book"/>
                <w:b w:val="0"/>
                <w:bCs/>
                <w:iCs/>
                <w:sz w:val="22"/>
                <w:lang w:val="en-AU"/>
              </w:rPr>
              <w:t>non</w:t>
            </w:r>
            <w:r w:rsidRPr="00C24C30">
              <w:rPr>
                <w:rFonts w:ascii="Franklin Gothic Book" w:hAnsi="Franklin Gothic Book"/>
                <w:b w:val="0"/>
                <w:bCs/>
                <w:iCs/>
                <w:sz w:val="22"/>
                <w:lang w:val="en-AU"/>
              </w:rPr>
              <w:t xml:space="preserve"> AKT pathway altered and unknown AKT status subgroups as these were exploratory </w:t>
            </w:r>
            <w:r w:rsidRPr="00C24C30">
              <w:rPr>
                <w:rFonts w:ascii="Franklin Gothic Book" w:hAnsi="Franklin Gothic Book"/>
                <w:b w:val="0"/>
                <w:i/>
                <w:sz w:val="22"/>
                <w:lang w:val="en-AU"/>
              </w:rPr>
              <w:t>post hoc</w:t>
            </w:r>
            <w:r w:rsidRPr="00C24C30">
              <w:rPr>
                <w:rFonts w:ascii="Franklin Gothic Book" w:hAnsi="Franklin Gothic Book"/>
                <w:b w:val="0"/>
                <w:bCs/>
                <w:iCs/>
                <w:sz w:val="22"/>
                <w:lang w:val="en-AU"/>
              </w:rPr>
              <w:t xml:space="preserve"> analyses, were not adjusted for multiplicity, and characteristics for these subgroups were not presented in the submission.</w:t>
            </w:r>
          </w:p>
          <w:p w14:paraId="4C55A43C" w14:textId="77777777" w:rsidR="00201854" w:rsidRPr="002929EB" w:rsidRDefault="00201854" w:rsidP="002F0040">
            <w:pPr>
              <w:rPr>
                <w:rFonts w:ascii="Franklin Gothic Book" w:hAnsi="Franklin Gothic Book"/>
                <w:iCs/>
                <w:sz w:val="22"/>
                <w:lang w:val="en-AU"/>
              </w:rPr>
            </w:pPr>
            <w:r w:rsidRPr="002929EB">
              <w:rPr>
                <w:rFonts w:ascii="Franklin Gothic Book" w:hAnsi="Franklin Gothic Book" w:cstheme="minorHAnsi"/>
                <w:iCs/>
                <w:sz w:val="22"/>
                <w:lang w:val="en-AU"/>
              </w:rPr>
              <w:t>Economic issues</w:t>
            </w:r>
          </w:p>
          <w:p w14:paraId="0C8A633F" w14:textId="52101F5C" w:rsidR="00201854" w:rsidRPr="00C24C30" w:rsidRDefault="00201854" w:rsidP="002F0040">
            <w:pPr>
              <w:pStyle w:val="MainBodyBulletPoint"/>
              <w:spacing w:before="120"/>
              <w:ind w:left="357" w:hanging="357"/>
              <w:jc w:val="both"/>
              <w:rPr>
                <w:rStyle w:val="InstructionalTextChar"/>
                <w:rFonts w:ascii="Franklin Gothic Book" w:hAnsi="Franklin Gothic Book"/>
                <w:b w:val="0"/>
                <w:color w:val="auto"/>
                <w:sz w:val="22"/>
                <w:lang w:val="en-AU"/>
              </w:rPr>
            </w:pPr>
            <w:r w:rsidRPr="10812078">
              <w:rPr>
                <w:rStyle w:val="InstructionalTextChar"/>
                <w:rFonts w:ascii="Franklin Gothic Book" w:hAnsi="Franklin Gothic Book"/>
                <w:b w:val="0"/>
                <w:color w:val="auto"/>
                <w:sz w:val="22"/>
                <w:lang w:val="en-AU"/>
              </w:rPr>
              <w:t>The I</w:t>
            </w:r>
            <w:r w:rsidRPr="00C24C30">
              <w:rPr>
                <w:rStyle w:val="InstructionalTextChar"/>
                <w:rFonts w:ascii="Franklin Gothic Book" w:hAnsi="Franklin Gothic Book"/>
                <w:b w:val="0"/>
                <w:color w:val="auto"/>
                <w:sz w:val="22"/>
              </w:rPr>
              <w:t>CER</w:t>
            </w:r>
            <w:r w:rsidRPr="10812078">
              <w:rPr>
                <w:rStyle w:val="InstructionalTextChar"/>
                <w:rFonts w:ascii="Franklin Gothic Book" w:hAnsi="Franklin Gothic Book"/>
                <w:b w:val="0"/>
                <w:color w:val="auto"/>
                <w:sz w:val="22"/>
                <w:lang w:val="en-AU"/>
              </w:rPr>
              <w:t xml:space="preserve"> </w:t>
            </w:r>
            <w:r w:rsidRPr="0095685F">
              <w:rPr>
                <w:rStyle w:val="InstructionalTextChar"/>
                <w:rFonts w:ascii="Franklin Gothic Book" w:hAnsi="Franklin Gothic Book"/>
                <w:b w:val="0"/>
                <w:color w:val="auto"/>
                <w:sz w:val="22"/>
              </w:rPr>
              <w:t>was $</w:t>
            </w:r>
            <w:r w:rsidR="0095685F" w:rsidRPr="0095685F">
              <w:rPr>
                <w:rStyle w:val="InstructionalTextChar"/>
                <w:rFonts w:ascii="Franklin Gothic Book" w:hAnsi="Franklin Gothic Book"/>
                <w:b w:val="0"/>
                <w:color w:val="auto"/>
                <w:sz w:val="22"/>
              </w:rPr>
              <w:t>75,000 to &lt;$95,000</w:t>
            </w:r>
            <w:r w:rsidRPr="0095685F">
              <w:rPr>
                <w:rStyle w:val="InstructionalTextChar"/>
                <w:rFonts w:ascii="Franklin Gothic Book" w:hAnsi="Franklin Gothic Book"/>
                <w:b w:val="0"/>
                <w:color w:val="auto"/>
                <w:sz w:val="22"/>
              </w:rPr>
              <w:t>/QALY</w:t>
            </w:r>
            <w:r w:rsidRPr="10812078">
              <w:rPr>
                <w:rStyle w:val="InstructionalTextChar"/>
                <w:rFonts w:ascii="Franklin Gothic Book" w:hAnsi="Franklin Gothic Book"/>
                <w:b w:val="0"/>
                <w:color w:val="auto"/>
                <w:sz w:val="22"/>
                <w:lang w:val="en-AU"/>
              </w:rPr>
              <w:t xml:space="preserve"> gained and was not sensitive to testing parameters (at most, assuming 90% test accuracy increased the ICER by 7%). A scenario analysis in the non-biomarker selected cohort was conducted during the evaluation using the ITT data from CAPItello-291. </w:t>
            </w:r>
            <w:r w:rsidRPr="10812078">
              <w:rPr>
                <w:rStyle w:val="InstructionalTextChar"/>
                <w:rFonts w:ascii="Franklin Gothic Book" w:hAnsi="Franklin Gothic Book"/>
                <w:b w:val="0"/>
                <w:color w:val="auto"/>
                <w:sz w:val="22"/>
              </w:rPr>
              <w:t xml:space="preserve">This is of relevance because the TGA indication for the treatment is not biomarker-specific, and this analysis was also requested by PASC. </w:t>
            </w:r>
            <w:r w:rsidRPr="10812078">
              <w:rPr>
                <w:rStyle w:val="InstructionalTextChar"/>
                <w:rFonts w:ascii="Franklin Gothic Book" w:hAnsi="Franklin Gothic Book"/>
                <w:b w:val="0"/>
                <w:color w:val="auto"/>
                <w:sz w:val="22"/>
                <w:lang w:val="en-AU"/>
              </w:rPr>
              <w:t xml:space="preserve"> This increased the ICER to $</w:t>
            </w:r>
            <w:r w:rsidR="0095685F" w:rsidRPr="0095685F">
              <w:rPr>
                <w:rStyle w:val="InstructionalTextChar"/>
                <w:rFonts w:ascii="Franklin Gothic Book" w:hAnsi="Franklin Gothic Book"/>
                <w:b w:val="0"/>
                <w:color w:val="auto"/>
                <w:sz w:val="22"/>
              </w:rPr>
              <w:t>$75,000 to &lt;$95,000</w:t>
            </w:r>
            <w:r w:rsidRPr="10812078">
              <w:rPr>
                <w:rStyle w:val="InstructionalTextChar"/>
                <w:rFonts w:ascii="Franklin Gothic Book" w:hAnsi="Franklin Gothic Book"/>
                <w:b w:val="0"/>
                <w:color w:val="auto"/>
                <w:sz w:val="22"/>
                <w:lang w:val="en-AU"/>
              </w:rPr>
              <w:t>/QALY gained (</w:t>
            </w:r>
            <w:r w:rsidR="0095685F" w:rsidRPr="10812078">
              <w:rPr>
                <w:rStyle w:val="InstructionalTextChar"/>
                <w:rFonts w:ascii="Franklin Gothic Book" w:hAnsi="Franklin Gothic Book"/>
                <w:color w:val="auto"/>
                <w:sz w:val="22"/>
                <w:lang w:val="en-AU"/>
              </w:rPr>
              <w:t>redacted</w:t>
            </w:r>
            <w:r w:rsidR="215322E6" w:rsidRPr="10812078">
              <w:rPr>
                <w:rStyle w:val="InstructionalTextChar"/>
                <w:rFonts w:ascii="Franklin Gothic Book" w:hAnsi="Franklin Gothic Book"/>
                <w:b w:val="0"/>
                <w:color w:val="auto"/>
                <w:sz w:val="22"/>
                <w:lang w:val="en-AU"/>
              </w:rPr>
              <w:t>%</w:t>
            </w:r>
            <w:r w:rsidRPr="10812078">
              <w:rPr>
                <w:rStyle w:val="InstructionalTextChar"/>
                <w:rFonts w:ascii="Franklin Gothic Book" w:hAnsi="Franklin Gothic Book"/>
                <w:b w:val="0"/>
                <w:color w:val="auto"/>
                <w:sz w:val="22"/>
                <w:lang w:val="en-AU"/>
              </w:rPr>
              <w:t>).</w:t>
            </w:r>
          </w:p>
          <w:p w14:paraId="340E2C5F" w14:textId="77777777" w:rsidR="00201854" w:rsidRPr="00C24C30" w:rsidRDefault="00201854" w:rsidP="002F0040">
            <w:pPr>
              <w:pStyle w:val="MainBodyBulletPoint"/>
              <w:spacing w:before="120"/>
              <w:ind w:left="357" w:hanging="357"/>
              <w:jc w:val="both"/>
              <w:rPr>
                <w:rStyle w:val="InstructionalTextChar"/>
                <w:rFonts w:ascii="Franklin Gothic Book" w:hAnsi="Franklin Gothic Book"/>
                <w:b w:val="0"/>
                <w:iCs/>
                <w:color w:val="auto"/>
                <w:sz w:val="22"/>
                <w:lang w:val="en-AU"/>
              </w:rPr>
            </w:pPr>
            <w:r w:rsidRPr="00C24C30">
              <w:rPr>
                <w:rStyle w:val="InstructionalTextChar"/>
                <w:rFonts w:ascii="Franklin Gothic Book" w:hAnsi="Franklin Gothic Book"/>
                <w:b w:val="0"/>
                <w:iCs/>
                <w:color w:val="auto"/>
                <w:sz w:val="22"/>
                <w:lang w:val="en-AU"/>
              </w:rPr>
              <w:t xml:space="preserve">The modelled overall </w:t>
            </w:r>
            <w:r w:rsidRPr="00C24C30">
              <w:rPr>
                <w:rStyle w:val="InstructionalTextChar"/>
                <w:rFonts w:ascii="Franklin Gothic Book" w:hAnsi="Franklin Gothic Book"/>
                <w:b w:val="0"/>
                <w:color w:val="000000" w:themeColor="text1"/>
                <w:sz w:val="22"/>
                <w:lang w:val="en-AU"/>
              </w:rPr>
              <w:t xml:space="preserve">survival </w:t>
            </w:r>
            <w:r w:rsidRPr="00C24C30">
              <w:rPr>
                <w:rStyle w:val="InstructionalTextChar"/>
                <w:rFonts w:ascii="Franklin Gothic Book" w:hAnsi="Franklin Gothic Book"/>
                <w:b w:val="0"/>
                <w:iCs/>
                <w:color w:val="000000" w:themeColor="text1"/>
                <w:sz w:val="22"/>
                <w:lang w:val="en-AU"/>
              </w:rPr>
              <w:t>(</w:t>
            </w:r>
            <w:r w:rsidRPr="00C24C30">
              <w:rPr>
                <w:rStyle w:val="InstructionalTextChar"/>
                <w:rFonts w:ascii="Franklin Gothic Book" w:hAnsi="Franklin Gothic Book"/>
                <w:b w:val="0"/>
                <w:iCs/>
                <w:color w:val="000000" w:themeColor="text1"/>
                <w:sz w:val="22"/>
              </w:rPr>
              <w:t>OS)</w:t>
            </w:r>
            <w:r w:rsidRPr="00C24C30">
              <w:rPr>
                <w:rStyle w:val="InstructionalTextChar"/>
                <w:rFonts w:ascii="Franklin Gothic Book" w:hAnsi="Franklin Gothic Book"/>
                <w:iCs/>
                <w:color w:val="000000" w:themeColor="text1"/>
                <w:sz w:val="22"/>
              </w:rPr>
              <w:t xml:space="preserve"> </w:t>
            </w:r>
            <w:r w:rsidRPr="00C24C30">
              <w:rPr>
                <w:rStyle w:val="InstructionalTextChar"/>
                <w:rFonts w:ascii="Franklin Gothic Book" w:hAnsi="Franklin Gothic Book"/>
                <w:b w:val="0"/>
                <w:iCs/>
                <w:color w:val="auto"/>
                <w:sz w:val="22"/>
                <w:lang w:val="en-AU"/>
              </w:rPr>
              <w:t xml:space="preserve">in the CAPI+FULV branch and the placebo + FULV (intention-to-treat </w:t>
            </w:r>
            <w:r w:rsidRPr="00C24C30">
              <w:rPr>
                <w:rStyle w:val="InstructionalTextChar"/>
                <w:rFonts w:ascii="Franklin Gothic Book" w:hAnsi="Franklin Gothic Book"/>
                <w:b w:val="0"/>
                <w:bCs/>
                <w:iCs/>
                <w:color w:val="000000" w:themeColor="text1"/>
                <w:sz w:val="22"/>
              </w:rPr>
              <w:t>or I</w:t>
            </w:r>
            <w:r w:rsidRPr="00C24C30">
              <w:rPr>
                <w:rStyle w:val="InstructionalTextChar"/>
                <w:rFonts w:ascii="Franklin Gothic Book" w:hAnsi="Franklin Gothic Book"/>
                <w:b w:val="0"/>
                <w:iCs/>
                <w:color w:val="auto"/>
                <w:sz w:val="22"/>
                <w:lang w:val="en-AU"/>
              </w:rPr>
              <w:t>T</w:t>
            </w:r>
            <w:r w:rsidRPr="00C24C30">
              <w:rPr>
                <w:rStyle w:val="InstructionalTextChar"/>
                <w:rFonts w:ascii="Franklin Gothic Book" w:hAnsi="Franklin Gothic Book"/>
                <w:b w:val="0"/>
                <w:bCs/>
                <w:iCs/>
                <w:color w:val="000000" w:themeColor="text1"/>
                <w:sz w:val="22"/>
              </w:rPr>
              <w:t>T</w:t>
            </w:r>
            <w:r w:rsidRPr="00C24C30">
              <w:rPr>
                <w:rStyle w:val="InstructionalTextChar"/>
                <w:rFonts w:ascii="Franklin Gothic Book" w:hAnsi="Franklin Gothic Book"/>
                <w:b w:val="0"/>
                <w:iCs/>
                <w:color w:val="auto"/>
                <w:sz w:val="22"/>
                <w:lang w:val="en-AU"/>
              </w:rPr>
              <w:t xml:space="preserve">) branches and the time horizon were key drivers of the model, with </w:t>
            </w:r>
            <w:r w:rsidRPr="00C24C30">
              <w:rPr>
                <w:rStyle w:val="InstructionalTextChar"/>
                <w:rFonts w:ascii="Franklin Gothic Book" w:hAnsi="Franklin Gothic Book"/>
                <w:b w:val="0"/>
                <w:iCs/>
                <w:color w:val="auto"/>
                <w:sz w:val="22"/>
                <w:lang w:val="en-AU"/>
              </w:rPr>
              <w:lastRenderedPageBreak/>
              <w:t xml:space="preserve">the difference in OS between CAPI+FULV and placebo + FULV not being significantly different in CAPItello-291. </w:t>
            </w:r>
          </w:p>
          <w:p w14:paraId="1EC9131A" w14:textId="5EF744B5" w:rsidR="00201854" w:rsidRPr="00C24C30" w:rsidRDefault="00201854" w:rsidP="002F0040">
            <w:pPr>
              <w:pStyle w:val="MainBodyBulletPoint"/>
              <w:spacing w:before="120"/>
              <w:ind w:left="357" w:hanging="357"/>
              <w:jc w:val="both"/>
              <w:rPr>
                <w:rStyle w:val="InstructionalTextChar"/>
                <w:rFonts w:ascii="Franklin Gothic Book" w:hAnsi="Franklin Gothic Book"/>
                <w:b w:val="0"/>
                <w:color w:val="auto"/>
                <w:sz w:val="22"/>
                <w:lang w:val="en-AU"/>
              </w:rPr>
            </w:pPr>
            <w:r w:rsidRPr="10812078">
              <w:rPr>
                <w:rStyle w:val="InstructionalTextChar"/>
                <w:rFonts w:ascii="Franklin Gothic Book" w:hAnsi="Franklin Gothic Book"/>
                <w:b w:val="0"/>
                <w:color w:val="auto"/>
                <w:sz w:val="22"/>
                <w:lang w:val="en-AU"/>
              </w:rPr>
              <w:t>The estimated testing cost per patient was $</w:t>
            </w:r>
            <w:r w:rsidR="0041290C" w:rsidRPr="10812078">
              <w:rPr>
                <w:rStyle w:val="InstructionalTextChar"/>
                <w:rFonts w:ascii="Franklin Gothic Book" w:hAnsi="Franklin Gothic Book"/>
                <w:color w:val="auto"/>
                <w:sz w:val="22"/>
                <w:lang w:val="en-AU"/>
              </w:rPr>
              <w:t>redacted</w:t>
            </w:r>
            <w:r w:rsidRPr="10812078">
              <w:rPr>
                <w:rStyle w:val="InstructionalTextChar"/>
                <w:rFonts w:ascii="Franklin Gothic Book" w:hAnsi="Franklin Gothic Book"/>
                <w:b w:val="0"/>
                <w:color w:val="auto"/>
                <w:sz w:val="22"/>
                <w:lang w:val="en-AU"/>
              </w:rPr>
              <w:t xml:space="preserve">, which was poorly justified. However, the test parameters that informed the model were all based on assumptions that were potentially optimistic </w:t>
            </w:r>
            <w:r w:rsidRPr="10812078">
              <w:rPr>
                <w:rStyle w:val="InstructionalTextChar"/>
                <w:rFonts w:ascii="Franklin Gothic Book" w:hAnsi="Franklin Gothic Book"/>
                <w:b w:val="0"/>
                <w:color w:val="auto"/>
                <w:sz w:val="22"/>
              </w:rPr>
              <w:t>such as assuming a lower test failure rate (5%) than that reported in the pivotal trial (15%)</w:t>
            </w:r>
            <w:r w:rsidRPr="10812078">
              <w:rPr>
                <w:rStyle w:val="InstructionalTextChar"/>
                <w:rFonts w:ascii="Franklin Gothic Book" w:hAnsi="Franklin Gothic Book"/>
                <w:b w:val="0"/>
                <w:color w:val="auto"/>
                <w:sz w:val="22"/>
                <w:lang w:val="en-AU"/>
              </w:rPr>
              <w:t>. This assumption was not reasonable given the uncertainties in test performance and test</w:t>
            </w:r>
            <w:r w:rsidRPr="10812078">
              <w:rPr>
                <w:rStyle w:val="InstructionalTextChar"/>
                <w:rFonts w:ascii="Franklin Gothic Book" w:hAnsi="Franklin Gothic Book"/>
                <w:color w:val="auto"/>
                <w:sz w:val="22"/>
                <w:lang w:val="en-AU"/>
              </w:rPr>
              <w:t xml:space="preserve"> </w:t>
            </w:r>
            <w:r w:rsidRPr="10812078">
              <w:rPr>
                <w:rStyle w:val="InstructionalTextChar"/>
                <w:rFonts w:ascii="Franklin Gothic Book" w:hAnsi="Franklin Gothic Book"/>
                <w:b w:val="0"/>
                <w:color w:val="auto"/>
                <w:sz w:val="22"/>
                <w:lang w:val="en-AU"/>
              </w:rPr>
              <w:t>implementation in practice. However, the ICER was not sensitive to testing parameters (at most, assuming 90% test accuracy increased the ICER by</w:t>
            </w:r>
            <w:r w:rsidRPr="10812078">
              <w:rPr>
                <w:rStyle w:val="InstructionalTextChar"/>
                <w:rFonts w:ascii="Franklin Gothic Book" w:hAnsi="Franklin Gothic Book"/>
                <w:color w:val="auto"/>
                <w:sz w:val="22"/>
                <w:lang w:val="en-AU"/>
              </w:rPr>
              <w:t xml:space="preserve"> </w:t>
            </w:r>
            <w:r w:rsidR="0041290C" w:rsidRPr="10812078">
              <w:rPr>
                <w:rStyle w:val="InstructionalTextChar"/>
                <w:rFonts w:ascii="Franklin Gothic Book" w:hAnsi="Franklin Gothic Book"/>
                <w:color w:val="auto"/>
                <w:sz w:val="22"/>
                <w:lang w:val="en-AU"/>
              </w:rPr>
              <w:t>redacted</w:t>
            </w:r>
            <w:r w:rsidR="08634CFD" w:rsidRPr="10812078">
              <w:rPr>
                <w:rStyle w:val="InstructionalTextChar"/>
                <w:rFonts w:ascii="Franklin Gothic Book" w:hAnsi="Franklin Gothic Book"/>
                <w:b w:val="0"/>
                <w:color w:val="auto"/>
                <w:sz w:val="22"/>
                <w:lang w:val="en-AU"/>
              </w:rPr>
              <w:t>%</w:t>
            </w:r>
            <w:r w:rsidR="34070CF4" w:rsidRPr="10812078">
              <w:rPr>
                <w:rStyle w:val="InstructionalTextChar"/>
                <w:rFonts w:ascii="Franklin Gothic Book" w:hAnsi="Franklin Gothic Book"/>
                <w:b w:val="0"/>
                <w:color w:val="auto"/>
                <w:sz w:val="22"/>
                <w:lang w:val="en-AU"/>
              </w:rPr>
              <w:t>).</w:t>
            </w:r>
          </w:p>
          <w:p w14:paraId="22EE9713" w14:textId="77777777" w:rsidR="00201854" w:rsidRPr="00C24C30" w:rsidRDefault="00201854" w:rsidP="002F0040">
            <w:pPr>
              <w:pStyle w:val="MainBodyBulletPoint"/>
              <w:spacing w:before="120"/>
              <w:ind w:left="357" w:hanging="357"/>
              <w:jc w:val="both"/>
              <w:rPr>
                <w:rStyle w:val="InstructionalTextChar"/>
                <w:rFonts w:ascii="Franklin Gothic Book" w:hAnsi="Franklin Gothic Book"/>
                <w:b w:val="0"/>
                <w:iCs/>
                <w:color w:val="auto"/>
                <w:sz w:val="22"/>
                <w:lang w:val="en-AU"/>
              </w:rPr>
            </w:pPr>
            <w:r w:rsidRPr="00C24C30">
              <w:rPr>
                <w:rStyle w:val="InstructionalTextChar"/>
                <w:rFonts w:ascii="Franklin Gothic Book" w:hAnsi="Franklin Gothic Book"/>
                <w:b w:val="0"/>
                <w:iCs/>
                <w:color w:val="auto"/>
                <w:sz w:val="22"/>
                <w:lang w:val="en-AU"/>
              </w:rPr>
              <w:t xml:space="preserve">The downstream costs of re-testing after disease progression in patients who initially had a non-positive test result were not considered, </w:t>
            </w:r>
            <w:r w:rsidRPr="00C24C30">
              <w:rPr>
                <w:rStyle w:val="InstructionalTextChar"/>
                <w:rFonts w:ascii="Franklin Gothic Book" w:hAnsi="Franklin Gothic Book"/>
                <w:b w:val="0"/>
                <w:iCs/>
                <w:color w:val="auto"/>
                <w:sz w:val="22"/>
              </w:rPr>
              <w:t>nor</w:t>
            </w:r>
            <w:r w:rsidRPr="00C24C30">
              <w:rPr>
                <w:rStyle w:val="InstructionalTextChar"/>
                <w:rFonts w:ascii="Franklin Gothic Book" w:hAnsi="Franklin Gothic Book"/>
                <w:b w:val="0"/>
                <w:iCs/>
                <w:color w:val="auto"/>
                <w:sz w:val="22"/>
                <w:lang w:val="en-AU"/>
              </w:rPr>
              <w:t xml:space="preserve"> were costs associated with safety concerns (e.g., re-biopsy or delayed time to optimal treatment,</w:t>
            </w:r>
            <w:r w:rsidRPr="00C24C30">
              <w:rPr>
                <w:rStyle w:val="InstructionalTextChar"/>
                <w:rFonts w:ascii="Franklin Gothic Book" w:hAnsi="Franklin Gothic Book"/>
                <w:iCs/>
                <w:color w:val="auto"/>
                <w:sz w:val="22"/>
                <w:lang w:val="en-AU"/>
              </w:rPr>
              <w:t xml:space="preserve"> </w:t>
            </w:r>
            <w:r w:rsidRPr="00C24C30">
              <w:rPr>
                <w:rStyle w:val="InstructionalTextChar"/>
                <w:rFonts w:ascii="Franklin Gothic Book" w:hAnsi="Franklin Gothic Book"/>
                <w:b w:val="0"/>
                <w:iCs/>
                <w:color w:val="auto"/>
                <w:sz w:val="22"/>
                <w:lang w:val="en-AU"/>
              </w:rPr>
              <w:t xml:space="preserve">or unnecessary adverse events from sub-optimal treatment) which further potentially underestimated testing costs and harms. </w:t>
            </w:r>
          </w:p>
          <w:p w14:paraId="36268A72" w14:textId="77777777" w:rsidR="00201854" w:rsidRPr="00C24C30" w:rsidRDefault="00201854" w:rsidP="002F0040">
            <w:pPr>
              <w:rPr>
                <w:rFonts w:ascii="Franklin Gothic Book" w:hAnsi="Franklin Gothic Book" w:cstheme="minorHAnsi"/>
                <w:b w:val="0"/>
                <w:iCs/>
                <w:sz w:val="22"/>
                <w:lang w:val="en-AU"/>
              </w:rPr>
            </w:pPr>
            <w:r w:rsidRPr="00C24C30">
              <w:rPr>
                <w:rFonts w:ascii="Franklin Gothic Book" w:hAnsi="Franklin Gothic Book" w:cstheme="minorHAnsi"/>
                <w:iCs/>
                <w:sz w:val="22"/>
                <w:lang w:val="en-AU"/>
              </w:rPr>
              <w:t>Financial issues</w:t>
            </w:r>
          </w:p>
          <w:p w14:paraId="7F9A0962" w14:textId="77777777" w:rsidR="00201854" w:rsidRPr="00102634" w:rsidRDefault="00201854" w:rsidP="002F0040">
            <w:pPr>
              <w:pStyle w:val="MainBodyBulletPoint"/>
              <w:spacing w:before="120"/>
              <w:ind w:left="357" w:hanging="357"/>
              <w:jc w:val="both"/>
              <w:rPr>
                <w:b w:val="0"/>
                <w:i/>
                <w:lang w:val="en-AU"/>
              </w:rPr>
            </w:pPr>
            <w:r w:rsidRPr="00C24C30">
              <w:rPr>
                <w:rStyle w:val="InstructionalTextChar"/>
                <w:rFonts w:ascii="Franklin Gothic Book" w:hAnsi="Franklin Gothic Book"/>
                <w:b w:val="0"/>
                <w:iCs/>
                <w:color w:val="auto"/>
                <w:sz w:val="22"/>
                <w:lang w:val="en-AU"/>
              </w:rPr>
              <w:t>The net costs to the MBS were potentially underestimated given the test uptake rate in the first two years of listing may be higher in practice compared to the submission’</w:t>
            </w:r>
            <w:r w:rsidRPr="0041290C">
              <w:rPr>
                <w:rStyle w:val="InstructionalTextChar"/>
                <w:rFonts w:ascii="Franklin Gothic Book" w:hAnsi="Franklin Gothic Book"/>
                <w:b w:val="0"/>
                <w:iCs/>
                <w:color w:val="auto"/>
                <w:sz w:val="22"/>
                <w:lang w:val="en-AU"/>
              </w:rPr>
              <w:t>s</w:t>
            </w:r>
            <w:r w:rsidRPr="00C24C30">
              <w:rPr>
                <w:rStyle w:val="InstructionalTextChar"/>
                <w:rFonts w:ascii="Franklin Gothic Book" w:hAnsi="Franklin Gothic Book"/>
                <w:b w:val="0"/>
                <w:iCs/>
                <w:color w:val="auto"/>
                <w:sz w:val="22"/>
                <w:lang w:val="en-AU"/>
              </w:rPr>
              <w:t xml:space="preserve"> base case. This is because genetic testing is commonplace in breast cancer, and patients in the third line and beyond setting were excluded despite being eligible for testing under the MBS item descriptor. T</w:t>
            </w:r>
            <w:r w:rsidRPr="00C24C30">
              <w:rPr>
                <w:rFonts w:ascii="Franklin Gothic Book" w:hAnsi="Franklin Gothic Book"/>
                <w:b w:val="0"/>
                <w:bCs/>
                <w:iCs/>
                <w:sz w:val="22"/>
                <w:lang w:val="en-AU"/>
              </w:rPr>
              <w:t>he diagnostic accuracy of testing was not incorporated and the prevalence of AKT pathway alterations was uncertain, though the direction of effect was unclear. The net effect was uncertain.</w:t>
            </w:r>
          </w:p>
        </w:tc>
      </w:tr>
    </w:tbl>
    <w:p w14:paraId="1BF35474" w14:textId="77777777" w:rsidR="00201854" w:rsidRPr="00C24C30" w:rsidRDefault="00201854" w:rsidP="00C24C30">
      <w:pPr>
        <w:spacing w:before="240"/>
        <w:ind w:left="720" w:hanging="720"/>
        <w:jc w:val="left"/>
        <w:rPr>
          <w:rFonts w:ascii="Franklin Gothic Book" w:hAnsi="Franklin Gothic Book" w:cstheme="minorHAnsi"/>
          <w:b/>
          <w:sz w:val="22"/>
        </w:rPr>
      </w:pPr>
      <w:r w:rsidRPr="00C24C30">
        <w:rPr>
          <w:rFonts w:ascii="Franklin Gothic Book" w:hAnsi="Franklin Gothic Book" w:cstheme="minorHAnsi"/>
          <w:b/>
          <w:sz w:val="22"/>
        </w:rPr>
        <w:lastRenderedPageBreak/>
        <w:t>ESCs discussion</w:t>
      </w:r>
    </w:p>
    <w:p w14:paraId="60FB9FE9"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The ESCs noted that the integrated codependent submission sought Medicare Benefits Schedule (MBS) listing of Next Generation Sequencing (NGS) testing for the detection of</w:t>
      </w:r>
      <w:r w:rsidRPr="00C24C30">
        <w:rPr>
          <w:rFonts w:ascii="Franklin Gothic Book" w:hAnsi="Franklin Gothic Book"/>
          <w:i/>
          <w:iCs/>
          <w:sz w:val="22"/>
        </w:rPr>
        <w:t xml:space="preserve"> </w:t>
      </w:r>
      <w:r w:rsidRPr="00C24C30">
        <w:rPr>
          <w:rFonts w:ascii="Franklin Gothic Book" w:hAnsi="Franklin Gothic Book"/>
          <w:sz w:val="22"/>
        </w:rPr>
        <w:t>AKT pathway alterations (</w:t>
      </w:r>
      <w:r w:rsidRPr="00C24C30">
        <w:rPr>
          <w:rFonts w:ascii="Franklin Gothic Book" w:hAnsi="Franklin Gothic Book"/>
          <w:i/>
          <w:iCs/>
          <w:sz w:val="22"/>
        </w:rPr>
        <w:t>PIK3CA, AKT1 or PTEN</w:t>
      </w:r>
      <w:r w:rsidRPr="00C24C30">
        <w:rPr>
          <w:rFonts w:ascii="Franklin Gothic Book" w:hAnsi="Franklin Gothic Book"/>
          <w:sz w:val="22"/>
        </w:rPr>
        <w:t>)</w:t>
      </w:r>
      <w:r w:rsidRPr="00C24C30">
        <w:rPr>
          <w:rFonts w:ascii="Franklin Gothic Book" w:hAnsi="Franklin Gothic Book"/>
          <w:i/>
          <w:iCs/>
          <w:sz w:val="22"/>
        </w:rPr>
        <w:t xml:space="preserve"> </w:t>
      </w:r>
      <w:r w:rsidRPr="00C24C30">
        <w:rPr>
          <w:rFonts w:ascii="Franklin Gothic Book" w:hAnsi="Franklin Gothic Book"/>
          <w:sz w:val="22"/>
        </w:rPr>
        <w:t xml:space="preserve">to determine eligibility for treatment with capivasertib in combination with </w:t>
      </w:r>
      <w:proofErr w:type="spellStart"/>
      <w:r w:rsidRPr="00C24C30">
        <w:rPr>
          <w:rFonts w:ascii="Franklin Gothic Book" w:hAnsi="Franklin Gothic Book"/>
          <w:sz w:val="22"/>
        </w:rPr>
        <w:t>fulvestrant</w:t>
      </w:r>
      <w:proofErr w:type="spellEnd"/>
      <w:r w:rsidRPr="00C24C30">
        <w:rPr>
          <w:rFonts w:ascii="Franklin Gothic Book" w:hAnsi="Franklin Gothic Book"/>
          <w:sz w:val="22"/>
        </w:rPr>
        <w:t xml:space="preserve"> (CAPI+FULV), for patients with hormone receptor positive (HR+)/ human epidermal growth factor receptor 2-negative (HER2-) locally advanced unresectable or metastatic breast cancer following disease progression or recurrence on or after an endocrine-based regimen (i.e. in the second-line [2L]) or later setting), with or without a cyclin dependent kinase 4 and 6 (CDK4/6) inhibitor. The ESCs also noted that the application sought Pharmaceutical Benefits Scheme (PBS) General Schedule Authority Required (Telephone/Online) listing of CAPI+FULV for the treatment of the same population who had evidence of an AKT pathway alteration (</w:t>
      </w:r>
      <w:r w:rsidRPr="00C24C30">
        <w:rPr>
          <w:rFonts w:ascii="Franklin Gothic Book" w:hAnsi="Franklin Gothic Book"/>
          <w:i/>
          <w:iCs/>
          <w:sz w:val="22"/>
        </w:rPr>
        <w:t xml:space="preserve">PIK3CA, AKT1 </w:t>
      </w:r>
      <w:r w:rsidRPr="00C24C30">
        <w:rPr>
          <w:rFonts w:ascii="Franklin Gothic Book" w:hAnsi="Franklin Gothic Book"/>
          <w:sz w:val="22"/>
        </w:rPr>
        <w:t xml:space="preserve">or </w:t>
      </w:r>
      <w:r w:rsidRPr="00C24C30">
        <w:rPr>
          <w:rFonts w:ascii="Franklin Gothic Book" w:hAnsi="Franklin Gothic Book"/>
          <w:i/>
          <w:iCs/>
          <w:sz w:val="22"/>
        </w:rPr>
        <w:t>PTEN</w:t>
      </w:r>
      <w:r w:rsidRPr="00C24C30">
        <w:rPr>
          <w:rFonts w:ascii="Franklin Gothic Book" w:hAnsi="Franklin Gothic Book"/>
          <w:sz w:val="22"/>
        </w:rPr>
        <w:t>); however, the ESCs also noted that the TGA indication for CAPI+FULV is not restricted to patients with an AKT pathway alteration.</w:t>
      </w:r>
    </w:p>
    <w:p w14:paraId="30328935"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The ESCs noted and welcomed consultation feedback received from 2 organisations. The ESCs noted that the feedback was supportive of the test being MBS-listed, stating that it would otherwise be unaffordable for patients, and that MBS listing of the test would help to support equity of access to the treatment if it was PBS listed. The ESCs also noted that feedback was supportive of capivasertib listing as a new option for a patient group whose treatment options are currently limited.</w:t>
      </w:r>
    </w:p>
    <w:p w14:paraId="1DC68EBF" w14:textId="3DBBCB75" w:rsidR="00201854" w:rsidRPr="00C24C30" w:rsidRDefault="00201854" w:rsidP="00201854">
      <w:pPr>
        <w:spacing w:after="0"/>
        <w:rPr>
          <w:rFonts w:ascii="Franklin Gothic Book" w:hAnsi="Franklin Gothic Book"/>
          <w:sz w:val="22"/>
        </w:rPr>
      </w:pPr>
      <w:r w:rsidRPr="00C24C30">
        <w:rPr>
          <w:rFonts w:ascii="Franklin Gothic Book" w:hAnsi="Franklin Gothic Book"/>
          <w:sz w:val="22"/>
        </w:rPr>
        <w:t>The ESCs noted that the proposed MBS item descriptor for testing (</w:t>
      </w:r>
      <w:r w:rsidRPr="00C24C30">
        <w:rPr>
          <w:rFonts w:ascii="Franklin Gothic Book" w:hAnsi="Franklin Gothic Book"/>
          <w:sz w:val="22"/>
        </w:rPr>
        <w:fldChar w:fldCharType="begin"/>
      </w:r>
      <w:r w:rsidRPr="00C24C30">
        <w:rPr>
          <w:rFonts w:ascii="Franklin Gothic Book" w:hAnsi="Franklin Gothic Book"/>
          <w:sz w:val="22"/>
        </w:rPr>
        <w:instrText xml:space="preserve"> REF _Ref180577662 \h </w:instrText>
      </w:r>
      <w:r w:rsidR="00C24C30" w:rsidRPr="00C24C30">
        <w:rPr>
          <w:rFonts w:ascii="Franklin Gothic Book" w:hAnsi="Franklin Gothic Book"/>
          <w:sz w:val="22"/>
        </w:rPr>
        <w:instrText xml:space="preserve"> \* MERGEFORMAT </w:instrText>
      </w:r>
      <w:r w:rsidRPr="00C24C30">
        <w:rPr>
          <w:rFonts w:ascii="Franklin Gothic Book" w:hAnsi="Franklin Gothic Book"/>
          <w:sz w:val="22"/>
        </w:rPr>
      </w:r>
      <w:r w:rsidRPr="00C24C30">
        <w:rPr>
          <w:rFonts w:ascii="Franklin Gothic Book" w:hAnsi="Franklin Gothic Book"/>
          <w:sz w:val="22"/>
        </w:rPr>
        <w:fldChar w:fldCharType="separate"/>
      </w:r>
      <w:r w:rsidRPr="00C24C30">
        <w:rPr>
          <w:rFonts w:ascii="Franklin Gothic Book" w:hAnsi="Franklin Gothic Book"/>
          <w:sz w:val="22"/>
        </w:rPr>
        <w:t xml:space="preserve">Table MSAC. </w:t>
      </w:r>
      <w:r w:rsidRPr="00C24C30">
        <w:rPr>
          <w:rFonts w:ascii="Franklin Gothic Book" w:hAnsi="Franklin Gothic Book"/>
          <w:noProof/>
          <w:sz w:val="22"/>
        </w:rPr>
        <w:t>1</w:t>
      </w:r>
      <w:r w:rsidRPr="00C24C30">
        <w:rPr>
          <w:rFonts w:ascii="Franklin Gothic Book" w:hAnsi="Franklin Gothic Book"/>
          <w:sz w:val="22"/>
        </w:rPr>
        <w:fldChar w:fldCharType="end"/>
      </w:r>
      <w:r w:rsidRPr="00C24C30">
        <w:rPr>
          <w:rFonts w:ascii="Franklin Gothic Book" w:hAnsi="Franklin Gothic Book"/>
          <w:sz w:val="22"/>
        </w:rPr>
        <w:t>) required that patients had locally advanced (inoperable) or metastatic hormone receptor positive (HR+), HER2- breast cancer. The ESCs also noted that, in the pivotal trial CAPItello-291, HR+ status was defined as estrogen-receptor expression (ER+), with or without progesterone-receptor expression (i.e. was more narrowly defined than in the proposed MBS item descriptor). The ESCs noted that HER2- was considered to include HER2-low patients.</w:t>
      </w:r>
    </w:p>
    <w:p w14:paraId="655EFCB7"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test population presented in the applicant-developed assessment report (ADAR) and in the proposed MBS item descriptor differed from the test population considered by PASC, because it was no longer restricted to patients following recurrence or progression on or after aromatase inhibitor (AI) therapy, with or without a CDK4/6 inhibitor as the proposed population had been amended to patients with ‘locally advanced (inoperable) or metastatic </w:t>
      </w:r>
      <w:r w:rsidRPr="00C24C30">
        <w:rPr>
          <w:rFonts w:ascii="Franklin Gothic Book" w:hAnsi="Franklin Gothic Book"/>
          <w:sz w:val="22"/>
        </w:rPr>
        <w:lastRenderedPageBreak/>
        <w:t>hormone receptor positive, HER2- breast cancer OR following recurrence or progression on or after endocrine based regimen, with or without a CDK4/6 inhibitor’ where previously it had been ‘AND’.</w:t>
      </w:r>
      <w:r w:rsidRPr="00C24C30">
        <w:rPr>
          <w:rStyle w:val="FootnoteReference"/>
          <w:rFonts w:ascii="Franklin Gothic Book" w:hAnsi="Franklin Gothic Book"/>
          <w:sz w:val="22"/>
        </w:rPr>
        <w:footnoteReference w:id="13"/>
      </w:r>
      <w:r w:rsidRPr="00C24C30">
        <w:rPr>
          <w:rFonts w:ascii="Franklin Gothic Book" w:hAnsi="Franklin Gothic Book"/>
          <w:sz w:val="22"/>
        </w:rPr>
        <w:t xml:space="preserve"> The ESCs noted that this resulted in a broader population than in the pivotal CAPItello-291 trial, and the test population that was advised by PASC. In addition, this broader population no longer aligned with National Comprehensive Cancer Network (NCCN) guidelines. The ESCs also noted that this broader population was not in line with the requested PBS item. The ESCs considered that if the MBS item descriptor included ‘AND’ rather than ‘OR’, testing of fresh tissue (i.e. collected after recurrence or progression on or after endocrine therapy, in line with the proposed PBS listing) may be more likely, which the ESCs considered would be preferable </w:t>
      </w:r>
      <w:proofErr w:type="gramStart"/>
      <w:r w:rsidRPr="00C24C30">
        <w:rPr>
          <w:rFonts w:ascii="Franklin Gothic Book" w:hAnsi="Franklin Gothic Book"/>
          <w:sz w:val="22"/>
        </w:rPr>
        <w:t>in order to</w:t>
      </w:r>
      <w:proofErr w:type="gramEnd"/>
      <w:r w:rsidRPr="00C24C30">
        <w:rPr>
          <w:rFonts w:ascii="Franklin Gothic Book" w:hAnsi="Franklin Gothic Book"/>
          <w:sz w:val="22"/>
        </w:rPr>
        <w:t xml:space="preserve"> detect any acquired mutations that may be relevant to treatment eligibility.</w:t>
      </w:r>
    </w:p>
    <w:p w14:paraId="0811F5B0" w14:textId="20DFCA4A"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in the pre-sub-committee response, the applicant stated that the reason for the population expansion was to ensure that patients whose disease progressed despite receiving endocrine therapy + CDK4/6 inhibitor in the adjuvant setting would not be excluded from access to CAPI+FULV. The ESCs considered that while the proposed expansion might result in expedited treatment for patients tested at an earlier stage, the possibility of false negative results might arise for tumour tests that are performed significantly earlier than the potential treatment initiation time, noting that patients might acquire mutations </w:t>
      </w:r>
      <w:proofErr w:type="gramStart"/>
      <w:r w:rsidRPr="00C24C30">
        <w:rPr>
          <w:rFonts w:ascii="Franklin Gothic Book" w:hAnsi="Franklin Gothic Book"/>
          <w:sz w:val="22"/>
        </w:rPr>
        <w:t>during the course of</w:t>
      </w:r>
      <w:proofErr w:type="gramEnd"/>
      <w:r w:rsidRPr="00C24C30">
        <w:rPr>
          <w:rFonts w:ascii="Franklin Gothic Book" w:hAnsi="Franklin Gothic Book"/>
          <w:sz w:val="22"/>
        </w:rPr>
        <w:t xml:space="preserve"> the disease. The ESCs noted that endocrine therapy could trigger AKT pathway alterations in breast cancer patients. The ESCs considered that it might be appropriate to restrict the testing population to patients who had received prior treatment with a CDK4/6 inhibitor to ensure consistency with international guidelines and to be in line with a significant proportion of the key trial population. The ESCs also considered whether the proposed broader population might result in unnecessary testing. However, given the high rate of progression in the proposed population, the ESCs considered the risk of unnecessary testing was likely to be small.</w:t>
      </w:r>
    </w:p>
    <w:p w14:paraId="340B286C" w14:textId="03B028B9" w:rsidR="00201854" w:rsidRPr="000D5DB8" w:rsidRDefault="1E47B629" w:rsidP="1CB972DD">
      <w:pPr>
        <w:rPr>
          <w:rStyle w:val="normaltextrun"/>
          <w:rFonts w:ascii="Franklin Gothic Book" w:hAnsi="Franklin Gothic Book"/>
          <w:b/>
          <w:bCs/>
          <w:sz w:val="22"/>
          <w:shd w:val="clear" w:color="auto" w:fill="FFFFFF"/>
        </w:rPr>
      </w:pPr>
      <w:r w:rsidRPr="1CB972DD">
        <w:rPr>
          <w:rFonts w:ascii="Franklin Gothic Book" w:hAnsi="Franklin Gothic Book"/>
          <w:sz w:val="22"/>
        </w:rPr>
        <w:t>The ESCs also noted that the intervention presented in the ADAR and MBS item descriptor had also changed following PASC consideration. The ADAR and MBS item no longer specified that testing was to be performed using NGS, or that it was to characterise tier 1 genetic variants in the relevant AKT pathway genes specifically, but instead only mentioned detection of AKT</w:t>
      </w:r>
      <w:r w:rsidR="55F7EBD4" w:rsidRPr="1CB972DD">
        <w:rPr>
          <w:rFonts w:ascii="Franklin Gothic Book" w:hAnsi="Franklin Gothic Book"/>
          <w:sz w:val="22"/>
        </w:rPr>
        <w:t xml:space="preserve"> </w:t>
      </w:r>
      <w:r w:rsidRPr="1CB972DD">
        <w:rPr>
          <w:rFonts w:ascii="Franklin Gothic Book" w:hAnsi="Franklin Gothic Book"/>
          <w:sz w:val="22"/>
        </w:rPr>
        <w:t xml:space="preserve">pathway altered tumour without mentioning the variant tier. The ESCs queried whether the removal of the restriction to tier 1 variants might result in broader use of the test, i.e. in patients with non-pathogenic alterations. However, the change in wording is in line with previous advice from the ESCs and MSAC. </w:t>
      </w:r>
      <w:r w:rsidR="000D5DB8" w:rsidRPr="000D5DB8">
        <w:rPr>
          <w:rFonts w:ascii="Franklin Gothic Book" w:hAnsi="Franklin Gothic Book"/>
          <w:b/>
          <w:bCs/>
          <w:sz w:val="22"/>
        </w:rPr>
        <w:t>REDACTED</w:t>
      </w:r>
    </w:p>
    <w:p w14:paraId="2B1A75A7" w14:textId="77777777" w:rsidR="00201854" w:rsidRPr="00C24C30" w:rsidRDefault="00201854" w:rsidP="00201854">
      <w:pPr>
        <w:rPr>
          <w:rStyle w:val="normaltextrun"/>
          <w:rFonts w:ascii="Franklin Gothic Book" w:hAnsi="Franklin Gothic Book"/>
          <w:sz w:val="22"/>
          <w:shd w:val="clear" w:color="auto" w:fill="FFFFFF"/>
        </w:rPr>
      </w:pPr>
      <w:r w:rsidRPr="00C24C30">
        <w:rPr>
          <w:rStyle w:val="normaltextrun"/>
          <w:rFonts w:ascii="Franklin Gothic Book" w:hAnsi="Franklin Gothic Book"/>
          <w:sz w:val="22"/>
          <w:shd w:val="clear" w:color="auto" w:fill="FFFFFF"/>
        </w:rPr>
        <w:t>The ESCs considered that the department’s proposed amendment of the item descriptor for the test as one to be requested ‘by or on behalf of a specialist or consultant physician’ was an acceptable means of ensuring adequate access to this item by general practitioners.  The ESCs considered that the proposed item descriptor should take into consideration the uncertain turnaround time of NGS which could range from 6 to 8 weeks or beyond. The ESCs noted the proposed restriction of testing to once per primary tumour would mean that in the event of a test failure requiring re-testing, patients would incur out of pocket costs. The ESCs queried how this could be addressed.  The ESCs noted that the submission did not provide justification for the proposed MBS f</w:t>
      </w:r>
      <w:r w:rsidRPr="0041290C">
        <w:rPr>
          <w:rStyle w:val="normaltextrun"/>
          <w:rFonts w:ascii="Franklin Gothic Book" w:hAnsi="Franklin Gothic Book"/>
          <w:sz w:val="22"/>
          <w:shd w:val="clear" w:color="auto" w:fill="FFFFFF"/>
        </w:rPr>
        <w:t>ee of $2,200.</w:t>
      </w:r>
      <w:r w:rsidRPr="00C24C30">
        <w:rPr>
          <w:rStyle w:val="normaltextrun"/>
          <w:rFonts w:ascii="Franklin Gothic Book" w:hAnsi="Franklin Gothic Book"/>
          <w:sz w:val="22"/>
          <w:shd w:val="clear" w:color="auto" w:fill="FFFFFF"/>
        </w:rPr>
        <w:t xml:space="preserve"> </w:t>
      </w:r>
    </w:p>
    <w:p w14:paraId="312046E9"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test comparator was </w:t>
      </w:r>
      <w:proofErr w:type="gramStart"/>
      <w:r w:rsidRPr="00C24C30">
        <w:rPr>
          <w:rFonts w:ascii="Franklin Gothic Book" w:hAnsi="Franklin Gothic Book"/>
          <w:sz w:val="22"/>
        </w:rPr>
        <w:t>no</w:t>
      </w:r>
      <w:proofErr w:type="gramEnd"/>
      <w:r w:rsidRPr="00C24C30">
        <w:rPr>
          <w:rFonts w:ascii="Franklin Gothic Book" w:hAnsi="Franklin Gothic Book"/>
          <w:sz w:val="22"/>
        </w:rPr>
        <w:t xml:space="preserve"> testing, and that the treatment comparator was FULV monotherapy. However, the ESCs also noted that there was no standard of care (SOC) for this population and that a range of different treatment options was available. Therefore, the ESCs </w:t>
      </w:r>
      <w:r w:rsidRPr="00C24C30">
        <w:rPr>
          <w:rFonts w:ascii="Franklin Gothic Book" w:hAnsi="Franklin Gothic Book"/>
          <w:sz w:val="22"/>
        </w:rPr>
        <w:lastRenderedPageBreak/>
        <w:t>considered that FULV monotherapy alone might not be the most appropriate treatment comparator.</w:t>
      </w:r>
    </w:p>
    <w:p w14:paraId="3E4D17CF" w14:textId="5E0C2A94"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considered that there was uncertainty in the diagnostic accuracy of testing, because there was no reference standard and the clinical utility standard used in the pivotal trial,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was not available in Australia. The ESCs noted that concordance data comparing the clinical utility standard to the Roche </w:t>
      </w:r>
      <w:proofErr w:type="spellStart"/>
      <w:r w:rsidRPr="00C24C30">
        <w:rPr>
          <w:rFonts w:ascii="Franklin Gothic Book" w:hAnsi="Franklin Gothic Book"/>
          <w:sz w:val="22"/>
        </w:rPr>
        <w:t>Avenio</w:t>
      </w:r>
      <w:proofErr w:type="spellEnd"/>
      <w:r w:rsidRPr="00C24C30">
        <w:rPr>
          <w:rFonts w:ascii="Franklin Gothic Book" w:hAnsi="Franklin Gothic Book"/>
          <w:sz w:val="22"/>
        </w:rPr>
        <w:t xml:space="preserve"> CGP (an in-house NGS) and to non-specified ‘externally validated NGS’ tests (FDA 2019</w:t>
      </w:r>
      <w:r w:rsidRPr="00C24C30">
        <w:rPr>
          <w:rStyle w:val="FootnoteReference"/>
          <w:rFonts w:ascii="Franklin Gothic Book" w:hAnsi="Franklin Gothic Book"/>
          <w:sz w:val="22"/>
        </w:rPr>
        <w:footnoteReference w:id="14"/>
      </w:r>
      <w:r w:rsidRPr="00C24C30">
        <w:rPr>
          <w:rFonts w:ascii="Franklin Gothic Book" w:hAnsi="Franklin Gothic Book"/>
          <w:sz w:val="22"/>
        </w:rPr>
        <w:t xml:space="preserve"> and FDA 2023</w:t>
      </w:r>
      <w:r w:rsidRPr="00C24C30">
        <w:rPr>
          <w:rStyle w:val="FootnoteReference"/>
          <w:rFonts w:ascii="Franklin Gothic Book" w:hAnsi="Franklin Gothic Book"/>
          <w:sz w:val="22"/>
        </w:rPr>
        <w:footnoteReference w:id="15"/>
      </w:r>
      <w:r w:rsidRPr="00C24C30">
        <w:rPr>
          <w:rFonts w:ascii="Franklin Gothic Book" w:hAnsi="Franklin Gothic Book"/>
          <w:sz w:val="22"/>
        </w:rPr>
        <w:t xml:space="preserve">) were provided. The studies showed good concordance; however, the ESCs considered that there was uncertainty in the concordance data. The comparison to the Roche assay was within only a small sample (21 patients, with 5 test failures and no patients who were negative for AKT pathway alterations). Regarding the FDA 2019 and FDA 2023 studies, the ‘externally validated NGS test’ used for comparison to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was not specified and the dataset for FDA 2019 tested patients for </w:t>
      </w:r>
      <w:r w:rsidRPr="00C24C30">
        <w:rPr>
          <w:rFonts w:ascii="Franklin Gothic Book" w:hAnsi="Franklin Gothic Book"/>
          <w:i/>
          <w:sz w:val="22"/>
        </w:rPr>
        <w:t>PIK3CA</w:t>
      </w:r>
      <w:r w:rsidRPr="00C24C30">
        <w:rPr>
          <w:rFonts w:ascii="Franklin Gothic Book" w:hAnsi="Franklin Gothic Book"/>
          <w:sz w:val="22"/>
        </w:rPr>
        <w:t xml:space="preserve"> alterations only (i.e., did not test for </w:t>
      </w:r>
      <w:r w:rsidRPr="00C24C30">
        <w:rPr>
          <w:rFonts w:ascii="Franklin Gothic Book" w:hAnsi="Franklin Gothic Book"/>
          <w:i/>
          <w:sz w:val="22"/>
        </w:rPr>
        <w:t>PTEN</w:t>
      </w:r>
      <w:r w:rsidRPr="00C24C30">
        <w:rPr>
          <w:rFonts w:ascii="Franklin Gothic Book" w:hAnsi="Franklin Gothic Book"/>
          <w:sz w:val="22"/>
        </w:rPr>
        <w:t xml:space="preserve"> or </w:t>
      </w:r>
      <w:r w:rsidRPr="00C24C30">
        <w:rPr>
          <w:rFonts w:ascii="Franklin Gothic Book" w:hAnsi="Franklin Gothic Book"/>
          <w:i/>
          <w:sz w:val="22"/>
        </w:rPr>
        <w:t>AKT1</w:t>
      </w:r>
      <w:r w:rsidRPr="00C24C30">
        <w:rPr>
          <w:rFonts w:ascii="Franklin Gothic Book" w:hAnsi="Franklin Gothic Book"/>
          <w:sz w:val="22"/>
        </w:rPr>
        <w:t xml:space="preserve"> alterations); while the population for FDA 2023 included women with TNBC. The ESCs also considered that because the test likely to be used in practice in Australia was uncertain, it was not clear that the concordance data was representative of the expected test results in Australia. The ESCs noted that the pre-sub-committee response argued that because of National Association of Testing Authorities (NATA) accreditation, there would be no risk that a future NGS test used in Australia would give different results to the Roche AVENIO test proposed. </w:t>
      </w:r>
    </w:p>
    <w:p w14:paraId="2E973EC3" w14:textId="0315A7E2"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submission did not address the concern raised by PASC: that the concordance data supplied by the applicant found that neither </w:t>
      </w:r>
      <w:proofErr w:type="spellStart"/>
      <w:r w:rsidRPr="00C24C30">
        <w:rPr>
          <w:rFonts w:ascii="Franklin Gothic Book" w:hAnsi="Franklin Gothic Book"/>
          <w:sz w:val="22"/>
        </w:rPr>
        <w:t>FoundationOneCDx</w:t>
      </w:r>
      <w:proofErr w:type="spellEnd"/>
      <w:r w:rsidRPr="00C24C30">
        <w:rPr>
          <w:rFonts w:ascii="Franklin Gothic Book" w:hAnsi="Franklin Gothic Book"/>
          <w:sz w:val="22"/>
        </w:rPr>
        <w:t xml:space="preserve"> nor AVENIO identified </w:t>
      </w:r>
      <w:r w:rsidRPr="00C24C30">
        <w:rPr>
          <w:rFonts w:ascii="Franklin Gothic Book" w:hAnsi="Franklin Gothic Book"/>
          <w:i/>
          <w:sz w:val="22"/>
        </w:rPr>
        <w:t>PTEN</w:t>
      </w:r>
      <w:r w:rsidRPr="00C24C30">
        <w:rPr>
          <w:rFonts w:ascii="Franklin Gothic Book" w:hAnsi="Franklin Gothic Book"/>
          <w:sz w:val="22"/>
        </w:rPr>
        <w:t xml:space="preserve"> deletions. Therefore, the ESCs requested that the applicant provides primary data on </w:t>
      </w:r>
      <w:r w:rsidRPr="00C24C30">
        <w:rPr>
          <w:rFonts w:ascii="Franklin Gothic Book" w:hAnsi="Franklin Gothic Book"/>
          <w:i/>
          <w:sz w:val="22"/>
        </w:rPr>
        <w:t>PTEN</w:t>
      </w:r>
      <w:r w:rsidRPr="00C24C30">
        <w:rPr>
          <w:rFonts w:ascii="Franklin Gothic Book" w:hAnsi="Franklin Gothic Book"/>
          <w:sz w:val="22"/>
        </w:rPr>
        <w:t xml:space="preserve"> deletion detection from available studies of NGS testing for MSAC consideration.</w:t>
      </w:r>
    </w:p>
    <w:p w14:paraId="7B4F7B27" w14:textId="1518FC34"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data supporting the prognostic ability of testing were provided from the SOC arms of 4 trials, and the most relevant studies were those that also used NGS (the CAPItello-291 and FAKTION trials). The ESCs noted that there appeared to be evidence that PFS and OS were shorter in patients with AKT pathway alterations, compared to patients with non AKT altered pathways. However, the ESCs noted that the differences in PFS and OS between patients with AKT altered and non AKT altered pathway were small, the 95% confidence intervals for PFS and OS were wide and </w:t>
      </w:r>
      <w:proofErr w:type="gramStart"/>
      <w:r w:rsidRPr="00C24C30">
        <w:rPr>
          <w:rFonts w:ascii="Franklin Gothic Book" w:hAnsi="Franklin Gothic Book"/>
          <w:sz w:val="22"/>
        </w:rPr>
        <w:t>overlapping, and</w:t>
      </w:r>
      <w:proofErr w:type="gramEnd"/>
      <w:r w:rsidRPr="00C24C30">
        <w:rPr>
          <w:rFonts w:ascii="Franklin Gothic Book" w:hAnsi="Franklin Gothic Book"/>
          <w:sz w:val="22"/>
        </w:rPr>
        <w:t xml:space="preserve"> considered that the OS data were immature. The ESCs also noted that the SOC in the trials was </w:t>
      </w:r>
      <w:proofErr w:type="spellStart"/>
      <w:r w:rsidRPr="00C24C30">
        <w:rPr>
          <w:rFonts w:ascii="Franklin Gothic Book" w:hAnsi="Franklin Gothic Book"/>
          <w:sz w:val="22"/>
        </w:rPr>
        <w:t>FULV+placebo</w:t>
      </w:r>
      <w:proofErr w:type="spellEnd"/>
      <w:r w:rsidRPr="00C24C30">
        <w:rPr>
          <w:rFonts w:ascii="Franklin Gothic Book" w:hAnsi="Franklin Gothic Book"/>
          <w:sz w:val="22"/>
        </w:rPr>
        <w:t xml:space="preserve">, which might not be appropriate due to </w:t>
      </w:r>
      <w:proofErr w:type="gramStart"/>
      <w:r w:rsidRPr="00C24C30">
        <w:rPr>
          <w:rFonts w:ascii="Franklin Gothic Book" w:hAnsi="Franklin Gothic Book"/>
          <w:sz w:val="22"/>
        </w:rPr>
        <w:t>a number of</w:t>
      </w:r>
      <w:proofErr w:type="gramEnd"/>
      <w:r w:rsidRPr="00C24C30">
        <w:rPr>
          <w:rFonts w:ascii="Franklin Gothic Book" w:hAnsi="Franklin Gothic Book"/>
          <w:sz w:val="22"/>
        </w:rPr>
        <w:t xml:space="preserve"> alternative treatment options being available, as noted in the proposed clinical algorithm in the ADAR. These alternative options might have greater clinical benefit for patients than FULV </w:t>
      </w:r>
      <w:proofErr w:type="gramStart"/>
      <w:r w:rsidRPr="00C24C30">
        <w:rPr>
          <w:rFonts w:ascii="Franklin Gothic Book" w:hAnsi="Franklin Gothic Book"/>
          <w:sz w:val="22"/>
        </w:rPr>
        <w:t>monotherapy, and</w:t>
      </w:r>
      <w:proofErr w:type="gramEnd"/>
      <w:r w:rsidRPr="00C24C30">
        <w:rPr>
          <w:rFonts w:ascii="Franklin Gothic Book" w:hAnsi="Franklin Gothic Book"/>
          <w:sz w:val="22"/>
        </w:rPr>
        <w:t xml:space="preserve"> might be more commonly used in standard practice. Therefore, the ESCs considered that the estimated benefit of testing when compared only to FULV monotherapy might have been overestimated. As a result, the ESCs considered that the prognostic ability of testing was uncertain, and that a mixed SOC comparator would have been more informative.</w:t>
      </w:r>
    </w:p>
    <w:p w14:paraId="33348FD7"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In terms of predictive ability of testing, the ESCs noted that FAKTION included only a small number of patients tested using NGS, and that while CAPItello-291 was powered to examine differences in outcomes between treatment arms for the overall population as well as AKT pathway altered patients specifically, the treatment arms were not stratified by AKT status. The ESCs noted that in CAPItello-291, there was an overall benefit in PFS to CAPI+FULV treatment in all patient groups, with a stronger effect in those with AKT pathway alterations, but that there was also clinical benefit in the patient group without AKT pathway alteration. However, the ESCs noted that this patient group contained a relatively large number of patients with unknown AKT pathway status, and that </w:t>
      </w:r>
      <w:r w:rsidRPr="00C24C30">
        <w:rPr>
          <w:rFonts w:ascii="Franklin Gothic Book" w:hAnsi="Franklin Gothic Book"/>
          <w:i/>
          <w:iCs/>
          <w:sz w:val="22"/>
        </w:rPr>
        <w:t>post hoc</w:t>
      </w:r>
      <w:r w:rsidRPr="00C24C30">
        <w:rPr>
          <w:rFonts w:ascii="Franklin Gothic Book" w:hAnsi="Franklin Gothic Book"/>
          <w:sz w:val="22"/>
        </w:rPr>
        <w:t xml:space="preserve"> analysis suggested that the benefit was not as pronounced in patients with known non AKT pathway alteration, although there was still a 21% reduction in hazard of progression for this patient group. The ESCs queried whether treatment might still be relevant to patients without AKT </w:t>
      </w:r>
      <w:r w:rsidRPr="00C24C30">
        <w:rPr>
          <w:rFonts w:ascii="Franklin Gothic Book" w:hAnsi="Franklin Gothic Book"/>
          <w:sz w:val="22"/>
        </w:rPr>
        <w:lastRenderedPageBreak/>
        <w:t>pathway alterations, i.e., whether treatment would provide some clinical benefit for all patients regardless of AKT status, and therefore</w:t>
      </w:r>
      <w:r w:rsidRPr="00C24C30" w:rsidDel="004224B8">
        <w:rPr>
          <w:rFonts w:ascii="Franklin Gothic Book" w:hAnsi="Franklin Gothic Book"/>
          <w:sz w:val="22"/>
        </w:rPr>
        <w:t xml:space="preserve"> </w:t>
      </w:r>
      <w:r w:rsidRPr="00C24C30">
        <w:rPr>
          <w:rFonts w:ascii="Franklin Gothic Book" w:hAnsi="Franklin Gothic Book"/>
          <w:sz w:val="22"/>
        </w:rPr>
        <w:t xml:space="preserve">whether AKT testing should be required to access capivasertib. However, the ESCs also considered that, because AKT pathway alterations (particularly </w:t>
      </w:r>
      <w:r w:rsidRPr="00C24C30">
        <w:rPr>
          <w:rFonts w:ascii="Franklin Gothic Book" w:hAnsi="Franklin Gothic Book"/>
          <w:i/>
          <w:iCs/>
          <w:sz w:val="22"/>
        </w:rPr>
        <w:t xml:space="preserve">PIK3CA </w:t>
      </w:r>
      <w:r w:rsidRPr="00C24C30">
        <w:rPr>
          <w:rFonts w:ascii="Franklin Gothic Book" w:hAnsi="Franklin Gothic Book"/>
          <w:sz w:val="22"/>
        </w:rPr>
        <w:t xml:space="preserve">alterations) might be acquired over time, these results might have been reflective of the limitations of testing using archival tissue, and therefore a proportion of these patients might have harboured an acquired alteration (i.e. were false negatives). The ESCs therefore considered the predictive ability of testing, and </w:t>
      </w:r>
      <w:proofErr w:type="gramStart"/>
      <w:r w:rsidRPr="00C24C30">
        <w:rPr>
          <w:rFonts w:ascii="Franklin Gothic Book" w:hAnsi="Franklin Gothic Book"/>
          <w:sz w:val="22"/>
        </w:rPr>
        <w:t>whether or not</w:t>
      </w:r>
      <w:proofErr w:type="gramEnd"/>
      <w:r w:rsidRPr="00C24C30">
        <w:rPr>
          <w:rFonts w:ascii="Franklin Gothic Book" w:hAnsi="Franklin Gothic Book"/>
          <w:sz w:val="22"/>
        </w:rPr>
        <w:t xml:space="preserve"> it should be a requirement to access capivasertib, to be uncertain.</w:t>
      </w:r>
    </w:p>
    <w:p w14:paraId="027EEA93"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OS data from CAPItello-291 was immature and did not show evidence of an OS benefit in any of the patient groups. </w:t>
      </w:r>
    </w:p>
    <w:p w14:paraId="59F9B71B" w14:textId="77777777"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testing was performed on tissue, which could be undertaken using either archival tissue or fresh tissue. The ESCs noted that there was a risk of potential false negatives if testing was undertaken using the former whereas there were potential additional risks associated with a new biopsy if testing was undertaken with the latter, although the ESCs considered that these would be appropriately managed through standard processes in clinical settings. The ESCs noted that the main risk associated with false negative results was incurred through lack of treatment, but that the percentage of this was unknown, while the main risk of false positives was incurred through treatment followed by adverse events without benefit. The ESCs concluded that the ADAR’s claim of inferior but manageable safety was reasonable. </w:t>
      </w:r>
    </w:p>
    <w:p w14:paraId="5BF27F5F" w14:textId="77777777" w:rsidR="00201854" w:rsidRPr="00C24C30" w:rsidRDefault="00201854" w:rsidP="00201854">
      <w:pPr>
        <w:rPr>
          <w:rFonts w:ascii="Franklin Gothic Book" w:hAnsi="Franklin Gothic Book"/>
          <w:color w:val="3366FF"/>
          <w:sz w:val="22"/>
        </w:rPr>
      </w:pPr>
      <w:r w:rsidRPr="00C24C30">
        <w:rPr>
          <w:rFonts w:ascii="Franklin Gothic Book" w:hAnsi="Franklin Gothic Book"/>
          <w:sz w:val="22"/>
        </w:rPr>
        <w:t xml:space="preserve">The ESCs noted that the submission’s overall clinical claim was that ‘in patients with AI-resistant HR+/HER2- locally advanced or metastatic breast patients with confirmed </w:t>
      </w:r>
      <w:r w:rsidRPr="00C24C30" w:rsidDel="006F41D3">
        <w:rPr>
          <w:rFonts w:ascii="Franklin Gothic Book" w:hAnsi="Franklin Gothic Book"/>
          <w:sz w:val="22"/>
        </w:rPr>
        <w:t>AKT</w:t>
      </w:r>
      <w:r w:rsidRPr="00C24C30">
        <w:rPr>
          <w:rFonts w:ascii="Franklin Gothic Book" w:hAnsi="Franklin Gothic Book"/>
          <w:sz w:val="22"/>
        </w:rPr>
        <w:t xml:space="preserve"> pathway altered (</w:t>
      </w:r>
      <w:r w:rsidRPr="00C24C30">
        <w:rPr>
          <w:rFonts w:ascii="Franklin Gothic Book" w:hAnsi="Franklin Gothic Book"/>
          <w:i/>
          <w:sz w:val="22"/>
        </w:rPr>
        <w:t>PIK3CA</w:t>
      </w:r>
      <w:r w:rsidRPr="00C24C30">
        <w:rPr>
          <w:rFonts w:ascii="Franklin Gothic Book" w:hAnsi="Franklin Gothic Book"/>
          <w:sz w:val="22"/>
        </w:rPr>
        <w:t xml:space="preserve">, </w:t>
      </w:r>
      <w:r w:rsidRPr="00C24C30">
        <w:rPr>
          <w:rFonts w:ascii="Franklin Gothic Book" w:hAnsi="Franklin Gothic Book"/>
          <w:i/>
          <w:sz w:val="22"/>
        </w:rPr>
        <w:t>AKT1</w:t>
      </w:r>
      <w:r w:rsidRPr="00C24C30">
        <w:rPr>
          <w:rFonts w:ascii="Franklin Gothic Book" w:hAnsi="Franklin Gothic Book"/>
          <w:sz w:val="22"/>
        </w:rPr>
        <w:t xml:space="preserve">, or </w:t>
      </w:r>
      <w:r w:rsidRPr="00C24C30">
        <w:rPr>
          <w:rFonts w:ascii="Franklin Gothic Book" w:hAnsi="Franklin Gothic Book"/>
          <w:i/>
          <w:sz w:val="22"/>
        </w:rPr>
        <w:t>PTEN</w:t>
      </w:r>
      <w:r w:rsidRPr="00C24C30">
        <w:rPr>
          <w:rFonts w:ascii="Franklin Gothic Book" w:hAnsi="Franklin Gothic Book"/>
          <w:sz w:val="22"/>
        </w:rPr>
        <w:t xml:space="preserve">) tumours, the addition of CAPI+FULV vs. FULV monotherapy led to statistically significant superior PFS outcome and inferior but manageable safety outcome’. The ESCs considered there to be uncertainty around the clinical effectiveness claim and clinical benefits of testing and treatment as well as further uncertainty around the predictive and prognostic benefits of testing for the reasons discussed above. Thus, the ESCs agreed with the commentary that there remained some uncertainty regarding the rationale for exclusion of patients who did not test positive to AKT pathway alteration from PBS funded treatment with CAPI+FULV. However, the ESCs advised that consideration should also be given to the fact that CAPI+FULV was inferior in safety compared with FULV monotherapy. Given potential safety concerns, treating patients without AKT pathway alterations, who are less likely to benefit from CAPI+FULV, may not be clinically appropriate. </w:t>
      </w:r>
    </w:p>
    <w:p w14:paraId="010D33F6" w14:textId="39155C70" w:rsidR="00201854" w:rsidRPr="00C24C30" w:rsidRDefault="00201854" w:rsidP="00201854">
      <w:pPr>
        <w:rPr>
          <w:rFonts w:ascii="Franklin Gothic Book" w:hAnsi="Franklin Gothic Book"/>
          <w:sz w:val="22"/>
        </w:rPr>
      </w:pPr>
      <w:r w:rsidRPr="00C24C30">
        <w:rPr>
          <w:rFonts w:ascii="Franklin Gothic Book" w:hAnsi="Franklin Gothic Book"/>
          <w:sz w:val="22"/>
        </w:rPr>
        <w:t>The ESCs noted that the economic model compared the proposed test scenario followed by treatment with CAPI+FULV for AKT</w:t>
      </w:r>
      <w:r w:rsidR="009723D9">
        <w:rPr>
          <w:rFonts w:ascii="Franklin Gothic Book" w:hAnsi="Franklin Gothic Book"/>
          <w:sz w:val="22"/>
        </w:rPr>
        <w:t xml:space="preserve"> </w:t>
      </w:r>
      <w:r w:rsidRPr="00C24C30">
        <w:rPr>
          <w:rFonts w:ascii="Franklin Gothic Book" w:hAnsi="Franklin Gothic Book"/>
          <w:sz w:val="22"/>
        </w:rPr>
        <w:t xml:space="preserve">pathway altered patients and treatment with </w:t>
      </w:r>
      <w:proofErr w:type="spellStart"/>
      <w:r w:rsidRPr="00C24C30">
        <w:rPr>
          <w:rFonts w:ascii="Franklin Gothic Book" w:hAnsi="Franklin Gothic Book"/>
          <w:sz w:val="22"/>
        </w:rPr>
        <w:t>FULV+placebo</w:t>
      </w:r>
      <w:proofErr w:type="spellEnd"/>
      <w:r w:rsidRPr="00C24C30">
        <w:rPr>
          <w:rFonts w:ascii="Franklin Gothic Book" w:hAnsi="Franklin Gothic Book"/>
          <w:sz w:val="22"/>
        </w:rPr>
        <w:t xml:space="preserve">, to no testing and all patients treated with </w:t>
      </w:r>
      <w:proofErr w:type="spellStart"/>
      <w:r w:rsidRPr="00C24C30">
        <w:rPr>
          <w:rFonts w:ascii="Franklin Gothic Book" w:hAnsi="Franklin Gothic Book"/>
          <w:sz w:val="22"/>
        </w:rPr>
        <w:t>FULV+placebo</w:t>
      </w:r>
      <w:proofErr w:type="spellEnd"/>
      <w:r w:rsidRPr="00C24C30">
        <w:rPr>
          <w:rFonts w:ascii="Franklin Gothic Book" w:hAnsi="Franklin Gothic Book"/>
          <w:sz w:val="22"/>
        </w:rPr>
        <w:t xml:space="preserve">. The ESCs noted that the modelled time horizon was 15 years, but that the median follow-up in CAPItello-291 was 14-15 months. The ESCs acknowledged that 15 years might be clinically plausible for some </w:t>
      </w:r>
      <w:proofErr w:type="gramStart"/>
      <w:r w:rsidRPr="00C24C30">
        <w:rPr>
          <w:rFonts w:ascii="Franklin Gothic Book" w:hAnsi="Franklin Gothic Book"/>
          <w:sz w:val="22"/>
        </w:rPr>
        <w:t>patients, but</w:t>
      </w:r>
      <w:proofErr w:type="gramEnd"/>
      <w:r w:rsidRPr="00C24C30">
        <w:rPr>
          <w:rFonts w:ascii="Franklin Gothic Book" w:hAnsi="Franklin Gothic Book"/>
          <w:sz w:val="22"/>
        </w:rPr>
        <w:t xml:space="preserve"> considered that a shorter time horizon (5-10 years) might be more appropriate, given the short duration of follow-up in CAPItello-291 and the high level of uncertainty regarding longer term outcomes, particular OS. The ESCs noted that no convergence was included within the modelled Kaplan-Meier data, particularly in the OS model, so survival benefit increased over time. The ESCs considered that, in the case of OS, the model was highly optimistic, where the most optimistic function was chosen for the intervention arm and the least optimistic was chosen for the comparator, thereby overestimating the incremental survival benefit, with a hazard ratio more optimistic than the direct trial results. </w:t>
      </w:r>
    </w:p>
    <w:p w14:paraId="728F0CAD" w14:textId="13BB35D1"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model assumed a test failure </w:t>
      </w:r>
      <w:r w:rsidRPr="0041290C">
        <w:rPr>
          <w:rFonts w:ascii="Franklin Gothic Book" w:hAnsi="Franklin Gothic Book"/>
          <w:sz w:val="22"/>
        </w:rPr>
        <w:t>rate of 5%</w:t>
      </w:r>
      <w:r w:rsidRPr="00C24C30">
        <w:rPr>
          <w:rFonts w:ascii="Franklin Gothic Book" w:hAnsi="Franklin Gothic Book"/>
          <w:sz w:val="22"/>
        </w:rPr>
        <w:t xml:space="preserve"> despite a failure rate of 15% in CAPItello-291, and that evidence was not provided to justify this assumption. The ESCs noted that the pre-sub-committee response stated that this was considered appropriate by a local clinical expert; however, as the test to be used in Australia is uncertain, the ESCs considered that there was not sufficient evidence to justify the lower test failure rate. The ESCs noted that increasing the failure rate had only a small effect on the incremental cost-effectiveness ratio (ICER), but that if the failure rate is higher in reality, health outcomes may have been overestimated in the model </w:t>
      </w:r>
      <w:r w:rsidRPr="00C24C30">
        <w:rPr>
          <w:rFonts w:ascii="Franklin Gothic Book" w:hAnsi="Franklin Gothic Book"/>
          <w:sz w:val="22"/>
        </w:rPr>
        <w:lastRenderedPageBreak/>
        <w:t xml:space="preserve">(i.e. where patients of unknown status would not be eligible for </w:t>
      </w:r>
      <w:proofErr w:type="gramStart"/>
      <w:r w:rsidRPr="00C24C30">
        <w:rPr>
          <w:rFonts w:ascii="Franklin Gothic Book" w:hAnsi="Franklin Gothic Book"/>
          <w:sz w:val="22"/>
        </w:rPr>
        <w:t>treatment, and</w:t>
      </w:r>
      <w:proofErr w:type="gramEnd"/>
      <w:r w:rsidRPr="00C24C30">
        <w:rPr>
          <w:rFonts w:ascii="Franklin Gothic Book" w:hAnsi="Franklin Gothic Book"/>
          <w:sz w:val="22"/>
        </w:rPr>
        <w:t xml:space="preserve"> may have different prognosis to that assumed in the model). </w:t>
      </w:r>
    </w:p>
    <w:p w14:paraId="74E63E69" w14:textId="4F980C32"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w:t>
      </w:r>
      <w:r w:rsidRPr="00C02B61">
        <w:rPr>
          <w:rFonts w:ascii="Franklin Gothic Book" w:hAnsi="Franklin Gothic Book"/>
          <w:sz w:val="22"/>
        </w:rPr>
        <w:t xml:space="preserve">ESCs noted that the base case ICER from the stepped economic evaluation was </w:t>
      </w:r>
      <w:r w:rsidR="0041290C" w:rsidRPr="00C02B61">
        <w:rPr>
          <w:rFonts w:ascii="Franklin Gothic Book" w:hAnsi="Franklin Gothic Book"/>
          <w:sz w:val="22"/>
        </w:rPr>
        <w:t xml:space="preserve">$75,000 to &lt;$95,000 </w:t>
      </w:r>
      <w:r w:rsidRPr="00C02B61">
        <w:rPr>
          <w:rFonts w:ascii="Franklin Gothic Book" w:hAnsi="Franklin Gothic Book"/>
          <w:sz w:val="22"/>
        </w:rPr>
        <w:t>per</w:t>
      </w:r>
      <w:r w:rsidRPr="00C02B61">
        <w:rPr>
          <w:rStyle w:val="InstructionalTextChar"/>
          <w:rFonts w:ascii="Franklin Gothic Book" w:hAnsi="Franklin Gothic Book"/>
          <w:color w:val="auto"/>
          <w:sz w:val="22"/>
          <w:lang w:val="en-US"/>
        </w:rPr>
        <w:t xml:space="preserve"> QALY gained, over </w:t>
      </w:r>
      <w:proofErr w:type="spellStart"/>
      <w:r w:rsidRPr="00C02B61">
        <w:rPr>
          <w:rStyle w:val="InstructionalTextChar"/>
          <w:rFonts w:ascii="Franklin Gothic Book" w:hAnsi="Franklin Gothic Book"/>
          <w:color w:val="auto"/>
          <w:sz w:val="22"/>
          <w:lang w:val="en-US"/>
        </w:rPr>
        <w:t>th</w:t>
      </w:r>
      <w:proofErr w:type="spellEnd"/>
      <w:r w:rsidRPr="00C02B61">
        <w:rPr>
          <w:rFonts w:ascii="Franklin Gothic Book" w:hAnsi="Franklin Gothic Book"/>
          <w:sz w:val="22"/>
        </w:rPr>
        <w:t xml:space="preserve">e </w:t>
      </w:r>
      <w:proofErr w:type="gramStart"/>
      <w:r w:rsidRPr="00C02B61">
        <w:rPr>
          <w:rFonts w:ascii="Franklin Gothic Book" w:hAnsi="Franklin Gothic Book"/>
          <w:sz w:val="22"/>
        </w:rPr>
        <w:t>15 year</w:t>
      </w:r>
      <w:proofErr w:type="gramEnd"/>
      <w:r w:rsidRPr="00C02B61">
        <w:rPr>
          <w:rFonts w:ascii="Franklin Gothic Book" w:hAnsi="Franklin Gothic Book"/>
          <w:sz w:val="22"/>
        </w:rPr>
        <w:t xml:space="preserve"> time horizon. The ESCs noted that sensitivity analyses demonstrated that test accuracy and test failure rate had only a small impact on the ICER. The ESCs noted the univariate sensitivity analyses conducted during the evaluation demonstrated that reducing the time horizon to 7 years increased the ICER by almost </w:t>
      </w:r>
      <w:r w:rsidR="00C02B61">
        <w:rPr>
          <w:rFonts w:ascii="Franklin Gothic Book" w:hAnsi="Franklin Gothic Book"/>
          <w:b/>
          <w:bCs/>
          <w:sz w:val="22"/>
        </w:rPr>
        <w:t>redacted</w:t>
      </w:r>
      <w:r w:rsidR="7D8C5C49" w:rsidRPr="00073456">
        <w:rPr>
          <w:rFonts w:ascii="Franklin Gothic Book" w:hAnsi="Franklin Gothic Book"/>
          <w:sz w:val="22"/>
        </w:rPr>
        <w:t>%</w:t>
      </w:r>
      <w:r w:rsidR="34070CF4" w:rsidRPr="10812078">
        <w:rPr>
          <w:rFonts w:ascii="Franklin Gothic Book" w:hAnsi="Franklin Gothic Book"/>
          <w:sz w:val="22"/>
        </w:rPr>
        <w:t>,</w:t>
      </w:r>
      <w:r w:rsidRPr="00C02B61">
        <w:rPr>
          <w:rFonts w:ascii="Franklin Gothic Book" w:hAnsi="Franklin Gothic Book"/>
          <w:sz w:val="22"/>
        </w:rPr>
        <w:t xml:space="preserve"> and that changing the function used to model OS in both the treatment</w:t>
      </w:r>
      <w:r w:rsidRPr="00C24C30">
        <w:rPr>
          <w:rFonts w:ascii="Franklin Gothic Book" w:hAnsi="Franklin Gothic Book"/>
          <w:sz w:val="22"/>
        </w:rPr>
        <w:t xml:space="preserve"> and comparator arm also significantly increased the ICER (by </w:t>
      </w:r>
      <w:r w:rsidR="00C02B61">
        <w:rPr>
          <w:rFonts w:ascii="Franklin Gothic Book" w:hAnsi="Franklin Gothic Book"/>
          <w:b/>
          <w:bCs/>
          <w:sz w:val="22"/>
        </w:rPr>
        <w:t>redacted</w:t>
      </w:r>
      <w:r w:rsidR="046B2FBA" w:rsidRPr="10812078">
        <w:rPr>
          <w:rFonts w:ascii="Franklin Gothic Book" w:hAnsi="Franklin Gothic Book"/>
          <w:sz w:val="22"/>
        </w:rPr>
        <w:t>%</w:t>
      </w:r>
      <w:r w:rsidR="34070CF4" w:rsidRPr="10812078">
        <w:rPr>
          <w:rFonts w:ascii="Franklin Gothic Book" w:hAnsi="Franklin Gothic Book"/>
          <w:sz w:val="22"/>
        </w:rPr>
        <w:t>).</w:t>
      </w:r>
      <w:r w:rsidRPr="00C24C30">
        <w:rPr>
          <w:rFonts w:ascii="Franklin Gothic Book" w:hAnsi="Franklin Gothic Book"/>
          <w:sz w:val="22"/>
        </w:rPr>
        <w:t xml:space="preserve"> The ESCs also noted that if no testing was performed, and patients were treated regardless of AKT pathway status, the ICER increased </w:t>
      </w:r>
      <w:r w:rsidRPr="00C02B61">
        <w:rPr>
          <w:rFonts w:ascii="Franklin Gothic Book" w:hAnsi="Franklin Gothic Book"/>
          <w:sz w:val="22"/>
        </w:rPr>
        <w:t xml:space="preserve">by </w:t>
      </w:r>
      <w:r w:rsidR="00C02B61" w:rsidRPr="00C02B61">
        <w:rPr>
          <w:rFonts w:ascii="Franklin Gothic Book" w:hAnsi="Franklin Gothic Book"/>
          <w:b/>
          <w:bCs/>
          <w:sz w:val="22"/>
        </w:rPr>
        <w:t>redacted</w:t>
      </w:r>
      <w:r w:rsidR="74C3B06A" w:rsidRPr="10812078">
        <w:rPr>
          <w:rFonts w:ascii="Franklin Gothic Book" w:hAnsi="Franklin Gothic Book"/>
          <w:sz w:val="22"/>
        </w:rPr>
        <w:t>%</w:t>
      </w:r>
      <w:r w:rsidRPr="00C02B61">
        <w:rPr>
          <w:rFonts w:ascii="Franklin Gothic Book" w:hAnsi="Franklin Gothic Book"/>
          <w:sz w:val="22"/>
        </w:rPr>
        <w:t>. The ESCs considered that the chosen OS functions and time horizon were the key drivers of the</w:t>
      </w:r>
      <w:r w:rsidRPr="00C24C30">
        <w:rPr>
          <w:rFonts w:ascii="Franklin Gothic Book" w:hAnsi="Franklin Gothic Book"/>
          <w:sz w:val="22"/>
        </w:rPr>
        <w:t xml:space="preserve"> model, and that a multivariate sensitivity analysis incorporating a shorter time horizon (of 7 to 10 years), increased failure </w:t>
      </w:r>
      <w:r w:rsidRPr="00C02B61">
        <w:rPr>
          <w:rFonts w:ascii="Franklin Gothic Book" w:hAnsi="Franklin Gothic Book"/>
          <w:sz w:val="22"/>
        </w:rPr>
        <w:t>rate (to 15%) and</w:t>
      </w:r>
      <w:r w:rsidRPr="00C24C30">
        <w:rPr>
          <w:rFonts w:ascii="Franklin Gothic Book" w:hAnsi="Franklin Gothic Book"/>
          <w:sz w:val="22"/>
        </w:rPr>
        <w:t xml:space="preserve"> OS convergence would be beneficial.</w:t>
      </w:r>
    </w:p>
    <w:p w14:paraId="3FF5275F" w14:textId="5B0F09E9" w:rsidR="00201854" w:rsidRPr="00C24C30" w:rsidRDefault="00201854" w:rsidP="00201854">
      <w:pPr>
        <w:rPr>
          <w:rFonts w:ascii="Franklin Gothic Book" w:hAnsi="Franklin Gothic Book"/>
          <w:sz w:val="22"/>
        </w:rPr>
      </w:pPr>
      <w:r w:rsidRPr="00C24C30">
        <w:rPr>
          <w:rFonts w:ascii="Franklin Gothic Book" w:hAnsi="Franklin Gothic Book"/>
          <w:sz w:val="22"/>
        </w:rPr>
        <w:t xml:space="preserve">The ESCs noted that the net cost to the MBS was estimated assuming an initial </w:t>
      </w:r>
      <w:r w:rsidR="00C02B61">
        <w:rPr>
          <w:rFonts w:ascii="Franklin Gothic Book" w:hAnsi="Franklin Gothic Book"/>
          <w:b/>
          <w:bCs/>
          <w:sz w:val="22"/>
        </w:rPr>
        <w:t>redacted</w:t>
      </w:r>
      <w:r w:rsidRPr="00C24C30">
        <w:rPr>
          <w:rFonts w:ascii="Franklin Gothic Book" w:hAnsi="Franklin Gothic Book"/>
          <w:sz w:val="22"/>
        </w:rPr>
        <w:t xml:space="preserve"> in Year 6, resulting in a net cost of </w:t>
      </w:r>
      <w:r w:rsidR="00C02B61">
        <w:rPr>
          <w:rFonts w:ascii="Franklin Gothic Book" w:hAnsi="Franklin Gothic Book"/>
          <w:sz w:val="22"/>
        </w:rPr>
        <w:t>$</w:t>
      </w:r>
      <w:r w:rsidR="1712A506" w:rsidRPr="10812078">
        <w:rPr>
          <w:rFonts w:ascii="Franklin Gothic Book" w:hAnsi="Franklin Gothic Book"/>
          <w:sz w:val="22"/>
        </w:rPr>
        <w:t>0 to &lt;$10 million</w:t>
      </w:r>
      <w:r w:rsidRPr="00C24C30">
        <w:rPr>
          <w:rFonts w:ascii="Franklin Gothic Book" w:hAnsi="Franklin Gothic Book"/>
          <w:sz w:val="22"/>
        </w:rPr>
        <w:t xml:space="preserve"> in Year 1 and ~$</w:t>
      </w:r>
      <w:r w:rsidR="4AAA8A02" w:rsidRPr="10812078">
        <w:rPr>
          <w:rFonts w:ascii="Franklin Gothic Book" w:hAnsi="Franklin Gothic Book"/>
          <w:sz w:val="22"/>
        </w:rPr>
        <w:t xml:space="preserve">0 to &lt;$10 million </w:t>
      </w:r>
      <w:r w:rsidR="34070CF4" w:rsidRPr="10812078">
        <w:rPr>
          <w:rFonts w:ascii="Franklin Gothic Book" w:hAnsi="Franklin Gothic Book"/>
          <w:sz w:val="22"/>
        </w:rPr>
        <w:t>in Year 6.</w:t>
      </w:r>
      <w:r w:rsidRPr="00C24C30">
        <w:rPr>
          <w:rFonts w:ascii="Franklin Gothic Book" w:hAnsi="Franklin Gothic Book"/>
          <w:sz w:val="22"/>
        </w:rPr>
        <w:t xml:space="preserve"> However, the ESCs considered that the initial uptake rate was likely to be higher than 50%, noting that testing frequency and acceptance in this population is relatively high.  </w:t>
      </w:r>
      <w:r w:rsidRPr="10812078">
        <w:rPr>
          <w:rStyle w:val="InstructionalTextChar"/>
          <w:rFonts w:ascii="Franklin Gothic Book" w:hAnsi="Franklin Gothic Book"/>
          <w:color w:val="auto"/>
          <w:sz w:val="22"/>
        </w:rPr>
        <w:t>This is because genetic testing is commonplace in breast cancer, and patients in the third line and beyond setting were excluded from the financial estimates despite being eligible for testing under the MBS item descriptor.</w:t>
      </w:r>
      <w:r w:rsidRPr="10812078">
        <w:rPr>
          <w:rStyle w:val="InstructionalTextChar"/>
          <w:rFonts w:ascii="Franklin Gothic Book" w:hAnsi="Franklin Gothic Book"/>
          <w:b/>
          <w:bCs/>
          <w:color w:val="auto"/>
          <w:sz w:val="22"/>
        </w:rPr>
        <w:t xml:space="preserve"> </w:t>
      </w:r>
      <w:r w:rsidRPr="00C24C30">
        <w:rPr>
          <w:rFonts w:ascii="Franklin Gothic Book" w:hAnsi="Franklin Gothic Book"/>
          <w:sz w:val="22"/>
        </w:rPr>
        <w:t xml:space="preserve">The ESCs also noted that retesting scenarios were not considered in these financial estimates. These factors potentially resulted in underestimation of the impact on the MBS. </w:t>
      </w:r>
    </w:p>
    <w:p w14:paraId="3F058D7B" w14:textId="44F169C0" w:rsidR="00835672" w:rsidRDefault="00835672"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32"/>
        </w:rPr>
      </w:pPr>
      <w:r w:rsidRPr="51A3F6AA">
        <w:rPr>
          <w:rFonts w:ascii="Franklin Gothic Medium" w:hAnsi="Franklin Gothic Medium"/>
          <w:b w:val="0"/>
          <w:i w:val="0"/>
          <w:snapToGrid/>
          <w:color w:val="000000" w:themeColor="text1"/>
          <w:sz w:val="32"/>
          <w:szCs w:val="32"/>
        </w:rPr>
        <w:t>Applicant comments on MSAC’s Public Summary Document</w:t>
      </w:r>
    </w:p>
    <w:p w14:paraId="0A791C43" w14:textId="66267C20" w:rsidR="0045462B" w:rsidRPr="00787C93" w:rsidRDefault="0045462B" w:rsidP="0045462B">
      <w:pPr>
        <w:spacing w:after="240"/>
        <w:rPr>
          <w:rFonts w:ascii="Franklin Gothic Book" w:hAnsi="Franklin Gothic Book"/>
          <w:sz w:val="22"/>
        </w:rPr>
      </w:pPr>
      <w:r w:rsidRPr="00787C93">
        <w:rPr>
          <w:rFonts w:ascii="Franklin Gothic Book" w:hAnsi="Franklin Gothic Book"/>
          <w:sz w:val="22"/>
        </w:rPr>
        <w:t xml:space="preserve">The </w:t>
      </w:r>
      <w:r w:rsidR="00787C93" w:rsidRPr="00787C93">
        <w:rPr>
          <w:rFonts w:ascii="Franklin Gothic Book" w:hAnsi="Franklin Gothic Book"/>
          <w:sz w:val="22"/>
        </w:rPr>
        <w:t>applicant had no comment.</w:t>
      </w:r>
    </w:p>
    <w:p w14:paraId="5EDCC34B" w14:textId="5ADD0522" w:rsidR="00835672" w:rsidRPr="00835672" w:rsidRDefault="00835672" w:rsidP="0045462B">
      <w:pPr>
        <w:pStyle w:val="Heading2"/>
        <w:keepNext w:val="0"/>
        <w:keepLines w:val="0"/>
        <w:numPr>
          <w:ilvl w:val="0"/>
          <w:numId w:val="18"/>
        </w:numPr>
        <w:spacing w:after="240"/>
        <w:ind w:hanging="720"/>
        <w:rPr>
          <w:rFonts w:ascii="Franklin Gothic Medium" w:hAnsi="Franklin Gothic Medium"/>
          <w:b w:val="0"/>
          <w:i w:val="0"/>
          <w:snapToGrid/>
          <w:color w:val="000000" w:themeColor="text1"/>
          <w:sz w:val="32"/>
          <w:szCs w:val="26"/>
        </w:rPr>
      </w:pPr>
      <w:r w:rsidRPr="00835672">
        <w:rPr>
          <w:rFonts w:ascii="Franklin Gothic Medium" w:hAnsi="Franklin Gothic Medium"/>
          <w:b w:val="0"/>
          <w:i w:val="0"/>
          <w:snapToGrid/>
          <w:color w:val="000000" w:themeColor="text1"/>
          <w:sz w:val="32"/>
          <w:szCs w:val="26"/>
        </w:rPr>
        <w:t>Further information on MSAC</w:t>
      </w:r>
    </w:p>
    <w:p w14:paraId="111E779D" w14:textId="5B775057" w:rsidR="00201854" w:rsidRPr="00835672" w:rsidRDefault="00835672" w:rsidP="00835672">
      <w:pPr>
        <w:pStyle w:val="BodyText"/>
        <w:rPr>
          <w:rFonts w:ascii="Franklin Gothic Book" w:hAnsi="Franklin Gothic Book"/>
          <w:b/>
          <w:bCs/>
          <w:i/>
          <w:iCs/>
          <w:sz w:val="22"/>
        </w:rPr>
      </w:pPr>
      <w:r w:rsidRPr="00835672">
        <w:rPr>
          <w:rFonts w:ascii="Franklin Gothic Book" w:hAnsi="Franklin Gothic Book"/>
          <w:bCs/>
          <w:iCs/>
          <w:sz w:val="22"/>
        </w:rPr>
        <w:t xml:space="preserve">MSAC Terms of Reference and other information are available on the MSAC Website: </w:t>
      </w:r>
      <w:hyperlink r:id="rId12" w:tooltip="Link to the MSAC website" w:history="1">
        <w:r w:rsidRPr="00F078B7">
          <w:rPr>
            <w:rStyle w:val="Hyperlink"/>
            <w:rFonts w:ascii="Franklin Gothic Book" w:hAnsi="Franklin Gothic Book"/>
            <w:iCs/>
            <w:color w:val="007BB8"/>
            <w:sz w:val="22"/>
          </w:rPr>
          <w:t>visit the MSAC website</w:t>
        </w:r>
      </w:hyperlink>
    </w:p>
    <w:sectPr w:rsidR="00201854" w:rsidRPr="008356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1524" w14:textId="77777777" w:rsidR="00F259D9" w:rsidRDefault="00F259D9" w:rsidP="00BA3306">
      <w:pPr>
        <w:spacing w:before="0" w:after="0"/>
      </w:pPr>
      <w:r>
        <w:separator/>
      </w:r>
    </w:p>
    <w:p w14:paraId="3C4EC0F9" w14:textId="77777777" w:rsidR="00F259D9" w:rsidRDefault="00F259D9"/>
  </w:endnote>
  <w:endnote w:type="continuationSeparator" w:id="0">
    <w:p w14:paraId="2ACF068B" w14:textId="77777777" w:rsidR="00F259D9" w:rsidRDefault="00F259D9" w:rsidP="00BA3306">
      <w:pPr>
        <w:spacing w:before="0" w:after="0"/>
      </w:pPr>
      <w:r>
        <w:continuationSeparator/>
      </w:r>
    </w:p>
    <w:p w14:paraId="633ACF72" w14:textId="77777777" w:rsidR="00F259D9" w:rsidRDefault="00F259D9"/>
  </w:endnote>
  <w:endnote w:type="continuationNotice" w:id="1">
    <w:p w14:paraId="2E91E534" w14:textId="77777777" w:rsidR="00F259D9" w:rsidRDefault="00F259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DA49" w14:textId="77777777" w:rsidR="00725187" w:rsidRDefault="0072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702146"/>
      <w:docPartObj>
        <w:docPartGallery w:val="Page Numbers (Bottom of Page)"/>
        <w:docPartUnique/>
      </w:docPartObj>
    </w:sdtPr>
    <w:sdtEndPr>
      <w:rPr>
        <w:noProof/>
      </w:rPr>
    </w:sdtEndPr>
    <w:sdtContent>
      <w:p w14:paraId="1EB61D91" w14:textId="01D0F324" w:rsidR="00227D10" w:rsidRDefault="00201854" w:rsidP="008F29D2">
        <w:pPr>
          <w:pStyle w:val="Footer"/>
          <w:jc w:val="right"/>
        </w:pPr>
        <w:r>
          <w:fldChar w:fldCharType="begin"/>
        </w:r>
        <w:r>
          <w:instrText xml:space="preserve"> PAGE   \* MERGEFORMAT </w:instrText>
        </w:r>
        <w:r>
          <w:fldChar w:fldCharType="separate"/>
        </w:r>
        <w:r w:rsidR="006B2448">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654F" w14:textId="77777777" w:rsidR="00725187" w:rsidRDefault="0072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658B" w14:textId="77777777" w:rsidR="00F259D9" w:rsidRDefault="00F259D9" w:rsidP="00BA3306">
      <w:pPr>
        <w:spacing w:before="0" w:after="0"/>
      </w:pPr>
      <w:r>
        <w:separator/>
      </w:r>
    </w:p>
    <w:p w14:paraId="192733CE" w14:textId="77777777" w:rsidR="00F259D9" w:rsidRDefault="00F259D9"/>
  </w:footnote>
  <w:footnote w:type="continuationSeparator" w:id="0">
    <w:p w14:paraId="307C92EC" w14:textId="77777777" w:rsidR="00F259D9" w:rsidRDefault="00F259D9" w:rsidP="00BA3306">
      <w:pPr>
        <w:spacing w:before="0" w:after="0"/>
      </w:pPr>
      <w:r>
        <w:continuationSeparator/>
      </w:r>
    </w:p>
    <w:p w14:paraId="361D4279" w14:textId="77777777" w:rsidR="00F259D9" w:rsidRDefault="00F259D9"/>
  </w:footnote>
  <w:footnote w:type="continuationNotice" w:id="1">
    <w:p w14:paraId="633086FA" w14:textId="77777777" w:rsidR="00F259D9" w:rsidRDefault="00F259D9">
      <w:pPr>
        <w:spacing w:before="0" w:after="0"/>
      </w:pPr>
    </w:p>
  </w:footnote>
  <w:footnote w:id="2">
    <w:p w14:paraId="2F4BA0E3" w14:textId="77777777" w:rsidR="005D6D39" w:rsidRDefault="005D6D39" w:rsidP="005D6D39">
      <w:pPr>
        <w:pStyle w:val="FootnoteText"/>
      </w:pPr>
      <w:r>
        <w:rPr>
          <w:rStyle w:val="FootnoteReference"/>
        </w:rPr>
        <w:footnoteRef/>
      </w:r>
      <w:r>
        <w:t xml:space="preserve"> PIK3CA = </w:t>
      </w:r>
      <w:r>
        <w:rPr>
          <w:rFonts w:eastAsia="Times New Roman" w:cs="Arial"/>
          <w:color w:val="000000"/>
          <w:lang w:eastAsia="en-AU"/>
        </w:rPr>
        <w:t>P</w:t>
      </w:r>
      <w:r w:rsidRPr="0068319C">
        <w:rPr>
          <w:rFonts w:eastAsia="Times New Roman" w:cs="Arial"/>
          <w:color w:val="000000"/>
          <w:lang w:eastAsia="en-AU"/>
        </w:rPr>
        <w:t>hosphatidylinositol-4,5-bisphosphate 3-kinase catalytic subunit alpha</w:t>
      </w:r>
      <w:r>
        <w:rPr>
          <w:rFonts w:eastAsia="Times New Roman" w:cs="Arial"/>
          <w:color w:val="000000"/>
          <w:lang w:eastAsia="en-AU"/>
        </w:rPr>
        <w:t>;</w:t>
      </w:r>
      <w:r w:rsidRPr="008D0181">
        <w:rPr>
          <w:rFonts w:eastAsia="Times New Roman" w:cs="Arial"/>
          <w:color w:val="000000"/>
          <w:lang w:eastAsia="en-AU"/>
        </w:rPr>
        <w:t xml:space="preserve"> </w:t>
      </w:r>
      <w:r>
        <w:rPr>
          <w:rFonts w:eastAsia="Times New Roman" w:cs="Arial"/>
          <w:color w:val="000000"/>
          <w:lang w:eastAsia="en-AU"/>
        </w:rPr>
        <w:t xml:space="preserve">AKT1 = </w:t>
      </w:r>
      <w:r w:rsidRPr="0068319C">
        <w:rPr>
          <w:rFonts w:eastAsia="Times New Roman" w:cs="Arial"/>
          <w:color w:val="000000"/>
          <w:lang w:eastAsia="en-AU"/>
        </w:rPr>
        <w:t>serine/threonine kinase</w:t>
      </w:r>
      <w:r>
        <w:rPr>
          <w:rFonts w:eastAsia="Times New Roman" w:cs="Arial"/>
          <w:color w:val="000000"/>
          <w:lang w:eastAsia="en-AU"/>
        </w:rPr>
        <w:t xml:space="preserve">; PTEN = </w:t>
      </w:r>
      <w:r w:rsidRPr="0068319C">
        <w:rPr>
          <w:rFonts w:eastAsia="Times New Roman" w:cs="Arial"/>
          <w:color w:val="000000"/>
          <w:lang w:eastAsia="en-AU"/>
        </w:rPr>
        <w:t xml:space="preserve">phosphatase and </w:t>
      </w:r>
      <w:proofErr w:type="spellStart"/>
      <w:r w:rsidRPr="0068319C">
        <w:rPr>
          <w:rFonts w:eastAsia="Times New Roman" w:cs="Arial"/>
          <w:color w:val="000000"/>
          <w:lang w:eastAsia="en-AU"/>
        </w:rPr>
        <w:t>tensin</w:t>
      </w:r>
      <w:proofErr w:type="spellEnd"/>
      <w:r w:rsidRPr="0068319C">
        <w:rPr>
          <w:rFonts w:eastAsia="Times New Roman" w:cs="Arial"/>
          <w:color w:val="000000"/>
          <w:lang w:eastAsia="en-AU"/>
        </w:rPr>
        <w:t xml:space="preserve"> homolog</w:t>
      </w:r>
    </w:p>
  </w:footnote>
  <w:footnote w:id="3">
    <w:p w14:paraId="2649D563" w14:textId="685557A2" w:rsidR="00A20B9A" w:rsidRDefault="00A20B9A" w:rsidP="00785C66">
      <w:pPr>
        <w:pStyle w:val="FootnoteText"/>
      </w:pPr>
      <w:r>
        <w:rPr>
          <w:rStyle w:val="FootnoteReference"/>
        </w:rPr>
        <w:footnoteRef/>
      </w:r>
      <w:r>
        <w:t xml:space="preserve"> </w:t>
      </w:r>
      <w:r w:rsidR="00785C66">
        <w:t xml:space="preserve">Choi J, Fellowes A, </w:t>
      </w:r>
      <w:proofErr w:type="spellStart"/>
      <w:r w:rsidR="006B0E7A">
        <w:t>Pikarsky</w:t>
      </w:r>
      <w:proofErr w:type="spellEnd"/>
      <w:r w:rsidR="006B0E7A">
        <w:t xml:space="preserve"> E et al. 2023. ‘</w:t>
      </w:r>
      <w:r w:rsidR="00785C66">
        <w:t>Performance assessment of a comprehensive genomic profiling (CGP) NGS kit across multiple study laboratories</w:t>
      </w:r>
      <w:r w:rsidR="006B0E7A">
        <w:t xml:space="preserve">’, </w:t>
      </w:r>
      <w:r w:rsidR="00042FE5">
        <w:t>Annals of Oncology</w:t>
      </w:r>
      <w:r w:rsidR="00042FE5" w:rsidRPr="00042FE5">
        <w:t xml:space="preserve"> 34, Supplement 2S263</w:t>
      </w:r>
      <w:r w:rsidR="00042FE5">
        <w:t xml:space="preserve">. </w:t>
      </w:r>
    </w:p>
  </w:footnote>
  <w:footnote w:id="4">
    <w:p w14:paraId="0124DB86" w14:textId="77777777" w:rsidR="0093218B" w:rsidRDefault="0093218B" w:rsidP="0093218B">
      <w:pPr>
        <w:pStyle w:val="FootnoteText"/>
      </w:pPr>
      <w:r>
        <w:rPr>
          <w:rStyle w:val="FootnoteReference"/>
        </w:rPr>
        <w:footnoteRef/>
      </w:r>
      <w:r>
        <w:t xml:space="preserve"> </w:t>
      </w:r>
      <w:r w:rsidRPr="008F70F9">
        <w:t>http://www.msac.gov.au/internet/msac/publishing.nsf/Content/1604-public</w:t>
      </w:r>
    </w:p>
  </w:footnote>
  <w:footnote w:id="5">
    <w:p w14:paraId="0EC28133" w14:textId="77777777" w:rsidR="0093218B" w:rsidRDefault="0093218B" w:rsidP="0093218B">
      <w:pPr>
        <w:pStyle w:val="FootnoteText"/>
      </w:pPr>
      <w:r>
        <w:rPr>
          <w:rStyle w:val="FootnoteReference"/>
        </w:rPr>
        <w:footnoteRef/>
      </w:r>
      <w:r>
        <w:t xml:space="preserve"> </w:t>
      </w:r>
      <w:r w:rsidRPr="008A5788">
        <w:t>http://www.msac.gov.au/internet/msac/publishing.nsf/Content/1783-public</w:t>
      </w:r>
    </w:p>
  </w:footnote>
  <w:footnote w:id="6">
    <w:p w14:paraId="0367E01D" w14:textId="2469AA3B" w:rsidR="005D6D39" w:rsidRDefault="005D6D39" w:rsidP="005D6D39">
      <w:pPr>
        <w:pStyle w:val="FootnoteText"/>
      </w:pPr>
      <w:r>
        <w:rPr>
          <w:rStyle w:val="FootnoteReference"/>
        </w:rPr>
        <w:footnoteRef/>
      </w:r>
      <w:r>
        <w:t xml:space="preserve"> </w:t>
      </w:r>
      <w:r w:rsidRPr="008E22B7">
        <w:t>Australian Institute of Health and Welfare, Cancer in Australia 202</w:t>
      </w:r>
      <w:r w:rsidR="005F34F6">
        <w:t>4</w:t>
      </w:r>
      <w:r w:rsidRPr="008E22B7">
        <w:t>. 202</w:t>
      </w:r>
      <w:r w:rsidR="005F34F6">
        <w:t>4</w:t>
      </w:r>
      <w:r w:rsidRPr="008E22B7">
        <w:t>, AIHW: Canberra</w:t>
      </w:r>
    </w:p>
  </w:footnote>
  <w:footnote w:id="7">
    <w:p w14:paraId="430D5C20" w14:textId="77777777" w:rsidR="005D6D39" w:rsidRDefault="005D6D39" w:rsidP="005D6D39">
      <w:pPr>
        <w:pStyle w:val="FootnoteText"/>
      </w:pPr>
      <w:r>
        <w:rPr>
          <w:rStyle w:val="FootnoteReference"/>
        </w:rPr>
        <w:footnoteRef/>
      </w:r>
      <w:r>
        <w:t xml:space="preserve"> </w:t>
      </w:r>
      <w:r w:rsidRPr="008E22B7">
        <w:t xml:space="preserve">Howlader, N., et al., US incidence of breast cancer subtypes defined by joint hormone receptor and HER2 status. </w:t>
      </w:r>
      <w:r w:rsidRPr="006261A0">
        <w:rPr>
          <w:i/>
        </w:rPr>
        <w:t>J Natl Cancer Inst</w:t>
      </w:r>
      <w:r w:rsidRPr="008E22B7">
        <w:t>, 2014. 106(5)</w:t>
      </w:r>
    </w:p>
  </w:footnote>
  <w:footnote w:id="8">
    <w:p w14:paraId="0751AB02" w14:textId="56447C93" w:rsidR="00F71B1B" w:rsidRDefault="00F71B1B">
      <w:pPr>
        <w:pStyle w:val="FootnoteText"/>
      </w:pPr>
      <w:r>
        <w:rPr>
          <w:rStyle w:val="FootnoteReference"/>
        </w:rPr>
        <w:footnoteRef/>
      </w:r>
      <w:r>
        <w:t xml:space="preserve"> Park, L, et al., Testing patterns and prevalence of PIK3CA, AKT1, and PTEN alterations among patients (pts) with HR+/HER2- metastatic breast cancer (</w:t>
      </w:r>
      <w:proofErr w:type="spellStart"/>
      <w:r>
        <w:t>mBC</w:t>
      </w:r>
      <w:proofErr w:type="spellEnd"/>
      <w:r>
        <w:t>) in the US. JCO 42, 1041-1041(2024). DOI: 10.1200/JCO.2024.42.16_suppl.1041</w:t>
      </w:r>
    </w:p>
  </w:footnote>
  <w:footnote w:id="9">
    <w:p w14:paraId="3709E169" w14:textId="77777777" w:rsidR="005D6D39" w:rsidRDefault="005D6D39" w:rsidP="005D6D39">
      <w:pPr>
        <w:pStyle w:val="FootnoteText"/>
      </w:pPr>
      <w:r>
        <w:rPr>
          <w:rStyle w:val="FootnoteReference"/>
        </w:rPr>
        <w:footnoteRef/>
      </w:r>
      <w:r>
        <w:t xml:space="preserve"> Turner, NC, et al. </w:t>
      </w:r>
      <w:r w:rsidRPr="00E62E82">
        <w:t>Capivasertib in Hormone Receptor–Positive Advanced Breast Cancer</w:t>
      </w:r>
      <w:r>
        <w:t xml:space="preserve">. </w:t>
      </w:r>
      <w:r w:rsidRPr="00194B46">
        <w:rPr>
          <w:i/>
        </w:rPr>
        <w:t>N Engl J Med</w:t>
      </w:r>
      <w:r>
        <w:t xml:space="preserve"> </w:t>
      </w:r>
      <w:proofErr w:type="gramStart"/>
      <w:r>
        <w:t>2023;388:2058</w:t>
      </w:r>
      <w:proofErr w:type="gramEnd"/>
      <w:r>
        <w:t xml:space="preserve">-2070; Vol: </w:t>
      </w:r>
      <w:r w:rsidRPr="00201C65">
        <w:t xml:space="preserve">388 </w:t>
      </w:r>
      <w:r>
        <w:t xml:space="preserve"> No: </w:t>
      </w:r>
      <w:r w:rsidRPr="00201C65">
        <w:t>2</w:t>
      </w:r>
      <w:r>
        <w:t>2. DOI: 10.1056/NEJMoa2214131</w:t>
      </w:r>
    </w:p>
  </w:footnote>
  <w:footnote w:id="10">
    <w:p w14:paraId="4537ECE2" w14:textId="77777777" w:rsidR="001B7AA5" w:rsidRDefault="001B7AA5" w:rsidP="001B7AA5">
      <w:pPr>
        <w:pStyle w:val="FootnoteText"/>
      </w:pPr>
      <w:r>
        <w:rPr>
          <w:rStyle w:val="FootnoteReference"/>
        </w:rPr>
        <w:footnoteRef/>
      </w:r>
      <w:r>
        <w:t xml:space="preserve"> Turner, NC, et al. </w:t>
      </w:r>
      <w:r w:rsidRPr="00E62E82">
        <w:t>Capivasertib in Hormone Receptor–Positive Advanced Breast Cancer</w:t>
      </w:r>
      <w:r>
        <w:t xml:space="preserve">. </w:t>
      </w:r>
      <w:r w:rsidRPr="00194B46">
        <w:rPr>
          <w:i/>
        </w:rPr>
        <w:t>N Engl J Med</w:t>
      </w:r>
      <w:r>
        <w:t xml:space="preserve"> </w:t>
      </w:r>
      <w:proofErr w:type="gramStart"/>
      <w:r>
        <w:t>2023;388:2058</w:t>
      </w:r>
      <w:proofErr w:type="gramEnd"/>
      <w:r>
        <w:t xml:space="preserve">-2070; Vol: </w:t>
      </w:r>
      <w:r w:rsidRPr="00201C65">
        <w:t xml:space="preserve">388 </w:t>
      </w:r>
      <w:r>
        <w:t xml:space="preserve"> No: </w:t>
      </w:r>
      <w:r w:rsidRPr="00201C65">
        <w:t>2</w:t>
      </w:r>
      <w:r>
        <w:t>2. DOI: 10.1056/NEJMoa2214131</w:t>
      </w:r>
    </w:p>
  </w:footnote>
  <w:footnote w:id="11">
    <w:p w14:paraId="7AE4197C" w14:textId="2F58EADA" w:rsidR="00170330" w:rsidRDefault="00170330">
      <w:pPr>
        <w:pStyle w:val="FootnoteText"/>
      </w:pPr>
      <w:r>
        <w:rPr>
          <w:rStyle w:val="FootnoteReference"/>
        </w:rPr>
        <w:footnoteRef/>
      </w:r>
      <w:r>
        <w:t xml:space="preserve"> </w:t>
      </w:r>
      <w:r w:rsidRPr="00170330">
        <w:t>PMA P170019/S006: FDA Summary of Safety and Effectiveness Data</w:t>
      </w:r>
    </w:p>
  </w:footnote>
  <w:footnote w:id="12">
    <w:p w14:paraId="4572123E" w14:textId="7482C7D8" w:rsidR="00170330" w:rsidRDefault="00170330">
      <w:pPr>
        <w:pStyle w:val="FootnoteText"/>
      </w:pPr>
      <w:r>
        <w:rPr>
          <w:rStyle w:val="FootnoteReference"/>
        </w:rPr>
        <w:footnoteRef/>
      </w:r>
      <w:r>
        <w:t xml:space="preserve"> </w:t>
      </w:r>
      <w:r w:rsidRPr="00170330">
        <w:t>PMA P170019/S048: FDA Summary of Safety and Effectiveness Data</w:t>
      </w:r>
    </w:p>
  </w:footnote>
  <w:footnote w:id="13">
    <w:p w14:paraId="49C650FC" w14:textId="77777777" w:rsidR="00201854" w:rsidRDefault="00201854" w:rsidP="00201854">
      <w:pPr>
        <w:pStyle w:val="FootnoteText"/>
      </w:pPr>
      <w:r>
        <w:rPr>
          <w:rStyle w:val="FootnoteReference"/>
        </w:rPr>
        <w:footnoteRef/>
      </w:r>
      <w:r>
        <w:t xml:space="preserve"> P. 25 of MSAC Application 1766: Genetic testing to detect AKT pathway alterations in patients with hormone receptor positive, HER2-negative advanced breast cancer, to determine eligibility for PBS subsidised capivasertib treatment, PICO Confirmation, </w:t>
      </w:r>
      <w:r w:rsidRPr="00526D31">
        <w:t>http://www.msac.gov.au/internet/msac/publishing.nsf/Content/C21E97CBD090988BCA258A6F00832B3E/$File/1766%20Ratified%20PICO%20redacted.pdf</w:t>
      </w:r>
    </w:p>
  </w:footnote>
  <w:footnote w:id="14">
    <w:p w14:paraId="581DB03B" w14:textId="77777777" w:rsidR="00201854" w:rsidRDefault="00201854" w:rsidP="00201854">
      <w:pPr>
        <w:pStyle w:val="FootnoteText"/>
      </w:pPr>
      <w:r>
        <w:rPr>
          <w:rStyle w:val="FootnoteReference"/>
        </w:rPr>
        <w:footnoteRef/>
      </w:r>
      <w:r>
        <w:t xml:space="preserve"> </w:t>
      </w:r>
      <w:r w:rsidRPr="00170330">
        <w:t>PMA P170019/S006: FDA Summary of Safety and Effectiveness Data</w:t>
      </w:r>
    </w:p>
  </w:footnote>
  <w:footnote w:id="15">
    <w:p w14:paraId="05FEBBBA" w14:textId="77777777" w:rsidR="00201854" w:rsidRDefault="00201854" w:rsidP="00201854">
      <w:pPr>
        <w:pStyle w:val="FootnoteText"/>
      </w:pPr>
      <w:r>
        <w:rPr>
          <w:rStyle w:val="FootnoteReference"/>
        </w:rPr>
        <w:footnoteRef/>
      </w:r>
      <w:r>
        <w:t xml:space="preserve"> </w:t>
      </w:r>
      <w:r w:rsidRPr="00170330">
        <w:t>PMA P170019/S048: FDA Summary of Safety and Effectiveness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A378" w14:textId="77777777" w:rsidR="00725187" w:rsidRDefault="0072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AD48" w14:textId="77777777" w:rsidR="00227D10" w:rsidRDefault="00227D10"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BF76" w14:textId="77777777" w:rsidR="00725187" w:rsidRDefault="0072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41436"/>
    <w:multiLevelType w:val="hybridMultilevel"/>
    <w:tmpl w:val="3918CF5C"/>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617AC2"/>
    <w:multiLevelType w:val="multilevel"/>
    <w:tmpl w:val="2EA26D30"/>
    <w:lvl w:ilvl="0">
      <w:start w:val="1"/>
      <w:numFmt w:val="bullet"/>
      <w:pStyle w:val="MainBodyBulletPoint"/>
      <w:lvlText w:val=""/>
      <w:lvlJc w:val="left"/>
      <w:pPr>
        <w:ind w:left="720" w:hanging="360"/>
      </w:pPr>
      <w:rPr>
        <w:rFonts w:ascii="Symbol" w:hAnsi="Symbol" w:hint="default"/>
        <w:sz w:val="20"/>
        <w:szCs w:val="14"/>
      </w:rPr>
    </w:lvl>
    <w:lvl w:ilvl="1">
      <w:numFmt w:val="bullet"/>
      <w:lvlText w:val="-"/>
      <w:lvlJc w:val="left"/>
      <w:pPr>
        <w:ind w:left="1324" w:hanging="360"/>
      </w:pPr>
      <w:rPr>
        <w:rFonts w:ascii="Arial Narrow" w:eastAsiaTheme="minorHAnsi" w:hAnsi="Arial Narrow"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5A74C05"/>
    <w:multiLevelType w:val="hybridMultilevel"/>
    <w:tmpl w:val="E370CD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C730E09"/>
    <w:multiLevelType w:val="multilevel"/>
    <w:tmpl w:val="2CF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24131"/>
    <w:multiLevelType w:val="multilevel"/>
    <w:tmpl w:val="8B2C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D1294F"/>
    <w:multiLevelType w:val="hybridMultilevel"/>
    <w:tmpl w:val="65C0E352"/>
    <w:lvl w:ilvl="0" w:tplc="B37AF4D0">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C76FF"/>
    <w:multiLevelType w:val="multilevel"/>
    <w:tmpl w:val="ACC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5416CF"/>
    <w:multiLevelType w:val="multilevel"/>
    <w:tmpl w:val="5704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76C72"/>
    <w:multiLevelType w:val="hybridMultilevel"/>
    <w:tmpl w:val="6BB0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21F3276"/>
    <w:multiLevelType w:val="multilevel"/>
    <w:tmpl w:val="22C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E52805"/>
    <w:multiLevelType w:val="multilevel"/>
    <w:tmpl w:val="05B4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317DD"/>
    <w:multiLevelType w:val="multilevel"/>
    <w:tmpl w:val="831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4D033C"/>
    <w:multiLevelType w:val="multilevel"/>
    <w:tmpl w:val="26B2EEFE"/>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49720780">
    <w:abstractNumId w:val="10"/>
  </w:num>
  <w:num w:numId="2" w16cid:durableId="903102920">
    <w:abstractNumId w:val="6"/>
  </w:num>
  <w:num w:numId="3" w16cid:durableId="373696967">
    <w:abstractNumId w:val="4"/>
  </w:num>
  <w:num w:numId="4" w16cid:durableId="2061437012">
    <w:abstractNumId w:val="23"/>
  </w:num>
  <w:num w:numId="5" w16cid:durableId="84228007">
    <w:abstractNumId w:val="18"/>
  </w:num>
  <w:num w:numId="6" w16cid:durableId="1640039972">
    <w:abstractNumId w:val="2"/>
  </w:num>
  <w:num w:numId="7" w16cid:durableId="146945903">
    <w:abstractNumId w:val="9"/>
  </w:num>
  <w:num w:numId="8" w16cid:durableId="1811708576">
    <w:abstractNumId w:val="20"/>
  </w:num>
  <w:num w:numId="9" w16cid:durableId="1501890522">
    <w:abstractNumId w:val="0"/>
  </w:num>
  <w:num w:numId="10" w16cid:durableId="1863010244">
    <w:abstractNumId w:val="24"/>
  </w:num>
  <w:num w:numId="11" w16cid:durableId="1754353813">
    <w:abstractNumId w:val="13"/>
  </w:num>
  <w:num w:numId="12" w16cid:durableId="86392208">
    <w:abstractNumId w:val="17"/>
  </w:num>
  <w:num w:numId="13" w16cid:durableId="434717760">
    <w:abstractNumId w:val="15"/>
  </w:num>
  <w:num w:numId="14" w16cid:durableId="1456213615">
    <w:abstractNumId w:val="3"/>
  </w:num>
  <w:num w:numId="15" w16cid:durableId="1785424055">
    <w:abstractNumId w:val="16"/>
  </w:num>
  <w:num w:numId="16" w16cid:durableId="1430078669">
    <w:abstractNumId w:val="1"/>
  </w:num>
  <w:num w:numId="17" w16cid:durableId="169805889">
    <w:abstractNumId w:val="11"/>
  </w:num>
  <w:num w:numId="18" w16cid:durableId="1616447365">
    <w:abstractNumId w:val="5"/>
  </w:num>
  <w:num w:numId="19" w16cid:durableId="867260504">
    <w:abstractNumId w:val="25"/>
  </w:num>
  <w:num w:numId="20" w16cid:durableId="2086025142">
    <w:abstractNumId w:val="7"/>
  </w:num>
  <w:num w:numId="21" w16cid:durableId="1100905930">
    <w:abstractNumId w:val="21"/>
  </w:num>
  <w:num w:numId="22" w16cid:durableId="1746222773">
    <w:abstractNumId w:val="14"/>
  </w:num>
  <w:num w:numId="23" w16cid:durableId="1043866103">
    <w:abstractNumId w:val="12"/>
  </w:num>
  <w:num w:numId="24" w16cid:durableId="1862546190">
    <w:abstractNumId w:val="22"/>
  </w:num>
  <w:num w:numId="25" w16cid:durableId="989945307">
    <w:abstractNumId w:val="8"/>
  </w:num>
  <w:num w:numId="26" w16cid:durableId="3320308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CO"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EC"/>
    <w:rsid w:val="000000AF"/>
    <w:rsid w:val="000000F9"/>
    <w:rsid w:val="00000130"/>
    <w:rsid w:val="0000043C"/>
    <w:rsid w:val="00000A70"/>
    <w:rsid w:val="00000BC1"/>
    <w:rsid w:val="00000C29"/>
    <w:rsid w:val="00000C37"/>
    <w:rsid w:val="00000D0E"/>
    <w:rsid w:val="00000EC7"/>
    <w:rsid w:val="00000EFA"/>
    <w:rsid w:val="00001192"/>
    <w:rsid w:val="000011FA"/>
    <w:rsid w:val="000013F3"/>
    <w:rsid w:val="0000143E"/>
    <w:rsid w:val="00001AB4"/>
    <w:rsid w:val="00001BED"/>
    <w:rsid w:val="00001DE6"/>
    <w:rsid w:val="00001E16"/>
    <w:rsid w:val="00001F21"/>
    <w:rsid w:val="000020AE"/>
    <w:rsid w:val="0000210C"/>
    <w:rsid w:val="0000232C"/>
    <w:rsid w:val="0000233B"/>
    <w:rsid w:val="00002582"/>
    <w:rsid w:val="000027A2"/>
    <w:rsid w:val="000028FC"/>
    <w:rsid w:val="00002B95"/>
    <w:rsid w:val="00002F24"/>
    <w:rsid w:val="0000303A"/>
    <w:rsid w:val="00003081"/>
    <w:rsid w:val="0000363A"/>
    <w:rsid w:val="000037F8"/>
    <w:rsid w:val="000039AA"/>
    <w:rsid w:val="00003C45"/>
    <w:rsid w:val="00003C4D"/>
    <w:rsid w:val="00003D16"/>
    <w:rsid w:val="00003DA3"/>
    <w:rsid w:val="00003DE1"/>
    <w:rsid w:val="000040B8"/>
    <w:rsid w:val="00004298"/>
    <w:rsid w:val="000042F9"/>
    <w:rsid w:val="000043E7"/>
    <w:rsid w:val="000044F6"/>
    <w:rsid w:val="000048AA"/>
    <w:rsid w:val="00004A3C"/>
    <w:rsid w:val="00004BAC"/>
    <w:rsid w:val="00004DBA"/>
    <w:rsid w:val="00004F8F"/>
    <w:rsid w:val="0000504E"/>
    <w:rsid w:val="00005056"/>
    <w:rsid w:val="00005397"/>
    <w:rsid w:val="000055AB"/>
    <w:rsid w:val="00005698"/>
    <w:rsid w:val="00005B75"/>
    <w:rsid w:val="00005BDD"/>
    <w:rsid w:val="00005CDD"/>
    <w:rsid w:val="00005D70"/>
    <w:rsid w:val="00005DA1"/>
    <w:rsid w:val="00005E5E"/>
    <w:rsid w:val="00005FED"/>
    <w:rsid w:val="000062E0"/>
    <w:rsid w:val="0000665B"/>
    <w:rsid w:val="000068CF"/>
    <w:rsid w:val="00006FE0"/>
    <w:rsid w:val="00007142"/>
    <w:rsid w:val="0000724E"/>
    <w:rsid w:val="0000727B"/>
    <w:rsid w:val="0000733E"/>
    <w:rsid w:val="000076B7"/>
    <w:rsid w:val="0000787E"/>
    <w:rsid w:val="00007AD4"/>
    <w:rsid w:val="000100C9"/>
    <w:rsid w:val="0001022F"/>
    <w:rsid w:val="00010501"/>
    <w:rsid w:val="0001066F"/>
    <w:rsid w:val="00010967"/>
    <w:rsid w:val="00010D65"/>
    <w:rsid w:val="0001169F"/>
    <w:rsid w:val="00011DDC"/>
    <w:rsid w:val="000121F1"/>
    <w:rsid w:val="0001236E"/>
    <w:rsid w:val="00012390"/>
    <w:rsid w:val="00012579"/>
    <w:rsid w:val="0001281E"/>
    <w:rsid w:val="00012D01"/>
    <w:rsid w:val="00012DB7"/>
    <w:rsid w:val="00012E6C"/>
    <w:rsid w:val="000131C9"/>
    <w:rsid w:val="00013210"/>
    <w:rsid w:val="00013222"/>
    <w:rsid w:val="000132B6"/>
    <w:rsid w:val="000132B7"/>
    <w:rsid w:val="000133BD"/>
    <w:rsid w:val="00013452"/>
    <w:rsid w:val="00013A27"/>
    <w:rsid w:val="00013A30"/>
    <w:rsid w:val="00013A47"/>
    <w:rsid w:val="00013A65"/>
    <w:rsid w:val="00013C2F"/>
    <w:rsid w:val="00013C9C"/>
    <w:rsid w:val="00013E19"/>
    <w:rsid w:val="00013F68"/>
    <w:rsid w:val="000141A2"/>
    <w:rsid w:val="000141BF"/>
    <w:rsid w:val="00014265"/>
    <w:rsid w:val="000142C1"/>
    <w:rsid w:val="00014454"/>
    <w:rsid w:val="000145B3"/>
    <w:rsid w:val="0001463C"/>
    <w:rsid w:val="00014707"/>
    <w:rsid w:val="00014738"/>
    <w:rsid w:val="0001497A"/>
    <w:rsid w:val="00014B94"/>
    <w:rsid w:val="00014BAF"/>
    <w:rsid w:val="00014CF0"/>
    <w:rsid w:val="00014D53"/>
    <w:rsid w:val="00014F10"/>
    <w:rsid w:val="00015140"/>
    <w:rsid w:val="00015144"/>
    <w:rsid w:val="00015290"/>
    <w:rsid w:val="0001548D"/>
    <w:rsid w:val="0001548F"/>
    <w:rsid w:val="000155A1"/>
    <w:rsid w:val="00015724"/>
    <w:rsid w:val="00015B0B"/>
    <w:rsid w:val="00015BB7"/>
    <w:rsid w:val="00015E86"/>
    <w:rsid w:val="00015F28"/>
    <w:rsid w:val="00015FE5"/>
    <w:rsid w:val="00016193"/>
    <w:rsid w:val="00016290"/>
    <w:rsid w:val="000164FE"/>
    <w:rsid w:val="000166CE"/>
    <w:rsid w:val="0001670A"/>
    <w:rsid w:val="00016921"/>
    <w:rsid w:val="00016B3F"/>
    <w:rsid w:val="000170E1"/>
    <w:rsid w:val="00017129"/>
    <w:rsid w:val="00017297"/>
    <w:rsid w:val="000173C8"/>
    <w:rsid w:val="000174E5"/>
    <w:rsid w:val="000174FF"/>
    <w:rsid w:val="00017A67"/>
    <w:rsid w:val="00017BE6"/>
    <w:rsid w:val="00020643"/>
    <w:rsid w:val="0002095B"/>
    <w:rsid w:val="00020B37"/>
    <w:rsid w:val="0002103A"/>
    <w:rsid w:val="000211CF"/>
    <w:rsid w:val="000212F3"/>
    <w:rsid w:val="000215BE"/>
    <w:rsid w:val="00021842"/>
    <w:rsid w:val="0002194C"/>
    <w:rsid w:val="000219FD"/>
    <w:rsid w:val="00021AF4"/>
    <w:rsid w:val="00021D57"/>
    <w:rsid w:val="00021D5E"/>
    <w:rsid w:val="00021E2B"/>
    <w:rsid w:val="00021E3F"/>
    <w:rsid w:val="00021F92"/>
    <w:rsid w:val="0002215E"/>
    <w:rsid w:val="000222A0"/>
    <w:rsid w:val="0002238B"/>
    <w:rsid w:val="00022C0E"/>
    <w:rsid w:val="00023139"/>
    <w:rsid w:val="0002334E"/>
    <w:rsid w:val="000234C7"/>
    <w:rsid w:val="00023699"/>
    <w:rsid w:val="000236BD"/>
    <w:rsid w:val="000239BE"/>
    <w:rsid w:val="00023D7D"/>
    <w:rsid w:val="00023DA5"/>
    <w:rsid w:val="00023DD5"/>
    <w:rsid w:val="0002407A"/>
    <w:rsid w:val="0002426E"/>
    <w:rsid w:val="000245A4"/>
    <w:rsid w:val="000245CE"/>
    <w:rsid w:val="00024932"/>
    <w:rsid w:val="00024938"/>
    <w:rsid w:val="00024A04"/>
    <w:rsid w:val="00024A85"/>
    <w:rsid w:val="00024B62"/>
    <w:rsid w:val="00024BAE"/>
    <w:rsid w:val="00024FB6"/>
    <w:rsid w:val="0002501A"/>
    <w:rsid w:val="00025227"/>
    <w:rsid w:val="000252DD"/>
    <w:rsid w:val="0002545D"/>
    <w:rsid w:val="00025513"/>
    <w:rsid w:val="00025AAE"/>
    <w:rsid w:val="00025B1B"/>
    <w:rsid w:val="00025B72"/>
    <w:rsid w:val="00025CF5"/>
    <w:rsid w:val="00025DD9"/>
    <w:rsid w:val="00025E41"/>
    <w:rsid w:val="00025E6D"/>
    <w:rsid w:val="00026165"/>
    <w:rsid w:val="000262AF"/>
    <w:rsid w:val="00026383"/>
    <w:rsid w:val="00026653"/>
    <w:rsid w:val="0002669A"/>
    <w:rsid w:val="000267E0"/>
    <w:rsid w:val="000267E3"/>
    <w:rsid w:val="00026A68"/>
    <w:rsid w:val="00026AD3"/>
    <w:rsid w:val="00026AE7"/>
    <w:rsid w:val="00026CDA"/>
    <w:rsid w:val="00026F78"/>
    <w:rsid w:val="000270D7"/>
    <w:rsid w:val="00027689"/>
    <w:rsid w:val="00027BBD"/>
    <w:rsid w:val="00027CF1"/>
    <w:rsid w:val="000301BF"/>
    <w:rsid w:val="000302DF"/>
    <w:rsid w:val="00030A1B"/>
    <w:rsid w:val="00030B41"/>
    <w:rsid w:val="00030D09"/>
    <w:rsid w:val="00030D1B"/>
    <w:rsid w:val="00030D9F"/>
    <w:rsid w:val="00031226"/>
    <w:rsid w:val="0003129E"/>
    <w:rsid w:val="000312E1"/>
    <w:rsid w:val="000316B5"/>
    <w:rsid w:val="000317A1"/>
    <w:rsid w:val="00031A6D"/>
    <w:rsid w:val="00031A83"/>
    <w:rsid w:val="00031C34"/>
    <w:rsid w:val="00031E28"/>
    <w:rsid w:val="00031E7A"/>
    <w:rsid w:val="0003207F"/>
    <w:rsid w:val="00032137"/>
    <w:rsid w:val="00032138"/>
    <w:rsid w:val="00032422"/>
    <w:rsid w:val="000325DE"/>
    <w:rsid w:val="000325E3"/>
    <w:rsid w:val="00032610"/>
    <w:rsid w:val="0003286D"/>
    <w:rsid w:val="000328EB"/>
    <w:rsid w:val="00032C40"/>
    <w:rsid w:val="00032D2F"/>
    <w:rsid w:val="0003304F"/>
    <w:rsid w:val="00033205"/>
    <w:rsid w:val="0003327B"/>
    <w:rsid w:val="00033514"/>
    <w:rsid w:val="00033863"/>
    <w:rsid w:val="00033964"/>
    <w:rsid w:val="00033A7B"/>
    <w:rsid w:val="00033C0A"/>
    <w:rsid w:val="00033C10"/>
    <w:rsid w:val="00033CE1"/>
    <w:rsid w:val="00033DC3"/>
    <w:rsid w:val="00033E95"/>
    <w:rsid w:val="0003411D"/>
    <w:rsid w:val="00034297"/>
    <w:rsid w:val="00034359"/>
    <w:rsid w:val="00034396"/>
    <w:rsid w:val="00034404"/>
    <w:rsid w:val="00034949"/>
    <w:rsid w:val="0003497C"/>
    <w:rsid w:val="000349F6"/>
    <w:rsid w:val="00034B35"/>
    <w:rsid w:val="00034F18"/>
    <w:rsid w:val="00034FB3"/>
    <w:rsid w:val="00034FF5"/>
    <w:rsid w:val="00035685"/>
    <w:rsid w:val="000359BA"/>
    <w:rsid w:val="00035D10"/>
    <w:rsid w:val="00035F02"/>
    <w:rsid w:val="00035F31"/>
    <w:rsid w:val="0003603B"/>
    <w:rsid w:val="00036070"/>
    <w:rsid w:val="0003609F"/>
    <w:rsid w:val="00036845"/>
    <w:rsid w:val="00037051"/>
    <w:rsid w:val="000374C3"/>
    <w:rsid w:val="000376B4"/>
    <w:rsid w:val="00037879"/>
    <w:rsid w:val="000378F9"/>
    <w:rsid w:val="0003793F"/>
    <w:rsid w:val="00037ADB"/>
    <w:rsid w:val="000404AF"/>
    <w:rsid w:val="00040603"/>
    <w:rsid w:val="0004074D"/>
    <w:rsid w:val="000414BB"/>
    <w:rsid w:val="000414C7"/>
    <w:rsid w:val="000414EF"/>
    <w:rsid w:val="0004162D"/>
    <w:rsid w:val="000418C5"/>
    <w:rsid w:val="00041A65"/>
    <w:rsid w:val="00041D1E"/>
    <w:rsid w:val="00041F47"/>
    <w:rsid w:val="00042051"/>
    <w:rsid w:val="000420FE"/>
    <w:rsid w:val="00042122"/>
    <w:rsid w:val="0004237E"/>
    <w:rsid w:val="000423FC"/>
    <w:rsid w:val="0004249C"/>
    <w:rsid w:val="000425F7"/>
    <w:rsid w:val="00042B45"/>
    <w:rsid w:val="00042FE5"/>
    <w:rsid w:val="000431FC"/>
    <w:rsid w:val="00043311"/>
    <w:rsid w:val="0004344A"/>
    <w:rsid w:val="00043B04"/>
    <w:rsid w:val="00043B97"/>
    <w:rsid w:val="00043C3E"/>
    <w:rsid w:val="00043F6F"/>
    <w:rsid w:val="000440FF"/>
    <w:rsid w:val="000442A8"/>
    <w:rsid w:val="0004441D"/>
    <w:rsid w:val="00044524"/>
    <w:rsid w:val="000446F2"/>
    <w:rsid w:val="00044B3C"/>
    <w:rsid w:val="00044C10"/>
    <w:rsid w:val="00044DC3"/>
    <w:rsid w:val="00044DCA"/>
    <w:rsid w:val="00045469"/>
    <w:rsid w:val="000454E6"/>
    <w:rsid w:val="00045531"/>
    <w:rsid w:val="0004558B"/>
    <w:rsid w:val="000456B1"/>
    <w:rsid w:val="000457A3"/>
    <w:rsid w:val="0004594F"/>
    <w:rsid w:val="00045E97"/>
    <w:rsid w:val="000461CF"/>
    <w:rsid w:val="000461D4"/>
    <w:rsid w:val="00046758"/>
    <w:rsid w:val="00046849"/>
    <w:rsid w:val="00046CA6"/>
    <w:rsid w:val="000471BD"/>
    <w:rsid w:val="0004740B"/>
    <w:rsid w:val="0004758F"/>
    <w:rsid w:val="00047867"/>
    <w:rsid w:val="00047F64"/>
    <w:rsid w:val="00050020"/>
    <w:rsid w:val="000502F2"/>
    <w:rsid w:val="00050320"/>
    <w:rsid w:val="00050B77"/>
    <w:rsid w:val="00050E5E"/>
    <w:rsid w:val="0005136B"/>
    <w:rsid w:val="000513B6"/>
    <w:rsid w:val="00051475"/>
    <w:rsid w:val="000514FC"/>
    <w:rsid w:val="000518CC"/>
    <w:rsid w:val="00051962"/>
    <w:rsid w:val="00051CCE"/>
    <w:rsid w:val="00051D02"/>
    <w:rsid w:val="00051E67"/>
    <w:rsid w:val="00051F7C"/>
    <w:rsid w:val="00051FEE"/>
    <w:rsid w:val="00052129"/>
    <w:rsid w:val="000522EE"/>
    <w:rsid w:val="000528B5"/>
    <w:rsid w:val="00052A3C"/>
    <w:rsid w:val="00052AC5"/>
    <w:rsid w:val="00052B4B"/>
    <w:rsid w:val="00052BCD"/>
    <w:rsid w:val="00052BD1"/>
    <w:rsid w:val="00052C29"/>
    <w:rsid w:val="00052E8F"/>
    <w:rsid w:val="0005306B"/>
    <w:rsid w:val="000530ED"/>
    <w:rsid w:val="00053120"/>
    <w:rsid w:val="0005328B"/>
    <w:rsid w:val="00053323"/>
    <w:rsid w:val="00053488"/>
    <w:rsid w:val="00053654"/>
    <w:rsid w:val="0005369C"/>
    <w:rsid w:val="000536D7"/>
    <w:rsid w:val="00053721"/>
    <w:rsid w:val="00053805"/>
    <w:rsid w:val="00053C48"/>
    <w:rsid w:val="00053CAA"/>
    <w:rsid w:val="00053E3B"/>
    <w:rsid w:val="00054114"/>
    <w:rsid w:val="00054171"/>
    <w:rsid w:val="0005478D"/>
    <w:rsid w:val="00054A62"/>
    <w:rsid w:val="00054AE5"/>
    <w:rsid w:val="00054F6E"/>
    <w:rsid w:val="00054FE9"/>
    <w:rsid w:val="00055251"/>
    <w:rsid w:val="00055364"/>
    <w:rsid w:val="000553FB"/>
    <w:rsid w:val="00055777"/>
    <w:rsid w:val="00055900"/>
    <w:rsid w:val="00055A00"/>
    <w:rsid w:val="00055AE4"/>
    <w:rsid w:val="00055B2A"/>
    <w:rsid w:val="00055D58"/>
    <w:rsid w:val="00055DCD"/>
    <w:rsid w:val="00055EF1"/>
    <w:rsid w:val="000560BA"/>
    <w:rsid w:val="000561BA"/>
    <w:rsid w:val="000566F2"/>
    <w:rsid w:val="00056961"/>
    <w:rsid w:val="00057003"/>
    <w:rsid w:val="000572A5"/>
    <w:rsid w:val="00057490"/>
    <w:rsid w:val="000574D8"/>
    <w:rsid w:val="000574F1"/>
    <w:rsid w:val="000574F2"/>
    <w:rsid w:val="00057502"/>
    <w:rsid w:val="000575C4"/>
    <w:rsid w:val="000578D9"/>
    <w:rsid w:val="000578DA"/>
    <w:rsid w:val="0005794F"/>
    <w:rsid w:val="0005796C"/>
    <w:rsid w:val="00057AC1"/>
    <w:rsid w:val="00057C1B"/>
    <w:rsid w:val="00057CB9"/>
    <w:rsid w:val="00057D88"/>
    <w:rsid w:val="00057E5A"/>
    <w:rsid w:val="00057EC4"/>
    <w:rsid w:val="00057F71"/>
    <w:rsid w:val="00057FAC"/>
    <w:rsid w:val="000601BB"/>
    <w:rsid w:val="00060220"/>
    <w:rsid w:val="00060775"/>
    <w:rsid w:val="0006093E"/>
    <w:rsid w:val="00060A3D"/>
    <w:rsid w:val="00060B00"/>
    <w:rsid w:val="00060BA4"/>
    <w:rsid w:val="0006102E"/>
    <w:rsid w:val="00061432"/>
    <w:rsid w:val="000614D8"/>
    <w:rsid w:val="000615F2"/>
    <w:rsid w:val="000616F8"/>
    <w:rsid w:val="00061D01"/>
    <w:rsid w:val="00061E81"/>
    <w:rsid w:val="00061E87"/>
    <w:rsid w:val="00061F36"/>
    <w:rsid w:val="00061F6C"/>
    <w:rsid w:val="00061F71"/>
    <w:rsid w:val="00061FD4"/>
    <w:rsid w:val="00062018"/>
    <w:rsid w:val="00062067"/>
    <w:rsid w:val="0006216C"/>
    <w:rsid w:val="0006231C"/>
    <w:rsid w:val="000624F6"/>
    <w:rsid w:val="000627C3"/>
    <w:rsid w:val="0006287B"/>
    <w:rsid w:val="000628DE"/>
    <w:rsid w:val="00062952"/>
    <w:rsid w:val="00062BD5"/>
    <w:rsid w:val="00062C6F"/>
    <w:rsid w:val="00062F06"/>
    <w:rsid w:val="00062FAA"/>
    <w:rsid w:val="0006315E"/>
    <w:rsid w:val="000632F2"/>
    <w:rsid w:val="000635B8"/>
    <w:rsid w:val="00063619"/>
    <w:rsid w:val="000639AB"/>
    <w:rsid w:val="00063AA9"/>
    <w:rsid w:val="00063C4E"/>
    <w:rsid w:val="00063CD8"/>
    <w:rsid w:val="00063FBD"/>
    <w:rsid w:val="00064234"/>
    <w:rsid w:val="000643FA"/>
    <w:rsid w:val="0006442F"/>
    <w:rsid w:val="00064533"/>
    <w:rsid w:val="0006457D"/>
    <w:rsid w:val="00064743"/>
    <w:rsid w:val="00064AA8"/>
    <w:rsid w:val="00064B8F"/>
    <w:rsid w:val="00064BB6"/>
    <w:rsid w:val="00064D04"/>
    <w:rsid w:val="00064F79"/>
    <w:rsid w:val="000651EE"/>
    <w:rsid w:val="0006523B"/>
    <w:rsid w:val="000654A1"/>
    <w:rsid w:val="00065580"/>
    <w:rsid w:val="000656CA"/>
    <w:rsid w:val="000657C3"/>
    <w:rsid w:val="000657D1"/>
    <w:rsid w:val="0006590A"/>
    <w:rsid w:val="00065C62"/>
    <w:rsid w:val="00065CDE"/>
    <w:rsid w:val="00065D7C"/>
    <w:rsid w:val="00065F4A"/>
    <w:rsid w:val="000660CC"/>
    <w:rsid w:val="00066320"/>
    <w:rsid w:val="000663B5"/>
    <w:rsid w:val="00066443"/>
    <w:rsid w:val="00066847"/>
    <w:rsid w:val="00066A12"/>
    <w:rsid w:val="00066BC0"/>
    <w:rsid w:val="00066DA0"/>
    <w:rsid w:val="00066F8B"/>
    <w:rsid w:val="00067056"/>
    <w:rsid w:val="00067086"/>
    <w:rsid w:val="00067100"/>
    <w:rsid w:val="00067484"/>
    <w:rsid w:val="000676E5"/>
    <w:rsid w:val="000677DE"/>
    <w:rsid w:val="00067995"/>
    <w:rsid w:val="000679DE"/>
    <w:rsid w:val="00067DEE"/>
    <w:rsid w:val="00067E2F"/>
    <w:rsid w:val="0007005F"/>
    <w:rsid w:val="000702C7"/>
    <w:rsid w:val="0007035B"/>
    <w:rsid w:val="00070571"/>
    <w:rsid w:val="0007063B"/>
    <w:rsid w:val="000706ED"/>
    <w:rsid w:val="0007080B"/>
    <w:rsid w:val="000708AA"/>
    <w:rsid w:val="000708CC"/>
    <w:rsid w:val="00070AE8"/>
    <w:rsid w:val="00070CD0"/>
    <w:rsid w:val="00070D75"/>
    <w:rsid w:val="00070E3F"/>
    <w:rsid w:val="00070F2E"/>
    <w:rsid w:val="00070FAD"/>
    <w:rsid w:val="00070FF1"/>
    <w:rsid w:val="00071212"/>
    <w:rsid w:val="000712CE"/>
    <w:rsid w:val="00071BDB"/>
    <w:rsid w:val="00071DC9"/>
    <w:rsid w:val="00071F58"/>
    <w:rsid w:val="000721C9"/>
    <w:rsid w:val="000721FB"/>
    <w:rsid w:val="000723C7"/>
    <w:rsid w:val="00072585"/>
    <w:rsid w:val="000729F6"/>
    <w:rsid w:val="00072FBD"/>
    <w:rsid w:val="000731CA"/>
    <w:rsid w:val="000733A5"/>
    <w:rsid w:val="00073456"/>
    <w:rsid w:val="0007347F"/>
    <w:rsid w:val="00073559"/>
    <w:rsid w:val="00073594"/>
    <w:rsid w:val="00073F5E"/>
    <w:rsid w:val="00074296"/>
    <w:rsid w:val="0007436D"/>
    <w:rsid w:val="0007451A"/>
    <w:rsid w:val="00074548"/>
    <w:rsid w:val="00074B3B"/>
    <w:rsid w:val="00074C66"/>
    <w:rsid w:val="00074CEF"/>
    <w:rsid w:val="00074DB3"/>
    <w:rsid w:val="000750C4"/>
    <w:rsid w:val="000751E2"/>
    <w:rsid w:val="0007528C"/>
    <w:rsid w:val="00075376"/>
    <w:rsid w:val="000753B7"/>
    <w:rsid w:val="00075939"/>
    <w:rsid w:val="00075A22"/>
    <w:rsid w:val="00075E1F"/>
    <w:rsid w:val="00075E8F"/>
    <w:rsid w:val="00076120"/>
    <w:rsid w:val="0007644C"/>
    <w:rsid w:val="00076611"/>
    <w:rsid w:val="000768EE"/>
    <w:rsid w:val="00076978"/>
    <w:rsid w:val="000769B0"/>
    <w:rsid w:val="000769C5"/>
    <w:rsid w:val="00076A93"/>
    <w:rsid w:val="00076D47"/>
    <w:rsid w:val="00077026"/>
    <w:rsid w:val="000771D8"/>
    <w:rsid w:val="000774FC"/>
    <w:rsid w:val="00077567"/>
    <w:rsid w:val="00077590"/>
    <w:rsid w:val="0007767F"/>
    <w:rsid w:val="00077705"/>
    <w:rsid w:val="00077954"/>
    <w:rsid w:val="000779CD"/>
    <w:rsid w:val="00077BB6"/>
    <w:rsid w:val="00077ECE"/>
    <w:rsid w:val="00077F1E"/>
    <w:rsid w:val="00077F26"/>
    <w:rsid w:val="00080149"/>
    <w:rsid w:val="000804D1"/>
    <w:rsid w:val="000806CC"/>
    <w:rsid w:val="000806DA"/>
    <w:rsid w:val="0008077E"/>
    <w:rsid w:val="00080813"/>
    <w:rsid w:val="000809A3"/>
    <w:rsid w:val="00080D2B"/>
    <w:rsid w:val="00080F6E"/>
    <w:rsid w:val="00080FCB"/>
    <w:rsid w:val="00080FF3"/>
    <w:rsid w:val="000813A0"/>
    <w:rsid w:val="00081431"/>
    <w:rsid w:val="000816A6"/>
    <w:rsid w:val="000816DF"/>
    <w:rsid w:val="0008174E"/>
    <w:rsid w:val="00081BCE"/>
    <w:rsid w:val="00081E0B"/>
    <w:rsid w:val="0008214A"/>
    <w:rsid w:val="00082172"/>
    <w:rsid w:val="000821F3"/>
    <w:rsid w:val="000822F5"/>
    <w:rsid w:val="000823F0"/>
    <w:rsid w:val="00082422"/>
    <w:rsid w:val="000824C5"/>
    <w:rsid w:val="000824E4"/>
    <w:rsid w:val="00082576"/>
    <w:rsid w:val="000825EF"/>
    <w:rsid w:val="00082868"/>
    <w:rsid w:val="000828C7"/>
    <w:rsid w:val="000829F7"/>
    <w:rsid w:val="00082DDC"/>
    <w:rsid w:val="00082F2A"/>
    <w:rsid w:val="000831BA"/>
    <w:rsid w:val="00083334"/>
    <w:rsid w:val="00083378"/>
    <w:rsid w:val="00083607"/>
    <w:rsid w:val="00083715"/>
    <w:rsid w:val="000839F6"/>
    <w:rsid w:val="00083A52"/>
    <w:rsid w:val="00083CC1"/>
    <w:rsid w:val="00083DC0"/>
    <w:rsid w:val="00084194"/>
    <w:rsid w:val="00084422"/>
    <w:rsid w:val="000847FE"/>
    <w:rsid w:val="00084ACA"/>
    <w:rsid w:val="00084B18"/>
    <w:rsid w:val="00084B80"/>
    <w:rsid w:val="00084C6F"/>
    <w:rsid w:val="00084CB9"/>
    <w:rsid w:val="00084D1C"/>
    <w:rsid w:val="00084EE8"/>
    <w:rsid w:val="000853AA"/>
    <w:rsid w:val="0008554F"/>
    <w:rsid w:val="00085719"/>
    <w:rsid w:val="000857E8"/>
    <w:rsid w:val="00085B9E"/>
    <w:rsid w:val="00085BA2"/>
    <w:rsid w:val="00085DEF"/>
    <w:rsid w:val="00085F3D"/>
    <w:rsid w:val="00085FDC"/>
    <w:rsid w:val="00086133"/>
    <w:rsid w:val="000865A5"/>
    <w:rsid w:val="0008670A"/>
    <w:rsid w:val="0008678D"/>
    <w:rsid w:val="00086C95"/>
    <w:rsid w:val="000871D2"/>
    <w:rsid w:val="000871F2"/>
    <w:rsid w:val="00087244"/>
    <w:rsid w:val="0008724D"/>
    <w:rsid w:val="0008779A"/>
    <w:rsid w:val="000879DF"/>
    <w:rsid w:val="00087C25"/>
    <w:rsid w:val="000906AF"/>
    <w:rsid w:val="00090AB2"/>
    <w:rsid w:val="00090F4C"/>
    <w:rsid w:val="0009108F"/>
    <w:rsid w:val="0009110E"/>
    <w:rsid w:val="000911A6"/>
    <w:rsid w:val="00091750"/>
    <w:rsid w:val="000918DC"/>
    <w:rsid w:val="0009199C"/>
    <w:rsid w:val="000919AF"/>
    <w:rsid w:val="00091EF1"/>
    <w:rsid w:val="00091F50"/>
    <w:rsid w:val="00092276"/>
    <w:rsid w:val="00092369"/>
    <w:rsid w:val="00092468"/>
    <w:rsid w:val="00092611"/>
    <w:rsid w:val="00092648"/>
    <w:rsid w:val="00092661"/>
    <w:rsid w:val="000926A9"/>
    <w:rsid w:val="0009271B"/>
    <w:rsid w:val="00092727"/>
    <w:rsid w:val="00092945"/>
    <w:rsid w:val="00092B3E"/>
    <w:rsid w:val="00092DD7"/>
    <w:rsid w:val="00092E69"/>
    <w:rsid w:val="00092F9A"/>
    <w:rsid w:val="00092FA1"/>
    <w:rsid w:val="0009307B"/>
    <w:rsid w:val="00093141"/>
    <w:rsid w:val="00093399"/>
    <w:rsid w:val="00093432"/>
    <w:rsid w:val="00093993"/>
    <w:rsid w:val="00093B44"/>
    <w:rsid w:val="00093E9B"/>
    <w:rsid w:val="00094086"/>
    <w:rsid w:val="00094622"/>
    <w:rsid w:val="000948D8"/>
    <w:rsid w:val="000948F0"/>
    <w:rsid w:val="00094C42"/>
    <w:rsid w:val="00094CDE"/>
    <w:rsid w:val="00094DB7"/>
    <w:rsid w:val="00094ECE"/>
    <w:rsid w:val="0009539C"/>
    <w:rsid w:val="00095424"/>
    <w:rsid w:val="00095A28"/>
    <w:rsid w:val="00095B08"/>
    <w:rsid w:val="00095D4F"/>
    <w:rsid w:val="00095E68"/>
    <w:rsid w:val="00095E9D"/>
    <w:rsid w:val="000961BE"/>
    <w:rsid w:val="0009625C"/>
    <w:rsid w:val="000962D9"/>
    <w:rsid w:val="00096420"/>
    <w:rsid w:val="00096777"/>
    <w:rsid w:val="0009688E"/>
    <w:rsid w:val="000969E7"/>
    <w:rsid w:val="00096AD6"/>
    <w:rsid w:val="00096BCD"/>
    <w:rsid w:val="00096BDC"/>
    <w:rsid w:val="00096E75"/>
    <w:rsid w:val="00096F65"/>
    <w:rsid w:val="000972A5"/>
    <w:rsid w:val="000976AF"/>
    <w:rsid w:val="000978B3"/>
    <w:rsid w:val="00097EFB"/>
    <w:rsid w:val="00097F2C"/>
    <w:rsid w:val="000A00F0"/>
    <w:rsid w:val="000A0199"/>
    <w:rsid w:val="000A022C"/>
    <w:rsid w:val="000A027E"/>
    <w:rsid w:val="000A032F"/>
    <w:rsid w:val="000A0692"/>
    <w:rsid w:val="000A0888"/>
    <w:rsid w:val="000A0943"/>
    <w:rsid w:val="000A1369"/>
    <w:rsid w:val="000A1421"/>
    <w:rsid w:val="000A1B3C"/>
    <w:rsid w:val="000A1BD7"/>
    <w:rsid w:val="000A1CB2"/>
    <w:rsid w:val="000A1CD5"/>
    <w:rsid w:val="000A1E9A"/>
    <w:rsid w:val="000A1F7B"/>
    <w:rsid w:val="000A202C"/>
    <w:rsid w:val="000A215C"/>
    <w:rsid w:val="000A2508"/>
    <w:rsid w:val="000A25B7"/>
    <w:rsid w:val="000A2694"/>
    <w:rsid w:val="000A26A6"/>
    <w:rsid w:val="000A290F"/>
    <w:rsid w:val="000A2EF1"/>
    <w:rsid w:val="000A2F0D"/>
    <w:rsid w:val="000A31A2"/>
    <w:rsid w:val="000A3464"/>
    <w:rsid w:val="000A3777"/>
    <w:rsid w:val="000A3A2B"/>
    <w:rsid w:val="000A3B52"/>
    <w:rsid w:val="000A3D33"/>
    <w:rsid w:val="000A3D99"/>
    <w:rsid w:val="000A3DB2"/>
    <w:rsid w:val="000A3F4C"/>
    <w:rsid w:val="000A4089"/>
    <w:rsid w:val="000A4474"/>
    <w:rsid w:val="000A44C4"/>
    <w:rsid w:val="000A46D4"/>
    <w:rsid w:val="000A4A7F"/>
    <w:rsid w:val="000A4B94"/>
    <w:rsid w:val="000A5165"/>
    <w:rsid w:val="000A516B"/>
    <w:rsid w:val="000A51BC"/>
    <w:rsid w:val="000A51BD"/>
    <w:rsid w:val="000A5246"/>
    <w:rsid w:val="000A540F"/>
    <w:rsid w:val="000A5484"/>
    <w:rsid w:val="000A5AD4"/>
    <w:rsid w:val="000A5B22"/>
    <w:rsid w:val="000A5D19"/>
    <w:rsid w:val="000A5D44"/>
    <w:rsid w:val="000A5E47"/>
    <w:rsid w:val="000A6327"/>
    <w:rsid w:val="000A67DD"/>
    <w:rsid w:val="000A6B41"/>
    <w:rsid w:val="000A6FBD"/>
    <w:rsid w:val="000A7333"/>
    <w:rsid w:val="000A7396"/>
    <w:rsid w:val="000A76E6"/>
    <w:rsid w:val="000A784A"/>
    <w:rsid w:val="000A7A70"/>
    <w:rsid w:val="000A7B5E"/>
    <w:rsid w:val="000A7EA5"/>
    <w:rsid w:val="000B01E1"/>
    <w:rsid w:val="000B0569"/>
    <w:rsid w:val="000B0787"/>
    <w:rsid w:val="000B07D3"/>
    <w:rsid w:val="000B088C"/>
    <w:rsid w:val="000B0AC5"/>
    <w:rsid w:val="000B0B58"/>
    <w:rsid w:val="000B0DF2"/>
    <w:rsid w:val="000B0F3D"/>
    <w:rsid w:val="000B140F"/>
    <w:rsid w:val="000B16A4"/>
    <w:rsid w:val="000B16AD"/>
    <w:rsid w:val="000B194E"/>
    <w:rsid w:val="000B1A08"/>
    <w:rsid w:val="000B1B84"/>
    <w:rsid w:val="000B1C8C"/>
    <w:rsid w:val="000B2005"/>
    <w:rsid w:val="000B209B"/>
    <w:rsid w:val="000B20FD"/>
    <w:rsid w:val="000B24D9"/>
    <w:rsid w:val="000B26C2"/>
    <w:rsid w:val="000B2AFE"/>
    <w:rsid w:val="000B2BBB"/>
    <w:rsid w:val="000B2BE3"/>
    <w:rsid w:val="000B2C68"/>
    <w:rsid w:val="000B2CFA"/>
    <w:rsid w:val="000B2E17"/>
    <w:rsid w:val="000B30A9"/>
    <w:rsid w:val="000B314F"/>
    <w:rsid w:val="000B3403"/>
    <w:rsid w:val="000B3414"/>
    <w:rsid w:val="000B35EA"/>
    <w:rsid w:val="000B383D"/>
    <w:rsid w:val="000B38EB"/>
    <w:rsid w:val="000B3983"/>
    <w:rsid w:val="000B39DA"/>
    <w:rsid w:val="000B3C77"/>
    <w:rsid w:val="000B3D56"/>
    <w:rsid w:val="000B3F90"/>
    <w:rsid w:val="000B40C0"/>
    <w:rsid w:val="000B40D2"/>
    <w:rsid w:val="000B4234"/>
    <w:rsid w:val="000B42B7"/>
    <w:rsid w:val="000B42E1"/>
    <w:rsid w:val="000B4312"/>
    <w:rsid w:val="000B452F"/>
    <w:rsid w:val="000B45D8"/>
    <w:rsid w:val="000B47C2"/>
    <w:rsid w:val="000B47E2"/>
    <w:rsid w:val="000B491E"/>
    <w:rsid w:val="000B4B2F"/>
    <w:rsid w:val="000B4C14"/>
    <w:rsid w:val="000B4DE6"/>
    <w:rsid w:val="000B502F"/>
    <w:rsid w:val="000B51E4"/>
    <w:rsid w:val="000B538E"/>
    <w:rsid w:val="000B5560"/>
    <w:rsid w:val="000B567B"/>
    <w:rsid w:val="000B56CD"/>
    <w:rsid w:val="000B5714"/>
    <w:rsid w:val="000B5807"/>
    <w:rsid w:val="000B5995"/>
    <w:rsid w:val="000B5B17"/>
    <w:rsid w:val="000B5B83"/>
    <w:rsid w:val="000B5D91"/>
    <w:rsid w:val="000B5D9F"/>
    <w:rsid w:val="000B6246"/>
    <w:rsid w:val="000B62F4"/>
    <w:rsid w:val="000B63ED"/>
    <w:rsid w:val="000B64BE"/>
    <w:rsid w:val="000B6B69"/>
    <w:rsid w:val="000B6E90"/>
    <w:rsid w:val="000B6EB8"/>
    <w:rsid w:val="000B72FD"/>
    <w:rsid w:val="000B773D"/>
    <w:rsid w:val="000B7915"/>
    <w:rsid w:val="000B7AED"/>
    <w:rsid w:val="000B7CEC"/>
    <w:rsid w:val="000B7E57"/>
    <w:rsid w:val="000B7FE9"/>
    <w:rsid w:val="000C009C"/>
    <w:rsid w:val="000C0142"/>
    <w:rsid w:val="000C0567"/>
    <w:rsid w:val="000C0761"/>
    <w:rsid w:val="000C08BC"/>
    <w:rsid w:val="000C09B0"/>
    <w:rsid w:val="000C0CF9"/>
    <w:rsid w:val="000C0F0F"/>
    <w:rsid w:val="000C0F94"/>
    <w:rsid w:val="000C10EC"/>
    <w:rsid w:val="000C11CC"/>
    <w:rsid w:val="000C124A"/>
    <w:rsid w:val="000C12A1"/>
    <w:rsid w:val="000C159B"/>
    <w:rsid w:val="000C185C"/>
    <w:rsid w:val="000C199E"/>
    <w:rsid w:val="000C1AEB"/>
    <w:rsid w:val="000C1B5C"/>
    <w:rsid w:val="000C1CB1"/>
    <w:rsid w:val="000C1E15"/>
    <w:rsid w:val="000C1EE5"/>
    <w:rsid w:val="000C2106"/>
    <w:rsid w:val="000C2184"/>
    <w:rsid w:val="000C24C9"/>
    <w:rsid w:val="000C25E5"/>
    <w:rsid w:val="000C27FB"/>
    <w:rsid w:val="000C2929"/>
    <w:rsid w:val="000C2AC3"/>
    <w:rsid w:val="000C36C5"/>
    <w:rsid w:val="000C3840"/>
    <w:rsid w:val="000C39A2"/>
    <w:rsid w:val="000C3E34"/>
    <w:rsid w:val="000C3E80"/>
    <w:rsid w:val="000C3EFF"/>
    <w:rsid w:val="000C4197"/>
    <w:rsid w:val="000C4497"/>
    <w:rsid w:val="000C44B7"/>
    <w:rsid w:val="000C4A2E"/>
    <w:rsid w:val="000C4BBC"/>
    <w:rsid w:val="000C4BD6"/>
    <w:rsid w:val="000C4BF0"/>
    <w:rsid w:val="000C4E41"/>
    <w:rsid w:val="000C4E80"/>
    <w:rsid w:val="000C4ED5"/>
    <w:rsid w:val="000C4F89"/>
    <w:rsid w:val="000C4FE1"/>
    <w:rsid w:val="000C5115"/>
    <w:rsid w:val="000C5180"/>
    <w:rsid w:val="000C52AD"/>
    <w:rsid w:val="000C53A9"/>
    <w:rsid w:val="000C56B3"/>
    <w:rsid w:val="000C59A9"/>
    <w:rsid w:val="000C5C92"/>
    <w:rsid w:val="000C5EE4"/>
    <w:rsid w:val="000C5FF0"/>
    <w:rsid w:val="000C60A8"/>
    <w:rsid w:val="000C61A7"/>
    <w:rsid w:val="000C6250"/>
    <w:rsid w:val="000C63C0"/>
    <w:rsid w:val="000C6461"/>
    <w:rsid w:val="000C6542"/>
    <w:rsid w:val="000C668E"/>
    <w:rsid w:val="000C6A40"/>
    <w:rsid w:val="000C6C14"/>
    <w:rsid w:val="000C6CE9"/>
    <w:rsid w:val="000C6E9F"/>
    <w:rsid w:val="000C713A"/>
    <w:rsid w:val="000C7160"/>
    <w:rsid w:val="000C732E"/>
    <w:rsid w:val="000C75F0"/>
    <w:rsid w:val="000C76E5"/>
    <w:rsid w:val="000C7700"/>
    <w:rsid w:val="000C772A"/>
    <w:rsid w:val="000C779D"/>
    <w:rsid w:val="000C7883"/>
    <w:rsid w:val="000C78B3"/>
    <w:rsid w:val="000C793A"/>
    <w:rsid w:val="000C7A61"/>
    <w:rsid w:val="000C7B1E"/>
    <w:rsid w:val="000C7B29"/>
    <w:rsid w:val="000C7B94"/>
    <w:rsid w:val="000C7CBB"/>
    <w:rsid w:val="000C7D9F"/>
    <w:rsid w:val="000C7DE1"/>
    <w:rsid w:val="000D0023"/>
    <w:rsid w:val="000D0101"/>
    <w:rsid w:val="000D01A2"/>
    <w:rsid w:val="000D03AD"/>
    <w:rsid w:val="000D03F0"/>
    <w:rsid w:val="000D0408"/>
    <w:rsid w:val="000D0615"/>
    <w:rsid w:val="000D0703"/>
    <w:rsid w:val="000D083E"/>
    <w:rsid w:val="000D0892"/>
    <w:rsid w:val="000D089A"/>
    <w:rsid w:val="000D0971"/>
    <w:rsid w:val="000D0A81"/>
    <w:rsid w:val="000D0B27"/>
    <w:rsid w:val="000D0F5B"/>
    <w:rsid w:val="000D1552"/>
    <w:rsid w:val="000D169F"/>
    <w:rsid w:val="000D1A10"/>
    <w:rsid w:val="000D1AB4"/>
    <w:rsid w:val="000D1B84"/>
    <w:rsid w:val="000D1BDC"/>
    <w:rsid w:val="000D1D7D"/>
    <w:rsid w:val="000D21B0"/>
    <w:rsid w:val="000D2243"/>
    <w:rsid w:val="000D22DF"/>
    <w:rsid w:val="000D260D"/>
    <w:rsid w:val="000D26E3"/>
    <w:rsid w:val="000D2854"/>
    <w:rsid w:val="000D2B03"/>
    <w:rsid w:val="000D2D48"/>
    <w:rsid w:val="000D3236"/>
    <w:rsid w:val="000D33C0"/>
    <w:rsid w:val="000D36E6"/>
    <w:rsid w:val="000D39EF"/>
    <w:rsid w:val="000D3A82"/>
    <w:rsid w:val="000D3D47"/>
    <w:rsid w:val="000D3D5C"/>
    <w:rsid w:val="000D4036"/>
    <w:rsid w:val="000D4269"/>
    <w:rsid w:val="000D444B"/>
    <w:rsid w:val="000D4793"/>
    <w:rsid w:val="000D48CE"/>
    <w:rsid w:val="000D4BD9"/>
    <w:rsid w:val="000D51E3"/>
    <w:rsid w:val="000D5282"/>
    <w:rsid w:val="000D529F"/>
    <w:rsid w:val="000D52A8"/>
    <w:rsid w:val="000D5375"/>
    <w:rsid w:val="000D58DA"/>
    <w:rsid w:val="000D5D73"/>
    <w:rsid w:val="000D5DB8"/>
    <w:rsid w:val="000D5EA7"/>
    <w:rsid w:val="000D5F8B"/>
    <w:rsid w:val="000D660B"/>
    <w:rsid w:val="000D6765"/>
    <w:rsid w:val="000D679F"/>
    <w:rsid w:val="000D6BB5"/>
    <w:rsid w:val="000D6D41"/>
    <w:rsid w:val="000D6DA2"/>
    <w:rsid w:val="000D6E7C"/>
    <w:rsid w:val="000D6EA6"/>
    <w:rsid w:val="000D7144"/>
    <w:rsid w:val="000D7540"/>
    <w:rsid w:val="000D755D"/>
    <w:rsid w:val="000D7838"/>
    <w:rsid w:val="000D7A9C"/>
    <w:rsid w:val="000D7B9D"/>
    <w:rsid w:val="000D7BC6"/>
    <w:rsid w:val="000E0135"/>
    <w:rsid w:val="000E0479"/>
    <w:rsid w:val="000E0776"/>
    <w:rsid w:val="000E07CD"/>
    <w:rsid w:val="000E0A12"/>
    <w:rsid w:val="000E0E6C"/>
    <w:rsid w:val="000E0EC9"/>
    <w:rsid w:val="000E1154"/>
    <w:rsid w:val="000E11FA"/>
    <w:rsid w:val="000E1343"/>
    <w:rsid w:val="000E15A3"/>
    <w:rsid w:val="000E17CF"/>
    <w:rsid w:val="000E1805"/>
    <w:rsid w:val="000E189A"/>
    <w:rsid w:val="000E194C"/>
    <w:rsid w:val="000E1C36"/>
    <w:rsid w:val="000E1CA6"/>
    <w:rsid w:val="000E1E1E"/>
    <w:rsid w:val="000E1FC3"/>
    <w:rsid w:val="000E204A"/>
    <w:rsid w:val="000E2411"/>
    <w:rsid w:val="000E2730"/>
    <w:rsid w:val="000E27CC"/>
    <w:rsid w:val="000E2857"/>
    <w:rsid w:val="000E2F62"/>
    <w:rsid w:val="000E2F76"/>
    <w:rsid w:val="000E3465"/>
    <w:rsid w:val="000E35C4"/>
    <w:rsid w:val="000E3873"/>
    <w:rsid w:val="000E3A85"/>
    <w:rsid w:val="000E3B9F"/>
    <w:rsid w:val="000E3D90"/>
    <w:rsid w:val="000E4157"/>
    <w:rsid w:val="000E4256"/>
    <w:rsid w:val="000E4273"/>
    <w:rsid w:val="000E439F"/>
    <w:rsid w:val="000E4A1C"/>
    <w:rsid w:val="000E4B92"/>
    <w:rsid w:val="000E4D1A"/>
    <w:rsid w:val="000E506E"/>
    <w:rsid w:val="000E534E"/>
    <w:rsid w:val="000E550B"/>
    <w:rsid w:val="000E5569"/>
    <w:rsid w:val="000E5598"/>
    <w:rsid w:val="000E55E0"/>
    <w:rsid w:val="000E5634"/>
    <w:rsid w:val="000E5888"/>
    <w:rsid w:val="000E5A3A"/>
    <w:rsid w:val="000E5A91"/>
    <w:rsid w:val="000E5C70"/>
    <w:rsid w:val="000E5CEA"/>
    <w:rsid w:val="000E5E3A"/>
    <w:rsid w:val="000E63CC"/>
    <w:rsid w:val="000E69D4"/>
    <w:rsid w:val="000E69F2"/>
    <w:rsid w:val="000E6D68"/>
    <w:rsid w:val="000E700B"/>
    <w:rsid w:val="000E7019"/>
    <w:rsid w:val="000E7675"/>
    <w:rsid w:val="000E79A1"/>
    <w:rsid w:val="000E903F"/>
    <w:rsid w:val="000F0062"/>
    <w:rsid w:val="000F054D"/>
    <w:rsid w:val="000F0590"/>
    <w:rsid w:val="000F0665"/>
    <w:rsid w:val="000F081B"/>
    <w:rsid w:val="000F08AD"/>
    <w:rsid w:val="000F0B20"/>
    <w:rsid w:val="000F0EA2"/>
    <w:rsid w:val="000F10D0"/>
    <w:rsid w:val="000F1305"/>
    <w:rsid w:val="000F134A"/>
    <w:rsid w:val="000F135D"/>
    <w:rsid w:val="000F1687"/>
    <w:rsid w:val="000F169F"/>
    <w:rsid w:val="000F16B3"/>
    <w:rsid w:val="000F1BAC"/>
    <w:rsid w:val="000F1D8B"/>
    <w:rsid w:val="000F243A"/>
    <w:rsid w:val="000F2534"/>
    <w:rsid w:val="000F2684"/>
    <w:rsid w:val="000F2AD4"/>
    <w:rsid w:val="000F2E09"/>
    <w:rsid w:val="000F3062"/>
    <w:rsid w:val="000F313A"/>
    <w:rsid w:val="000F31C1"/>
    <w:rsid w:val="000F335C"/>
    <w:rsid w:val="000F3652"/>
    <w:rsid w:val="000F36C0"/>
    <w:rsid w:val="000F37FD"/>
    <w:rsid w:val="000F3823"/>
    <w:rsid w:val="000F388B"/>
    <w:rsid w:val="000F3EC1"/>
    <w:rsid w:val="000F3FF6"/>
    <w:rsid w:val="000F4086"/>
    <w:rsid w:val="000F40C7"/>
    <w:rsid w:val="000F40DD"/>
    <w:rsid w:val="000F40FF"/>
    <w:rsid w:val="000F42AB"/>
    <w:rsid w:val="000F43F1"/>
    <w:rsid w:val="000F4424"/>
    <w:rsid w:val="000F458E"/>
    <w:rsid w:val="000F46EE"/>
    <w:rsid w:val="000F4A6F"/>
    <w:rsid w:val="000F4B09"/>
    <w:rsid w:val="000F4D90"/>
    <w:rsid w:val="000F4E86"/>
    <w:rsid w:val="000F511F"/>
    <w:rsid w:val="000F522F"/>
    <w:rsid w:val="000F5280"/>
    <w:rsid w:val="000F5BC2"/>
    <w:rsid w:val="000F5D81"/>
    <w:rsid w:val="000F5F1E"/>
    <w:rsid w:val="000F60D6"/>
    <w:rsid w:val="000F6457"/>
    <w:rsid w:val="000F655C"/>
    <w:rsid w:val="000F688B"/>
    <w:rsid w:val="000F68F6"/>
    <w:rsid w:val="000F6D0E"/>
    <w:rsid w:val="000F6F44"/>
    <w:rsid w:val="000F7460"/>
    <w:rsid w:val="000F7610"/>
    <w:rsid w:val="000F77F7"/>
    <w:rsid w:val="000F7833"/>
    <w:rsid w:val="000F7DA9"/>
    <w:rsid w:val="000F7E05"/>
    <w:rsid w:val="000F7E25"/>
    <w:rsid w:val="000F7F51"/>
    <w:rsid w:val="0010002A"/>
    <w:rsid w:val="00100032"/>
    <w:rsid w:val="00100188"/>
    <w:rsid w:val="001002E3"/>
    <w:rsid w:val="00100463"/>
    <w:rsid w:val="001006D4"/>
    <w:rsid w:val="0010086D"/>
    <w:rsid w:val="001008C9"/>
    <w:rsid w:val="00100B13"/>
    <w:rsid w:val="00100B2C"/>
    <w:rsid w:val="00100DB0"/>
    <w:rsid w:val="00100DB6"/>
    <w:rsid w:val="00100E0F"/>
    <w:rsid w:val="00101063"/>
    <w:rsid w:val="00101098"/>
    <w:rsid w:val="001011AB"/>
    <w:rsid w:val="001011CF"/>
    <w:rsid w:val="0010123F"/>
    <w:rsid w:val="0010134B"/>
    <w:rsid w:val="001014CA"/>
    <w:rsid w:val="001015FE"/>
    <w:rsid w:val="0010163E"/>
    <w:rsid w:val="001018A8"/>
    <w:rsid w:val="00101A52"/>
    <w:rsid w:val="00101AB8"/>
    <w:rsid w:val="00101E7D"/>
    <w:rsid w:val="00101F2E"/>
    <w:rsid w:val="00101F3C"/>
    <w:rsid w:val="00102279"/>
    <w:rsid w:val="001022B5"/>
    <w:rsid w:val="00102353"/>
    <w:rsid w:val="001023C8"/>
    <w:rsid w:val="00102634"/>
    <w:rsid w:val="0010297C"/>
    <w:rsid w:val="00102C83"/>
    <w:rsid w:val="00102CDD"/>
    <w:rsid w:val="00102FA3"/>
    <w:rsid w:val="001030ED"/>
    <w:rsid w:val="00103245"/>
    <w:rsid w:val="001032A1"/>
    <w:rsid w:val="001032B6"/>
    <w:rsid w:val="0010334C"/>
    <w:rsid w:val="001033B9"/>
    <w:rsid w:val="00103425"/>
    <w:rsid w:val="00103663"/>
    <w:rsid w:val="00103841"/>
    <w:rsid w:val="00103DB8"/>
    <w:rsid w:val="00104128"/>
    <w:rsid w:val="001041BC"/>
    <w:rsid w:val="001042CD"/>
    <w:rsid w:val="00104739"/>
    <w:rsid w:val="0010495B"/>
    <w:rsid w:val="00104A1D"/>
    <w:rsid w:val="00104B09"/>
    <w:rsid w:val="00104B14"/>
    <w:rsid w:val="00104BAC"/>
    <w:rsid w:val="00105484"/>
    <w:rsid w:val="001054F7"/>
    <w:rsid w:val="00105617"/>
    <w:rsid w:val="00105723"/>
    <w:rsid w:val="001059D6"/>
    <w:rsid w:val="00105B85"/>
    <w:rsid w:val="001061D2"/>
    <w:rsid w:val="00106461"/>
    <w:rsid w:val="001064A9"/>
    <w:rsid w:val="0010656C"/>
    <w:rsid w:val="00106957"/>
    <w:rsid w:val="001069A7"/>
    <w:rsid w:val="00106E00"/>
    <w:rsid w:val="0010707A"/>
    <w:rsid w:val="00107184"/>
    <w:rsid w:val="001073D1"/>
    <w:rsid w:val="001073F5"/>
    <w:rsid w:val="001074B1"/>
    <w:rsid w:val="0010766F"/>
    <w:rsid w:val="001077FD"/>
    <w:rsid w:val="00107E5C"/>
    <w:rsid w:val="00107F5E"/>
    <w:rsid w:val="00107FBE"/>
    <w:rsid w:val="00110159"/>
    <w:rsid w:val="001105DF"/>
    <w:rsid w:val="00110690"/>
    <w:rsid w:val="0011071E"/>
    <w:rsid w:val="001107CD"/>
    <w:rsid w:val="00110A14"/>
    <w:rsid w:val="00110EAD"/>
    <w:rsid w:val="00110F29"/>
    <w:rsid w:val="00110FAF"/>
    <w:rsid w:val="00111667"/>
    <w:rsid w:val="0011179E"/>
    <w:rsid w:val="001118A5"/>
    <w:rsid w:val="00111951"/>
    <w:rsid w:val="001119AA"/>
    <w:rsid w:val="00111FFC"/>
    <w:rsid w:val="0011204B"/>
    <w:rsid w:val="001120C9"/>
    <w:rsid w:val="001121CB"/>
    <w:rsid w:val="0011225C"/>
    <w:rsid w:val="0011225D"/>
    <w:rsid w:val="00112477"/>
    <w:rsid w:val="00112479"/>
    <w:rsid w:val="001124F6"/>
    <w:rsid w:val="001126BC"/>
    <w:rsid w:val="001127CE"/>
    <w:rsid w:val="00112890"/>
    <w:rsid w:val="00112A98"/>
    <w:rsid w:val="00112F1A"/>
    <w:rsid w:val="001134B5"/>
    <w:rsid w:val="00113628"/>
    <w:rsid w:val="001136A7"/>
    <w:rsid w:val="001138B9"/>
    <w:rsid w:val="00113B85"/>
    <w:rsid w:val="00113DD3"/>
    <w:rsid w:val="00113F1D"/>
    <w:rsid w:val="0011426E"/>
    <w:rsid w:val="00114376"/>
    <w:rsid w:val="0011454E"/>
    <w:rsid w:val="001146C2"/>
    <w:rsid w:val="00114864"/>
    <w:rsid w:val="001148BC"/>
    <w:rsid w:val="00114CE9"/>
    <w:rsid w:val="00114D5E"/>
    <w:rsid w:val="00114FA9"/>
    <w:rsid w:val="001152F5"/>
    <w:rsid w:val="001154E8"/>
    <w:rsid w:val="001154FB"/>
    <w:rsid w:val="00115536"/>
    <w:rsid w:val="00115667"/>
    <w:rsid w:val="00115770"/>
    <w:rsid w:val="00115996"/>
    <w:rsid w:val="00115CB6"/>
    <w:rsid w:val="00115D20"/>
    <w:rsid w:val="00115FD8"/>
    <w:rsid w:val="001160F4"/>
    <w:rsid w:val="001164D9"/>
    <w:rsid w:val="001166D5"/>
    <w:rsid w:val="00116878"/>
    <w:rsid w:val="00116950"/>
    <w:rsid w:val="00116FEE"/>
    <w:rsid w:val="00117038"/>
    <w:rsid w:val="001172E0"/>
    <w:rsid w:val="001172E3"/>
    <w:rsid w:val="00117695"/>
    <w:rsid w:val="0011779D"/>
    <w:rsid w:val="00117A39"/>
    <w:rsid w:val="00117B2D"/>
    <w:rsid w:val="00117BEE"/>
    <w:rsid w:val="00120160"/>
    <w:rsid w:val="00120249"/>
    <w:rsid w:val="001203E6"/>
    <w:rsid w:val="00120533"/>
    <w:rsid w:val="00120544"/>
    <w:rsid w:val="00120607"/>
    <w:rsid w:val="001206CD"/>
    <w:rsid w:val="00120795"/>
    <w:rsid w:val="0012091A"/>
    <w:rsid w:val="0012091D"/>
    <w:rsid w:val="001209B3"/>
    <w:rsid w:val="001209F7"/>
    <w:rsid w:val="00120B1A"/>
    <w:rsid w:val="00120B1D"/>
    <w:rsid w:val="00120BF4"/>
    <w:rsid w:val="00120DF7"/>
    <w:rsid w:val="0012103A"/>
    <w:rsid w:val="00121090"/>
    <w:rsid w:val="0012154A"/>
    <w:rsid w:val="00121723"/>
    <w:rsid w:val="0012173D"/>
    <w:rsid w:val="001217E0"/>
    <w:rsid w:val="00121A08"/>
    <w:rsid w:val="00121B60"/>
    <w:rsid w:val="001220BA"/>
    <w:rsid w:val="001220D4"/>
    <w:rsid w:val="001220D9"/>
    <w:rsid w:val="00122153"/>
    <w:rsid w:val="001221A4"/>
    <w:rsid w:val="00122251"/>
    <w:rsid w:val="00122327"/>
    <w:rsid w:val="00122358"/>
    <w:rsid w:val="0012239C"/>
    <w:rsid w:val="001226EF"/>
    <w:rsid w:val="001228D6"/>
    <w:rsid w:val="00122BCA"/>
    <w:rsid w:val="00122C04"/>
    <w:rsid w:val="00122C7B"/>
    <w:rsid w:val="00122D80"/>
    <w:rsid w:val="00122F41"/>
    <w:rsid w:val="00122FA9"/>
    <w:rsid w:val="001234CD"/>
    <w:rsid w:val="001238C3"/>
    <w:rsid w:val="00123929"/>
    <w:rsid w:val="00123B2C"/>
    <w:rsid w:val="00123B39"/>
    <w:rsid w:val="00123DE9"/>
    <w:rsid w:val="00123EA1"/>
    <w:rsid w:val="00124134"/>
    <w:rsid w:val="00124147"/>
    <w:rsid w:val="00124297"/>
    <w:rsid w:val="0012430B"/>
    <w:rsid w:val="001246B0"/>
    <w:rsid w:val="001248F6"/>
    <w:rsid w:val="001249EB"/>
    <w:rsid w:val="00124DA7"/>
    <w:rsid w:val="00124E81"/>
    <w:rsid w:val="00124FB3"/>
    <w:rsid w:val="0012508B"/>
    <w:rsid w:val="001250A0"/>
    <w:rsid w:val="0012523C"/>
    <w:rsid w:val="00125261"/>
    <w:rsid w:val="001252D7"/>
    <w:rsid w:val="0012548D"/>
    <w:rsid w:val="00125673"/>
    <w:rsid w:val="00125801"/>
    <w:rsid w:val="0012581F"/>
    <w:rsid w:val="00125D42"/>
    <w:rsid w:val="00125D77"/>
    <w:rsid w:val="001263B2"/>
    <w:rsid w:val="001263D9"/>
    <w:rsid w:val="001268C7"/>
    <w:rsid w:val="00126979"/>
    <w:rsid w:val="00126C08"/>
    <w:rsid w:val="00126E6F"/>
    <w:rsid w:val="00126FA5"/>
    <w:rsid w:val="0012701F"/>
    <w:rsid w:val="00127322"/>
    <w:rsid w:val="0012773F"/>
    <w:rsid w:val="00127985"/>
    <w:rsid w:val="001279AE"/>
    <w:rsid w:val="00127A5A"/>
    <w:rsid w:val="00127ACF"/>
    <w:rsid w:val="00127C46"/>
    <w:rsid w:val="00127CAA"/>
    <w:rsid w:val="00127E4A"/>
    <w:rsid w:val="0013021B"/>
    <w:rsid w:val="0013025A"/>
    <w:rsid w:val="0013048B"/>
    <w:rsid w:val="00130880"/>
    <w:rsid w:val="0013095F"/>
    <w:rsid w:val="00130F11"/>
    <w:rsid w:val="00130FC8"/>
    <w:rsid w:val="0013111D"/>
    <w:rsid w:val="001311AA"/>
    <w:rsid w:val="001312A7"/>
    <w:rsid w:val="001313E3"/>
    <w:rsid w:val="00131420"/>
    <w:rsid w:val="0013159B"/>
    <w:rsid w:val="0013175E"/>
    <w:rsid w:val="001317C9"/>
    <w:rsid w:val="00131C17"/>
    <w:rsid w:val="00131EB1"/>
    <w:rsid w:val="00131F34"/>
    <w:rsid w:val="00132035"/>
    <w:rsid w:val="00132351"/>
    <w:rsid w:val="001323D6"/>
    <w:rsid w:val="001323E6"/>
    <w:rsid w:val="00132402"/>
    <w:rsid w:val="00132655"/>
    <w:rsid w:val="001326F4"/>
    <w:rsid w:val="00132783"/>
    <w:rsid w:val="00132E4C"/>
    <w:rsid w:val="00133348"/>
    <w:rsid w:val="0013358C"/>
    <w:rsid w:val="001337D3"/>
    <w:rsid w:val="00133917"/>
    <w:rsid w:val="00133968"/>
    <w:rsid w:val="00133B1C"/>
    <w:rsid w:val="00133DC3"/>
    <w:rsid w:val="00133FB5"/>
    <w:rsid w:val="001340BF"/>
    <w:rsid w:val="00134117"/>
    <w:rsid w:val="00134492"/>
    <w:rsid w:val="001344AF"/>
    <w:rsid w:val="001344DC"/>
    <w:rsid w:val="001345B4"/>
    <w:rsid w:val="00134668"/>
    <w:rsid w:val="001346F6"/>
    <w:rsid w:val="001347DB"/>
    <w:rsid w:val="001348F8"/>
    <w:rsid w:val="00134E12"/>
    <w:rsid w:val="00134F51"/>
    <w:rsid w:val="00135050"/>
    <w:rsid w:val="001351E5"/>
    <w:rsid w:val="00135375"/>
    <w:rsid w:val="001353F6"/>
    <w:rsid w:val="00135503"/>
    <w:rsid w:val="0013560F"/>
    <w:rsid w:val="00135A35"/>
    <w:rsid w:val="00135C1C"/>
    <w:rsid w:val="00135D30"/>
    <w:rsid w:val="00135DF4"/>
    <w:rsid w:val="00135EA2"/>
    <w:rsid w:val="00135F35"/>
    <w:rsid w:val="00135F61"/>
    <w:rsid w:val="0013603A"/>
    <w:rsid w:val="00136247"/>
    <w:rsid w:val="0013633A"/>
    <w:rsid w:val="00136399"/>
    <w:rsid w:val="00136544"/>
    <w:rsid w:val="001365EF"/>
    <w:rsid w:val="00136645"/>
    <w:rsid w:val="001366B2"/>
    <w:rsid w:val="0013674D"/>
    <w:rsid w:val="00136810"/>
    <w:rsid w:val="00136833"/>
    <w:rsid w:val="00136B0A"/>
    <w:rsid w:val="00136BE7"/>
    <w:rsid w:val="00136D20"/>
    <w:rsid w:val="00136E76"/>
    <w:rsid w:val="00136F0F"/>
    <w:rsid w:val="00136F2E"/>
    <w:rsid w:val="0013714E"/>
    <w:rsid w:val="001371ED"/>
    <w:rsid w:val="00137342"/>
    <w:rsid w:val="0013736A"/>
    <w:rsid w:val="001375B3"/>
    <w:rsid w:val="00137708"/>
    <w:rsid w:val="001377E0"/>
    <w:rsid w:val="00137862"/>
    <w:rsid w:val="00137882"/>
    <w:rsid w:val="00137893"/>
    <w:rsid w:val="001378C6"/>
    <w:rsid w:val="00137B4F"/>
    <w:rsid w:val="00137D35"/>
    <w:rsid w:val="00137E23"/>
    <w:rsid w:val="00137F65"/>
    <w:rsid w:val="0014031A"/>
    <w:rsid w:val="001403AC"/>
    <w:rsid w:val="0014064E"/>
    <w:rsid w:val="00140A20"/>
    <w:rsid w:val="00140B8C"/>
    <w:rsid w:val="00140C2F"/>
    <w:rsid w:val="00140CDD"/>
    <w:rsid w:val="00140DD1"/>
    <w:rsid w:val="00141001"/>
    <w:rsid w:val="00141169"/>
    <w:rsid w:val="0014146D"/>
    <w:rsid w:val="00141508"/>
    <w:rsid w:val="001418EA"/>
    <w:rsid w:val="001419A7"/>
    <w:rsid w:val="00141B8C"/>
    <w:rsid w:val="00141C5A"/>
    <w:rsid w:val="00141C94"/>
    <w:rsid w:val="00141D0D"/>
    <w:rsid w:val="00141EFB"/>
    <w:rsid w:val="00142189"/>
    <w:rsid w:val="0014224C"/>
    <w:rsid w:val="0014285E"/>
    <w:rsid w:val="001428CC"/>
    <w:rsid w:val="00142A4F"/>
    <w:rsid w:val="00142C01"/>
    <w:rsid w:val="00142CC8"/>
    <w:rsid w:val="00143001"/>
    <w:rsid w:val="0014303E"/>
    <w:rsid w:val="0014342D"/>
    <w:rsid w:val="001434B9"/>
    <w:rsid w:val="00143628"/>
    <w:rsid w:val="00143672"/>
    <w:rsid w:val="001436B6"/>
    <w:rsid w:val="001438FC"/>
    <w:rsid w:val="00143976"/>
    <w:rsid w:val="00143980"/>
    <w:rsid w:val="001439C1"/>
    <w:rsid w:val="00143CEA"/>
    <w:rsid w:val="00143D85"/>
    <w:rsid w:val="00143FB4"/>
    <w:rsid w:val="001440FD"/>
    <w:rsid w:val="0014422C"/>
    <w:rsid w:val="001445C6"/>
    <w:rsid w:val="00144756"/>
    <w:rsid w:val="00144832"/>
    <w:rsid w:val="00144A12"/>
    <w:rsid w:val="00144C37"/>
    <w:rsid w:val="001450D6"/>
    <w:rsid w:val="001451D5"/>
    <w:rsid w:val="00145546"/>
    <w:rsid w:val="0014558E"/>
    <w:rsid w:val="00145862"/>
    <w:rsid w:val="00145B23"/>
    <w:rsid w:val="00145BB8"/>
    <w:rsid w:val="00145DB3"/>
    <w:rsid w:val="0014616C"/>
    <w:rsid w:val="001461C9"/>
    <w:rsid w:val="0014626B"/>
    <w:rsid w:val="00146310"/>
    <w:rsid w:val="00146551"/>
    <w:rsid w:val="00146866"/>
    <w:rsid w:val="001468C6"/>
    <w:rsid w:val="00146C47"/>
    <w:rsid w:val="00146CFC"/>
    <w:rsid w:val="00146D67"/>
    <w:rsid w:val="00146E22"/>
    <w:rsid w:val="0014716D"/>
    <w:rsid w:val="001472AC"/>
    <w:rsid w:val="001473C4"/>
    <w:rsid w:val="0014753B"/>
    <w:rsid w:val="00147904"/>
    <w:rsid w:val="00147B23"/>
    <w:rsid w:val="00147BB3"/>
    <w:rsid w:val="00147C0A"/>
    <w:rsid w:val="00150399"/>
    <w:rsid w:val="0015078F"/>
    <w:rsid w:val="00150988"/>
    <w:rsid w:val="001509E6"/>
    <w:rsid w:val="00150EF0"/>
    <w:rsid w:val="00150F0F"/>
    <w:rsid w:val="00151004"/>
    <w:rsid w:val="0015105C"/>
    <w:rsid w:val="001511EC"/>
    <w:rsid w:val="0015122D"/>
    <w:rsid w:val="001512B3"/>
    <w:rsid w:val="0015134D"/>
    <w:rsid w:val="00151395"/>
    <w:rsid w:val="001513E2"/>
    <w:rsid w:val="0015144F"/>
    <w:rsid w:val="0015149F"/>
    <w:rsid w:val="0015150F"/>
    <w:rsid w:val="00151549"/>
    <w:rsid w:val="00151562"/>
    <w:rsid w:val="00151C1C"/>
    <w:rsid w:val="00151D2B"/>
    <w:rsid w:val="0015205C"/>
    <w:rsid w:val="001521A3"/>
    <w:rsid w:val="0015247C"/>
    <w:rsid w:val="001525C7"/>
    <w:rsid w:val="00152635"/>
    <w:rsid w:val="00152704"/>
    <w:rsid w:val="00152C03"/>
    <w:rsid w:val="001530FC"/>
    <w:rsid w:val="00153272"/>
    <w:rsid w:val="001533F3"/>
    <w:rsid w:val="00153412"/>
    <w:rsid w:val="0015369D"/>
    <w:rsid w:val="00153784"/>
    <w:rsid w:val="001537BD"/>
    <w:rsid w:val="00153896"/>
    <w:rsid w:val="001538BA"/>
    <w:rsid w:val="00153A3C"/>
    <w:rsid w:val="00153ABB"/>
    <w:rsid w:val="00153E0E"/>
    <w:rsid w:val="00154006"/>
    <w:rsid w:val="00154237"/>
    <w:rsid w:val="0015429F"/>
    <w:rsid w:val="0015464E"/>
    <w:rsid w:val="00154735"/>
    <w:rsid w:val="0015489C"/>
    <w:rsid w:val="001549D9"/>
    <w:rsid w:val="00154FBB"/>
    <w:rsid w:val="00155306"/>
    <w:rsid w:val="00155509"/>
    <w:rsid w:val="0015551E"/>
    <w:rsid w:val="001556F9"/>
    <w:rsid w:val="00155964"/>
    <w:rsid w:val="00155AB3"/>
    <w:rsid w:val="00155DE2"/>
    <w:rsid w:val="00155EF1"/>
    <w:rsid w:val="00155F13"/>
    <w:rsid w:val="00155F20"/>
    <w:rsid w:val="001563C1"/>
    <w:rsid w:val="0015650E"/>
    <w:rsid w:val="00156708"/>
    <w:rsid w:val="001568A2"/>
    <w:rsid w:val="001568B4"/>
    <w:rsid w:val="00157515"/>
    <w:rsid w:val="00157658"/>
    <w:rsid w:val="001576FE"/>
    <w:rsid w:val="00157759"/>
    <w:rsid w:val="0015775A"/>
    <w:rsid w:val="00157864"/>
    <w:rsid w:val="00157A32"/>
    <w:rsid w:val="00157A3D"/>
    <w:rsid w:val="00157A7F"/>
    <w:rsid w:val="00157B2F"/>
    <w:rsid w:val="00157D31"/>
    <w:rsid w:val="00157D6B"/>
    <w:rsid w:val="00157DAB"/>
    <w:rsid w:val="00160256"/>
    <w:rsid w:val="0016034A"/>
    <w:rsid w:val="001604C5"/>
    <w:rsid w:val="0016064D"/>
    <w:rsid w:val="001609A4"/>
    <w:rsid w:val="00160AD7"/>
    <w:rsid w:val="00160B28"/>
    <w:rsid w:val="00160F1F"/>
    <w:rsid w:val="00160F32"/>
    <w:rsid w:val="00161277"/>
    <w:rsid w:val="001613EF"/>
    <w:rsid w:val="00161456"/>
    <w:rsid w:val="001614F7"/>
    <w:rsid w:val="00161734"/>
    <w:rsid w:val="00161A73"/>
    <w:rsid w:val="00161FEE"/>
    <w:rsid w:val="00161FFB"/>
    <w:rsid w:val="00162176"/>
    <w:rsid w:val="00162321"/>
    <w:rsid w:val="0016236B"/>
    <w:rsid w:val="00162743"/>
    <w:rsid w:val="00162932"/>
    <w:rsid w:val="00162BB9"/>
    <w:rsid w:val="00162C5D"/>
    <w:rsid w:val="00162DBA"/>
    <w:rsid w:val="00163021"/>
    <w:rsid w:val="0016351D"/>
    <w:rsid w:val="00163522"/>
    <w:rsid w:val="0016357D"/>
    <w:rsid w:val="00163598"/>
    <w:rsid w:val="001635BB"/>
    <w:rsid w:val="0016373B"/>
    <w:rsid w:val="00163DED"/>
    <w:rsid w:val="00163F4E"/>
    <w:rsid w:val="00164035"/>
    <w:rsid w:val="001640A5"/>
    <w:rsid w:val="0016434E"/>
    <w:rsid w:val="00164437"/>
    <w:rsid w:val="00164743"/>
    <w:rsid w:val="00164849"/>
    <w:rsid w:val="00164947"/>
    <w:rsid w:val="00164DB2"/>
    <w:rsid w:val="001650FF"/>
    <w:rsid w:val="001653AA"/>
    <w:rsid w:val="00165535"/>
    <w:rsid w:val="00165582"/>
    <w:rsid w:val="001656DC"/>
    <w:rsid w:val="001657B0"/>
    <w:rsid w:val="00165A49"/>
    <w:rsid w:val="00165AB2"/>
    <w:rsid w:val="00165B6B"/>
    <w:rsid w:val="00165CFE"/>
    <w:rsid w:val="00165D3E"/>
    <w:rsid w:val="00165DF6"/>
    <w:rsid w:val="00165F73"/>
    <w:rsid w:val="0016603D"/>
    <w:rsid w:val="00166160"/>
    <w:rsid w:val="001661F8"/>
    <w:rsid w:val="0016645A"/>
    <w:rsid w:val="00166596"/>
    <w:rsid w:val="00166603"/>
    <w:rsid w:val="001667A9"/>
    <w:rsid w:val="0016688F"/>
    <w:rsid w:val="001669B4"/>
    <w:rsid w:val="00166B49"/>
    <w:rsid w:val="00166C77"/>
    <w:rsid w:val="00166CE0"/>
    <w:rsid w:val="00166F14"/>
    <w:rsid w:val="00167179"/>
    <w:rsid w:val="0016735C"/>
    <w:rsid w:val="00167436"/>
    <w:rsid w:val="0016743D"/>
    <w:rsid w:val="001676BA"/>
    <w:rsid w:val="0016795B"/>
    <w:rsid w:val="00167AF5"/>
    <w:rsid w:val="00167BBA"/>
    <w:rsid w:val="00167C12"/>
    <w:rsid w:val="00167CDE"/>
    <w:rsid w:val="00167DD6"/>
    <w:rsid w:val="00167DF7"/>
    <w:rsid w:val="00167EC3"/>
    <w:rsid w:val="00167F6E"/>
    <w:rsid w:val="001700E1"/>
    <w:rsid w:val="00170330"/>
    <w:rsid w:val="0017065C"/>
    <w:rsid w:val="0017073E"/>
    <w:rsid w:val="001707E2"/>
    <w:rsid w:val="00170843"/>
    <w:rsid w:val="001709D4"/>
    <w:rsid w:val="00170B75"/>
    <w:rsid w:val="00170C4D"/>
    <w:rsid w:val="00170CFC"/>
    <w:rsid w:val="00170D4A"/>
    <w:rsid w:val="00170D56"/>
    <w:rsid w:val="00170D7B"/>
    <w:rsid w:val="001710AF"/>
    <w:rsid w:val="0017187A"/>
    <w:rsid w:val="001718F5"/>
    <w:rsid w:val="00171E1B"/>
    <w:rsid w:val="00171F64"/>
    <w:rsid w:val="0017215F"/>
    <w:rsid w:val="001725E5"/>
    <w:rsid w:val="00172B1E"/>
    <w:rsid w:val="00172B9B"/>
    <w:rsid w:val="00172DB4"/>
    <w:rsid w:val="00173129"/>
    <w:rsid w:val="00173503"/>
    <w:rsid w:val="00173577"/>
    <w:rsid w:val="00173620"/>
    <w:rsid w:val="00173714"/>
    <w:rsid w:val="00173738"/>
    <w:rsid w:val="00173D29"/>
    <w:rsid w:val="00173E55"/>
    <w:rsid w:val="00173FAA"/>
    <w:rsid w:val="00174058"/>
    <w:rsid w:val="001741D6"/>
    <w:rsid w:val="00174303"/>
    <w:rsid w:val="0017496D"/>
    <w:rsid w:val="00174C62"/>
    <w:rsid w:val="00174D2F"/>
    <w:rsid w:val="00174E81"/>
    <w:rsid w:val="00174ED2"/>
    <w:rsid w:val="00174EF2"/>
    <w:rsid w:val="001750E2"/>
    <w:rsid w:val="00175849"/>
    <w:rsid w:val="00175E23"/>
    <w:rsid w:val="00175E53"/>
    <w:rsid w:val="00175F44"/>
    <w:rsid w:val="00175F8C"/>
    <w:rsid w:val="0017612E"/>
    <w:rsid w:val="001761D7"/>
    <w:rsid w:val="001765BB"/>
    <w:rsid w:val="0017660B"/>
    <w:rsid w:val="00176658"/>
    <w:rsid w:val="001766F4"/>
    <w:rsid w:val="001767AD"/>
    <w:rsid w:val="00176824"/>
    <w:rsid w:val="001769DD"/>
    <w:rsid w:val="00176A95"/>
    <w:rsid w:val="00176AA5"/>
    <w:rsid w:val="00176AB3"/>
    <w:rsid w:val="00176BA2"/>
    <w:rsid w:val="00176BB1"/>
    <w:rsid w:val="00176E15"/>
    <w:rsid w:val="001770A7"/>
    <w:rsid w:val="001770E4"/>
    <w:rsid w:val="001771D4"/>
    <w:rsid w:val="0017720E"/>
    <w:rsid w:val="001772CC"/>
    <w:rsid w:val="00177421"/>
    <w:rsid w:val="00177893"/>
    <w:rsid w:val="00177AF0"/>
    <w:rsid w:val="00177B2A"/>
    <w:rsid w:val="00177D4A"/>
    <w:rsid w:val="00177F21"/>
    <w:rsid w:val="001800BC"/>
    <w:rsid w:val="00180117"/>
    <w:rsid w:val="0018016A"/>
    <w:rsid w:val="00180217"/>
    <w:rsid w:val="001804E3"/>
    <w:rsid w:val="00180FB9"/>
    <w:rsid w:val="00181010"/>
    <w:rsid w:val="001811FD"/>
    <w:rsid w:val="0018134A"/>
    <w:rsid w:val="0018140B"/>
    <w:rsid w:val="0018141A"/>
    <w:rsid w:val="00181607"/>
    <w:rsid w:val="00181AC7"/>
    <w:rsid w:val="00181C04"/>
    <w:rsid w:val="00181E5F"/>
    <w:rsid w:val="001821A5"/>
    <w:rsid w:val="0018223D"/>
    <w:rsid w:val="0018282B"/>
    <w:rsid w:val="0018297B"/>
    <w:rsid w:val="00182A02"/>
    <w:rsid w:val="00182A05"/>
    <w:rsid w:val="00182B99"/>
    <w:rsid w:val="00182BE0"/>
    <w:rsid w:val="00182D54"/>
    <w:rsid w:val="00182F04"/>
    <w:rsid w:val="00182F5B"/>
    <w:rsid w:val="00182F73"/>
    <w:rsid w:val="00182F9D"/>
    <w:rsid w:val="0018300B"/>
    <w:rsid w:val="001830F3"/>
    <w:rsid w:val="001833CC"/>
    <w:rsid w:val="0018373E"/>
    <w:rsid w:val="00183877"/>
    <w:rsid w:val="001839C0"/>
    <w:rsid w:val="00183A87"/>
    <w:rsid w:val="00183CB1"/>
    <w:rsid w:val="00183F15"/>
    <w:rsid w:val="00184207"/>
    <w:rsid w:val="00184221"/>
    <w:rsid w:val="0018443E"/>
    <w:rsid w:val="0018443F"/>
    <w:rsid w:val="00184558"/>
    <w:rsid w:val="0018457D"/>
    <w:rsid w:val="00184BEC"/>
    <w:rsid w:val="00184D85"/>
    <w:rsid w:val="00185069"/>
    <w:rsid w:val="00185126"/>
    <w:rsid w:val="001852F9"/>
    <w:rsid w:val="00185789"/>
    <w:rsid w:val="00185962"/>
    <w:rsid w:val="00185C35"/>
    <w:rsid w:val="00185D41"/>
    <w:rsid w:val="00185E27"/>
    <w:rsid w:val="00185FD0"/>
    <w:rsid w:val="001861C9"/>
    <w:rsid w:val="00186307"/>
    <w:rsid w:val="001863F7"/>
    <w:rsid w:val="00186593"/>
    <w:rsid w:val="001865EF"/>
    <w:rsid w:val="0018667D"/>
    <w:rsid w:val="001866B8"/>
    <w:rsid w:val="00186C58"/>
    <w:rsid w:val="00186C6F"/>
    <w:rsid w:val="00186DBC"/>
    <w:rsid w:val="00186EBC"/>
    <w:rsid w:val="00186F1B"/>
    <w:rsid w:val="00186F56"/>
    <w:rsid w:val="001870B6"/>
    <w:rsid w:val="001870DB"/>
    <w:rsid w:val="00187394"/>
    <w:rsid w:val="0018739F"/>
    <w:rsid w:val="0018744D"/>
    <w:rsid w:val="00187623"/>
    <w:rsid w:val="001876D6"/>
    <w:rsid w:val="00187C4A"/>
    <w:rsid w:val="001900B6"/>
    <w:rsid w:val="001900C6"/>
    <w:rsid w:val="001900FF"/>
    <w:rsid w:val="0019053E"/>
    <w:rsid w:val="0019085A"/>
    <w:rsid w:val="0019087A"/>
    <w:rsid w:val="00190AD9"/>
    <w:rsid w:val="00190C62"/>
    <w:rsid w:val="00190F1A"/>
    <w:rsid w:val="001911EE"/>
    <w:rsid w:val="00191272"/>
    <w:rsid w:val="0019146F"/>
    <w:rsid w:val="00191499"/>
    <w:rsid w:val="001916C0"/>
    <w:rsid w:val="001918FF"/>
    <w:rsid w:val="00191943"/>
    <w:rsid w:val="00191B11"/>
    <w:rsid w:val="00191B1A"/>
    <w:rsid w:val="00191C0F"/>
    <w:rsid w:val="00191D60"/>
    <w:rsid w:val="00191E51"/>
    <w:rsid w:val="00192403"/>
    <w:rsid w:val="00192727"/>
    <w:rsid w:val="001927C4"/>
    <w:rsid w:val="00192BF9"/>
    <w:rsid w:val="00193371"/>
    <w:rsid w:val="0019344A"/>
    <w:rsid w:val="00193574"/>
    <w:rsid w:val="00193875"/>
    <w:rsid w:val="00193AAC"/>
    <w:rsid w:val="00193EE9"/>
    <w:rsid w:val="00194179"/>
    <w:rsid w:val="001942CA"/>
    <w:rsid w:val="001945AA"/>
    <w:rsid w:val="00194686"/>
    <w:rsid w:val="00194811"/>
    <w:rsid w:val="00194B46"/>
    <w:rsid w:val="00194C24"/>
    <w:rsid w:val="00194C2A"/>
    <w:rsid w:val="00194C37"/>
    <w:rsid w:val="001950CF"/>
    <w:rsid w:val="001952BB"/>
    <w:rsid w:val="00195679"/>
    <w:rsid w:val="0019573A"/>
    <w:rsid w:val="00195AE9"/>
    <w:rsid w:val="00195C45"/>
    <w:rsid w:val="00195CC8"/>
    <w:rsid w:val="00195DA4"/>
    <w:rsid w:val="00195F9C"/>
    <w:rsid w:val="00196061"/>
    <w:rsid w:val="001961D9"/>
    <w:rsid w:val="00196225"/>
    <w:rsid w:val="001965B9"/>
    <w:rsid w:val="001968E7"/>
    <w:rsid w:val="00197150"/>
    <w:rsid w:val="001972DD"/>
    <w:rsid w:val="001974F1"/>
    <w:rsid w:val="001974F9"/>
    <w:rsid w:val="00197550"/>
    <w:rsid w:val="001978E0"/>
    <w:rsid w:val="00197CAE"/>
    <w:rsid w:val="00197D0D"/>
    <w:rsid w:val="00197D31"/>
    <w:rsid w:val="001A0045"/>
    <w:rsid w:val="001A010F"/>
    <w:rsid w:val="001A0142"/>
    <w:rsid w:val="001A018F"/>
    <w:rsid w:val="001A045A"/>
    <w:rsid w:val="001A05B7"/>
    <w:rsid w:val="001A0A53"/>
    <w:rsid w:val="001A10D3"/>
    <w:rsid w:val="001A118D"/>
    <w:rsid w:val="001A1366"/>
    <w:rsid w:val="001A1425"/>
    <w:rsid w:val="001A1559"/>
    <w:rsid w:val="001A17B7"/>
    <w:rsid w:val="001A184E"/>
    <w:rsid w:val="001A1961"/>
    <w:rsid w:val="001A1B79"/>
    <w:rsid w:val="001A1DC1"/>
    <w:rsid w:val="001A1E6F"/>
    <w:rsid w:val="001A1ED5"/>
    <w:rsid w:val="001A20DC"/>
    <w:rsid w:val="001A216D"/>
    <w:rsid w:val="001A237B"/>
    <w:rsid w:val="001A2476"/>
    <w:rsid w:val="001A26F1"/>
    <w:rsid w:val="001A2878"/>
    <w:rsid w:val="001A2978"/>
    <w:rsid w:val="001A2A7A"/>
    <w:rsid w:val="001A2B96"/>
    <w:rsid w:val="001A2CD7"/>
    <w:rsid w:val="001A2DC9"/>
    <w:rsid w:val="001A2F9B"/>
    <w:rsid w:val="001A306F"/>
    <w:rsid w:val="001A31D8"/>
    <w:rsid w:val="001A3438"/>
    <w:rsid w:val="001A39B8"/>
    <w:rsid w:val="001A39D5"/>
    <w:rsid w:val="001A3DC9"/>
    <w:rsid w:val="001A3EC7"/>
    <w:rsid w:val="001A402C"/>
    <w:rsid w:val="001A4125"/>
    <w:rsid w:val="001A43E6"/>
    <w:rsid w:val="001A43F3"/>
    <w:rsid w:val="001A46AA"/>
    <w:rsid w:val="001A4720"/>
    <w:rsid w:val="001A47B4"/>
    <w:rsid w:val="001A487B"/>
    <w:rsid w:val="001A48D5"/>
    <w:rsid w:val="001A49B8"/>
    <w:rsid w:val="001A49C2"/>
    <w:rsid w:val="001A4BA0"/>
    <w:rsid w:val="001A4BC3"/>
    <w:rsid w:val="001A50FE"/>
    <w:rsid w:val="001A5268"/>
    <w:rsid w:val="001A5495"/>
    <w:rsid w:val="001A55B0"/>
    <w:rsid w:val="001A58B5"/>
    <w:rsid w:val="001A58FA"/>
    <w:rsid w:val="001A5B87"/>
    <w:rsid w:val="001A5CCF"/>
    <w:rsid w:val="001A65A3"/>
    <w:rsid w:val="001A6ABE"/>
    <w:rsid w:val="001A6D44"/>
    <w:rsid w:val="001A6FAC"/>
    <w:rsid w:val="001A6FD2"/>
    <w:rsid w:val="001A704E"/>
    <w:rsid w:val="001A71A8"/>
    <w:rsid w:val="001A71CB"/>
    <w:rsid w:val="001A7302"/>
    <w:rsid w:val="001A7617"/>
    <w:rsid w:val="001A783C"/>
    <w:rsid w:val="001A789B"/>
    <w:rsid w:val="001A7934"/>
    <w:rsid w:val="001A7B95"/>
    <w:rsid w:val="001A7C99"/>
    <w:rsid w:val="001A7DD8"/>
    <w:rsid w:val="001A7FEB"/>
    <w:rsid w:val="001B00CE"/>
    <w:rsid w:val="001B014E"/>
    <w:rsid w:val="001B06FD"/>
    <w:rsid w:val="001B08A6"/>
    <w:rsid w:val="001B0907"/>
    <w:rsid w:val="001B1017"/>
    <w:rsid w:val="001B10CD"/>
    <w:rsid w:val="001B12A9"/>
    <w:rsid w:val="001B1607"/>
    <w:rsid w:val="001B1895"/>
    <w:rsid w:val="001B1BB1"/>
    <w:rsid w:val="001B202B"/>
    <w:rsid w:val="001B211C"/>
    <w:rsid w:val="001B2429"/>
    <w:rsid w:val="001B255E"/>
    <w:rsid w:val="001B26CC"/>
    <w:rsid w:val="001B2790"/>
    <w:rsid w:val="001B2D4F"/>
    <w:rsid w:val="001B2E95"/>
    <w:rsid w:val="001B3013"/>
    <w:rsid w:val="001B3366"/>
    <w:rsid w:val="001B351C"/>
    <w:rsid w:val="001B37F5"/>
    <w:rsid w:val="001B3853"/>
    <w:rsid w:val="001B385D"/>
    <w:rsid w:val="001B39CF"/>
    <w:rsid w:val="001B3C35"/>
    <w:rsid w:val="001B3DDB"/>
    <w:rsid w:val="001B4575"/>
    <w:rsid w:val="001B462E"/>
    <w:rsid w:val="001B4821"/>
    <w:rsid w:val="001B4A27"/>
    <w:rsid w:val="001B4AB2"/>
    <w:rsid w:val="001B4BAC"/>
    <w:rsid w:val="001B5056"/>
    <w:rsid w:val="001B505F"/>
    <w:rsid w:val="001B50D9"/>
    <w:rsid w:val="001B5210"/>
    <w:rsid w:val="001B5B6B"/>
    <w:rsid w:val="001B5D05"/>
    <w:rsid w:val="001B5D24"/>
    <w:rsid w:val="001B5DC2"/>
    <w:rsid w:val="001B5E0F"/>
    <w:rsid w:val="001B5FD6"/>
    <w:rsid w:val="001B5FF8"/>
    <w:rsid w:val="001B620B"/>
    <w:rsid w:val="001B6389"/>
    <w:rsid w:val="001B63E1"/>
    <w:rsid w:val="001B660B"/>
    <w:rsid w:val="001B66FD"/>
    <w:rsid w:val="001B67E7"/>
    <w:rsid w:val="001B6888"/>
    <w:rsid w:val="001B68FB"/>
    <w:rsid w:val="001B6B74"/>
    <w:rsid w:val="001B6B75"/>
    <w:rsid w:val="001B6E97"/>
    <w:rsid w:val="001B6FC6"/>
    <w:rsid w:val="001B7686"/>
    <w:rsid w:val="001B799B"/>
    <w:rsid w:val="001B7A5B"/>
    <w:rsid w:val="001B7AA5"/>
    <w:rsid w:val="001B7BAD"/>
    <w:rsid w:val="001B7C7E"/>
    <w:rsid w:val="001B7D40"/>
    <w:rsid w:val="001B7D8C"/>
    <w:rsid w:val="001B7E85"/>
    <w:rsid w:val="001C0255"/>
    <w:rsid w:val="001C02F5"/>
    <w:rsid w:val="001C0356"/>
    <w:rsid w:val="001C038F"/>
    <w:rsid w:val="001C039F"/>
    <w:rsid w:val="001C04CC"/>
    <w:rsid w:val="001C051E"/>
    <w:rsid w:val="001C065C"/>
    <w:rsid w:val="001C06AA"/>
    <w:rsid w:val="001C078B"/>
    <w:rsid w:val="001C0AB0"/>
    <w:rsid w:val="001C0EAA"/>
    <w:rsid w:val="001C0F94"/>
    <w:rsid w:val="001C124B"/>
    <w:rsid w:val="001C158A"/>
    <w:rsid w:val="001C15C2"/>
    <w:rsid w:val="001C1B58"/>
    <w:rsid w:val="001C1E2C"/>
    <w:rsid w:val="001C1ED1"/>
    <w:rsid w:val="001C2032"/>
    <w:rsid w:val="001C20A2"/>
    <w:rsid w:val="001C20AA"/>
    <w:rsid w:val="001C21EA"/>
    <w:rsid w:val="001C22C9"/>
    <w:rsid w:val="001C2431"/>
    <w:rsid w:val="001C26D0"/>
    <w:rsid w:val="001C2AFC"/>
    <w:rsid w:val="001C2F8C"/>
    <w:rsid w:val="001C2FF7"/>
    <w:rsid w:val="001C2FF8"/>
    <w:rsid w:val="001C3052"/>
    <w:rsid w:val="001C30D9"/>
    <w:rsid w:val="001C30EB"/>
    <w:rsid w:val="001C310D"/>
    <w:rsid w:val="001C3154"/>
    <w:rsid w:val="001C33BA"/>
    <w:rsid w:val="001C343B"/>
    <w:rsid w:val="001C372D"/>
    <w:rsid w:val="001C3782"/>
    <w:rsid w:val="001C3804"/>
    <w:rsid w:val="001C394C"/>
    <w:rsid w:val="001C396D"/>
    <w:rsid w:val="001C3A80"/>
    <w:rsid w:val="001C3AD4"/>
    <w:rsid w:val="001C3F6E"/>
    <w:rsid w:val="001C3F90"/>
    <w:rsid w:val="001C40A1"/>
    <w:rsid w:val="001C4124"/>
    <w:rsid w:val="001C41CB"/>
    <w:rsid w:val="001C48AB"/>
    <w:rsid w:val="001C500E"/>
    <w:rsid w:val="001C50DE"/>
    <w:rsid w:val="001C516A"/>
    <w:rsid w:val="001C5490"/>
    <w:rsid w:val="001C55F2"/>
    <w:rsid w:val="001C5894"/>
    <w:rsid w:val="001C5A29"/>
    <w:rsid w:val="001C5B7F"/>
    <w:rsid w:val="001C5C4D"/>
    <w:rsid w:val="001C5D77"/>
    <w:rsid w:val="001C5EDD"/>
    <w:rsid w:val="001C5F41"/>
    <w:rsid w:val="001C604C"/>
    <w:rsid w:val="001C604F"/>
    <w:rsid w:val="001C618B"/>
    <w:rsid w:val="001C61E4"/>
    <w:rsid w:val="001C63F4"/>
    <w:rsid w:val="001C6404"/>
    <w:rsid w:val="001C64FE"/>
    <w:rsid w:val="001C6714"/>
    <w:rsid w:val="001C69D7"/>
    <w:rsid w:val="001C6D42"/>
    <w:rsid w:val="001C6FD8"/>
    <w:rsid w:val="001C715B"/>
    <w:rsid w:val="001C73A0"/>
    <w:rsid w:val="001C746F"/>
    <w:rsid w:val="001C7497"/>
    <w:rsid w:val="001C7700"/>
    <w:rsid w:val="001C796E"/>
    <w:rsid w:val="001C7987"/>
    <w:rsid w:val="001C7BF9"/>
    <w:rsid w:val="001C7CD0"/>
    <w:rsid w:val="001C7CD6"/>
    <w:rsid w:val="001C7D17"/>
    <w:rsid w:val="001C7D1B"/>
    <w:rsid w:val="001C7DEF"/>
    <w:rsid w:val="001C7ECE"/>
    <w:rsid w:val="001D00D6"/>
    <w:rsid w:val="001D04F0"/>
    <w:rsid w:val="001D0577"/>
    <w:rsid w:val="001D0580"/>
    <w:rsid w:val="001D071D"/>
    <w:rsid w:val="001D07AA"/>
    <w:rsid w:val="001D0BE9"/>
    <w:rsid w:val="001D0DA9"/>
    <w:rsid w:val="001D14C5"/>
    <w:rsid w:val="001D153F"/>
    <w:rsid w:val="001D1B49"/>
    <w:rsid w:val="001D1B6A"/>
    <w:rsid w:val="001D1E53"/>
    <w:rsid w:val="001D1EE3"/>
    <w:rsid w:val="001D215C"/>
    <w:rsid w:val="001D26C2"/>
    <w:rsid w:val="001D273F"/>
    <w:rsid w:val="001D275C"/>
    <w:rsid w:val="001D2AB4"/>
    <w:rsid w:val="001D2B41"/>
    <w:rsid w:val="001D2CB8"/>
    <w:rsid w:val="001D2EB6"/>
    <w:rsid w:val="001D2EF2"/>
    <w:rsid w:val="001D2FD2"/>
    <w:rsid w:val="001D31CF"/>
    <w:rsid w:val="001D3231"/>
    <w:rsid w:val="001D32C6"/>
    <w:rsid w:val="001D32FC"/>
    <w:rsid w:val="001D37C0"/>
    <w:rsid w:val="001D3809"/>
    <w:rsid w:val="001D39E2"/>
    <w:rsid w:val="001D3EBF"/>
    <w:rsid w:val="001D3ED9"/>
    <w:rsid w:val="001D4070"/>
    <w:rsid w:val="001D414E"/>
    <w:rsid w:val="001D4198"/>
    <w:rsid w:val="001D42C7"/>
    <w:rsid w:val="001D445C"/>
    <w:rsid w:val="001D44C3"/>
    <w:rsid w:val="001D4B0A"/>
    <w:rsid w:val="001D4FFB"/>
    <w:rsid w:val="001D54A9"/>
    <w:rsid w:val="001D5551"/>
    <w:rsid w:val="001D55B5"/>
    <w:rsid w:val="001D576B"/>
    <w:rsid w:val="001D57AC"/>
    <w:rsid w:val="001D59AA"/>
    <w:rsid w:val="001D5B77"/>
    <w:rsid w:val="001D5BA2"/>
    <w:rsid w:val="001D5C7D"/>
    <w:rsid w:val="001D5D47"/>
    <w:rsid w:val="001D5DB2"/>
    <w:rsid w:val="001D5DE3"/>
    <w:rsid w:val="001D5FCF"/>
    <w:rsid w:val="001D602A"/>
    <w:rsid w:val="001D60F9"/>
    <w:rsid w:val="001D6362"/>
    <w:rsid w:val="001D650E"/>
    <w:rsid w:val="001D6B51"/>
    <w:rsid w:val="001D6EBB"/>
    <w:rsid w:val="001D6F1D"/>
    <w:rsid w:val="001D723A"/>
    <w:rsid w:val="001D7398"/>
    <w:rsid w:val="001D743E"/>
    <w:rsid w:val="001D782A"/>
    <w:rsid w:val="001D794E"/>
    <w:rsid w:val="001D7C0F"/>
    <w:rsid w:val="001D7CF1"/>
    <w:rsid w:val="001D7EE2"/>
    <w:rsid w:val="001D7F28"/>
    <w:rsid w:val="001E0285"/>
    <w:rsid w:val="001E02B7"/>
    <w:rsid w:val="001E045F"/>
    <w:rsid w:val="001E04D2"/>
    <w:rsid w:val="001E08E6"/>
    <w:rsid w:val="001E0972"/>
    <w:rsid w:val="001E0994"/>
    <w:rsid w:val="001E0B0D"/>
    <w:rsid w:val="001E0BFC"/>
    <w:rsid w:val="001E0D5A"/>
    <w:rsid w:val="001E0EBF"/>
    <w:rsid w:val="001E0F34"/>
    <w:rsid w:val="001E0F75"/>
    <w:rsid w:val="001E1080"/>
    <w:rsid w:val="001E11D9"/>
    <w:rsid w:val="001E129C"/>
    <w:rsid w:val="001E13FB"/>
    <w:rsid w:val="001E1827"/>
    <w:rsid w:val="001E1985"/>
    <w:rsid w:val="001E1CB5"/>
    <w:rsid w:val="001E1E9E"/>
    <w:rsid w:val="001E1EC6"/>
    <w:rsid w:val="001E20D6"/>
    <w:rsid w:val="001E23EE"/>
    <w:rsid w:val="001E24AB"/>
    <w:rsid w:val="001E25EC"/>
    <w:rsid w:val="001E28C4"/>
    <w:rsid w:val="001E2A90"/>
    <w:rsid w:val="001E2D6F"/>
    <w:rsid w:val="001E2DBC"/>
    <w:rsid w:val="001E2E28"/>
    <w:rsid w:val="001E2FD3"/>
    <w:rsid w:val="001E30E6"/>
    <w:rsid w:val="001E31E9"/>
    <w:rsid w:val="001E3313"/>
    <w:rsid w:val="001E3347"/>
    <w:rsid w:val="001E34F8"/>
    <w:rsid w:val="001E362B"/>
    <w:rsid w:val="001E36C5"/>
    <w:rsid w:val="001E38F0"/>
    <w:rsid w:val="001E3918"/>
    <w:rsid w:val="001E3998"/>
    <w:rsid w:val="001E39FA"/>
    <w:rsid w:val="001E3DB1"/>
    <w:rsid w:val="001E3E53"/>
    <w:rsid w:val="001E3FE8"/>
    <w:rsid w:val="001E4307"/>
    <w:rsid w:val="001E4B25"/>
    <w:rsid w:val="001E4C1C"/>
    <w:rsid w:val="001E4CA9"/>
    <w:rsid w:val="001E4CFC"/>
    <w:rsid w:val="001E4E98"/>
    <w:rsid w:val="001E50F7"/>
    <w:rsid w:val="001E557F"/>
    <w:rsid w:val="001E568A"/>
    <w:rsid w:val="001E5896"/>
    <w:rsid w:val="001E58D4"/>
    <w:rsid w:val="001E5918"/>
    <w:rsid w:val="001E5BEC"/>
    <w:rsid w:val="001E5EEF"/>
    <w:rsid w:val="001E628E"/>
    <w:rsid w:val="001E6301"/>
    <w:rsid w:val="001E632D"/>
    <w:rsid w:val="001E636E"/>
    <w:rsid w:val="001E6428"/>
    <w:rsid w:val="001E64D9"/>
    <w:rsid w:val="001E65BD"/>
    <w:rsid w:val="001E6940"/>
    <w:rsid w:val="001E696F"/>
    <w:rsid w:val="001E6A0A"/>
    <w:rsid w:val="001E6A1F"/>
    <w:rsid w:val="001E6A58"/>
    <w:rsid w:val="001E6DD9"/>
    <w:rsid w:val="001E6E27"/>
    <w:rsid w:val="001E723D"/>
    <w:rsid w:val="001E7362"/>
    <w:rsid w:val="001E73DF"/>
    <w:rsid w:val="001E758A"/>
    <w:rsid w:val="001E763B"/>
    <w:rsid w:val="001E7705"/>
    <w:rsid w:val="001E7849"/>
    <w:rsid w:val="001E7BEB"/>
    <w:rsid w:val="001F06FB"/>
    <w:rsid w:val="001F073C"/>
    <w:rsid w:val="001F08A5"/>
    <w:rsid w:val="001F08BD"/>
    <w:rsid w:val="001F0B30"/>
    <w:rsid w:val="001F0D0A"/>
    <w:rsid w:val="001F103A"/>
    <w:rsid w:val="001F10B2"/>
    <w:rsid w:val="001F127A"/>
    <w:rsid w:val="001F1337"/>
    <w:rsid w:val="001F1659"/>
    <w:rsid w:val="001F1680"/>
    <w:rsid w:val="001F19AB"/>
    <w:rsid w:val="001F1C36"/>
    <w:rsid w:val="001F1E00"/>
    <w:rsid w:val="001F20E8"/>
    <w:rsid w:val="001F2177"/>
    <w:rsid w:val="001F23E8"/>
    <w:rsid w:val="001F262B"/>
    <w:rsid w:val="001F26FC"/>
    <w:rsid w:val="001F2912"/>
    <w:rsid w:val="001F2C86"/>
    <w:rsid w:val="001F2D02"/>
    <w:rsid w:val="001F2DA0"/>
    <w:rsid w:val="001F2EE2"/>
    <w:rsid w:val="001F2F47"/>
    <w:rsid w:val="001F31E2"/>
    <w:rsid w:val="001F36B1"/>
    <w:rsid w:val="001F3711"/>
    <w:rsid w:val="001F3938"/>
    <w:rsid w:val="001F3ACE"/>
    <w:rsid w:val="001F3DEF"/>
    <w:rsid w:val="001F3E6A"/>
    <w:rsid w:val="001F4199"/>
    <w:rsid w:val="001F4353"/>
    <w:rsid w:val="001F438D"/>
    <w:rsid w:val="001F4743"/>
    <w:rsid w:val="001F4799"/>
    <w:rsid w:val="001F5016"/>
    <w:rsid w:val="001F52F5"/>
    <w:rsid w:val="001F533F"/>
    <w:rsid w:val="001F560B"/>
    <w:rsid w:val="001F57C2"/>
    <w:rsid w:val="001F5836"/>
    <w:rsid w:val="001F5856"/>
    <w:rsid w:val="001F595A"/>
    <w:rsid w:val="001F5A09"/>
    <w:rsid w:val="001F5BE9"/>
    <w:rsid w:val="001F5DDD"/>
    <w:rsid w:val="001F63C4"/>
    <w:rsid w:val="001F6449"/>
    <w:rsid w:val="001F65E7"/>
    <w:rsid w:val="001F6641"/>
    <w:rsid w:val="001F6896"/>
    <w:rsid w:val="001F68D2"/>
    <w:rsid w:val="001F6A0D"/>
    <w:rsid w:val="001F6C85"/>
    <w:rsid w:val="001F6FA9"/>
    <w:rsid w:val="001F6FBF"/>
    <w:rsid w:val="001F7096"/>
    <w:rsid w:val="001F71F2"/>
    <w:rsid w:val="001F7211"/>
    <w:rsid w:val="001F740B"/>
    <w:rsid w:val="001F7901"/>
    <w:rsid w:val="001F7AC8"/>
    <w:rsid w:val="001F7B3A"/>
    <w:rsid w:val="00200296"/>
    <w:rsid w:val="00200418"/>
    <w:rsid w:val="0020074F"/>
    <w:rsid w:val="0020096D"/>
    <w:rsid w:val="0020097D"/>
    <w:rsid w:val="0020099E"/>
    <w:rsid w:val="00200C81"/>
    <w:rsid w:val="002011F8"/>
    <w:rsid w:val="00201223"/>
    <w:rsid w:val="00201293"/>
    <w:rsid w:val="0020130E"/>
    <w:rsid w:val="002015E5"/>
    <w:rsid w:val="00201659"/>
    <w:rsid w:val="00201854"/>
    <w:rsid w:val="002019B7"/>
    <w:rsid w:val="00201ADB"/>
    <w:rsid w:val="00201C00"/>
    <w:rsid w:val="00201C65"/>
    <w:rsid w:val="00201D1E"/>
    <w:rsid w:val="00201D91"/>
    <w:rsid w:val="0020203C"/>
    <w:rsid w:val="002026BF"/>
    <w:rsid w:val="00202742"/>
    <w:rsid w:val="00202A32"/>
    <w:rsid w:val="00202DBF"/>
    <w:rsid w:val="00202EB7"/>
    <w:rsid w:val="002034FC"/>
    <w:rsid w:val="002038B7"/>
    <w:rsid w:val="002038EC"/>
    <w:rsid w:val="00203A92"/>
    <w:rsid w:val="00203C28"/>
    <w:rsid w:val="00203CCB"/>
    <w:rsid w:val="00203D8B"/>
    <w:rsid w:val="00203E21"/>
    <w:rsid w:val="00204050"/>
    <w:rsid w:val="00204254"/>
    <w:rsid w:val="002042E4"/>
    <w:rsid w:val="002043C8"/>
    <w:rsid w:val="0020455D"/>
    <w:rsid w:val="0020464C"/>
    <w:rsid w:val="002047FB"/>
    <w:rsid w:val="00204ABA"/>
    <w:rsid w:val="00204B6C"/>
    <w:rsid w:val="00204D5B"/>
    <w:rsid w:val="00204EA5"/>
    <w:rsid w:val="00204F92"/>
    <w:rsid w:val="0020509D"/>
    <w:rsid w:val="002050B0"/>
    <w:rsid w:val="0020540A"/>
    <w:rsid w:val="0020548D"/>
    <w:rsid w:val="002054E6"/>
    <w:rsid w:val="002054EF"/>
    <w:rsid w:val="0020572B"/>
    <w:rsid w:val="002058E5"/>
    <w:rsid w:val="00206019"/>
    <w:rsid w:val="002060C3"/>
    <w:rsid w:val="002061CD"/>
    <w:rsid w:val="0020634D"/>
    <w:rsid w:val="00206AB8"/>
    <w:rsid w:val="00206ABA"/>
    <w:rsid w:val="00206C21"/>
    <w:rsid w:val="00206CE9"/>
    <w:rsid w:val="00206D2D"/>
    <w:rsid w:val="00206F04"/>
    <w:rsid w:val="002072A0"/>
    <w:rsid w:val="002072D9"/>
    <w:rsid w:val="00207335"/>
    <w:rsid w:val="00207540"/>
    <w:rsid w:val="002075B2"/>
    <w:rsid w:val="002075F3"/>
    <w:rsid w:val="00207656"/>
    <w:rsid w:val="002077AA"/>
    <w:rsid w:val="00207D5C"/>
    <w:rsid w:val="00207F11"/>
    <w:rsid w:val="00207F9E"/>
    <w:rsid w:val="00210370"/>
    <w:rsid w:val="00210462"/>
    <w:rsid w:val="002105FA"/>
    <w:rsid w:val="00210696"/>
    <w:rsid w:val="002106C2"/>
    <w:rsid w:val="002108D9"/>
    <w:rsid w:val="00210C43"/>
    <w:rsid w:val="00210CAC"/>
    <w:rsid w:val="00210E09"/>
    <w:rsid w:val="00210FAA"/>
    <w:rsid w:val="00211089"/>
    <w:rsid w:val="002110BD"/>
    <w:rsid w:val="002110C2"/>
    <w:rsid w:val="0021118D"/>
    <w:rsid w:val="00211190"/>
    <w:rsid w:val="002112AE"/>
    <w:rsid w:val="00211340"/>
    <w:rsid w:val="0021147F"/>
    <w:rsid w:val="0021177B"/>
    <w:rsid w:val="002117E3"/>
    <w:rsid w:val="00211987"/>
    <w:rsid w:val="00211C6F"/>
    <w:rsid w:val="00211CC9"/>
    <w:rsid w:val="00211F51"/>
    <w:rsid w:val="0021206C"/>
    <w:rsid w:val="0021268E"/>
    <w:rsid w:val="00212937"/>
    <w:rsid w:val="00212942"/>
    <w:rsid w:val="0021298F"/>
    <w:rsid w:val="002129CF"/>
    <w:rsid w:val="00212B98"/>
    <w:rsid w:val="00212CA6"/>
    <w:rsid w:val="002136CE"/>
    <w:rsid w:val="00213801"/>
    <w:rsid w:val="002139BB"/>
    <w:rsid w:val="00213AC6"/>
    <w:rsid w:val="00213B30"/>
    <w:rsid w:val="00213B85"/>
    <w:rsid w:val="00213DB8"/>
    <w:rsid w:val="00213E04"/>
    <w:rsid w:val="00213F08"/>
    <w:rsid w:val="00214245"/>
    <w:rsid w:val="00214438"/>
    <w:rsid w:val="00214580"/>
    <w:rsid w:val="00214637"/>
    <w:rsid w:val="00214709"/>
    <w:rsid w:val="00214975"/>
    <w:rsid w:val="00214A3D"/>
    <w:rsid w:val="00214CFF"/>
    <w:rsid w:val="00214E0C"/>
    <w:rsid w:val="00215063"/>
    <w:rsid w:val="002150C5"/>
    <w:rsid w:val="0021518E"/>
    <w:rsid w:val="002154BF"/>
    <w:rsid w:val="002156CB"/>
    <w:rsid w:val="00215787"/>
    <w:rsid w:val="00215945"/>
    <w:rsid w:val="00215ABC"/>
    <w:rsid w:val="00215DF9"/>
    <w:rsid w:val="00215ECF"/>
    <w:rsid w:val="00216157"/>
    <w:rsid w:val="002161A6"/>
    <w:rsid w:val="0021631A"/>
    <w:rsid w:val="00216336"/>
    <w:rsid w:val="002165E9"/>
    <w:rsid w:val="0021677B"/>
    <w:rsid w:val="00216816"/>
    <w:rsid w:val="00216825"/>
    <w:rsid w:val="00216BAC"/>
    <w:rsid w:val="00216C24"/>
    <w:rsid w:val="00216E89"/>
    <w:rsid w:val="00216F1A"/>
    <w:rsid w:val="00217355"/>
    <w:rsid w:val="00217556"/>
    <w:rsid w:val="00217581"/>
    <w:rsid w:val="00217615"/>
    <w:rsid w:val="00217843"/>
    <w:rsid w:val="00217869"/>
    <w:rsid w:val="002178E3"/>
    <w:rsid w:val="00217901"/>
    <w:rsid w:val="00217AB4"/>
    <w:rsid w:val="00220211"/>
    <w:rsid w:val="002205EB"/>
    <w:rsid w:val="002209D6"/>
    <w:rsid w:val="00220AF4"/>
    <w:rsid w:val="00220BF3"/>
    <w:rsid w:val="00220DA2"/>
    <w:rsid w:val="00220FE5"/>
    <w:rsid w:val="0022112C"/>
    <w:rsid w:val="002213B2"/>
    <w:rsid w:val="002214C4"/>
    <w:rsid w:val="002214C7"/>
    <w:rsid w:val="0022158F"/>
    <w:rsid w:val="002215B2"/>
    <w:rsid w:val="00221616"/>
    <w:rsid w:val="00221716"/>
    <w:rsid w:val="0022180C"/>
    <w:rsid w:val="00221EB7"/>
    <w:rsid w:val="00221FAB"/>
    <w:rsid w:val="0022222A"/>
    <w:rsid w:val="002223E0"/>
    <w:rsid w:val="00222402"/>
    <w:rsid w:val="0022254D"/>
    <w:rsid w:val="0022257C"/>
    <w:rsid w:val="00222664"/>
    <w:rsid w:val="0022274C"/>
    <w:rsid w:val="002228D8"/>
    <w:rsid w:val="002229D9"/>
    <w:rsid w:val="00222C06"/>
    <w:rsid w:val="00222DF1"/>
    <w:rsid w:val="00222E69"/>
    <w:rsid w:val="00223237"/>
    <w:rsid w:val="00223297"/>
    <w:rsid w:val="0022333C"/>
    <w:rsid w:val="002234A6"/>
    <w:rsid w:val="00223724"/>
    <w:rsid w:val="00223A37"/>
    <w:rsid w:val="00223D37"/>
    <w:rsid w:val="00223E95"/>
    <w:rsid w:val="0022417C"/>
    <w:rsid w:val="00224371"/>
    <w:rsid w:val="0022437F"/>
    <w:rsid w:val="00224A59"/>
    <w:rsid w:val="002250C2"/>
    <w:rsid w:val="00225323"/>
    <w:rsid w:val="002254CB"/>
    <w:rsid w:val="0022597A"/>
    <w:rsid w:val="002259AF"/>
    <w:rsid w:val="002259F4"/>
    <w:rsid w:val="00225E04"/>
    <w:rsid w:val="00225EA8"/>
    <w:rsid w:val="00225FCB"/>
    <w:rsid w:val="00226065"/>
    <w:rsid w:val="002264C7"/>
    <w:rsid w:val="0022655D"/>
    <w:rsid w:val="00226A84"/>
    <w:rsid w:val="00226B1C"/>
    <w:rsid w:val="00226FF3"/>
    <w:rsid w:val="002270F5"/>
    <w:rsid w:val="0022722B"/>
    <w:rsid w:val="0022747C"/>
    <w:rsid w:val="0022771D"/>
    <w:rsid w:val="002279A4"/>
    <w:rsid w:val="00227D10"/>
    <w:rsid w:val="00227DD5"/>
    <w:rsid w:val="00227DE3"/>
    <w:rsid w:val="00227EA3"/>
    <w:rsid w:val="00230424"/>
    <w:rsid w:val="00230533"/>
    <w:rsid w:val="00230717"/>
    <w:rsid w:val="002307C4"/>
    <w:rsid w:val="0023094B"/>
    <w:rsid w:val="002309BC"/>
    <w:rsid w:val="00230B07"/>
    <w:rsid w:val="00230BCE"/>
    <w:rsid w:val="00230DED"/>
    <w:rsid w:val="00230E9B"/>
    <w:rsid w:val="00230F0B"/>
    <w:rsid w:val="00230F41"/>
    <w:rsid w:val="002311EA"/>
    <w:rsid w:val="00231A49"/>
    <w:rsid w:val="00231ADA"/>
    <w:rsid w:val="00231BA3"/>
    <w:rsid w:val="00232071"/>
    <w:rsid w:val="00232794"/>
    <w:rsid w:val="002329BA"/>
    <w:rsid w:val="00232C96"/>
    <w:rsid w:val="00233296"/>
    <w:rsid w:val="002333F3"/>
    <w:rsid w:val="00233488"/>
    <w:rsid w:val="002334B1"/>
    <w:rsid w:val="00233508"/>
    <w:rsid w:val="002335C7"/>
    <w:rsid w:val="00233696"/>
    <w:rsid w:val="00233714"/>
    <w:rsid w:val="00233985"/>
    <w:rsid w:val="00233A2C"/>
    <w:rsid w:val="00233A8E"/>
    <w:rsid w:val="00233B8E"/>
    <w:rsid w:val="00233D6F"/>
    <w:rsid w:val="00233EDD"/>
    <w:rsid w:val="00234259"/>
    <w:rsid w:val="00234302"/>
    <w:rsid w:val="00234310"/>
    <w:rsid w:val="002343A0"/>
    <w:rsid w:val="0023457E"/>
    <w:rsid w:val="002347FF"/>
    <w:rsid w:val="00234E0C"/>
    <w:rsid w:val="002351F6"/>
    <w:rsid w:val="002351F8"/>
    <w:rsid w:val="00235209"/>
    <w:rsid w:val="0023524C"/>
    <w:rsid w:val="0023549C"/>
    <w:rsid w:val="0023563B"/>
    <w:rsid w:val="002357E1"/>
    <w:rsid w:val="00235902"/>
    <w:rsid w:val="00235A8D"/>
    <w:rsid w:val="00235D1E"/>
    <w:rsid w:val="00235F32"/>
    <w:rsid w:val="00236023"/>
    <w:rsid w:val="00236156"/>
    <w:rsid w:val="002363A5"/>
    <w:rsid w:val="00236508"/>
    <w:rsid w:val="002365A5"/>
    <w:rsid w:val="0023678A"/>
    <w:rsid w:val="002368E2"/>
    <w:rsid w:val="0023698C"/>
    <w:rsid w:val="00236ADE"/>
    <w:rsid w:val="00236B8D"/>
    <w:rsid w:val="00236D16"/>
    <w:rsid w:val="00236E6F"/>
    <w:rsid w:val="00236EB2"/>
    <w:rsid w:val="0023718B"/>
    <w:rsid w:val="002372D2"/>
    <w:rsid w:val="00237766"/>
    <w:rsid w:val="002377F4"/>
    <w:rsid w:val="00237800"/>
    <w:rsid w:val="00237924"/>
    <w:rsid w:val="002401C5"/>
    <w:rsid w:val="002404CB"/>
    <w:rsid w:val="00240899"/>
    <w:rsid w:val="00240A6F"/>
    <w:rsid w:val="00240B26"/>
    <w:rsid w:val="00240D0E"/>
    <w:rsid w:val="00240FFF"/>
    <w:rsid w:val="002411AF"/>
    <w:rsid w:val="002418D2"/>
    <w:rsid w:val="00241988"/>
    <w:rsid w:val="00241B27"/>
    <w:rsid w:val="00241BF4"/>
    <w:rsid w:val="00241E5A"/>
    <w:rsid w:val="002423B7"/>
    <w:rsid w:val="0024242C"/>
    <w:rsid w:val="0024252E"/>
    <w:rsid w:val="002425EA"/>
    <w:rsid w:val="00242723"/>
    <w:rsid w:val="00242AE1"/>
    <w:rsid w:val="00242D22"/>
    <w:rsid w:val="00242E3E"/>
    <w:rsid w:val="00242EA0"/>
    <w:rsid w:val="00242EF5"/>
    <w:rsid w:val="002430CF"/>
    <w:rsid w:val="00243417"/>
    <w:rsid w:val="0024357A"/>
    <w:rsid w:val="002435B4"/>
    <w:rsid w:val="002435E8"/>
    <w:rsid w:val="00243685"/>
    <w:rsid w:val="00243B50"/>
    <w:rsid w:val="00243E2D"/>
    <w:rsid w:val="00243E79"/>
    <w:rsid w:val="00243F24"/>
    <w:rsid w:val="002441E9"/>
    <w:rsid w:val="002444B7"/>
    <w:rsid w:val="002444F5"/>
    <w:rsid w:val="0024459C"/>
    <w:rsid w:val="002449D8"/>
    <w:rsid w:val="00244A65"/>
    <w:rsid w:val="00244B77"/>
    <w:rsid w:val="00244D91"/>
    <w:rsid w:val="00244E5E"/>
    <w:rsid w:val="00244ED4"/>
    <w:rsid w:val="0024505B"/>
    <w:rsid w:val="002450FB"/>
    <w:rsid w:val="002456A1"/>
    <w:rsid w:val="00245A2F"/>
    <w:rsid w:val="00245A59"/>
    <w:rsid w:val="00245AA4"/>
    <w:rsid w:val="00245AD1"/>
    <w:rsid w:val="00245AD9"/>
    <w:rsid w:val="00245CDF"/>
    <w:rsid w:val="00245DCE"/>
    <w:rsid w:val="00245EB4"/>
    <w:rsid w:val="0024675E"/>
    <w:rsid w:val="00246ACA"/>
    <w:rsid w:val="00246BDF"/>
    <w:rsid w:val="002470BB"/>
    <w:rsid w:val="00247261"/>
    <w:rsid w:val="002475C3"/>
    <w:rsid w:val="002477BA"/>
    <w:rsid w:val="00247862"/>
    <w:rsid w:val="002479BF"/>
    <w:rsid w:val="002479FB"/>
    <w:rsid w:val="00247B94"/>
    <w:rsid w:val="00247ED7"/>
    <w:rsid w:val="00250169"/>
    <w:rsid w:val="0025037D"/>
    <w:rsid w:val="0025072D"/>
    <w:rsid w:val="00250B8F"/>
    <w:rsid w:val="00250C6B"/>
    <w:rsid w:val="00250D77"/>
    <w:rsid w:val="0025101D"/>
    <w:rsid w:val="002510BE"/>
    <w:rsid w:val="002511DC"/>
    <w:rsid w:val="0025130D"/>
    <w:rsid w:val="0025133D"/>
    <w:rsid w:val="002514B3"/>
    <w:rsid w:val="002516DE"/>
    <w:rsid w:val="002516F9"/>
    <w:rsid w:val="002517D2"/>
    <w:rsid w:val="002519F9"/>
    <w:rsid w:val="00251DAC"/>
    <w:rsid w:val="00251E87"/>
    <w:rsid w:val="00251F8B"/>
    <w:rsid w:val="002520E9"/>
    <w:rsid w:val="00252137"/>
    <w:rsid w:val="0025225D"/>
    <w:rsid w:val="0025227A"/>
    <w:rsid w:val="0025237B"/>
    <w:rsid w:val="0025237E"/>
    <w:rsid w:val="0025291C"/>
    <w:rsid w:val="00252AFD"/>
    <w:rsid w:val="00252D61"/>
    <w:rsid w:val="002530A2"/>
    <w:rsid w:val="002530E7"/>
    <w:rsid w:val="00253135"/>
    <w:rsid w:val="002531A2"/>
    <w:rsid w:val="002532B4"/>
    <w:rsid w:val="0025398B"/>
    <w:rsid w:val="002539F7"/>
    <w:rsid w:val="00253B03"/>
    <w:rsid w:val="00253B39"/>
    <w:rsid w:val="002541FA"/>
    <w:rsid w:val="00254201"/>
    <w:rsid w:val="00254637"/>
    <w:rsid w:val="0025469F"/>
    <w:rsid w:val="00254715"/>
    <w:rsid w:val="002547D4"/>
    <w:rsid w:val="0025487C"/>
    <w:rsid w:val="002549ED"/>
    <w:rsid w:val="00254A9F"/>
    <w:rsid w:val="00254AE2"/>
    <w:rsid w:val="00254AF1"/>
    <w:rsid w:val="00254C26"/>
    <w:rsid w:val="00254EEB"/>
    <w:rsid w:val="002550C0"/>
    <w:rsid w:val="0025513D"/>
    <w:rsid w:val="0025536E"/>
    <w:rsid w:val="002558DC"/>
    <w:rsid w:val="002559AC"/>
    <w:rsid w:val="00255C2A"/>
    <w:rsid w:val="00255FC0"/>
    <w:rsid w:val="0025600F"/>
    <w:rsid w:val="002560AE"/>
    <w:rsid w:val="0025613F"/>
    <w:rsid w:val="002561DD"/>
    <w:rsid w:val="00256374"/>
    <w:rsid w:val="0025644D"/>
    <w:rsid w:val="0025666A"/>
    <w:rsid w:val="002566A6"/>
    <w:rsid w:val="002566F0"/>
    <w:rsid w:val="002568B4"/>
    <w:rsid w:val="00256DF8"/>
    <w:rsid w:val="00256EEF"/>
    <w:rsid w:val="002572F6"/>
    <w:rsid w:val="0025732A"/>
    <w:rsid w:val="00257348"/>
    <w:rsid w:val="00257592"/>
    <w:rsid w:val="00257617"/>
    <w:rsid w:val="00257C43"/>
    <w:rsid w:val="00257F8C"/>
    <w:rsid w:val="00257F91"/>
    <w:rsid w:val="00260040"/>
    <w:rsid w:val="0026011D"/>
    <w:rsid w:val="00260206"/>
    <w:rsid w:val="0026072C"/>
    <w:rsid w:val="002608A8"/>
    <w:rsid w:val="00260ADF"/>
    <w:rsid w:val="00260AE3"/>
    <w:rsid w:val="00260B60"/>
    <w:rsid w:val="00260CF5"/>
    <w:rsid w:val="00260E5B"/>
    <w:rsid w:val="00260F6B"/>
    <w:rsid w:val="002611DD"/>
    <w:rsid w:val="002612B6"/>
    <w:rsid w:val="00261597"/>
    <w:rsid w:val="00261659"/>
    <w:rsid w:val="002616F4"/>
    <w:rsid w:val="0026175D"/>
    <w:rsid w:val="00261789"/>
    <w:rsid w:val="002618D6"/>
    <w:rsid w:val="00261DC6"/>
    <w:rsid w:val="00261FA1"/>
    <w:rsid w:val="00262013"/>
    <w:rsid w:val="0026212D"/>
    <w:rsid w:val="002627AF"/>
    <w:rsid w:val="00262A98"/>
    <w:rsid w:val="00262C13"/>
    <w:rsid w:val="00262C15"/>
    <w:rsid w:val="00262DA7"/>
    <w:rsid w:val="00262EAD"/>
    <w:rsid w:val="00262ECA"/>
    <w:rsid w:val="00262FC5"/>
    <w:rsid w:val="002630CA"/>
    <w:rsid w:val="002633E3"/>
    <w:rsid w:val="002634A9"/>
    <w:rsid w:val="002634D4"/>
    <w:rsid w:val="00263A45"/>
    <w:rsid w:val="00263BBB"/>
    <w:rsid w:val="00263DB9"/>
    <w:rsid w:val="00263E38"/>
    <w:rsid w:val="00263E7F"/>
    <w:rsid w:val="002642CE"/>
    <w:rsid w:val="00264366"/>
    <w:rsid w:val="002643D4"/>
    <w:rsid w:val="002643D6"/>
    <w:rsid w:val="00264528"/>
    <w:rsid w:val="0026453B"/>
    <w:rsid w:val="00264623"/>
    <w:rsid w:val="00264641"/>
    <w:rsid w:val="00264773"/>
    <w:rsid w:val="002648C1"/>
    <w:rsid w:val="00264931"/>
    <w:rsid w:val="00264E52"/>
    <w:rsid w:val="0026503D"/>
    <w:rsid w:val="00265297"/>
    <w:rsid w:val="0026530B"/>
    <w:rsid w:val="0026560D"/>
    <w:rsid w:val="00265658"/>
    <w:rsid w:val="0026571E"/>
    <w:rsid w:val="00265994"/>
    <w:rsid w:val="00265AAE"/>
    <w:rsid w:val="00265B54"/>
    <w:rsid w:val="00266071"/>
    <w:rsid w:val="00266287"/>
    <w:rsid w:val="00266402"/>
    <w:rsid w:val="00266574"/>
    <w:rsid w:val="00266848"/>
    <w:rsid w:val="00266862"/>
    <w:rsid w:val="00266974"/>
    <w:rsid w:val="00266AC4"/>
    <w:rsid w:val="00266C89"/>
    <w:rsid w:val="00266CC1"/>
    <w:rsid w:val="00267008"/>
    <w:rsid w:val="00267197"/>
    <w:rsid w:val="002671D6"/>
    <w:rsid w:val="0026764E"/>
    <w:rsid w:val="00267650"/>
    <w:rsid w:val="00267672"/>
    <w:rsid w:val="002678BD"/>
    <w:rsid w:val="00267D1C"/>
    <w:rsid w:val="00267D39"/>
    <w:rsid w:val="00267F8A"/>
    <w:rsid w:val="00267FEE"/>
    <w:rsid w:val="0026FEAB"/>
    <w:rsid w:val="002703A2"/>
    <w:rsid w:val="0027049E"/>
    <w:rsid w:val="00270727"/>
    <w:rsid w:val="002707A2"/>
    <w:rsid w:val="002708DA"/>
    <w:rsid w:val="002708EE"/>
    <w:rsid w:val="002708FB"/>
    <w:rsid w:val="002709F6"/>
    <w:rsid w:val="00270BBC"/>
    <w:rsid w:val="00270C09"/>
    <w:rsid w:val="00270DCC"/>
    <w:rsid w:val="00270EF9"/>
    <w:rsid w:val="00270FB5"/>
    <w:rsid w:val="00271359"/>
    <w:rsid w:val="002714AA"/>
    <w:rsid w:val="00271B56"/>
    <w:rsid w:val="00271BB3"/>
    <w:rsid w:val="00271F09"/>
    <w:rsid w:val="002721AE"/>
    <w:rsid w:val="00272384"/>
    <w:rsid w:val="00272471"/>
    <w:rsid w:val="0027253A"/>
    <w:rsid w:val="00272624"/>
    <w:rsid w:val="002727F4"/>
    <w:rsid w:val="0027289D"/>
    <w:rsid w:val="0027298F"/>
    <w:rsid w:val="00272C91"/>
    <w:rsid w:val="00272CC5"/>
    <w:rsid w:val="00272E9D"/>
    <w:rsid w:val="00272F0C"/>
    <w:rsid w:val="00273299"/>
    <w:rsid w:val="00273301"/>
    <w:rsid w:val="0027331C"/>
    <w:rsid w:val="002733E5"/>
    <w:rsid w:val="00273447"/>
    <w:rsid w:val="0027349E"/>
    <w:rsid w:val="00273637"/>
    <w:rsid w:val="0027389A"/>
    <w:rsid w:val="00273A47"/>
    <w:rsid w:val="00273A61"/>
    <w:rsid w:val="00273CA6"/>
    <w:rsid w:val="00273CB9"/>
    <w:rsid w:val="00273DA3"/>
    <w:rsid w:val="00273DB2"/>
    <w:rsid w:val="0027478D"/>
    <w:rsid w:val="00274795"/>
    <w:rsid w:val="002748D4"/>
    <w:rsid w:val="00274A39"/>
    <w:rsid w:val="00274ABE"/>
    <w:rsid w:val="00274D36"/>
    <w:rsid w:val="00274FFF"/>
    <w:rsid w:val="00275060"/>
    <w:rsid w:val="002750C0"/>
    <w:rsid w:val="0027542B"/>
    <w:rsid w:val="0027547C"/>
    <w:rsid w:val="0027557B"/>
    <w:rsid w:val="00275586"/>
    <w:rsid w:val="00275750"/>
    <w:rsid w:val="0027575E"/>
    <w:rsid w:val="00275813"/>
    <w:rsid w:val="002758B3"/>
    <w:rsid w:val="00275BAA"/>
    <w:rsid w:val="002762C0"/>
    <w:rsid w:val="002764E8"/>
    <w:rsid w:val="00276790"/>
    <w:rsid w:val="0027687D"/>
    <w:rsid w:val="0027697B"/>
    <w:rsid w:val="00276A31"/>
    <w:rsid w:val="00276AA9"/>
    <w:rsid w:val="00276ACF"/>
    <w:rsid w:val="00276C8A"/>
    <w:rsid w:val="00276C8F"/>
    <w:rsid w:val="00277188"/>
    <w:rsid w:val="00277699"/>
    <w:rsid w:val="00277739"/>
    <w:rsid w:val="00277994"/>
    <w:rsid w:val="00277BBE"/>
    <w:rsid w:val="00277D40"/>
    <w:rsid w:val="00277EDD"/>
    <w:rsid w:val="002801F4"/>
    <w:rsid w:val="0028067B"/>
    <w:rsid w:val="002806DE"/>
    <w:rsid w:val="00280757"/>
    <w:rsid w:val="00280856"/>
    <w:rsid w:val="00280B5B"/>
    <w:rsid w:val="00280C75"/>
    <w:rsid w:val="00280D8D"/>
    <w:rsid w:val="00280DC4"/>
    <w:rsid w:val="0028134C"/>
    <w:rsid w:val="00281378"/>
    <w:rsid w:val="002813B6"/>
    <w:rsid w:val="002813D0"/>
    <w:rsid w:val="00281470"/>
    <w:rsid w:val="00281708"/>
    <w:rsid w:val="00281D03"/>
    <w:rsid w:val="00281DCF"/>
    <w:rsid w:val="00282723"/>
    <w:rsid w:val="00282919"/>
    <w:rsid w:val="00282A8D"/>
    <w:rsid w:val="00282AFE"/>
    <w:rsid w:val="00282DA7"/>
    <w:rsid w:val="00282DC3"/>
    <w:rsid w:val="0028300B"/>
    <w:rsid w:val="0028310D"/>
    <w:rsid w:val="00283137"/>
    <w:rsid w:val="002831A8"/>
    <w:rsid w:val="002831E8"/>
    <w:rsid w:val="002832A0"/>
    <w:rsid w:val="0028331F"/>
    <w:rsid w:val="00283437"/>
    <w:rsid w:val="002836DF"/>
    <w:rsid w:val="002839B8"/>
    <w:rsid w:val="00283BAE"/>
    <w:rsid w:val="00283BE8"/>
    <w:rsid w:val="00283D5C"/>
    <w:rsid w:val="00283F9D"/>
    <w:rsid w:val="00284202"/>
    <w:rsid w:val="00284371"/>
    <w:rsid w:val="00284486"/>
    <w:rsid w:val="002845E4"/>
    <w:rsid w:val="0028462A"/>
    <w:rsid w:val="002847EB"/>
    <w:rsid w:val="00284CC4"/>
    <w:rsid w:val="00284DAE"/>
    <w:rsid w:val="00284E03"/>
    <w:rsid w:val="00284FF9"/>
    <w:rsid w:val="002850A6"/>
    <w:rsid w:val="002851AF"/>
    <w:rsid w:val="002851BB"/>
    <w:rsid w:val="00285232"/>
    <w:rsid w:val="00285659"/>
    <w:rsid w:val="00285A6B"/>
    <w:rsid w:val="00285ACB"/>
    <w:rsid w:val="00285E82"/>
    <w:rsid w:val="00285EA1"/>
    <w:rsid w:val="00285F01"/>
    <w:rsid w:val="002860DA"/>
    <w:rsid w:val="002861AB"/>
    <w:rsid w:val="00286649"/>
    <w:rsid w:val="00286680"/>
    <w:rsid w:val="002867DB"/>
    <w:rsid w:val="002867FA"/>
    <w:rsid w:val="002869DA"/>
    <w:rsid w:val="00286A07"/>
    <w:rsid w:val="00286C09"/>
    <w:rsid w:val="00287135"/>
    <w:rsid w:val="002871CA"/>
    <w:rsid w:val="00287596"/>
    <w:rsid w:val="0028777E"/>
    <w:rsid w:val="00287BD4"/>
    <w:rsid w:val="00287E1E"/>
    <w:rsid w:val="00287E9E"/>
    <w:rsid w:val="00287F24"/>
    <w:rsid w:val="00287F74"/>
    <w:rsid w:val="00287FBE"/>
    <w:rsid w:val="0029028C"/>
    <w:rsid w:val="0029071D"/>
    <w:rsid w:val="00290727"/>
    <w:rsid w:val="00290A35"/>
    <w:rsid w:val="00290D47"/>
    <w:rsid w:val="00291643"/>
    <w:rsid w:val="0029184D"/>
    <w:rsid w:val="00291922"/>
    <w:rsid w:val="00291928"/>
    <w:rsid w:val="00291A3E"/>
    <w:rsid w:val="00291BCA"/>
    <w:rsid w:val="00291D2D"/>
    <w:rsid w:val="00291DD8"/>
    <w:rsid w:val="00291FF1"/>
    <w:rsid w:val="00292318"/>
    <w:rsid w:val="00292382"/>
    <w:rsid w:val="002923DF"/>
    <w:rsid w:val="002924A0"/>
    <w:rsid w:val="0029268C"/>
    <w:rsid w:val="002926A3"/>
    <w:rsid w:val="002926D0"/>
    <w:rsid w:val="00292737"/>
    <w:rsid w:val="0029289C"/>
    <w:rsid w:val="002928CA"/>
    <w:rsid w:val="002928F4"/>
    <w:rsid w:val="00292914"/>
    <w:rsid w:val="00292927"/>
    <w:rsid w:val="002929EB"/>
    <w:rsid w:val="00292D28"/>
    <w:rsid w:val="00292D90"/>
    <w:rsid w:val="0029336D"/>
    <w:rsid w:val="002933F0"/>
    <w:rsid w:val="002934BA"/>
    <w:rsid w:val="00293708"/>
    <w:rsid w:val="0029399D"/>
    <w:rsid w:val="00293A1D"/>
    <w:rsid w:val="00293AD3"/>
    <w:rsid w:val="00293D00"/>
    <w:rsid w:val="0029414B"/>
    <w:rsid w:val="002947F7"/>
    <w:rsid w:val="00294D3D"/>
    <w:rsid w:val="002950AB"/>
    <w:rsid w:val="002954DE"/>
    <w:rsid w:val="002955A4"/>
    <w:rsid w:val="00295869"/>
    <w:rsid w:val="00295AC6"/>
    <w:rsid w:val="00295E5C"/>
    <w:rsid w:val="002964F2"/>
    <w:rsid w:val="00296893"/>
    <w:rsid w:val="002968EE"/>
    <w:rsid w:val="002969C3"/>
    <w:rsid w:val="00296A5A"/>
    <w:rsid w:val="00296DAF"/>
    <w:rsid w:val="00296F55"/>
    <w:rsid w:val="002970B2"/>
    <w:rsid w:val="002971AC"/>
    <w:rsid w:val="00297875"/>
    <w:rsid w:val="00297DF7"/>
    <w:rsid w:val="002A0271"/>
    <w:rsid w:val="002A06D4"/>
    <w:rsid w:val="002A07DD"/>
    <w:rsid w:val="002A093A"/>
    <w:rsid w:val="002A0C82"/>
    <w:rsid w:val="002A0CEA"/>
    <w:rsid w:val="002A0D61"/>
    <w:rsid w:val="002A0EFE"/>
    <w:rsid w:val="002A0F21"/>
    <w:rsid w:val="002A10EF"/>
    <w:rsid w:val="002A11B3"/>
    <w:rsid w:val="002A13DF"/>
    <w:rsid w:val="002A14EA"/>
    <w:rsid w:val="002A16AC"/>
    <w:rsid w:val="002A16CB"/>
    <w:rsid w:val="002A1803"/>
    <w:rsid w:val="002A1B97"/>
    <w:rsid w:val="002A1D0E"/>
    <w:rsid w:val="002A281F"/>
    <w:rsid w:val="002A284F"/>
    <w:rsid w:val="002A2A03"/>
    <w:rsid w:val="002A2AD4"/>
    <w:rsid w:val="002A2B97"/>
    <w:rsid w:val="002A2BCC"/>
    <w:rsid w:val="002A2C50"/>
    <w:rsid w:val="002A2CDF"/>
    <w:rsid w:val="002A2D2D"/>
    <w:rsid w:val="002A2DE6"/>
    <w:rsid w:val="002A2E54"/>
    <w:rsid w:val="002A2EEB"/>
    <w:rsid w:val="002A3099"/>
    <w:rsid w:val="002A322B"/>
    <w:rsid w:val="002A3378"/>
    <w:rsid w:val="002A35F7"/>
    <w:rsid w:val="002A368D"/>
    <w:rsid w:val="002A37CE"/>
    <w:rsid w:val="002A391F"/>
    <w:rsid w:val="002A3C50"/>
    <w:rsid w:val="002A3C97"/>
    <w:rsid w:val="002A3D95"/>
    <w:rsid w:val="002A3E13"/>
    <w:rsid w:val="002A3E9D"/>
    <w:rsid w:val="002A4026"/>
    <w:rsid w:val="002A4045"/>
    <w:rsid w:val="002A43A9"/>
    <w:rsid w:val="002A442B"/>
    <w:rsid w:val="002A4503"/>
    <w:rsid w:val="002A4603"/>
    <w:rsid w:val="002A48F1"/>
    <w:rsid w:val="002A4BF4"/>
    <w:rsid w:val="002A4C0F"/>
    <w:rsid w:val="002A4DCC"/>
    <w:rsid w:val="002A4E84"/>
    <w:rsid w:val="002A5210"/>
    <w:rsid w:val="002A54C4"/>
    <w:rsid w:val="002A54D8"/>
    <w:rsid w:val="002A577F"/>
    <w:rsid w:val="002A585C"/>
    <w:rsid w:val="002A5955"/>
    <w:rsid w:val="002A5A12"/>
    <w:rsid w:val="002A5AF6"/>
    <w:rsid w:val="002A5EFB"/>
    <w:rsid w:val="002A6017"/>
    <w:rsid w:val="002A6548"/>
    <w:rsid w:val="002A6613"/>
    <w:rsid w:val="002A66CB"/>
    <w:rsid w:val="002A69D4"/>
    <w:rsid w:val="002A6A1A"/>
    <w:rsid w:val="002A6AA8"/>
    <w:rsid w:val="002A6C4F"/>
    <w:rsid w:val="002A707A"/>
    <w:rsid w:val="002A74FF"/>
    <w:rsid w:val="002A767E"/>
    <w:rsid w:val="002A76D7"/>
    <w:rsid w:val="002A7792"/>
    <w:rsid w:val="002A786C"/>
    <w:rsid w:val="002A78B9"/>
    <w:rsid w:val="002A7BEE"/>
    <w:rsid w:val="002B00C6"/>
    <w:rsid w:val="002B0215"/>
    <w:rsid w:val="002B022B"/>
    <w:rsid w:val="002B0443"/>
    <w:rsid w:val="002B0452"/>
    <w:rsid w:val="002B04B6"/>
    <w:rsid w:val="002B05B8"/>
    <w:rsid w:val="002B06E9"/>
    <w:rsid w:val="002B07A5"/>
    <w:rsid w:val="002B07CA"/>
    <w:rsid w:val="002B0AC2"/>
    <w:rsid w:val="002B0BEE"/>
    <w:rsid w:val="002B0CF7"/>
    <w:rsid w:val="002B1235"/>
    <w:rsid w:val="002B1406"/>
    <w:rsid w:val="002B144F"/>
    <w:rsid w:val="002B1533"/>
    <w:rsid w:val="002B175A"/>
    <w:rsid w:val="002B189C"/>
    <w:rsid w:val="002B1A6C"/>
    <w:rsid w:val="002B1AE3"/>
    <w:rsid w:val="002B1BD7"/>
    <w:rsid w:val="002B1C06"/>
    <w:rsid w:val="002B1D67"/>
    <w:rsid w:val="002B24A9"/>
    <w:rsid w:val="002B276F"/>
    <w:rsid w:val="002B281E"/>
    <w:rsid w:val="002B2A7A"/>
    <w:rsid w:val="002B2AD8"/>
    <w:rsid w:val="002B2B9D"/>
    <w:rsid w:val="002B2CAD"/>
    <w:rsid w:val="002B2CF8"/>
    <w:rsid w:val="002B3043"/>
    <w:rsid w:val="002B339E"/>
    <w:rsid w:val="002B35A5"/>
    <w:rsid w:val="002B3ACE"/>
    <w:rsid w:val="002B3ADD"/>
    <w:rsid w:val="002B3B1B"/>
    <w:rsid w:val="002B3BA5"/>
    <w:rsid w:val="002B3C37"/>
    <w:rsid w:val="002B3DC2"/>
    <w:rsid w:val="002B3F4B"/>
    <w:rsid w:val="002B41F4"/>
    <w:rsid w:val="002B4461"/>
    <w:rsid w:val="002B457A"/>
    <w:rsid w:val="002B45FA"/>
    <w:rsid w:val="002B4941"/>
    <w:rsid w:val="002B4C16"/>
    <w:rsid w:val="002B4DA4"/>
    <w:rsid w:val="002B4FD0"/>
    <w:rsid w:val="002B5020"/>
    <w:rsid w:val="002B5045"/>
    <w:rsid w:val="002B52D4"/>
    <w:rsid w:val="002B5338"/>
    <w:rsid w:val="002B544C"/>
    <w:rsid w:val="002B54C0"/>
    <w:rsid w:val="002B5652"/>
    <w:rsid w:val="002B56E9"/>
    <w:rsid w:val="002B58E9"/>
    <w:rsid w:val="002B599C"/>
    <w:rsid w:val="002B5B50"/>
    <w:rsid w:val="002B5C3F"/>
    <w:rsid w:val="002B5D1A"/>
    <w:rsid w:val="002B5D29"/>
    <w:rsid w:val="002B5D74"/>
    <w:rsid w:val="002B6539"/>
    <w:rsid w:val="002B6618"/>
    <w:rsid w:val="002B67CA"/>
    <w:rsid w:val="002B6817"/>
    <w:rsid w:val="002B6A54"/>
    <w:rsid w:val="002B6E81"/>
    <w:rsid w:val="002B70B0"/>
    <w:rsid w:val="002B7189"/>
    <w:rsid w:val="002B72FA"/>
    <w:rsid w:val="002B7590"/>
    <w:rsid w:val="002B7906"/>
    <w:rsid w:val="002B7A4C"/>
    <w:rsid w:val="002B7ADB"/>
    <w:rsid w:val="002B7DED"/>
    <w:rsid w:val="002C00DA"/>
    <w:rsid w:val="002C00F5"/>
    <w:rsid w:val="002C01C9"/>
    <w:rsid w:val="002C0B7C"/>
    <w:rsid w:val="002C0D53"/>
    <w:rsid w:val="002C1135"/>
    <w:rsid w:val="002C1139"/>
    <w:rsid w:val="002C131C"/>
    <w:rsid w:val="002C144E"/>
    <w:rsid w:val="002C1543"/>
    <w:rsid w:val="002C1746"/>
    <w:rsid w:val="002C177F"/>
    <w:rsid w:val="002C17C7"/>
    <w:rsid w:val="002C17E1"/>
    <w:rsid w:val="002C1873"/>
    <w:rsid w:val="002C1908"/>
    <w:rsid w:val="002C1913"/>
    <w:rsid w:val="002C19A3"/>
    <w:rsid w:val="002C1A8E"/>
    <w:rsid w:val="002C1D2F"/>
    <w:rsid w:val="002C1FC2"/>
    <w:rsid w:val="002C2024"/>
    <w:rsid w:val="002C21F5"/>
    <w:rsid w:val="002C22ED"/>
    <w:rsid w:val="002C268B"/>
    <w:rsid w:val="002C282D"/>
    <w:rsid w:val="002C2D18"/>
    <w:rsid w:val="002C2FCB"/>
    <w:rsid w:val="002C3444"/>
    <w:rsid w:val="002C349E"/>
    <w:rsid w:val="002C38E7"/>
    <w:rsid w:val="002C39F5"/>
    <w:rsid w:val="002C400A"/>
    <w:rsid w:val="002C4093"/>
    <w:rsid w:val="002C4188"/>
    <w:rsid w:val="002C41AA"/>
    <w:rsid w:val="002C42F2"/>
    <w:rsid w:val="002C4333"/>
    <w:rsid w:val="002C44D2"/>
    <w:rsid w:val="002C45FF"/>
    <w:rsid w:val="002C46E3"/>
    <w:rsid w:val="002C49EC"/>
    <w:rsid w:val="002C4A3E"/>
    <w:rsid w:val="002C4B48"/>
    <w:rsid w:val="002C4C2D"/>
    <w:rsid w:val="002C4F46"/>
    <w:rsid w:val="002C50DC"/>
    <w:rsid w:val="002C53AB"/>
    <w:rsid w:val="002C53E5"/>
    <w:rsid w:val="002C5A69"/>
    <w:rsid w:val="002C5BDA"/>
    <w:rsid w:val="002C5CEF"/>
    <w:rsid w:val="002C5D77"/>
    <w:rsid w:val="002C5E9A"/>
    <w:rsid w:val="002C5ED4"/>
    <w:rsid w:val="002C5F0C"/>
    <w:rsid w:val="002C5F7D"/>
    <w:rsid w:val="002C602E"/>
    <w:rsid w:val="002C6317"/>
    <w:rsid w:val="002C636F"/>
    <w:rsid w:val="002C6743"/>
    <w:rsid w:val="002C67C3"/>
    <w:rsid w:val="002C67DA"/>
    <w:rsid w:val="002C690C"/>
    <w:rsid w:val="002C6A9D"/>
    <w:rsid w:val="002C6B91"/>
    <w:rsid w:val="002C6C29"/>
    <w:rsid w:val="002C6C84"/>
    <w:rsid w:val="002C719E"/>
    <w:rsid w:val="002C7206"/>
    <w:rsid w:val="002C7399"/>
    <w:rsid w:val="002C73F1"/>
    <w:rsid w:val="002C7574"/>
    <w:rsid w:val="002C75AE"/>
    <w:rsid w:val="002C75EE"/>
    <w:rsid w:val="002C765E"/>
    <w:rsid w:val="002C77A4"/>
    <w:rsid w:val="002C7C13"/>
    <w:rsid w:val="002C7D51"/>
    <w:rsid w:val="002C7D5E"/>
    <w:rsid w:val="002C7E14"/>
    <w:rsid w:val="002C7F58"/>
    <w:rsid w:val="002C7F6A"/>
    <w:rsid w:val="002D0061"/>
    <w:rsid w:val="002D07F6"/>
    <w:rsid w:val="002D0BD1"/>
    <w:rsid w:val="002D0E41"/>
    <w:rsid w:val="002D0EF2"/>
    <w:rsid w:val="002D10E8"/>
    <w:rsid w:val="002D1242"/>
    <w:rsid w:val="002D125B"/>
    <w:rsid w:val="002D15F6"/>
    <w:rsid w:val="002D167A"/>
    <w:rsid w:val="002D1B50"/>
    <w:rsid w:val="002D1D34"/>
    <w:rsid w:val="002D1E60"/>
    <w:rsid w:val="002D1FDD"/>
    <w:rsid w:val="002D21DA"/>
    <w:rsid w:val="002D23E6"/>
    <w:rsid w:val="002D2450"/>
    <w:rsid w:val="002D24AC"/>
    <w:rsid w:val="002D263B"/>
    <w:rsid w:val="002D26F0"/>
    <w:rsid w:val="002D28F5"/>
    <w:rsid w:val="002D2EB4"/>
    <w:rsid w:val="002D2FCA"/>
    <w:rsid w:val="002D30C4"/>
    <w:rsid w:val="002D33E0"/>
    <w:rsid w:val="002D343D"/>
    <w:rsid w:val="002D37CF"/>
    <w:rsid w:val="002D3B20"/>
    <w:rsid w:val="002D3F47"/>
    <w:rsid w:val="002D3F75"/>
    <w:rsid w:val="002D405B"/>
    <w:rsid w:val="002D42B6"/>
    <w:rsid w:val="002D4334"/>
    <w:rsid w:val="002D43D2"/>
    <w:rsid w:val="002D46DD"/>
    <w:rsid w:val="002D46FE"/>
    <w:rsid w:val="002D4876"/>
    <w:rsid w:val="002D4C3D"/>
    <w:rsid w:val="002D4D18"/>
    <w:rsid w:val="002D4DCC"/>
    <w:rsid w:val="002D4E81"/>
    <w:rsid w:val="002D509D"/>
    <w:rsid w:val="002D5153"/>
    <w:rsid w:val="002D5175"/>
    <w:rsid w:val="002D5921"/>
    <w:rsid w:val="002D5DCC"/>
    <w:rsid w:val="002D5EC7"/>
    <w:rsid w:val="002D60BA"/>
    <w:rsid w:val="002D6163"/>
    <w:rsid w:val="002D6237"/>
    <w:rsid w:val="002D63C7"/>
    <w:rsid w:val="002D64F9"/>
    <w:rsid w:val="002D65C4"/>
    <w:rsid w:val="002D6927"/>
    <w:rsid w:val="002D6A4C"/>
    <w:rsid w:val="002D7119"/>
    <w:rsid w:val="002D72CC"/>
    <w:rsid w:val="002D740D"/>
    <w:rsid w:val="002D75C6"/>
    <w:rsid w:val="002D775C"/>
    <w:rsid w:val="002D7823"/>
    <w:rsid w:val="002D7BA3"/>
    <w:rsid w:val="002D7E9D"/>
    <w:rsid w:val="002D7EC7"/>
    <w:rsid w:val="002D7F6F"/>
    <w:rsid w:val="002E0027"/>
    <w:rsid w:val="002E00F4"/>
    <w:rsid w:val="002E0298"/>
    <w:rsid w:val="002E0836"/>
    <w:rsid w:val="002E0884"/>
    <w:rsid w:val="002E09B6"/>
    <w:rsid w:val="002E0C8C"/>
    <w:rsid w:val="002E0FD2"/>
    <w:rsid w:val="002E1128"/>
    <w:rsid w:val="002E14F4"/>
    <w:rsid w:val="002E165B"/>
    <w:rsid w:val="002E1B48"/>
    <w:rsid w:val="002E1BE1"/>
    <w:rsid w:val="002E1C5D"/>
    <w:rsid w:val="002E1C7A"/>
    <w:rsid w:val="002E1CA6"/>
    <w:rsid w:val="002E1D59"/>
    <w:rsid w:val="002E1D9B"/>
    <w:rsid w:val="002E1FF6"/>
    <w:rsid w:val="002E20DD"/>
    <w:rsid w:val="002E20FB"/>
    <w:rsid w:val="002E2526"/>
    <w:rsid w:val="002E25A7"/>
    <w:rsid w:val="002E26B1"/>
    <w:rsid w:val="002E2838"/>
    <w:rsid w:val="002E2CC1"/>
    <w:rsid w:val="002E3074"/>
    <w:rsid w:val="002E32B5"/>
    <w:rsid w:val="002E340E"/>
    <w:rsid w:val="002E3569"/>
    <w:rsid w:val="002E35C0"/>
    <w:rsid w:val="002E360C"/>
    <w:rsid w:val="002E383E"/>
    <w:rsid w:val="002E389F"/>
    <w:rsid w:val="002E3A85"/>
    <w:rsid w:val="002E3B1A"/>
    <w:rsid w:val="002E3BAE"/>
    <w:rsid w:val="002E4293"/>
    <w:rsid w:val="002E4675"/>
    <w:rsid w:val="002E4835"/>
    <w:rsid w:val="002E4991"/>
    <w:rsid w:val="002E49D6"/>
    <w:rsid w:val="002E4C23"/>
    <w:rsid w:val="002E4C2D"/>
    <w:rsid w:val="002E4DDB"/>
    <w:rsid w:val="002E4EED"/>
    <w:rsid w:val="002E51B3"/>
    <w:rsid w:val="002E5285"/>
    <w:rsid w:val="002E52B8"/>
    <w:rsid w:val="002E52C2"/>
    <w:rsid w:val="002E5392"/>
    <w:rsid w:val="002E539F"/>
    <w:rsid w:val="002E545A"/>
    <w:rsid w:val="002E558B"/>
    <w:rsid w:val="002E5956"/>
    <w:rsid w:val="002E59C6"/>
    <w:rsid w:val="002E5B1C"/>
    <w:rsid w:val="002E5CE3"/>
    <w:rsid w:val="002E5DEA"/>
    <w:rsid w:val="002E6321"/>
    <w:rsid w:val="002E6497"/>
    <w:rsid w:val="002E64CD"/>
    <w:rsid w:val="002E672B"/>
    <w:rsid w:val="002E6735"/>
    <w:rsid w:val="002E680D"/>
    <w:rsid w:val="002E6B06"/>
    <w:rsid w:val="002E7082"/>
    <w:rsid w:val="002E70E2"/>
    <w:rsid w:val="002E724A"/>
    <w:rsid w:val="002E7333"/>
    <w:rsid w:val="002E7602"/>
    <w:rsid w:val="002E76BC"/>
    <w:rsid w:val="002E7A6F"/>
    <w:rsid w:val="002E7AC1"/>
    <w:rsid w:val="002E7EE8"/>
    <w:rsid w:val="002F0040"/>
    <w:rsid w:val="002F06CE"/>
    <w:rsid w:val="002F078A"/>
    <w:rsid w:val="002F0801"/>
    <w:rsid w:val="002F0A38"/>
    <w:rsid w:val="002F0C5C"/>
    <w:rsid w:val="002F10E7"/>
    <w:rsid w:val="002F11AF"/>
    <w:rsid w:val="002F1596"/>
    <w:rsid w:val="002F15EE"/>
    <w:rsid w:val="002F160C"/>
    <w:rsid w:val="002F179B"/>
    <w:rsid w:val="002F1862"/>
    <w:rsid w:val="002F1881"/>
    <w:rsid w:val="002F1955"/>
    <w:rsid w:val="002F1C18"/>
    <w:rsid w:val="002F1C23"/>
    <w:rsid w:val="002F1FA2"/>
    <w:rsid w:val="002F1FC0"/>
    <w:rsid w:val="002F2355"/>
    <w:rsid w:val="002F2444"/>
    <w:rsid w:val="002F24A0"/>
    <w:rsid w:val="002F2509"/>
    <w:rsid w:val="002F26E6"/>
    <w:rsid w:val="002F281E"/>
    <w:rsid w:val="002F2882"/>
    <w:rsid w:val="002F2CFD"/>
    <w:rsid w:val="002F2E2D"/>
    <w:rsid w:val="002F2F2E"/>
    <w:rsid w:val="002F2F49"/>
    <w:rsid w:val="002F3118"/>
    <w:rsid w:val="002F311E"/>
    <w:rsid w:val="002F3126"/>
    <w:rsid w:val="002F313A"/>
    <w:rsid w:val="002F3169"/>
    <w:rsid w:val="002F31BA"/>
    <w:rsid w:val="002F329F"/>
    <w:rsid w:val="002F3415"/>
    <w:rsid w:val="002F345B"/>
    <w:rsid w:val="002F34CB"/>
    <w:rsid w:val="002F34FF"/>
    <w:rsid w:val="002F3D94"/>
    <w:rsid w:val="002F3E54"/>
    <w:rsid w:val="002F3FF8"/>
    <w:rsid w:val="002F404A"/>
    <w:rsid w:val="002F4170"/>
    <w:rsid w:val="002F41CA"/>
    <w:rsid w:val="002F4241"/>
    <w:rsid w:val="002F42D6"/>
    <w:rsid w:val="002F431B"/>
    <w:rsid w:val="002F4515"/>
    <w:rsid w:val="002F46A7"/>
    <w:rsid w:val="002F4847"/>
    <w:rsid w:val="002F48AB"/>
    <w:rsid w:val="002F48B8"/>
    <w:rsid w:val="002F49C9"/>
    <w:rsid w:val="002F49DD"/>
    <w:rsid w:val="002F4C00"/>
    <w:rsid w:val="002F4C18"/>
    <w:rsid w:val="002F4DDF"/>
    <w:rsid w:val="002F4DFD"/>
    <w:rsid w:val="002F505B"/>
    <w:rsid w:val="002F5281"/>
    <w:rsid w:val="002F5514"/>
    <w:rsid w:val="002F5563"/>
    <w:rsid w:val="002F5A7F"/>
    <w:rsid w:val="002F5D22"/>
    <w:rsid w:val="002F5E1C"/>
    <w:rsid w:val="002F5FEC"/>
    <w:rsid w:val="002F61A4"/>
    <w:rsid w:val="002F626C"/>
    <w:rsid w:val="002F689A"/>
    <w:rsid w:val="002F6A03"/>
    <w:rsid w:val="002F6B91"/>
    <w:rsid w:val="002F6F01"/>
    <w:rsid w:val="002F70CE"/>
    <w:rsid w:val="002F716F"/>
    <w:rsid w:val="002F71B8"/>
    <w:rsid w:val="002F71F4"/>
    <w:rsid w:val="002F7275"/>
    <w:rsid w:val="002F7276"/>
    <w:rsid w:val="002F727F"/>
    <w:rsid w:val="002F7386"/>
    <w:rsid w:val="002F784E"/>
    <w:rsid w:val="002F7914"/>
    <w:rsid w:val="002F7D83"/>
    <w:rsid w:val="002F7DF4"/>
    <w:rsid w:val="0030014C"/>
    <w:rsid w:val="00300718"/>
    <w:rsid w:val="00300785"/>
    <w:rsid w:val="00300960"/>
    <w:rsid w:val="00300A2B"/>
    <w:rsid w:val="00300AE3"/>
    <w:rsid w:val="00300FA5"/>
    <w:rsid w:val="00301035"/>
    <w:rsid w:val="003012A5"/>
    <w:rsid w:val="0030138C"/>
    <w:rsid w:val="003013D3"/>
    <w:rsid w:val="00301420"/>
    <w:rsid w:val="003014BA"/>
    <w:rsid w:val="0030161D"/>
    <w:rsid w:val="00301B28"/>
    <w:rsid w:val="00301C58"/>
    <w:rsid w:val="00301EA1"/>
    <w:rsid w:val="00301F26"/>
    <w:rsid w:val="00302458"/>
    <w:rsid w:val="00302816"/>
    <w:rsid w:val="0030285C"/>
    <w:rsid w:val="00302B23"/>
    <w:rsid w:val="00302CC1"/>
    <w:rsid w:val="00302D61"/>
    <w:rsid w:val="00302FCC"/>
    <w:rsid w:val="0030300C"/>
    <w:rsid w:val="00303421"/>
    <w:rsid w:val="00303748"/>
    <w:rsid w:val="003037A1"/>
    <w:rsid w:val="00303C5C"/>
    <w:rsid w:val="00303D14"/>
    <w:rsid w:val="00303D61"/>
    <w:rsid w:val="0030411B"/>
    <w:rsid w:val="00304248"/>
    <w:rsid w:val="003042D6"/>
    <w:rsid w:val="003043F0"/>
    <w:rsid w:val="0030446B"/>
    <w:rsid w:val="00304A3D"/>
    <w:rsid w:val="00304D9F"/>
    <w:rsid w:val="00304F85"/>
    <w:rsid w:val="0030566D"/>
    <w:rsid w:val="0030586B"/>
    <w:rsid w:val="00305996"/>
    <w:rsid w:val="00305DCD"/>
    <w:rsid w:val="003062AE"/>
    <w:rsid w:val="00306302"/>
    <w:rsid w:val="00306470"/>
    <w:rsid w:val="00306575"/>
    <w:rsid w:val="003067CE"/>
    <w:rsid w:val="00306905"/>
    <w:rsid w:val="00306D5A"/>
    <w:rsid w:val="00306D8B"/>
    <w:rsid w:val="00306E36"/>
    <w:rsid w:val="003071E5"/>
    <w:rsid w:val="003072ED"/>
    <w:rsid w:val="00307319"/>
    <w:rsid w:val="0030732D"/>
    <w:rsid w:val="0030757C"/>
    <w:rsid w:val="00307840"/>
    <w:rsid w:val="003079B5"/>
    <w:rsid w:val="00307BC7"/>
    <w:rsid w:val="00307BEE"/>
    <w:rsid w:val="00307EAD"/>
    <w:rsid w:val="00307FAA"/>
    <w:rsid w:val="003100C5"/>
    <w:rsid w:val="003100C7"/>
    <w:rsid w:val="003101A1"/>
    <w:rsid w:val="0031033B"/>
    <w:rsid w:val="00310410"/>
    <w:rsid w:val="003106EB"/>
    <w:rsid w:val="00310894"/>
    <w:rsid w:val="00310A3D"/>
    <w:rsid w:val="00310B3F"/>
    <w:rsid w:val="00310BEF"/>
    <w:rsid w:val="00310D85"/>
    <w:rsid w:val="00310DD0"/>
    <w:rsid w:val="00310E37"/>
    <w:rsid w:val="00310F9E"/>
    <w:rsid w:val="0031157E"/>
    <w:rsid w:val="0031199A"/>
    <w:rsid w:val="003119FD"/>
    <w:rsid w:val="00311AD4"/>
    <w:rsid w:val="00311EC3"/>
    <w:rsid w:val="003121B9"/>
    <w:rsid w:val="00312393"/>
    <w:rsid w:val="003123EC"/>
    <w:rsid w:val="003125E3"/>
    <w:rsid w:val="003126C2"/>
    <w:rsid w:val="00312828"/>
    <w:rsid w:val="003128BF"/>
    <w:rsid w:val="00312CB9"/>
    <w:rsid w:val="003133AB"/>
    <w:rsid w:val="003137E5"/>
    <w:rsid w:val="0031393F"/>
    <w:rsid w:val="00313DF0"/>
    <w:rsid w:val="00313FCF"/>
    <w:rsid w:val="00314237"/>
    <w:rsid w:val="00314331"/>
    <w:rsid w:val="003146C4"/>
    <w:rsid w:val="0031480D"/>
    <w:rsid w:val="003148CA"/>
    <w:rsid w:val="00314B44"/>
    <w:rsid w:val="00314B4A"/>
    <w:rsid w:val="00314BFC"/>
    <w:rsid w:val="00314C09"/>
    <w:rsid w:val="00314C54"/>
    <w:rsid w:val="00314C64"/>
    <w:rsid w:val="00314DF0"/>
    <w:rsid w:val="00314F4A"/>
    <w:rsid w:val="00314F5A"/>
    <w:rsid w:val="003151A1"/>
    <w:rsid w:val="003151B8"/>
    <w:rsid w:val="003151D4"/>
    <w:rsid w:val="003151D8"/>
    <w:rsid w:val="00315404"/>
    <w:rsid w:val="00315408"/>
    <w:rsid w:val="00315514"/>
    <w:rsid w:val="003157BF"/>
    <w:rsid w:val="0031591A"/>
    <w:rsid w:val="00315A1B"/>
    <w:rsid w:val="00315B49"/>
    <w:rsid w:val="00315C96"/>
    <w:rsid w:val="00315FC8"/>
    <w:rsid w:val="0031619E"/>
    <w:rsid w:val="003162EB"/>
    <w:rsid w:val="003166C5"/>
    <w:rsid w:val="00316905"/>
    <w:rsid w:val="00316967"/>
    <w:rsid w:val="00316FA1"/>
    <w:rsid w:val="0031743C"/>
    <w:rsid w:val="0031759F"/>
    <w:rsid w:val="003177BD"/>
    <w:rsid w:val="003177CD"/>
    <w:rsid w:val="00317839"/>
    <w:rsid w:val="00317956"/>
    <w:rsid w:val="00317CE6"/>
    <w:rsid w:val="00317E18"/>
    <w:rsid w:val="00320359"/>
    <w:rsid w:val="003203BB"/>
    <w:rsid w:val="003208AE"/>
    <w:rsid w:val="00320D10"/>
    <w:rsid w:val="00320DBF"/>
    <w:rsid w:val="00320DEF"/>
    <w:rsid w:val="00320E81"/>
    <w:rsid w:val="00320F82"/>
    <w:rsid w:val="00321086"/>
    <w:rsid w:val="003211A8"/>
    <w:rsid w:val="00321266"/>
    <w:rsid w:val="003212A2"/>
    <w:rsid w:val="00321352"/>
    <w:rsid w:val="003213F3"/>
    <w:rsid w:val="00321437"/>
    <w:rsid w:val="00321637"/>
    <w:rsid w:val="003216A6"/>
    <w:rsid w:val="003217E2"/>
    <w:rsid w:val="00321A14"/>
    <w:rsid w:val="00321AA5"/>
    <w:rsid w:val="00321CE0"/>
    <w:rsid w:val="00322336"/>
    <w:rsid w:val="003228D1"/>
    <w:rsid w:val="00322F73"/>
    <w:rsid w:val="00323059"/>
    <w:rsid w:val="003230EF"/>
    <w:rsid w:val="0032310A"/>
    <w:rsid w:val="00323A80"/>
    <w:rsid w:val="00323A81"/>
    <w:rsid w:val="00323AB5"/>
    <w:rsid w:val="00323CDD"/>
    <w:rsid w:val="00323D97"/>
    <w:rsid w:val="00324141"/>
    <w:rsid w:val="003244EE"/>
    <w:rsid w:val="003249B4"/>
    <w:rsid w:val="00324B79"/>
    <w:rsid w:val="003250F8"/>
    <w:rsid w:val="003252BC"/>
    <w:rsid w:val="0032531F"/>
    <w:rsid w:val="003253EC"/>
    <w:rsid w:val="003254ED"/>
    <w:rsid w:val="0032556E"/>
    <w:rsid w:val="00325654"/>
    <w:rsid w:val="00325816"/>
    <w:rsid w:val="00325937"/>
    <w:rsid w:val="00325CAA"/>
    <w:rsid w:val="00325ED8"/>
    <w:rsid w:val="003265CF"/>
    <w:rsid w:val="003265D1"/>
    <w:rsid w:val="00326952"/>
    <w:rsid w:val="00327088"/>
    <w:rsid w:val="0032726B"/>
    <w:rsid w:val="003272CE"/>
    <w:rsid w:val="003272F2"/>
    <w:rsid w:val="003272F5"/>
    <w:rsid w:val="003273BA"/>
    <w:rsid w:val="003273F7"/>
    <w:rsid w:val="003273F9"/>
    <w:rsid w:val="00327761"/>
    <w:rsid w:val="00327810"/>
    <w:rsid w:val="0032796A"/>
    <w:rsid w:val="00327A77"/>
    <w:rsid w:val="00327E98"/>
    <w:rsid w:val="0033042E"/>
    <w:rsid w:val="00330575"/>
    <w:rsid w:val="003306DA"/>
    <w:rsid w:val="00330B80"/>
    <w:rsid w:val="00330C1C"/>
    <w:rsid w:val="00330DDE"/>
    <w:rsid w:val="003312B3"/>
    <w:rsid w:val="00331351"/>
    <w:rsid w:val="0033177F"/>
    <w:rsid w:val="00331A16"/>
    <w:rsid w:val="00331C75"/>
    <w:rsid w:val="00331F1C"/>
    <w:rsid w:val="00332017"/>
    <w:rsid w:val="003321C9"/>
    <w:rsid w:val="0033254D"/>
    <w:rsid w:val="00332A4B"/>
    <w:rsid w:val="00332B22"/>
    <w:rsid w:val="003330F5"/>
    <w:rsid w:val="003336CE"/>
    <w:rsid w:val="00333711"/>
    <w:rsid w:val="00333A92"/>
    <w:rsid w:val="00333C84"/>
    <w:rsid w:val="00333CBC"/>
    <w:rsid w:val="00333DC8"/>
    <w:rsid w:val="00333EC9"/>
    <w:rsid w:val="00333F81"/>
    <w:rsid w:val="00334058"/>
    <w:rsid w:val="00334172"/>
    <w:rsid w:val="0033450E"/>
    <w:rsid w:val="0033474A"/>
    <w:rsid w:val="003348FA"/>
    <w:rsid w:val="003348FF"/>
    <w:rsid w:val="0033491A"/>
    <w:rsid w:val="0033492F"/>
    <w:rsid w:val="003349A6"/>
    <w:rsid w:val="003349A9"/>
    <w:rsid w:val="00334A4F"/>
    <w:rsid w:val="00334ACF"/>
    <w:rsid w:val="00334CAC"/>
    <w:rsid w:val="00334E5B"/>
    <w:rsid w:val="003350B3"/>
    <w:rsid w:val="00335175"/>
    <w:rsid w:val="00335705"/>
    <w:rsid w:val="0033588E"/>
    <w:rsid w:val="003359BE"/>
    <w:rsid w:val="00335A14"/>
    <w:rsid w:val="00335B5D"/>
    <w:rsid w:val="00335B78"/>
    <w:rsid w:val="00335B98"/>
    <w:rsid w:val="00335C2C"/>
    <w:rsid w:val="00335CC2"/>
    <w:rsid w:val="00335D6D"/>
    <w:rsid w:val="00335E45"/>
    <w:rsid w:val="00335FB6"/>
    <w:rsid w:val="003362D1"/>
    <w:rsid w:val="00336416"/>
    <w:rsid w:val="003365C8"/>
    <w:rsid w:val="00336700"/>
    <w:rsid w:val="00336DED"/>
    <w:rsid w:val="00336DF9"/>
    <w:rsid w:val="00336E9E"/>
    <w:rsid w:val="003372C3"/>
    <w:rsid w:val="0033730E"/>
    <w:rsid w:val="00337314"/>
    <w:rsid w:val="0033742D"/>
    <w:rsid w:val="003374F3"/>
    <w:rsid w:val="00337636"/>
    <w:rsid w:val="0033794A"/>
    <w:rsid w:val="00337D96"/>
    <w:rsid w:val="00337E2A"/>
    <w:rsid w:val="00337E54"/>
    <w:rsid w:val="00337E80"/>
    <w:rsid w:val="00337FA6"/>
    <w:rsid w:val="00340088"/>
    <w:rsid w:val="00340401"/>
    <w:rsid w:val="003406DC"/>
    <w:rsid w:val="003407DE"/>
    <w:rsid w:val="0034093B"/>
    <w:rsid w:val="00340985"/>
    <w:rsid w:val="00340BAF"/>
    <w:rsid w:val="00340F10"/>
    <w:rsid w:val="00340F2F"/>
    <w:rsid w:val="00341212"/>
    <w:rsid w:val="00341681"/>
    <w:rsid w:val="003419C6"/>
    <w:rsid w:val="00341A14"/>
    <w:rsid w:val="00341E90"/>
    <w:rsid w:val="00341F7C"/>
    <w:rsid w:val="0034209D"/>
    <w:rsid w:val="003420E1"/>
    <w:rsid w:val="003422E5"/>
    <w:rsid w:val="003423B6"/>
    <w:rsid w:val="003423E0"/>
    <w:rsid w:val="003424B5"/>
    <w:rsid w:val="0034252C"/>
    <w:rsid w:val="003429D1"/>
    <w:rsid w:val="00342AF1"/>
    <w:rsid w:val="00342C96"/>
    <w:rsid w:val="00343164"/>
    <w:rsid w:val="003431F2"/>
    <w:rsid w:val="003435F8"/>
    <w:rsid w:val="003436C5"/>
    <w:rsid w:val="003437DA"/>
    <w:rsid w:val="00343830"/>
    <w:rsid w:val="00343C69"/>
    <w:rsid w:val="00343E2E"/>
    <w:rsid w:val="00344116"/>
    <w:rsid w:val="0034416B"/>
    <w:rsid w:val="0034440B"/>
    <w:rsid w:val="00344480"/>
    <w:rsid w:val="00344586"/>
    <w:rsid w:val="0034477E"/>
    <w:rsid w:val="00344A3B"/>
    <w:rsid w:val="00344F8A"/>
    <w:rsid w:val="0034505C"/>
    <w:rsid w:val="00345275"/>
    <w:rsid w:val="003452C9"/>
    <w:rsid w:val="0034560F"/>
    <w:rsid w:val="0034587B"/>
    <w:rsid w:val="00345B9C"/>
    <w:rsid w:val="00345C51"/>
    <w:rsid w:val="00345DFA"/>
    <w:rsid w:val="00345E01"/>
    <w:rsid w:val="0034605F"/>
    <w:rsid w:val="003462D0"/>
    <w:rsid w:val="0034631F"/>
    <w:rsid w:val="00346505"/>
    <w:rsid w:val="003466D1"/>
    <w:rsid w:val="003466DD"/>
    <w:rsid w:val="003468AD"/>
    <w:rsid w:val="00346B4D"/>
    <w:rsid w:val="00346BA4"/>
    <w:rsid w:val="00346D23"/>
    <w:rsid w:val="00346EF3"/>
    <w:rsid w:val="00346FC1"/>
    <w:rsid w:val="0034736D"/>
    <w:rsid w:val="00347437"/>
    <w:rsid w:val="00347450"/>
    <w:rsid w:val="003475BA"/>
    <w:rsid w:val="003475F7"/>
    <w:rsid w:val="003478E6"/>
    <w:rsid w:val="0034798E"/>
    <w:rsid w:val="00347FA0"/>
    <w:rsid w:val="00350003"/>
    <w:rsid w:val="00350021"/>
    <w:rsid w:val="0035045D"/>
    <w:rsid w:val="00350543"/>
    <w:rsid w:val="00350552"/>
    <w:rsid w:val="003505A9"/>
    <w:rsid w:val="003509DB"/>
    <w:rsid w:val="00350A4F"/>
    <w:rsid w:val="00350C08"/>
    <w:rsid w:val="00350FC8"/>
    <w:rsid w:val="0035102F"/>
    <w:rsid w:val="00351284"/>
    <w:rsid w:val="00351381"/>
    <w:rsid w:val="003514FE"/>
    <w:rsid w:val="0035151F"/>
    <w:rsid w:val="00351601"/>
    <w:rsid w:val="00351691"/>
    <w:rsid w:val="00351824"/>
    <w:rsid w:val="00351B77"/>
    <w:rsid w:val="00351C67"/>
    <w:rsid w:val="00351CE2"/>
    <w:rsid w:val="00352247"/>
    <w:rsid w:val="003522B8"/>
    <w:rsid w:val="00352C41"/>
    <w:rsid w:val="003530A6"/>
    <w:rsid w:val="003530B0"/>
    <w:rsid w:val="003530D0"/>
    <w:rsid w:val="003533D6"/>
    <w:rsid w:val="00353467"/>
    <w:rsid w:val="003534B5"/>
    <w:rsid w:val="00353557"/>
    <w:rsid w:val="00353627"/>
    <w:rsid w:val="003537CE"/>
    <w:rsid w:val="00353832"/>
    <w:rsid w:val="00353BCA"/>
    <w:rsid w:val="00353E33"/>
    <w:rsid w:val="0035435F"/>
    <w:rsid w:val="003544A7"/>
    <w:rsid w:val="00354564"/>
    <w:rsid w:val="003548B8"/>
    <w:rsid w:val="003552B2"/>
    <w:rsid w:val="00355773"/>
    <w:rsid w:val="003559D3"/>
    <w:rsid w:val="00355A4D"/>
    <w:rsid w:val="00355A68"/>
    <w:rsid w:val="00355AAC"/>
    <w:rsid w:val="00355BD0"/>
    <w:rsid w:val="00355C44"/>
    <w:rsid w:val="00355F72"/>
    <w:rsid w:val="00356100"/>
    <w:rsid w:val="0035626C"/>
    <w:rsid w:val="003562E2"/>
    <w:rsid w:val="003564A2"/>
    <w:rsid w:val="00356870"/>
    <w:rsid w:val="00356E2C"/>
    <w:rsid w:val="00357031"/>
    <w:rsid w:val="00357064"/>
    <w:rsid w:val="00357066"/>
    <w:rsid w:val="00357082"/>
    <w:rsid w:val="00357196"/>
    <w:rsid w:val="003573FD"/>
    <w:rsid w:val="00357657"/>
    <w:rsid w:val="003577ED"/>
    <w:rsid w:val="00357A2B"/>
    <w:rsid w:val="00357E32"/>
    <w:rsid w:val="00357FB1"/>
    <w:rsid w:val="0036001A"/>
    <w:rsid w:val="00360157"/>
    <w:rsid w:val="003602DF"/>
    <w:rsid w:val="003602ED"/>
    <w:rsid w:val="003604CB"/>
    <w:rsid w:val="003605BA"/>
    <w:rsid w:val="0036080A"/>
    <w:rsid w:val="00360979"/>
    <w:rsid w:val="00360A6D"/>
    <w:rsid w:val="00360AA4"/>
    <w:rsid w:val="00360BCC"/>
    <w:rsid w:val="00360F71"/>
    <w:rsid w:val="00361302"/>
    <w:rsid w:val="0036135E"/>
    <w:rsid w:val="00361495"/>
    <w:rsid w:val="00361951"/>
    <w:rsid w:val="00361B2B"/>
    <w:rsid w:val="00361B3C"/>
    <w:rsid w:val="00361BEF"/>
    <w:rsid w:val="00361C0F"/>
    <w:rsid w:val="00361C59"/>
    <w:rsid w:val="00361CD6"/>
    <w:rsid w:val="00361D71"/>
    <w:rsid w:val="0036238C"/>
    <w:rsid w:val="00362462"/>
    <w:rsid w:val="00362499"/>
    <w:rsid w:val="003625A7"/>
    <w:rsid w:val="003628C2"/>
    <w:rsid w:val="003629FE"/>
    <w:rsid w:val="00362B55"/>
    <w:rsid w:val="00362C39"/>
    <w:rsid w:val="00362D74"/>
    <w:rsid w:val="00362D7C"/>
    <w:rsid w:val="00362E21"/>
    <w:rsid w:val="00362FE8"/>
    <w:rsid w:val="0036300D"/>
    <w:rsid w:val="0036344C"/>
    <w:rsid w:val="00363487"/>
    <w:rsid w:val="0036361F"/>
    <w:rsid w:val="00363665"/>
    <w:rsid w:val="00363861"/>
    <w:rsid w:val="00363931"/>
    <w:rsid w:val="003639A6"/>
    <w:rsid w:val="00363A48"/>
    <w:rsid w:val="00363E2B"/>
    <w:rsid w:val="00364223"/>
    <w:rsid w:val="00364260"/>
    <w:rsid w:val="003643F0"/>
    <w:rsid w:val="003645D5"/>
    <w:rsid w:val="00364809"/>
    <w:rsid w:val="0036490D"/>
    <w:rsid w:val="00364BAD"/>
    <w:rsid w:val="00364FC9"/>
    <w:rsid w:val="00365020"/>
    <w:rsid w:val="003654B7"/>
    <w:rsid w:val="00365500"/>
    <w:rsid w:val="003657F0"/>
    <w:rsid w:val="0036595B"/>
    <w:rsid w:val="00365B44"/>
    <w:rsid w:val="00365DA4"/>
    <w:rsid w:val="00365DC3"/>
    <w:rsid w:val="00365E15"/>
    <w:rsid w:val="00365FA4"/>
    <w:rsid w:val="0036603A"/>
    <w:rsid w:val="003660DA"/>
    <w:rsid w:val="003661DE"/>
    <w:rsid w:val="00366426"/>
    <w:rsid w:val="00366755"/>
    <w:rsid w:val="003667CC"/>
    <w:rsid w:val="00366ED5"/>
    <w:rsid w:val="003671D8"/>
    <w:rsid w:val="003671EE"/>
    <w:rsid w:val="00367287"/>
    <w:rsid w:val="003672D9"/>
    <w:rsid w:val="0036740A"/>
    <w:rsid w:val="0036773B"/>
    <w:rsid w:val="0036779C"/>
    <w:rsid w:val="003679AE"/>
    <w:rsid w:val="00367B4A"/>
    <w:rsid w:val="00367B53"/>
    <w:rsid w:val="00367E92"/>
    <w:rsid w:val="00367ECB"/>
    <w:rsid w:val="00367F95"/>
    <w:rsid w:val="00367FEA"/>
    <w:rsid w:val="00370688"/>
    <w:rsid w:val="00370697"/>
    <w:rsid w:val="00370A2B"/>
    <w:rsid w:val="00370B76"/>
    <w:rsid w:val="00370BE0"/>
    <w:rsid w:val="00370C27"/>
    <w:rsid w:val="0037109C"/>
    <w:rsid w:val="003711BB"/>
    <w:rsid w:val="003712F0"/>
    <w:rsid w:val="0037137F"/>
    <w:rsid w:val="0037143F"/>
    <w:rsid w:val="00371454"/>
    <w:rsid w:val="00371474"/>
    <w:rsid w:val="003714BA"/>
    <w:rsid w:val="003714F2"/>
    <w:rsid w:val="00371CC5"/>
    <w:rsid w:val="00372747"/>
    <w:rsid w:val="00372858"/>
    <w:rsid w:val="00372B34"/>
    <w:rsid w:val="00372C3B"/>
    <w:rsid w:val="00373273"/>
    <w:rsid w:val="003733BA"/>
    <w:rsid w:val="00373617"/>
    <w:rsid w:val="003736F7"/>
    <w:rsid w:val="00373CE2"/>
    <w:rsid w:val="00373DF6"/>
    <w:rsid w:val="00374132"/>
    <w:rsid w:val="0037425F"/>
    <w:rsid w:val="0037430C"/>
    <w:rsid w:val="003745B6"/>
    <w:rsid w:val="00374770"/>
    <w:rsid w:val="003747ED"/>
    <w:rsid w:val="003749D9"/>
    <w:rsid w:val="00374BAC"/>
    <w:rsid w:val="00374BEC"/>
    <w:rsid w:val="00374C7A"/>
    <w:rsid w:val="00374CB5"/>
    <w:rsid w:val="00374D9A"/>
    <w:rsid w:val="00374DB5"/>
    <w:rsid w:val="00374E43"/>
    <w:rsid w:val="00375008"/>
    <w:rsid w:val="003750C1"/>
    <w:rsid w:val="003751AA"/>
    <w:rsid w:val="003751AE"/>
    <w:rsid w:val="00375229"/>
    <w:rsid w:val="00375804"/>
    <w:rsid w:val="00375AAC"/>
    <w:rsid w:val="00375AD8"/>
    <w:rsid w:val="00375BBF"/>
    <w:rsid w:val="00375E81"/>
    <w:rsid w:val="00376007"/>
    <w:rsid w:val="00376372"/>
    <w:rsid w:val="003763F0"/>
    <w:rsid w:val="003764B0"/>
    <w:rsid w:val="003764DE"/>
    <w:rsid w:val="003765D8"/>
    <w:rsid w:val="003766BA"/>
    <w:rsid w:val="003766BC"/>
    <w:rsid w:val="00376875"/>
    <w:rsid w:val="00376AB0"/>
    <w:rsid w:val="00376C09"/>
    <w:rsid w:val="00376DA0"/>
    <w:rsid w:val="003770E7"/>
    <w:rsid w:val="003773C3"/>
    <w:rsid w:val="00377DA2"/>
    <w:rsid w:val="00377F57"/>
    <w:rsid w:val="00377FEF"/>
    <w:rsid w:val="00377FF9"/>
    <w:rsid w:val="003802AE"/>
    <w:rsid w:val="00380A9C"/>
    <w:rsid w:val="00380CC8"/>
    <w:rsid w:val="00381241"/>
    <w:rsid w:val="0038130D"/>
    <w:rsid w:val="0038135E"/>
    <w:rsid w:val="00381504"/>
    <w:rsid w:val="0038152A"/>
    <w:rsid w:val="00381624"/>
    <w:rsid w:val="00381683"/>
    <w:rsid w:val="00381C5D"/>
    <w:rsid w:val="00381C8F"/>
    <w:rsid w:val="00381CAC"/>
    <w:rsid w:val="00381CEE"/>
    <w:rsid w:val="00381DB6"/>
    <w:rsid w:val="00381EB9"/>
    <w:rsid w:val="003821F6"/>
    <w:rsid w:val="003823E6"/>
    <w:rsid w:val="0038281C"/>
    <w:rsid w:val="00382832"/>
    <w:rsid w:val="00382DDE"/>
    <w:rsid w:val="00382EDA"/>
    <w:rsid w:val="00382F3C"/>
    <w:rsid w:val="00383191"/>
    <w:rsid w:val="003831D7"/>
    <w:rsid w:val="003835BF"/>
    <w:rsid w:val="00383AC9"/>
    <w:rsid w:val="00383AD2"/>
    <w:rsid w:val="00383D56"/>
    <w:rsid w:val="00383FB4"/>
    <w:rsid w:val="00384064"/>
    <w:rsid w:val="003841BC"/>
    <w:rsid w:val="003841D4"/>
    <w:rsid w:val="0038464E"/>
    <w:rsid w:val="003846AD"/>
    <w:rsid w:val="003846E4"/>
    <w:rsid w:val="0038478F"/>
    <w:rsid w:val="0038488F"/>
    <w:rsid w:val="00384A85"/>
    <w:rsid w:val="00384ABE"/>
    <w:rsid w:val="00384B51"/>
    <w:rsid w:val="00384CBF"/>
    <w:rsid w:val="00384FAB"/>
    <w:rsid w:val="0038516B"/>
    <w:rsid w:val="00385450"/>
    <w:rsid w:val="00385A64"/>
    <w:rsid w:val="00385B42"/>
    <w:rsid w:val="00385CB9"/>
    <w:rsid w:val="00385D0F"/>
    <w:rsid w:val="00385DEE"/>
    <w:rsid w:val="00385E3A"/>
    <w:rsid w:val="0038607C"/>
    <w:rsid w:val="0038631B"/>
    <w:rsid w:val="00386387"/>
    <w:rsid w:val="00386745"/>
    <w:rsid w:val="00386BBE"/>
    <w:rsid w:val="00386D1A"/>
    <w:rsid w:val="003873DA"/>
    <w:rsid w:val="00387447"/>
    <w:rsid w:val="00387602"/>
    <w:rsid w:val="003879E5"/>
    <w:rsid w:val="00387B99"/>
    <w:rsid w:val="00387BD0"/>
    <w:rsid w:val="00387D58"/>
    <w:rsid w:val="00387DA7"/>
    <w:rsid w:val="00387F00"/>
    <w:rsid w:val="0038C535"/>
    <w:rsid w:val="00390006"/>
    <w:rsid w:val="0039001F"/>
    <w:rsid w:val="003901A6"/>
    <w:rsid w:val="003901B8"/>
    <w:rsid w:val="003901BE"/>
    <w:rsid w:val="0039034D"/>
    <w:rsid w:val="0039045D"/>
    <w:rsid w:val="003904B4"/>
    <w:rsid w:val="00390809"/>
    <w:rsid w:val="003909D3"/>
    <w:rsid w:val="00390A98"/>
    <w:rsid w:val="00390BEC"/>
    <w:rsid w:val="00390C76"/>
    <w:rsid w:val="00390D1B"/>
    <w:rsid w:val="00390E23"/>
    <w:rsid w:val="00390E76"/>
    <w:rsid w:val="00390FEB"/>
    <w:rsid w:val="003911B7"/>
    <w:rsid w:val="00391479"/>
    <w:rsid w:val="0039175A"/>
    <w:rsid w:val="0039182E"/>
    <w:rsid w:val="00391CA6"/>
    <w:rsid w:val="003920F8"/>
    <w:rsid w:val="0039257F"/>
    <w:rsid w:val="00392BE8"/>
    <w:rsid w:val="00392C63"/>
    <w:rsid w:val="00392D14"/>
    <w:rsid w:val="00392ED5"/>
    <w:rsid w:val="0039325A"/>
    <w:rsid w:val="0039326C"/>
    <w:rsid w:val="003933E6"/>
    <w:rsid w:val="0039342B"/>
    <w:rsid w:val="0039343D"/>
    <w:rsid w:val="003936E7"/>
    <w:rsid w:val="00393C5C"/>
    <w:rsid w:val="00393C6F"/>
    <w:rsid w:val="00393F99"/>
    <w:rsid w:val="0039430E"/>
    <w:rsid w:val="003944BA"/>
    <w:rsid w:val="0039451D"/>
    <w:rsid w:val="00394616"/>
    <w:rsid w:val="0039485B"/>
    <w:rsid w:val="00394BE7"/>
    <w:rsid w:val="00394C83"/>
    <w:rsid w:val="00394D95"/>
    <w:rsid w:val="00394E65"/>
    <w:rsid w:val="003950ED"/>
    <w:rsid w:val="00395138"/>
    <w:rsid w:val="003952B8"/>
    <w:rsid w:val="003952E0"/>
    <w:rsid w:val="0039537D"/>
    <w:rsid w:val="003953F9"/>
    <w:rsid w:val="0039557B"/>
    <w:rsid w:val="00395613"/>
    <w:rsid w:val="00395711"/>
    <w:rsid w:val="003958D7"/>
    <w:rsid w:val="0039595C"/>
    <w:rsid w:val="00395A51"/>
    <w:rsid w:val="00395CC4"/>
    <w:rsid w:val="00395DDA"/>
    <w:rsid w:val="0039606A"/>
    <w:rsid w:val="00396180"/>
    <w:rsid w:val="00396183"/>
    <w:rsid w:val="00396339"/>
    <w:rsid w:val="003964FC"/>
    <w:rsid w:val="00396625"/>
    <w:rsid w:val="00396CDF"/>
    <w:rsid w:val="00396D05"/>
    <w:rsid w:val="00396E18"/>
    <w:rsid w:val="00397141"/>
    <w:rsid w:val="00397170"/>
    <w:rsid w:val="003978D8"/>
    <w:rsid w:val="0039791F"/>
    <w:rsid w:val="00397C75"/>
    <w:rsid w:val="00397D93"/>
    <w:rsid w:val="00397ED9"/>
    <w:rsid w:val="003A0017"/>
    <w:rsid w:val="003A0021"/>
    <w:rsid w:val="003A030F"/>
    <w:rsid w:val="003A04B8"/>
    <w:rsid w:val="003A076A"/>
    <w:rsid w:val="003A08BA"/>
    <w:rsid w:val="003A096A"/>
    <w:rsid w:val="003A0AD2"/>
    <w:rsid w:val="003A0C4A"/>
    <w:rsid w:val="003A0EDC"/>
    <w:rsid w:val="003A126E"/>
    <w:rsid w:val="003A13B9"/>
    <w:rsid w:val="003A1413"/>
    <w:rsid w:val="003A18CB"/>
    <w:rsid w:val="003A190F"/>
    <w:rsid w:val="003A1944"/>
    <w:rsid w:val="003A19FA"/>
    <w:rsid w:val="003A1E77"/>
    <w:rsid w:val="003A1FFC"/>
    <w:rsid w:val="003A207E"/>
    <w:rsid w:val="003A21AC"/>
    <w:rsid w:val="003A21FB"/>
    <w:rsid w:val="003A228A"/>
    <w:rsid w:val="003A2547"/>
    <w:rsid w:val="003A2A22"/>
    <w:rsid w:val="003A2E6B"/>
    <w:rsid w:val="003A2EC6"/>
    <w:rsid w:val="003A2FC0"/>
    <w:rsid w:val="003A2FF0"/>
    <w:rsid w:val="003A32A0"/>
    <w:rsid w:val="003A33B6"/>
    <w:rsid w:val="003A3433"/>
    <w:rsid w:val="003A34C5"/>
    <w:rsid w:val="003A3509"/>
    <w:rsid w:val="003A3582"/>
    <w:rsid w:val="003A37E4"/>
    <w:rsid w:val="003A3809"/>
    <w:rsid w:val="003A3A81"/>
    <w:rsid w:val="003A3AD2"/>
    <w:rsid w:val="003A3B75"/>
    <w:rsid w:val="003A3E03"/>
    <w:rsid w:val="003A3FA8"/>
    <w:rsid w:val="003A4196"/>
    <w:rsid w:val="003A42AD"/>
    <w:rsid w:val="003A4324"/>
    <w:rsid w:val="003A4461"/>
    <w:rsid w:val="003A4491"/>
    <w:rsid w:val="003A46D1"/>
    <w:rsid w:val="003A488B"/>
    <w:rsid w:val="003A4948"/>
    <w:rsid w:val="003A4D62"/>
    <w:rsid w:val="003A4E8A"/>
    <w:rsid w:val="003A4FBA"/>
    <w:rsid w:val="003A517E"/>
    <w:rsid w:val="003A52C4"/>
    <w:rsid w:val="003A537E"/>
    <w:rsid w:val="003A53B4"/>
    <w:rsid w:val="003A567E"/>
    <w:rsid w:val="003A5723"/>
    <w:rsid w:val="003A585A"/>
    <w:rsid w:val="003A598C"/>
    <w:rsid w:val="003A5B06"/>
    <w:rsid w:val="003A5B3A"/>
    <w:rsid w:val="003A5E4F"/>
    <w:rsid w:val="003A5ECB"/>
    <w:rsid w:val="003A5ED5"/>
    <w:rsid w:val="003A601E"/>
    <w:rsid w:val="003A6433"/>
    <w:rsid w:val="003A643A"/>
    <w:rsid w:val="003A660F"/>
    <w:rsid w:val="003A6631"/>
    <w:rsid w:val="003A693E"/>
    <w:rsid w:val="003A6988"/>
    <w:rsid w:val="003A6AE8"/>
    <w:rsid w:val="003A72C5"/>
    <w:rsid w:val="003A7366"/>
    <w:rsid w:val="003A7595"/>
    <w:rsid w:val="003A75DD"/>
    <w:rsid w:val="003A76AC"/>
    <w:rsid w:val="003A79A4"/>
    <w:rsid w:val="003AED88"/>
    <w:rsid w:val="003B068A"/>
    <w:rsid w:val="003B090C"/>
    <w:rsid w:val="003B095E"/>
    <w:rsid w:val="003B0C0A"/>
    <w:rsid w:val="003B0CA5"/>
    <w:rsid w:val="003B0EB4"/>
    <w:rsid w:val="003B11EF"/>
    <w:rsid w:val="003B124F"/>
    <w:rsid w:val="003B16CC"/>
    <w:rsid w:val="003B180A"/>
    <w:rsid w:val="003B19AF"/>
    <w:rsid w:val="003B19CA"/>
    <w:rsid w:val="003B1D2B"/>
    <w:rsid w:val="003B1D87"/>
    <w:rsid w:val="003B1DBE"/>
    <w:rsid w:val="003B1FD2"/>
    <w:rsid w:val="003B244F"/>
    <w:rsid w:val="003B2B7C"/>
    <w:rsid w:val="003B2C6C"/>
    <w:rsid w:val="003B2D60"/>
    <w:rsid w:val="003B2F38"/>
    <w:rsid w:val="003B30DD"/>
    <w:rsid w:val="003B370B"/>
    <w:rsid w:val="003B3873"/>
    <w:rsid w:val="003B389C"/>
    <w:rsid w:val="003B398F"/>
    <w:rsid w:val="003B3A3E"/>
    <w:rsid w:val="003B3A5B"/>
    <w:rsid w:val="003B3B73"/>
    <w:rsid w:val="003B3C35"/>
    <w:rsid w:val="003B3CC0"/>
    <w:rsid w:val="003B3D91"/>
    <w:rsid w:val="003B3E5B"/>
    <w:rsid w:val="003B3E9C"/>
    <w:rsid w:val="003B4042"/>
    <w:rsid w:val="003B40E5"/>
    <w:rsid w:val="003B41E8"/>
    <w:rsid w:val="003B424A"/>
    <w:rsid w:val="003B4302"/>
    <w:rsid w:val="003B4396"/>
    <w:rsid w:val="003B4480"/>
    <w:rsid w:val="003B4549"/>
    <w:rsid w:val="003B456A"/>
    <w:rsid w:val="003B4570"/>
    <w:rsid w:val="003B478B"/>
    <w:rsid w:val="003B4A9C"/>
    <w:rsid w:val="003B4B87"/>
    <w:rsid w:val="003B4C29"/>
    <w:rsid w:val="003B4E6C"/>
    <w:rsid w:val="003B4E9A"/>
    <w:rsid w:val="003B5081"/>
    <w:rsid w:val="003B525E"/>
    <w:rsid w:val="003B5290"/>
    <w:rsid w:val="003B541A"/>
    <w:rsid w:val="003B56E9"/>
    <w:rsid w:val="003B5871"/>
    <w:rsid w:val="003B591E"/>
    <w:rsid w:val="003B5C97"/>
    <w:rsid w:val="003B5CEA"/>
    <w:rsid w:val="003B5EE0"/>
    <w:rsid w:val="003B61E6"/>
    <w:rsid w:val="003B6330"/>
    <w:rsid w:val="003B6346"/>
    <w:rsid w:val="003B651D"/>
    <w:rsid w:val="003B66E3"/>
    <w:rsid w:val="003B6810"/>
    <w:rsid w:val="003B6906"/>
    <w:rsid w:val="003B6C07"/>
    <w:rsid w:val="003B6EDC"/>
    <w:rsid w:val="003B7150"/>
    <w:rsid w:val="003B7303"/>
    <w:rsid w:val="003B733F"/>
    <w:rsid w:val="003B735F"/>
    <w:rsid w:val="003B7544"/>
    <w:rsid w:val="003B7656"/>
    <w:rsid w:val="003B772F"/>
    <w:rsid w:val="003B778B"/>
    <w:rsid w:val="003B78D9"/>
    <w:rsid w:val="003B7CDA"/>
    <w:rsid w:val="003B7E6B"/>
    <w:rsid w:val="003C00D2"/>
    <w:rsid w:val="003C0127"/>
    <w:rsid w:val="003C0135"/>
    <w:rsid w:val="003C01F4"/>
    <w:rsid w:val="003C03AE"/>
    <w:rsid w:val="003C04FA"/>
    <w:rsid w:val="003C055D"/>
    <w:rsid w:val="003C056C"/>
    <w:rsid w:val="003C05DD"/>
    <w:rsid w:val="003C07C9"/>
    <w:rsid w:val="003C0ADF"/>
    <w:rsid w:val="003C0DE5"/>
    <w:rsid w:val="003C0EAF"/>
    <w:rsid w:val="003C1475"/>
    <w:rsid w:val="003C1505"/>
    <w:rsid w:val="003C16E1"/>
    <w:rsid w:val="003C1974"/>
    <w:rsid w:val="003C1A9F"/>
    <w:rsid w:val="003C2296"/>
    <w:rsid w:val="003C22E7"/>
    <w:rsid w:val="003C2902"/>
    <w:rsid w:val="003C3419"/>
    <w:rsid w:val="003C3BA1"/>
    <w:rsid w:val="003C3D3B"/>
    <w:rsid w:val="003C3E57"/>
    <w:rsid w:val="003C3EED"/>
    <w:rsid w:val="003C40EB"/>
    <w:rsid w:val="003C432C"/>
    <w:rsid w:val="003C43E4"/>
    <w:rsid w:val="003C4610"/>
    <w:rsid w:val="003C46AA"/>
    <w:rsid w:val="003C4805"/>
    <w:rsid w:val="003C49F2"/>
    <w:rsid w:val="003C4A84"/>
    <w:rsid w:val="003C4B30"/>
    <w:rsid w:val="003C4BA5"/>
    <w:rsid w:val="003C4CCE"/>
    <w:rsid w:val="003C4EA1"/>
    <w:rsid w:val="003C4F07"/>
    <w:rsid w:val="003C51A5"/>
    <w:rsid w:val="003C549A"/>
    <w:rsid w:val="003C54D2"/>
    <w:rsid w:val="003C552D"/>
    <w:rsid w:val="003C562A"/>
    <w:rsid w:val="003C57F1"/>
    <w:rsid w:val="003C5CDA"/>
    <w:rsid w:val="003C5DBF"/>
    <w:rsid w:val="003C60ED"/>
    <w:rsid w:val="003C6380"/>
    <w:rsid w:val="003C68DE"/>
    <w:rsid w:val="003C6A73"/>
    <w:rsid w:val="003C6ABF"/>
    <w:rsid w:val="003C6C8A"/>
    <w:rsid w:val="003C7222"/>
    <w:rsid w:val="003C73D4"/>
    <w:rsid w:val="003C76D4"/>
    <w:rsid w:val="003C7761"/>
    <w:rsid w:val="003C777E"/>
    <w:rsid w:val="003C7B2B"/>
    <w:rsid w:val="003C7E66"/>
    <w:rsid w:val="003D041F"/>
    <w:rsid w:val="003D0432"/>
    <w:rsid w:val="003D04AD"/>
    <w:rsid w:val="003D04F7"/>
    <w:rsid w:val="003D0E4A"/>
    <w:rsid w:val="003D1068"/>
    <w:rsid w:val="003D11A9"/>
    <w:rsid w:val="003D13DA"/>
    <w:rsid w:val="003D1451"/>
    <w:rsid w:val="003D14A5"/>
    <w:rsid w:val="003D15AC"/>
    <w:rsid w:val="003D1E93"/>
    <w:rsid w:val="003D1EB1"/>
    <w:rsid w:val="003D1FB3"/>
    <w:rsid w:val="003D22A1"/>
    <w:rsid w:val="003D24A2"/>
    <w:rsid w:val="003D24FA"/>
    <w:rsid w:val="003D2579"/>
    <w:rsid w:val="003D2591"/>
    <w:rsid w:val="003D2642"/>
    <w:rsid w:val="003D2A37"/>
    <w:rsid w:val="003D2C0D"/>
    <w:rsid w:val="003D2F89"/>
    <w:rsid w:val="003D30AE"/>
    <w:rsid w:val="003D3323"/>
    <w:rsid w:val="003D349C"/>
    <w:rsid w:val="003D3998"/>
    <w:rsid w:val="003D3A11"/>
    <w:rsid w:val="003D3B4E"/>
    <w:rsid w:val="003D3BF1"/>
    <w:rsid w:val="003D3E29"/>
    <w:rsid w:val="003D3E6A"/>
    <w:rsid w:val="003D3EFE"/>
    <w:rsid w:val="003D3F4A"/>
    <w:rsid w:val="003D3F7B"/>
    <w:rsid w:val="003D43D3"/>
    <w:rsid w:val="003D4497"/>
    <w:rsid w:val="003D44F5"/>
    <w:rsid w:val="003D4B5A"/>
    <w:rsid w:val="003D4B9A"/>
    <w:rsid w:val="003D4BB7"/>
    <w:rsid w:val="003D4D2F"/>
    <w:rsid w:val="003D4D54"/>
    <w:rsid w:val="003D4FFE"/>
    <w:rsid w:val="003D50EE"/>
    <w:rsid w:val="003D52B8"/>
    <w:rsid w:val="003D5545"/>
    <w:rsid w:val="003D559B"/>
    <w:rsid w:val="003D5658"/>
    <w:rsid w:val="003D56DB"/>
    <w:rsid w:val="003D5766"/>
    <w:rsid w:val="003D5920"/>
    <w:rsid w:val="003D5936"/>
    <w:rsid w:val="003D5BE5"/>
    <w:rsid w:val="003D5ECC"/>
    <w:rsid w:val="003D5FA9"/>
    <w:rsid w:val="003D606B"/>
    <w:rsid w:val="003D6271"/>
    <w:rsid w:val="003D63FC"/>
    <w:rsid w:val="003D6671"/>
    <w:rsid w:val="003D69AB"/>
    <w:rsid w:val="003D69EF"/>
    <w:rsid w:val="003D6AD4"/>
    <w:rsid w:val="003D6F66"/>
    <w:rsid w:val="003D703E"/>
    <w:rsid w:val="003D70B7"/>
    <w:rsid w:val="003D7123"/>
    <w:rsid w:val="003D7227"/>
    <w:rsid w:val="003D7284"/>
    <w:rsid w:val="003D72A9"/>
    <w:rsid w:val="003D7598"/>
    <w:rsid w:val="003D7732"/>
    <w:rsid w:val="003D77D4"/>
    <w:rsid w:val="003D7916"/>
    <w:rsid w:val="003D7A3A"/>
    <w:rsid w:val="003D7ABC"/>
    <w:rsid w:val="003D7C23"/>
    <w:rsid w:val="003D7D7C"/>
    <w:rsid w:val="003D7E88"/>
    <w:rsid w:val="003D7F5D"/>
    <w:rsid w:val="003E009C"/>
    <w:rsid w:val="003E02EC"/>
    <w:rsid w:val="003E0306"/>
    <w:rsid w:val="003E03F2"/>
    <w:rsid w:val="003E0BFD"/>
    <w:rsid w:val="003E0E7E"/>
    <w:rsid w:val="003E0EDB"/>
    <w:rsid w:val="003E0F2B"/>
    <w:rsid w:val="003E0F68"/>
    <w:rsid w:val="003E10FC"/>
    <w:rsid w:val="003E11FE"/>
    <w:rsid w:val="003E172D"/>
    <w:rsid w:val="003E1785"/>
    <w:rsid w:val="003E1C71"/>
    <w:rsid w:val="003E1F24"/>
    <w:rsid w:val="003E20C9"/>
    <w:rsid w:val="003E221E"/>
    <w:rsid w:val="003E2388"/>
    <w:rsid w:val="003E23B2"/>
    <w:rsid w:val="003E2670"/>
    <w:rsid w:val="003E294D"/>
    <w:rsid w:val="003E2A33"/>
    <w:rsid w:val="003E2A5C"/>
    <w:rsid w:val="003E2BFA"/>
    <w:rsid w:val="003E2DB9"/>
    <w:rsid w:val="003E30BD"/>
    <w:rsid w:val="003E31F0"/>
    <w:rsid w:val="003E31F6"/>
    <w:rsid w:val="003E32B7"/>
    <w:rsid w:val="003E36DE"/>
    <w:rsid w:val="003E371F"/>
    <w:rsid w:val="003E3A1C"/>
    <w:rsid w:val="003E3A6B"/>
    <w:rsid w:val="003E3B9B"/>
    <w:rsid w:val="003E3C00"/>
    <w:rsid w:val="003E4323"/>
    <w:rsid w:val="003E4331"/>
    <w:rsid w:val="003E442A"/>
    <w:rsid w:val="003E4638"/>
    <w:rsid w:val="003E4658"/>
    <w:rsid w:val="003E50B2"/>
    <w:rsid w:val="003E5105"/>
    <w:rsid w:val="003E5191"/>
    <w:rsid w:val="003E5484"/>
    <w:rsid w:val="003E54B3"/>
    <w:rsid w:val="003E54B7"/>
    <w:rsid w:val="003E561B"/>
    <w:rsid w:val="003E5836"/>
    <w:rsid w:val="003E58C0"/>
    <w:rsid w:val="003E5DCF"/>
    <w:rsid w:val="003E60C2"/>
    <w:rsid w:val="003E6196"/>
    <w:rsid w:val="003E61F5"/>
    <w:rsid w:val="003E6277"/>
    <w:rsid w:val="003E6359"/>
    <w:rsid w:val="003E6475"/>
    <w:rsid w:val="003E64EB"/>
    <w:rsid w:val="003E6605"/>
    <w:rsid w:val="003E68FA"/>
    <w:rsid w:val="003E6C9C"/>
    <w:rsid w:val="003E6E30"/>
    <w:rsid w:val="003E6E38"/>
    <w:rsid w:val="003E6FED"/>
    <w:rsid w:val="003E71E0"/>
    <w:rsid w:val="003E749D"/>
    <w:rsid w:val="003E77D4"/>
    <w:rsid w:val="003E7978"/>
    <w:rsid w:val="003E7ADF"/>
    <w:rsid w:val="003E7D2E"/>
    <w:rsid w:val="003E7EB6"/>
    <w:rsid w:val="003F007F"/>
    <w:rsid w:val="003F018C"/>
    <w:rsid w:val="003F0660"/>
    <w:rsid w:val="003F0774"/>
    <w:rsid w:val="003F0789"/>
    <w:rsid w:val="003F09DF"/>
    <w:rsid w:val="003F0CFD"/>
    <w:rsid w:val="003F0D7B"/>
    <w:rsid w:val="003F0DB5"/>
    <w:rsid w:val="003F0DCA"/>
    <w:rsid w:val="003F0E90"/>
    <w:rsid w:val="003F0F02"/>
    <w:rsid w:val="003F0F80"/>
    <w:rsid w:val="003F0FAF"/>
    <w:rsid w:val="003F105A"/>
    <w:rsid w:val="003F124A"/>
    <w:rsid w:val="003F1502"/>
    <w:rsid w:val="003F161E"/>
    <w:rsid w:val="003F1745"/>
    <w:rsid w:val="003F1790"/>
    <w:rsid w:val="003F1A79"/>
    <w:rsid w:val="003F1A89"/>
    <w:rsid w:val="003F1C06"/>
    <w:rsid w:val="003F1D4C"/>
    <w:rsid w:val="003F1D65"/>
    <w:rsid w:val="003F1E74"/>
    <w:rsid w:val="003F1F32"/>
    <w:rsid w:val="003F1FB6"/>
    <w:rsid w:val="003F20A2"/>
    <w:rsid w:val="003F246A"/>
    <w:rsid w:val="003F24B3"/>
    <w:rsid w:val="003F25BA"/>
    <w:rsid w:val="003F2812"/>
    <w:rsid w:val="003F299E"/>
    <w:rsid w:val="003F2A73"/>
    <w:rsid w:val="003F2B47"/>
    <w:rsid w:val="003F2CA8"/>
    <w:rsid w:val="003F2CC6"/>
    <w:rsid w:val="003F2E7B"/>
    <w:rsid w:val="003F2F6D"/>
    <w:rsid w:val="003F306D"/>
    <w:rsid w:val="003F30FD"/>
    <w:rsid w:val="003F3200"/>
    <w:rsid w:val="003F338D"/>
    <w:rsid w:val="003F344D"/>
    <w:rsid w:val="003F367D"/>
    <w:rsid w:val="003F3911"/>
    <w:rsid w:val="003F39B6"/>
    <w:rsid w:val="003F3BFE"/>
    <w:rsid w:val="003F3C4A"/>
    <w:rsid w:val="003F3C58"/>
    <w:rsid w:val="003F3C9E"/>
    <w:rsid w:val="003F3FA3"/>
    <w:rsid w:val="003F430D"/>
    <w:rsid w:val="003F4386"/>
    <w:rsid w:val="003F462D"/>
    <w:rsid w:val="003F4701"/>
    <w:rsid w:val="003F4CB8"/>
    <w:rsid w:val="003F4D7A"/>
    <w:rsid w:val="003F4EC7"/>
    <w:rsid w:val="003F4EF5"/>
    <w:rsid w:val="003F5035"/>
    <w:rsid w:val="003F54AF"/>
    <w:rsid w:val="003F55E5"/>
    <w:rsid w:val="003F57E6"/>
    <w:rsid w:val="003F5975"/>
    <w:rsid w:val="003F59B4"/>
    <w:rsid w:val="003F5A02"/>
    <w:rsid w:val="003F5B22"/>
    <w:rsid w:val="003F5BB8"/>
    <w:rsid w:val="003F5C17"/>
    <w:rsid w:val="003F5C2F"/>
    <w:rsid w:val="003F5D10"/>
    <w:rsid w:val="003F6044"/>
    <w:rsid w:val="003F60A4"/>
    <w:rsid w:val="003F6199"/>
    <w:rsid w:val="003F620D"/>
    <w:rsid w:val="003F6260"/>
    <w:rsid w:val="003F62D7"/>
    <w:rsid w:val="003F63EB"/>
    <w:rsid w:val="003F6B98"/>
    <w:rsid w:val="003F6F2A"/>
    <w:rsid w:val="003F6FA4"/>
    <w:rsid w:val="003F76A6"/>
    <w:rsid w:val="003F7A20"/>
    <w:rsid w:val="003F7A95"/>
    <w:rsid w:val="003F7AD0"/>
    <w:rsid w:val="003F7AE0"/>
    <w:rsid w:val="003F7B7B"/>
    <w:rsid w:val="003F7C0F"/>
    <w:rsid w:val="003F7D6B"/>
    <w:rsid w:val="003F7DB1"/>
    <w:rsid w:val="003F7DD1"/>
    <w:rsid w:val="003F7E1D"/>
    <w:rsid w:val="003F7F53"/>
    <w:rsid w:val="004005EE"/>
    <w:rsid w:val="00400629"/>
    <w:rsid w:val="004006D6"/>
    <w:rsid w:val="00400901"/>
    <w:rsid w:val="00400B7F"/>
    <w:rsid w:val="00400DCF"/>
    <w:rsid w:val="00400EBE"/>
    <w:rsid w:val="004011B9"/>
    <w:rsid w:val="004012DD"/>
    <w:rsid w:val="004012ED"/>
    <w:rsid w:val="0040135C"/>
    <w:rsid w:val="00401376"/>
    <w:rsid w:val="00401436"/>
    <w:rsid w:val="00401482"/>
    <w:rsid w:val="0040149D"/>
    <w:rsid w:val="004017F1"/>
    <w:rsid w:val="004017F9"/>
    <w:rsid w:val="00401908"/>
    <w:rsid w:val="00401ABE"/>
    <w:rsid w:val="00401B2A"/>
    <w:rsid w:val="00401D46"/>
    <w:rsid w:val="00401E77"/>
    <w:rsid w:val="00401ECA"/>
    <w:rsid w:val="00401F14"/>
    <w:rsid w:val="00401F83"/>
    <w:rsid w:val="00402118"/>
    <w:rsid w:val="00402160"/>
    <w:rsid w:val="00402193"/>
    <w:rsid w:val="00402203"/>
    <w:rsid w:val="0040254F"/>
    <w:rsid w:val="0040281D"/>
    <w:rsid w:val="004028BB"/>
    <w:rsid w:val="00402AE3"/>
    <w:rsid w:val="00402E35"/>
    <w:rsid w:val="00402E55"/>
    <w:rsid w:val="00402F86"/>
    <w:rsid w:val="00402FD5"/>
    <w:rsid w:val="00403036"/>
    <w:rsid w:val="0040305E"/>
    <w:rsid w:val="004033BF"/>
    <w:rsid w:val="0040340F"/>
    <w:rsid w:val="004034F0"/>
    <w:rsid w:val="004037ED"/>
    <w:rsid w:val="004039D2"/>
    <w:rsid w:val="00403B3E"/>
    <w:rsid w:val="00403B70"/>
    <w:rsid w:val="00403C05"/>
    <w:rsid w:val="00403F46"/>
    <w:rsid w:val="004042DC"/>
    <w:rsid w:val="004044F2"/>
    <w:rsid w:val="00404660"/>
    <w:rsid w:val="0040481D"/>
    <w:rsid w:val="004048A4"/>
    <w:rsid w:val="004049D5"/>
    <w:rsid w:val="00404A66"/>
    <w:rsid w:val="00404B7C"/>
    <w:rsid w:val="00404BF1"/>
    <w:rsid w:val="00404C14"/>
    <w:rsid w:val="00404C3E"/>
    <w:rsid w:val="00404CB9"/>
    <w:rsid w:val="00404F02"/>
    <w:rsid w:val="00404FD9"/>
    <w:rsid w:val="00405222"/>
    <w:rsid w:val="00405233"/>
    <w:rsid w:val="004054B0"/>
    <w:rsid w:val="0040578F"/>
    <w:rsid w:val="004057F3"/>
    <w:rsid w:val="00405837"/>
    <w:rsid w:val="00405A43"/>
    <w:rsid w:val="00405AEC"/>
    <w:rsid w:val="00405B23"/>
    <w:rsid w:val="00405B43"/>
    <w:rsid w:val="00405C26"/>
    <w:rsid w:val="00405E9B"/>
    <w:rsid w:val="00405FEB"/>
    <w:rsid w:val="0040607B"/>
    <w:rsid w:val="0040608F"/>
    <w:rsid w:val="0040613D"/>
    <w:rsid w:val="00406413"/>
    <w:rsid w:val="0040648A"/>
    <w:rsid w:val="004065E2"/>
    <w:rsid w:val="004067D7"/>
    <w:rsid w:val="004067E0"/>
    <w:rsid w:val="004069ED"/>
    <w:rsid w:val="00406ACF"/>
    <w:rsid w:val="004071D5"/>
    <w:rsid w:val="004073DC"/>
    <w:rsid w:val="0040744B"/>
    <w:rsid w:val="004074B3"/>
    <w:rsid w:val="004076DE"/>
    <w:rsid w:val="00407C0F"/>
    <w:rsid w:val="00407CE6"/>
    <w:rsid w:val="00407DCA"/>
    <w:rsid w:val="00407F43"/>
    <w:rsid w:val="00407FDC"/>
    <w:rsid w:val="00407FF0"/>
    <w:rsid w:val="004102DD"/>
    <w:rsid w:val="00410329"/>
    <w:rsid w:val="004107BD"/>
    <w:rsid w:val="00410953"/>
    <w:rsid w:val="0041097A"/>
    <w:rsid w:val="00410B78"/>
    <w:rsid w:val="00410BD5"/>
    <w:rsid w:val="0041105E"/>
    <w:rsid w:val="004112C2"/>
    <w:rsid w:val="004114D7"/>
    <w:rsid w:val="004114E6"/>
    <w:rsid w:val="00411683"/>
    <w:rsid w:val="00411C70"/>
    <w:rsid w:val="00411C98"/>
    <w:rsid w:val="00411D0E"/>
    <w:rsid w:val="00411DB0"/>
    <w:rsid w:val="00411F2D"/>
    <w:rsid w:val="004120C5"/>
    <w:rsid w:val="0041227A"/>
    <w:rsid w:val="00412537"/>
    <w:rsid w:val="00412827"/>
    <w:rsid w:val="0041290C"/>
    <w:rsid w:val="00412DF0"/>
    <w:rsid w:val="00412E4E"/>
    <w:rsid w:val="00412F90"/>
    <w:rsid w:val="00413196"/>
    <w:rsid w:val="004132EF"/>
    <w:rsid w:val="0041341C"/>
    <w:rsid w:val="00413526"/>
    <w:rsid w:val="0041354B"/>
    <w:rsid w:val="004138EA"/>
    <w:rsid w:val="004139A4"/>
    <w:rsid w:val="00413BB8"/>
    <w:rsid w:val="00413CB4"/>
    <w:rsid w:val="00413E3D"/>
    <w:rsid w:val="00413E5A"/>
    <w:rsid w:val="00413FE6"/>
    <w:rsid w:val="00414021"/>
    <w:rsid w:val="00414329"/>
    <w:rsid w:val="00414755"/>
    <w:rsid w:val="004147DF"/>
    <w:rsid w:val="00414875"/>
    <w:rsid w:val="0041498A"/>
    <w:rsid w:val="00414F3E"/>
    <w:rsid w:val="00414FDC"/>
    <w:rsid w:val="00415405"/>
    <w:rsid w:val="00415AFA"/>
    <w:rsid w:val="00415CAD"/>
    <w:rsid w:val="00415EC9"/>
    <w:rsid w:val="00415FB1"/>
    <w:rsid w:val="00416100"/>
    <w:rsid w:val="004162B6"/>
    <w:rsid w:val="004162CD"/>
    <w:rsid w:val="00416479"/>
    <w:rsid w:val="00416494"/>
    <w:rsid w:val="0041685C"/>
    <w:rsid w:val="00416D05"/>
    <w:rsid w:val="00416DA8"/>
    <w:rsid w:val="00416F6C"/>
    <w:rsid w:val="0041702D"/>
    <w:rsid w:val="004175CA"/>
    <w:rsid w:val="0041797E"/>
    <w:rsid w:val="00417D2B"/>
    <w:rsid w:val="00417E53"/>
    <w:rsid w:val="00417E7A"/>
    <w:rsid w:val="00417EF8"/>
    <w:rsid w:val="0042007C"/>
    <w:rsid w:val="004201A4"/>
    <w:rsid w:val="004201CC"/>
    <w:rsid w:val="00420265"/>
    <w:rsid w:val="00420516"/>
    <w:rsid w:val="00420540"/>
    <w:rsid w:val="004206CB"/>
    <w:rsid w:val="0042071C"/>
    <w:rsid w:val="0042074D"/>
    <w:rsid w:val="00420A05"/>
    <w:rsid w:val="00420B13"/>
    <w:rsid w:val="00421125"/>
    <w:rsid w:val="00421450"/>
    <w:rsid w:val="004217AE"/>
    <w:rsid w:val="004217E8"/>
    <w:rsid w:val="00421A11"/>
    <w:rsid w:val="00421B6E"/>
    <w:rsid w:val="00421E87"/>
    <w:rsid w:val="004220D0"/>
    <w:rsid w:val="00422172"/>
    <w:rsid w:val="00422188"/>
    <w:rsid w:val="004221E4"/>
    <w:rsid w:val="00422420"/>
    <w:rsid w:val="004224B8"/>
    <w:rsid w:val="00422875"/>
    <w:rsid w:val="00422A71"/>
    <w:rsid w:val="00422DFA"/>
    <w:rsid w:val="00422E04"/>
    <w:rsid w:val="00422F23"/>
    <w:rsid w:val="00423355"/>
    <w:rsid w:val="004233AE"/>
    <w:rsid w:val="004233D2"/>
    <w:rsid w:val="004236D0"/>
    <w:rsid w:val="00423A14"/>
    <w:rsid w:val="00423F3A"/>
    <w:rsid w:val="004240B3"/>
    <w:rsid w:val="0042414D"/>
    <w:rsid w:val="00424234"/>
    <w:rsid w:val="004242AF"/>
    <w:rsid w:val="004243EA"/>
    <w:rsid w:val="00424405"/>
    <w:rsid w:val="00424498"/>
    <w:rsid w:val="0042491C"/>
    <w:rsid w:val="00424AD9"/>
    <w:rsid w:val="00424B92"/>
    <w:rsid w:val="00424CBE"/>
    <w:rsid w:val="00425029"/>
    <w:rsid w:val="0042509C"/>
    <w:rsid w:val="0042573F"/>
    <w:rsid w:val="00425766"/>
    <w:rsid w:val="00425A6E"/>
    <w:rsid w:val="00425C58"/>
    <w:rsid w:val="00425CDE"/>
    <w:rsid w:val="00426090"/>
    <w:rsid w:val="004266B8"/>
    <w:rsid w:val="004267BA"/>
    <w:rsid w:val="00426B33"/>
    <w:rsid w:val="00426BEC"/>
    <w:rsid w:val="00426C29"/>
    <w:rsid w:val="00426CD0"/>
    <w:rsid w:val="00426CF2"/>
    <w:rsid w:val="00427217"/>
    <w:rsid w:val="00427298"/>
    <w:rsid w:val="004273AD"/>
    <w:rsid w:val="004273DF"/>
    <w:rsid w:val="0042742C"/>
    <w:rsid w:val="00427786"/>
    <w:rsid w:val="00427E55"/>
    <w:rsid w:val="00427EC7"/>
    <w:rsid w:val="0043005A"/>
    <w:rsid w:val="0043006C"/>
    <w:rsid w:val="004302BF"/>
    <w:rsid w:val="00430448"/>
    <w:rsid w:val="004304A7"/>
    <w:rsid w:val="0043066E"/>
    <w:rsid w:val="004307FD"/>
    <w:rsid w:val="004309AF"/>
    <w:rsid w:val="00430AA8"/>
    <w:rsid w:val="00430BF4"/>
    <w:rsid w:val="00430D5B"/>
    <w:rsid w:val="00430F26"/>
    <w:rsid w:val="0043124A"/>
    <w:rsid w:val="004314CB"/>
    <w:rsid w:val="00431853"/>
    <w:rsid w:val="00431880"/>
    <w:rsid w:val="0043198D"/>
    <w:rsid w:val="00431C38"/>
    <w:rsid w:val="00431CBC"/>
    <w:rsid w:val="00431ED6"/>
    <w:rsid w:val="0043202D"/>
    <w:rsid w:val="0043215C"/>
    <w:rsid w:val="00432326"/>
    <w:rsid w:val="00432329"/>
    <w:rsid w:val="004323EB"/>
    <w:rsid w:val="004324A7"/>
    <w:rsid w:val="004325E0"/>
    <w:rsid w:val="004325FB"/>
    <w:rsid w:val="004328CF"/>
    <w:rsid w:val="00432A4F"/>
    <w:rsid w:val="00432B2D"/>
    <w:rsid w:val="00432CD2"/>
    <w:rsid w:val="00432D47"/>
    <w:rsid w:val="00432D4E"/>
    <w:rsid w:val="00432ED9"/>
    <w:rsid w:val="00432F43"/>
    <w:rsid w:val="00433247"/>
    <w:rsid w:val="0043363E"/>
    <w:rsid w:val="00433847"/>
    <w:rsid w:val="00433853"/>
    <w:rsid w:val="004339B1"/>
    <w:rsid w:val="004339D5"/>
    <w:rsid w:val="00433D7C"/>
    <w:rsid w:val="00433E8E"/>
    <w:rsid w:val="00433EE2"/>
    <w:rsid w:val="00433EEC"/>
    <w:rsid w:val="00433FD2"/>
    <w:rsid w:val="004340B2"/>
    <w:rsid w:val="0043445B"/>
    <w:rsid w:val="00434703"/>
    <w:rsid w:val="0043477B"/>
    <w:rsid w:val="00434952"/>
    <w:rsid w:val="004349AB"/>
    <w:rsid w:val="00434EE9"/>
    <w:rsid w:val="00434F13"/>
    <w:rsid w:val="00434FF0"/>
    <w:rsid w:val="00435471"/>
    <w:rsid w:val="004356F0"/>
    <w:rsid w:val="0043574B"/>
    <w:rsid w:val="00435752"/>
    <w:rsid w:val="00435BDE"/>
    <w:rsid w:val="00435CCA"/>
    <w:rsid w:val="00435E4F"/>
    <w:rsid w:val="00436093"/>
    <w:rsid w:val="004361A2"/>
    <w:rsid w:val="00436573"/>
    <w:rsid w:val="00436AA1"/>
    <w:rsid w:val="00436E99"/>
    <w:rsid w:val="00437123"/>
    <w:rsid w:val="004371C7"/>
    <w:rsid w:val="004375A8"/>
    <w:rsid w:val="004375BA"/>
    <w:rsid w:val="00437A43"/>
    <w:rsid w:val="00437AFD"/>
    <w:rsid w:val="00437B5D"/>
    <w:rsid w:val="00437BB5"/>
    <w:rsid w:val="00437CD8"/>
    <w:rsid w:val="00437EA1"/>
    <w:rsid w:val="0044009C"/>
    <w:rsid w:val="004402B6"/>
    <w:rsid w:val="00440639"/>
    <w:rsid w:val="004407A6"/>
    <w:rsid w:val="00440BCC"/>
    <w:rsid w:val="00440C9B"/>
    <w:rsid w:val="00440CF0"/>
    <w:rsid w:val="00441051"/>
    <w:rsid w:val="004410DF"/>
    <w:rsid w:val="00441220"/>
    <w:rsid w:val="004413B1"/>
    <w:rsid w:val="004414A3"/>
    <w:rsid w:val="00441516"/>
    <w:rsid w:val="004415FE"/>
    <w:rsid w:val="00441962"/>
    <w:rsid w:val="00441B07"/>
    <w:rsid w:val="00441C81"/>
    <w:rsid w:val="00441DD4"/>
    <w:rsid w:val="00441E7C"/>
    <w:rsid w:val="004422B9"/>
    <w:rsid w:val="00442A15"/>
    <w:rsid w:val="00442B4F"/>
    <w:rsid w:val="00442D28"/>
    <w:rsid w:val="00442E55"/>
    <w:rsid w:val="00443299"/>
    <w:rsid w:val="00443303"/>
    <w:rsid w:val="004433EE"/>
    <w:rsid w:val="0044344F"/>
    <w:rsid w:val="004436F2"/>
    <w:rsid w:val="0044375F"/>
    <w:rsid w:val="00443841"/>
    <w:rsid w:val="00443955"/>
    <w:rsid w:val="00443B11"/>
    <w:rsid w:val="00443B17"/>
    <w:rsid w:val="00443CD8"/>
    <w:rsid w:val="00443EDA"/>
    <w:rsid w:val="004440EE"/>
    <w:rsid w:val="00444256"/>
    <w:rsid w:val="00444533"/>
    <w:rsid w:val="00444562"/>
    <w:rsid w:val="00444637"/>
    <w:rsid w:val="00444842"/>
    <w:rsid w:val="0044484C"/>
    <w:rsid w:val="00444A2B"/>
    <w:rsid w:val="00444B66"/>
    <w:rsid w:val="00444C6C"/>
    <w:rsid w:val="0044508A"/>
    <w:rsid w:val="00445459"/>
    <w:rsid w:val="0044565B"/>
    <w:rsid w:val="00445B01"/>
    <w:rsid w:val="00445CE8"/>
    <w:rsid w:val="00445D38"/>
    <w:rsid w:val="00445F79"/>
    <w:rsid w:val="00446187"/>
    <w:rsid w:val="00446551"/>
    <w:rsid w:val="00446719"/>
    <w:rsid w:val="00446732"/>
    <w:rsid w:val="00446D3A"/>
    <w:rsid w:val="00446EB1"/>
    <w:rsid w:val="00446F2A"/>
    <w:rsid w:val="00446FFC"/>
    <w:rsid w:val="00447001"/>
    <w:rsid w:val="0044707F"/>
    <w:rsid w:val="004471D3"/>
    <w:rsid w:val="0044721E"/>
    <w:rsid w:val="0044739B"/>
    <w:rsid w:val="004476B9"/>
    <w:rsid w:val="00447ED2"/>
    <w:rsid w:val="00447F8B"/>
    <w:rsid w:val="004501BD"/>
    <w:rsid w:val="0045044E"/>
    <w:rsid w:val="004504BA"/>
    <w:rsid w:val="00450619"/>
    <w:rsid w:val="00450D24"/>
    <w:rsid w:val="00450D3E"/>
    <w:rsid w:val="00450FF6"/>
    <w:rsid w:val="004511E6"/>
    <w:rsid w:val="004512DC"/>
    <w:rsid w:val="004514E0"/>
    <w:rsid w:val="004515D3"/>
    <w:rsid w:val="00451812"/>
    <w:rsid w:val="004519D8"/>
    <w:rsid w:val="00451A8E"/>
    <w:rsid w:val="00451E42"/>
    <w:rsid w:val="00451E65"/>
    <w:rsid w:val="00451EBB"/>
    <w:rsid w:val="00451F37"/>
    <w:rsid w:val="0045226E"/>
    <w:rsid w:val="0045265E"/>
    <w:rsid w:val="0045283F"/>
    <w:rsid w:val="00452873"/>
    <w:rsid w:val="00452878"/>
    <w:rsid w:val="004529A8"/>
    <w:rsid w:val="004529CD"/>
    <w:rsid w:val="004529E5"/>
    <w:rsid w:val="00452A76"/>
    <w:rsid w:val="00452AAF"/>
    <w:rsid w:val="00452F20"/>
    <w:rsid w:val="00452F74"/>
    <w:rsid w:val="0045330E"/>
    <w:rsid w:val="0045389C"/>
    <w:rsid w:val="004539A2"/>
    <w:rsid w:val="00453B77"/>
    <w:rsid w:val="00453BAE"/>
    <w:rsid w:val="00453CDC"/>
    <w:rsid w:val="00453D51"/>
    <w:rsid w:val="00453D59"/>
    <w:rsid w:val="00453D5E"/>
    <w:rsid w:val="00453D81"/>
    <w:rsid w:val="00453F6A"/>
    <w:rsid w:val="00454553"/>
    <w:rsid w:val="0045462B"/>
    <w:rsid w:val="004548AC"/>
    <w:rsid w:val="004548E9"/>
    <w:rsid w:val="00454924"/>
    <w:rsid w:val="00454945"/>
    <w:rsid w:val="004549A9"/>
    <w:rsid w:val="00454A65"/>
    <w:rsid w:val="00454DA9"/>
    <w:rsid w:val="00454FB9"/>
    <w:rsid w:val="00455233"/>
    <w:rsid w:val="004554C5"/>
    <w:rsid w:val="00455672"/>
    <w:rsid w:val="00455737"/>
    <w:rsid w:val="0045576A"/>
    <w:rsid w:val="0045580F"/>
    <w:rsid w:val="00455902"/>
    <w:rsid w:val="0045597C"/>
    <w:rsid w:val="00455989"/>
    <w:rsid w:val="00455DC1"/>
    <w:rsid w:val="00455E45"/>
    <w:rsid w:val="0045608E"/>
    <w:rsid w:val="00456242"/>
    <w:rsid w:val="00456534"/>
    <w:rsid w:val="0045679C"/>
    <w:rsid w:val="004569F9"/>
    <w:rsid w:val="00456A66"/>
    <w:rsid w:val="00456BBE"/>
    <w:rsid w:val="00456C99"/>
    <w:rsid w:val="00456DF7"/>
    <w:rsid w:val="0045735C"/>
    <w:rsid w:val="00457553"/>
    <w:rsid w:val="004575F5"/>
    <w:rsid w:val="004576D6"/>
    <w:rsid w:val="00457994"/>
    <w:rsid w:val="00457E86"/>
    <w:rsid w:val="00457F67"/>
    <w:rsid w:val="00460398"/>
    <w:rsid w:val="0046039E"/>
    <w:rsid w:val="0046061B"/>
    <w:rsid w:val="004607A6"/>
    <w:rsid w:val="00460B6A"/>
    <w:rsid w:val="00460C1D"/>
    <w:rsid w:val="00460DDB"/>
    <w:rsid w:val="00461241"/>
    <w:rsid w:val="00461456"/>
    <w:rsid w:val="004615D4"/>
    <w:rsid w:val="004619BB"/>
    <w:rsid w:val="0046209C"/>
    <w:rsid w:val="004621C3"/>
    <w:rsid w:val="00462200"/>
    <w:rsid w:val="004627A2"/>
    <w:rsid w:val="004627A9"/>
    <w:rsid w:val="00462886"/>
    <w:rsid w:val="00462D2D"/>
    <w:rsid w:val="00463099"/>
    <w:rsid w:val="004631E2"/>
    <w:rsid w:val="004633DD"/>
    <w:rsid w:val="00463680"/>
    <w:rsid w:val="004636E8"/>
    <w:rsid w:val="0046382A"/>
    <w:rsid w:val="00463950"/>
    <w:rsid w:val="0046398F"/>
    <w:rsid w:val="00463A07"/>
    <w:rsid w:val="00463DBB"/>
    <w:rsid w:val="00463E78"/>
    <w:rsid w:val="00463F44"/>
    <w:rsid w:val="00464084"/>
    <w:rsid w:val="004642B4"/>
    <w:rsid w:val="004648C3"/>
    <w:rsid w:val="00464964"/>
    <w:rsid w:val="004649C4"/>
    <w:rsid w:val="00464BE9"/>
    <w:rsid w:val="00464C06"/>
    <w:rsid w:val="00464CDE"/>
    <w:rsid w:val="00464D44"/>
    <w:rsid w:val="00464D75"/>
    <w:rsid w:val="00464DA2"/>
    <w:rsid w:val="00464DF0"/>
    <w:rsid w:val="00464F32"/>
    <w:rsid w:val="0046502E"/>
    <w:rsid w:val="00465169"/>
    <w:rsid w:val="00465270"/>
    <w:rsid w:val="0046556E"/>
    <w:rsid w:val="004659C7"/>
    <w:rsid w:val="00465C6B"/>
    <w:rsid w:val="00465D3F"/>
    <w:rsid w:val="0046600B"/>
    <w:rsid w:val="0046601F"/>
    <w:rsid w:val="0046621E"/>
    <w:rsid w:val="004662A0"/>
    <w:rsid w:val="0046648F"/>
    <w:rsid w:val="00466AEA"/>
    <w:rsid w:val="00466C92"/>
    <w:rsid w:val="00466EB8"/>
    <w:rsid w:val="00466F60"/>
    <w:rsid w:val="004671EF"/>
    <w:rsid w:val="0046746F"/>
    <w:rsid w:val="004676FF"/>
    <w:rsid w:val="004679C5"/>
    <w:rsid w:val="00467AA4"/>
    <w:rsid w:val="00467AC6"/>
    <w:rsid w:val="00467BD8"/>
    <w:rsid w:val="00467DC7"/>
    <w:rsid w:val="00467DE9"/>
    <w:rsid w:val="00467E46"/>
    <w:rsid w:val="00467ED9"/>
    <w:rsid w:val="00467EEA"/>
    <w:rsid w:val="00470353"/>
    <w:rsid w:val="00470385"/>
    <w:rsid w:val="004703D1"/>
    <w:rsid w:val="00470619"/>
    <w:rsid w:val="0047072A"/>
    <w:rsid w:val="004707D4"/>
    <w:rsid w:val="0047082B"/>
    <w:rsid w:val="004708B4"/>
    <w:rsid w:val="00470964"/>
    <w:rsid w:val="00470B49"/>
    <w:rsid w:val="00470CB5"/>
    <w:rsid w:val="00470D85"/>
    <w:rsid w:val="00470F12"/>
    <w:rsid w:val="004712AD"/>
    <w:rsid w:val="00471376"/>
    <w:rsid w:val="00471422"/>
    <w:rsid w:val="00471527"/>
    <w:rsid w:val="0047175A"/>
    <w:rsid w:val="0047179C"/>
    <w:rsid w:val="00471BBC"/>
    <w:rsid w:val="00471C40"/>
    <w:rsid w:val="00471DAD"/>
    <w:rsid w:val="00472194"/>
    <w:rsid w:val="00472354"/>
    <w:rsid w:val="0047240F"/>
    <w:rsid w:val="004724F1"/>
    <w:rsid w:val="00472561"/>
    <w:rsid w:val="00472779"/>
    <w:rsid w:val="00472A0C"/>
    <w:rsid w:val="00472A61"/>
    <w:rsid w:val="00472B27"/>
    <w:rsid w:val="00472D4D"/>
    <w:rsid w:val="00472F7E"/>
    <w:rsid w:val="00473068"/>
    <w:rsid w:val="00473128"/>
    <w:rsid w:val="004731C7"/>
    <w:rsid w:val="004732F4"/>
    <w:rsid w:val="00473566"/>
    <w:rsid w:val="00473582"/>
    <w:rsid w:val="00473B5D"/>
    <w:rsid w:val="00473B6C"/>
    <w:rsid w:val="00473CD2"/>
    <w:rsid w:val="00473DAC"/>
    <w:rsid w:val="004741E7"/>
    <w:rsid w:val="004745B9"/>
    <w:rsid w:val="004746EB"/>
    <w:rsid w:val="004746FC"/>
    <w:rsid w:val="0047493D"/>
    <w:rsid w:val="0047494C"/>
    <w:rsid w:val="004749C9"/>
    <w:rsid w:val="00474C46"/>
    <w:rsid w:val="00474DFD"/>
    <w:rsid w:val="00475102"/>
    <w:rsid w:val="00475326"/>
    <w:rsid w:val="00475550"/>
    <w:rsid w:val="004758C9"/>
    <w:rsid w:val="0047596C"/>
    <w:rsid w:val="00475A81"/>
    <w:rsid w:val="00476169"/>
    <w:rsid w:val="00476232"/>
    <w:rsid w:val="00476271"/>
    <w:rsid w:val="00476684"/>
    <w:rsid w:val="004767BC"/>
    <w:rsid w:val="004768C5"/>
    <w:rsid w:val="00476B8D"/>
    <w:rsid w:val="00476CD9"/>
    <w:rsid w:val="00476DB4"/>
    <w:rsid w:val="00476E6B"/>
    <w:rsid w:val="00476EB4"/>
    <w:rsid w:val="004770F9"/>
    <w:rsid w:val="00477243"/>
    <w:rsid w:val="004772B7"/>
    <w:rsid w:val="0047757F"/>
    <w:rsid w:val="00477B6C"/>
    <w:rsid w:val="00477FB4"/>
    <w:rsid w:val="00480029"/>
    <w:rsid w:val="0048008F"/>
    <w:rsid w:val="004800E8"/>
    <w:rsid w:val="004802A8"/>
    <w:rsid w:val="004804D5"/>
    <w:rsid w:val="004805CD"/>
    <w:rsid w:val="0048063F"/>
    <w:rsid w:val="00480705"/>
    <w:rsid w:val="0048077B"/>
    <w:rsid w:val="0048089D"/>
    <w:rsid w:val="00480A35"/>
    <w:rsid w:val="00480C49"/>
    <w:rsid w:val="00480CA8"/>
    <w:rsid w:val="00480D82"/>
    <w:rsid w:val="00480E1E"/>
    <w:rsid w:val="00481313"/>
    <w:rsid w:val="0048141E"/>
    <w:rsid w:val="00481549"/>
    <w:rsid w:val="004815AB"/>
    <w:rsid w:val="00481632"/>
    <w:rsid w:val="004816DB"/>
    <w:rsid w:val="00481899"/>
    <w:rsid w:val="00481B85"/>
    <w:rsid w:val="00481D6C"/>
    <w:rsid w:val="00481D99"/>
    <w:rsid w:val="0048205E"/>
    <w:rsid w:val="00482090"/>
    <w:rsid w:val="00482124"/>
    <w:rsid w:val="0048219D"/>
    <w:rsid w:val="004821FE"/>
    <w:rsid w:val="00482775"/>
    <w:rsid w:val="004827A3"/>
    <w:rsid w:val="004827BE"/>
    <w:rsid w:val="0048292A"/>
    <w:rsid w:val="00482943"/>
    <w:rsid w:val="00482AE8"/>
    <w:rsid w:val="00482B5A"/>
    <w:rsid w:val="00482D61"/>
    <w:rsid w:val="00482EEB"/>
    <w:rsid w:val="00482FD8"/>
    <w:rsid w:val="0048348A"/>
    <w:rsid w:val="00483526"/>
    <w:rsid w:val="004836C9"/>
    <w:rsid w:val="004836DF"/>
    <w:rsid w:val="00483953"/>
    <w:rsid w:val="0048395A"/>
    <w:rsid w:val="0048397F"/>
    <w:rsid w:val="00483A10"/>
    <w:rsid w:val="0048429E"/>
    <w:rsid w:val="004843EC"/>
    <w:rsid w:val="00484431"/>
    <w:rsid w:val="004844D6"/>
    <w:rsid w:val="00484652"/>
    <w:rsid w:val="0048471F"/>
    <w:rsid w:val="0048478C"/>
    <w:rsid w:val="00484997"/>
    <w:rsid w:val="004849AE"/>
    <w:rsid w:val="00484B26"/>
    <w:rsid w:val="00484FB9"/>
    <w:rsid w:val="00484FEA"/>
    <w:rsid w:val="004850D6"/>
    <w:rsid w:val="004854E0"/>
    <w:rsid w:val="004854F5"/>
    <w:rsid w:val="004857EF"/>
    <w:rsid w:val="004857FD"/>
    <w:rsid w:val="00485BB6"/>
    <w:rsid w:val="00485FD2"/>
    <w:rsid w:val="004860DB"/>
    <w:rsid w:val="00486278"/>
    <w:rsid w:val="0048636D"/>
    <w:rsid w:val="004864C0"/>
    <w:rsid w:val="00486780"/>
    <w:rsid w:val="00486A54"/>
    <w:rsid w:val="00486A75"/>
    <w:rsid w:val="00486AB6"/>
    <w:rsid w:val="00486B0E"/>
    <w:rsid w:val="00486ED6"/>
    <w:rsid w:val="00486F31"/>
    <w:rsid w:val="00486FCE"/>
    <w:rsid w:val="004870E5"/>
    <w:rsid w:val="004873D0"/>
    <w:rsid w:val="0048757F"/>
    <w:rsid w:val="0048761C"/>
    <w:rsid w:val="004877A5"/>
    <w:rsid w:val="00487879"/>
    <w:rsid w:val="00487C6A"/>
    <w:rsid w:val="00487CDC"/>
    <w:rsid w:val="00487FED"/>
    <w:rsid w:val="00490132"/>
    <w:rsid w:val="004901BE"/>
    <w:rsid w:val="0049020C"/>
    <w:rsid w:val="004903C4"/>
    <w:rsid w:val="0049072D"/>
    <w:rsid w:val="0049081D"/>
    <w:rsid w:val="0049088D"/>
    <w:rsid w:val="004908B7"/>
    <w:rsid w:val="00490A71"/>
    <w:rsid w:val="00490BE5"/>
    <w:rsid w:val="00490CD0"/>
    <w:rsid w:val="00490D39"/>
    <w:rsid w:val="004910D4"/>
    <w:rsid w:val="004914AE"/>
    <w:rsid w:val="004914F0"/>
    <w:rsid w:val="0049151F"/>
    <w:rsid w:val="00491560"/>
    <w:rsid w:val="004915E9"/>
    <w:rsid w:val="00491639"/>
    <w:rsid w:val="004916EA"/>
    <w:rsid w:val="00491907"/>
    <w:rsid w:val="004919DD"/>
    <w:rsid w:val="00491B0B"/>
    <w:rsid w:val="00491B22"/>
    <w:rsid w:val="00491E4B"/>
    <w:rsid w:val="00491E7E"/>
    <w:rsid w:val="00491F9A"/>
    <w:rsid w:val="00491FF5"/>
    <w:rsid w:val="004920F1"/>
    <w:rsid w:val="00492220"/>
    <w:rsid w:val="004923CD"/>
    <w:rsid w:val="00492B04"/>
    <w:rsid w:val="00492B7D"/>
    <w:rsid w:val="00492C19"/>
    <w:rsid w:val="00492E5A"/>
    <w:rsid w:val="00493128"/>
    <w:rsid w:val="00493362"/>
    <w:rsid w:val="004935EF"/>
    <w:rsid w:val="004936EE"/>
    <w:rsid w:val="004939CE"/>
    <w:rsid w:val="00493B7C"/>
    <w:rsid w:val="00493DC6"/>
    <w:rsid w:val="00493DD1"/>
    <w:rsid w:val="00493E3D"/>
    <w:rsid w:val="004940D7"/>
    <w:rsid w:val="0049422F"/>
    <w:rsid w:val="00494252"/>
    <w:rsid w:val="004943A5"/>
    <w:rsid w:val="004944E8"/>
    <w:rsid w:val="0049462C"/>
    <w:rsid w:val="00494847"/>
    <w:rsid w:val="00494975"/>
    <w:rsid w:val="00494B3C"/>
    <w:rsid w:val="00494C19"/>
    <w:rsid w:val="00494C30"/>
    <w:rsid w:val="00494D7A"/>
    <w:rsid w:val="00494F7C"/>
    <w:rsid w:val="0049505E"/>
    <w:rsid w:val="004950E4"/>
    <w:rsid w:val="0049520A"/>
    <w:rsid w:val="0049521E"/>
    <w:rsid w:val="00495226"/>
    <w:rsid w:val="00495316"/>
    <w:rsid w:val="004956C3"/>
    <w:rsid w:val="004956F4"/>
    <w:rsid w:val="0049571A"/>
    <w:rsid w:val="004958BC"/>
    <w:rsid w:val="00495CD2"/>
    <w:rsid w:val="00496215"/>
    <w:rsid w:val="00496501"/>
    <w:rsid w:val="004967F8"/>
    <w:rsid w:val="004969E6"/>
    <w:rsid w:val="00496CC2"/>
    <w:rsid w:val="00496CEF"/>
    <w:rsid w:val="00496D5A"/>
    <w:rsid w:val="00496F4F"/>
    <w:rsid w:val="00496F7D"/>
    <w:rsid w:val="004970C9"/>
    <w:rsid w:val="00497216"/>
    <w:rsid w:val="004975D7"/>
    <w:rsid w:val="00497AE1"/>
    <w:rsid w:val="004A0027"/>
    <w:rsid w:val="004A016B"/>
    <w:rsid w:val="004A026A"/>
    <w:rsid w:val="004A0449"/>
    <w:rsid w:val="004A045C"/>
    <w:rsid w:val="004A07C2"/>
    <w:rsid w:val="004A0A1A"/>
    <w:rsid w:val="004A0AA9"/>
    <w:rsid w:val="004A0AC0"/>
    <w:rsid w:val="004A0B5A"/>
    <w:rsid w:val="004A0C54"/>
    <w:rsid w:val="004A0C6D"/>
    <w:rsid w:val="004A13B7"/>
    <w:rsid w:val="004A175A"/>
    <w:rsid w:val="004A1A21"/>
    <w:rsid w:val="004A1A26"/>
    <w:rsid w:val="004A1A2F"/>
    <w:rsid w:val="004A1A9C"/>
    <w:rsid w:val="004A1B67"/>
    <w:rsid w:val="004A1BD7"/>
    <w:rsid w:val="004A1D0E"/>
    <w:rsid w:val="004A1D8F"/>
    <w:rsid w:val="004A2073"/>
    <w:rsid w:val="004A230C"/>
    <w:rsid w:val="004A2413"/>
    <w:rsid w:val="004A24B0"/>
    <w:rsid w:val="004A257B"/>
    <w:rsid w:val="004A2864"/>
    <w:rsid w:val="004A2B19"/>
    <w:rsid w:val="004A2DF5"/>
    <w:rsid w:val="004A2E15"/>
    <w:rsid w:val="004A2F1A"/>
    <w:rsid w:val="004A2F1F"/>
    <w:rsid w:val="004A2FA1"/>
    <w:rsid w:val="004A3252"/>
    <w:rsid w:val="004A33A3"/>
    <w:rsid w:val="004A34FD"/>
    <w:rsid w:val="004A36DC"/>
    <w:rsid w:val="004A38C8"/>
    <w:rsid w:val="004A39B7"/>
    <w:rsid w:val="004A3A62"/>
    <w:rsid w:val="004A3C28"/>
    <w:rsid w:val="004A3DF8"/>
    <w:rsid w:val="004A422B"/>
    <w:rsid w:val="004A429E"/>
    <w:rsid w:val="004A42CF"/>
    <w:rsid w:val="004A43CC"/>
    <w:rsid w:val="004A48A2"/>
    <w:rsid w:val="004A498B"/>
    <w:rsid w:val="004A4E3D"/>
    <w:rsid w:val="004A4ECB"/>
    <w:rsid w:val="004A4EF3"/>
    <w:rsid w:val="004A529A"/>
    <w:rsid w:val="004A5319"/>
    <w:rsid w:val="004A55DD"/>
    <w:rsid w:val="004A56C1"/>
    <w:rsid w:val="004A5746"/>
    <w:rsid w:val="004A57B7"/>
    <w:rsid w:val="004A57D9"/>
    <w:rsid w:val="004A57F1"/>
    <w:rsid w:val="004A5B1B"/>
    <w:rsid w:val="004A5BFC"/>
    <w:rsid w:val="004A602B"/>
    <w:rsid w:val="004A6085"/>
    <w:rsid w:val="004A60EB"/>
    <w:rsid w:val="004A62F1"/>
    <w:rsid w:val="004A65F6"/>
    <w:rsid w:val="004A661B"/>
    <w:rsid w:val="004A66A5"/>
    <w:rsid w:val="004A6D7C"/>
    <w:rsid w:val="004A7243"/>
    <w:rsid w:val="004A7256"/>
    <w:rsid w:val="004A732F"/>
    <w:rsid w:val="004A756F"/>
    <w:rsid w:val="004A75B6"/>
    <w:rsid w:val="004A7A67"/>
    <w:rsid w:val="004A7D5A"/>
    <w:rsid w:val="004A7E56"/>
    <w:rsid w:val="004B010F"/>
    <w:rsid w:val="004B027F"/>
    <w:rsid w:val="004B033D"/>
    <w:rsid w:val="004B0346"/>
    <w:rsid w:val="004B03B4"/>
    <w:rsid w:val="004B057E"/>
    <w:rsid w:val="004B05A5"/>
    <w:rsid w:val="004B0FD3"/>
    <w:rsid w:val="004B11E3"/>
    <w:rsid w:val="004B1347"/>
    <w:rsid w:val="004B1787"/>
    <w:rsid w:val="004B1C53"/>
    <w:rsid w:val="004B1C86"/>
    <w:rsid w:val="004B1F43"/>
    <w:rsid w:val="004B2125"/>
    <w:rsid w:val="004B22DC"/>
    <w:rsid w:val="004B22E0"/>
    <w:rsid w:val="004B2D4A"/>
    <w:rsid w:val="004B2DC0"/>
    <w:rsid w:val="004B3099"/>
    <w:rsid w:val="004B31C5"/>
    <w:rsid w:val="004B3478"/>
    <w:rsid w:val="004B36A4"/>
    <w:rsid w:val="004B37D3"/>
    <w:rsid w:val="004B3C00"/>
    <w:rsid w:val="004B3E20"/>
    <w:rsid w:val="004B3E99"/>
    <w:rsid w:val="004B3F22"/>
    <w:rsid w:val="004B3F62"/>
    <w:rsid w:val="004B3FAB"/>
    <w:rsid w:val="004B3FEB"/>
    <w:rsid w:val="004B40FE"/>
    <w:rsid w:val="004B4354"/>
    <w:rsid w:val="004B43EC"/>
    <w:rsid w:val="004B44F6"/>
    <w:rsid w:val="004B45F5"/>
    <w:rsid w:val="004B465F"/>
    <w:rsid w:val="004B482A"/>
    <w:rsid w:val="004B4852"/>
    <w:rsid w:val="004B5129"/>
    <w:rsid w:val="004B51C0"/>
    <w:rsid w:val="004B54A0"/>
    <w:rsid w:val="004B5BD9"/>
    <w:rsid w:val="004B5F41"/>
    <w:rsid w:val="004B6047"/>
    <w:rsid w:val="004B61C0"/>
    <w:rsid w:val="004B61ED"/>
    <w:rsid w:val="004B6345"/>
    <w:rsid w:val="004B655A"/>
    <w:rsid w:val="004B6733"/>
    <w:rsid w:val="004B67AB"/>
    <w:rsid w:val="004B67AC"/>
    <w:rsid w:val="004B68C7"/>
    <w:rsid w:val="004B68EC"/>
    <w:rsid w:val="004B698C"/>
    <w:rsid w:val="004B69E6"/>
    <w:rsid w:val="004B6A05"/>
    <w:rsid w:val="004B6DBC"/>
    <w:rsid w:val="004B6E50"/>
    <w:rsid w:val="004B6F1A"/>
    <w:rsid w:val="004B7596"/>
    <w:rsid w:val="004B7936"/>
    <w:rsid w:val="004B7D3A"/>
    <w:rsid w:val="004B7D80"/>
    <w:rsid w:val="004C000E"/>
    <w:rsid w:val="004C0034"/>
    <w:rsid w:val="004C01CB"/>
    <w:rsid w:val="004C05BE"/>
    <w:rsid w:val="004C0777"/>
    <w:rsid w:val="004C0787"/>
    <w:rsid w:val="004C0884"/>
    <w:rsid w:val="004C0986"/>
    <w:rsid w:val="004C0A69"/>
    <w:rsid w:val="004C0ACC"/>
    <w:rsid w:val="004C0DF5"/>
    <w:rsid w:val="004C131E"/>
    <w:rsid w:val="004C14DC"/>
    <w:rsid w:val="004C1508"/>
    <w:rsid w:val="004C1982"/>
    <w:rsid w:val="004C19CE"/>
    <w:rsid w:val="004C19E3"/>
    <w:rsid w:val="004C1A1B"/>
    <w:rsid w:val="004C1ABA"/>
    <w:rsid w:val="004C1D0C"/>
    <w:rsid w:val="004C23DD"/>
    <w:rsid w:val="004C2CC4"/>
    <w:rsid w:val="004C2FE7"/>
    <w:rsid w:val="004C2FF3"/>
    <w:rsid w:val="004C302D"/>
    <w:rsid w:val="004C3139"/>
    <w:rsid w:val="004C33EA"/>
    <w:rsid w:val="004C37B3"/>
    <w:rsid w:val="004C3913"/>
    <w:rsid w:val="004C3ADF"/>
    <w:rsid w:val="004C3B63"/>
    <w:rsid w:val="004C3C4F"/>
    <w:rsid w:val="004C3D3A"/>
    <w:rsid w:val="004C3E4B"/>
    <w:rsid w:val="004C3EF8"/>
    <w:rsid w:val="004C406B"/>
    <w:rsid w:val="004C4160"/>
    <w:rsid w:val="004C445C"/>
    <w:rsid w:val="004C4932"/>
    <w:rsid w:val="004C49AD"/>
    <w:rsid w:val="004C4B64"/>
    <w:rsid w:val="004C509F"/>
    <w:rsid w:val="004C50BE"/>
    <w:rsid w:val="004C559B"/>
    <w:rsid w:val="004C5641"/>
    <w:rsid w:val="004C590F"/>
    <w:rsid w:val="004C5946"/>
    <w:rsid w:val="004C5991"/>
    <w:rsid w:val="004C5CAC"/>
    <w:rsid w:val="004C5E03"/>
    <w:rsid w:val="004C5E4F"/>
    <w:rsid w:val="004C5E79"/>
    <w:rsid w:val="004C5F62"/>
    <w:rsid w:val="004C6063"/>
    <w:rsid w:val="004C60B1"/>
    <w:rsid w:val="004C624F"/>
    <w:rsid w:val="004C62AC"/>
    <w:rsid w:val="004C64C4"/>
    <w:rsid w:val="004C65DE"/>
    <w:rsid w:val="004C6990"/>
    <w:rsid w:val="004C6AD8"/>
    <w:rsid w:val="004C6F67"/>
    <w:rsid w:val="004C7048"/>
    <w:rsid w:val="004C70C4"/>
    <w:rsid w:val="004C716F"/>
    <w:rsid w:val="004C743F"/>
    <w:rsid w:val="004C754F"/>
    <w:rsid w:val="004C7663"/>
    <w:rsid w:val="004C7B8C"/>
    <w:rsid w:val="004C7BCA"/>
    <w:rsid w:val="004C7D2D"/>
    <w:rsid w:val="004C7D77"/>
    <w:rsid w:val="004C7EB4"/>
    <w:rsid w:val="004D00B5"/>
    <w:rsid w:val="004D00CA"/>
    <w:rsid w:val="004D03C4"/>
    <w:rsid w:val="004D047B"/>
    <w:rsid w:val="004D06F8"/>
    <w:rsid w:val="004D0757"/>
    <w:rsid w:val="004D07E7"/>
    <w:rsid w:val="004D0858"/>
    <w:rsid w:val="004D0A23"/>
    <w:rsid w:val="004D0B8C"/>
    <w:rsid w:val="004D0C99"/>
    <w:rsid w:val="004D0DCF"/>
    <w:rsid w:val="004D1006"/>
    <w:rsid w:val="004D118B"/>
    <w:rsid w:val="004D12DC"/>
    <w:rsid w:val="004D12E6"/>
    <w:rsid w:val="004D1310"/>
    <w:rsid w:val="004D1A1D"/>
    <w:rsid w:val="004D1C48"/>
    <w:rsid w:val="004D2013"/>
    <w:rsid w:val="004D29A2"/>
    <w:rsid w:val="004D2A05"/>
    <w:rsid w:val="004D2EA3"/>
    <w:rsid w:val="004D2ED1"/>
    <w:rsid w:val="004D336D"/>
    <w:rsid w:val="004D34AF"/>
    <w:rsid w:val="004D359E"/>
    <w:rsid w:val="004D374A"/>
    <w:rsid w:val="004D3887"/>
    <w:rsid w:val="004D3F62"/>
    <w:rsid w:val="004D407D"/>
    <w:rsid w:val="004D41C6"/>
    <w:rsid w:val="004D41C7"/>
    <w:rsid w:val="004D45DF"/>
    <w:rsid w:val="004D49C0"/>
    <w:rsid w:val="004D4A9E"/>
    <w:rsid w:val="004D513A"/>
    <w:rsid w:val="004D5166"/>
    <w:rsid w:val="004D53A4"/>
    <w:rsid w:val="004D5466"/>
    <w:rsid w:val="004D5CF1"/>
    <w:rsid w:val="004D5EBD"/>
    <w:rsid w:val="004D614B"/>
    <w:rsid w:val="004D6734"/>
    <w:rsid w:val="004D67CB"/>
    <w:rsid w:val="004D67DC"/>
    <w:rsid w:val="004D6846"/>
    <w:rsid w:val="004D685F"/>
    <w:rsid w:val="004D6A92"/>
    <w:rsid w:val="004D6B0A"/>
    <w:rsid w:val="004D6CC1"/>
    <w:rsid w:val="004D6DA9"/>
    <w:rsid w:val="004D6DB6"/>
    <w:rsid w:val="004D6E5F"/>
    <w:rsid w:val="004D6E6C"/>
    <w:rsid w:val="004D6F2E"/>
    <w:rsid w:val="004D703E"/>
    <w:rsid w:val="004D7551"/>
    <w:rsid w:val="004D7913"/>
    <w:rsid w:val="004D7F30"/>
    <w:rsid w:val="004E05D2"/>
    <w:rsid w:val="004E06F6"/>
    <w:rsid w:val="004E06FF"/>
    <w:rsid w:val="004E0868"/>
    <w:rsid w:val="004E08B9"/>
    <w:rsid w:val="004E09E0"/>
    <w:rsid w:val="004E0A72"/>
    <w:rsid w:val="004E0A9B"/>
    <w:rsid w:val="004E0C0B"/>
    <w:rsid w:val="004E0D25"/>
    <w:rsid w:val="004E0D84"/>
    <w:rsid w:val="004E1426"/>
    <w:rsid w:val="004E17A1"/>
    <w:rsid w:val="004E1D2A"/>
    <w:rsid w:val="004E1DBA"/>
    <w:rsid w:val="004E1F95"/>
    <w:rsid w:val="004E206B"/>
    <w:rsid w:val="004E2125"/>
    <w:rsid w:val="004E2250"/>
    <w:rsid w:val="004E2271"/>
    <w:rsid w:val="004E237B"/>
    <w:rsid w:val="004E23CD"/>
    <w:rsid w:val="004E25FB"/>
    <w:rsid w:val="004E2653"/>
    <w:rsid w:val="004E270B"/>
    <w:rsid w:val="004E2728"/>
    <w:rsid w:val="004E2A4A"/>
    <w:rsid w:val="004E2A96"/>
    <w:rsid w:val="004E318E"/>
    <w:rsid w:val="004E324A"/>
    <w:rsid w:val="004E346E"/>
    <w:rsid w:val="004E34A0"/>
    <w:rsid w:val="004E3601"/>
    <w:rsid w:val="004E375D"/>
    <w:rsid w:val="004E3779"/>
    <w:rsid w:val="004E3832"/>
    <w:rsid w:val="004E38C5"/>
    <w:rsid w:val="004E3939"/>
    <w:rsid w:val="004E39CA"/>
    <w:rsid w:val="004E3D86"/>
    <w:rsid w:val="004E3EEC"/>
    <w:rsid w:val="004E4173"/>
    <w:rsid w:val="004E4615"/>
    <w:rsid w:val="004E4DD9"/>
    <w:rsid w:val="004E4E1F"/>
    <w:rsid w:val="004E519B"/>
    <w:rsid w:val="004E56AA"/>
    <w:rsid w:val="004E5772"/>
    <w:rsid w:val="004E584E"/>
    <w:rsid w:val="004E5955"/>
    <w:rsid w:val="004E59F6"/>
    <w:rsid w:val="004E5B68"/>
    <w:rsid w:val="004E5CD8"/>
    <w:rsid w:val="004E5DAC"/>
    <w:rsid w:val="004E5E6F"/>
    <w:rsid w:val="004E5F8F"/>
    <w:rsid w:val="004E626F"/>
    <w:rsid w:val="004E646A"/>
    <w:rsid w:val="004E661C"/>
    <w:rsid w:val="004E666B"/>
    <w:rsid w:val="004E6A98"/>
    <w:rsid w:val="004E6BD4"/>
    <w:rsid w:val="004E6C70"/>
    <w:rsid w:val="004E6C72"/>
    <w:rsid w:val="004E6C89"/>
    <w:rsid w:val="004E6CFF"/>
    <w:rsid w:val="004E6D58"/>
    <w:rsid w:val="004E6D75"/>
    <w:rsid w:val="004E6FFE"/>
    <w:rsid w:val="004E72A9"/>
    <w:rsid w:val="004E738E"/>
    <w:rsid w:val="004E75B0"/>
    <w:rsid w:val="004E772D"/>
    <w:rsid w:val="004E77D5"/>
    <w:rsid w:val="004E7857"/>
    <w:rsid w:val="004E7AD4"/>
    <w:rsid w:val="004E7ADE"/>
    <w:rsid w:val="004E7B2D"/>
    <w:rsid w:val="004E7B5F"/>
    <w:rsid w:val="004E7B83"/>
    <w:rsid w:val="004E7BB9"/>
    <w:rsid w:val="004E7C28"/>
    <w:rsid w:val="004E7C88"/>
    <w:rsid w:val="004E7CD6"/>
    <w:rsid w:val="004E7E62"/>
    <w:rsid w:val="004F0091"/>
    <w:rsid w:val="004F00B5"/>
    <w:rsid w:val="004F01DC"/>
    <w:rsid w:val="004F01DD"/>
    <w:rsid w:val="004F04AC"/>
    <w:rsid w:val="004F05BF"/>
    <w:rsid w:val="004F0685"/>
    <w:rsid w:val="004F0A6F"/>
    <w:rsid w:val="004F0BA2"/>
    <w:rsid w:val="004F0F2D"/>
    <w:rsid w:val="004F1153"/>
    <w:rsid w:val="004F12FA"/>
    <w:rsid w:val="004F1357"/>
    <w:rsid w:val="004F170D"/>
    <w:rsid w:val="004F1802"/>
    <w:rsid w:val="004F19D3"/>
    <w:rsid w:val="004F1AAE"/>
    <w:rsid w:val="004F1B50"/>
    <w:rsid w:val="004F1F95"/>
    <w:rsid w:val="004F20DC"/>
    <w:rsid w:val="004F2248"/>
    <w:rsid w:val="004F2373"/>
    <w:rsid w:val="004F2390"/>
    <w:rsid w:val="004F252C"/>
    <w:rsid w:val="004F2608"/>
    <w:rsid w:val="004F2ABF"/>
    <w:rsid w:val="004F30F2"/>
    <w:rsid w:val="004F3473"/>
    <w:rsid w:val="004F355F"/>
    <w:rsid w:val="004F3688"/>
    <w:rsid w:val="004F3774"/>
    <w:rsid w:val="004F38BE"/>
    <w:rsid w:val="004F39D7"/>
    <w:rsid w:val="004F3AAE"/>
    <w:rsid w:val="004F3DA8"/>
    <w:rsid w:val="004F3E1C"/>
    <w:rsid w:val="004F4253"/>
    <w:rsid w:val="004F42BC"/>
    <w:rsid w:val="004F47EC"/>
    <w:rsid w:val="004F4B90"/>
    <w:rsid w:val="004F4BDE"/>
    <w:rsid w:val="004F4C53"/>
    <w:rsid w:val="004F4CB0"/>
    <w:rsid w:val="004F5032"/>
    <w:rsid w:val="004F51C7"/>
    <w:rsid w:val="004F52F9"/>
    <w:rsid w:val="004F53F3"/>
    <w:rsid w:val="004F547A"/>
    <w:rsid w:val="004F547B"/>
    <w:rsid w:val="004F54BE"/>
    <w:rsid w:val="004F5556"/>
    <w:rsid w:val="004F5A14"/>
    <w:rsid w:val="004F5CFF"/>
    <w:rsid w:val="004F5DB5"/>
    <w:rsid w:val="004F5DB6"/>
    <w:rsid w:val="004F5ECF"/>
    <w:rsid w:val="004F60D8"/>
    <w:rsid w:val="004F60F5"/>
    <w:rsid w:val="004F6486"/>
    <w:rsid w:val="004F65FE"/>
    <w:rsid w:val="004F66B0"/>
    <w:rsid w:val="004F70E3"/>
    <w:rsid w:val="004F7296"/>
    <w:rsid w:val="004F72FA"/>
    <w:rsid w:val="004F7368"/>
    <w:rsid w:val="004F742F"/>
    <w:rsid w:val="004F75E3"/>
    <w:rsid w:val="004F7813"/>
    <w:rsid w:val="004F7AEC"/>
    <w:rsid w:val="004F7CAC"/>
    <w:rsid w:val="004F7D27"/>
    <w:rsid w:val="004F7E69"/>
    <w:rsid w:val="004FB11E"/>
    <w:rsid w:val="00500039"/>
    <w:rsid w:val="0050008C"/>
    <w:rsid w:val="00500095"/>
    <w:rsid w:val="005002C4"/>
    <w:rsid w:val="00500563"/>
    <w:rsid w:val="0050065C"/>
    <w:rsid w:val="0050084E"/>
    <w:rsid w:val="00500B50"/>
    <w:rsid w:val="00500C52"/>
    <w:rsid w:val="00500CFE"/>
    <w:rsid w:val="00500E43"/>
    <w:rsid w:val="00500EA1"/>
    <w:rsid w:val="00500EF9"/>
    <w:rsid w:val="00500F37"/>
    <w:rsid w:val="00500F64"/>
    <w:rsid w:val="005010C6"/>
    <w:rsid w:val="005013BF"/>
    <w:rsid w:val="0050151A"/>
    <w:rsid w:val="0050174C"/>
    <w:rsid w:val="0050175A"/>
    <w:rsid w:val="00501AF0"/>
    <w:rsid w:val="00501DBB"/>
    <w:rsid w:val="00502189"/>
    <w:rsid w:val="00502229"/>
    <w:rsid w:val="00502459"/>
    <w:rsid w:val="0050265D"/>
    <w:rsid w:val="00502705"/>
    <w:rsid w:val="00502731"/>
    <w:rsid w:val="00502774"/>
    <w:rsid w:val="00502B33"/>
    <w:rsid w:val="00502C14"/>
    <w:rsid w:val="00502CB2"/>
    <w:rsid w:val="00502D96"/>
    <w:rsid w:val="00502E3F"/>
    <w:rsid w:val="00502E44"/>
    <w:rsid w:val="00502E99"/>
    <w:rsid w:val="00502F19"/>
    <w:rsid w:val="005032D4"/>
    <w:rsid w:val="00503525"/>
    <w:rsid w:val="00503680"/>
    <w:rsid w:val="00503981"/>
    <w:rsid w:val="00503C54"/>
    <w:rsid w:val="00503D0A"/>
    <w:rsid w:val="00503E77"/>
    <w:rsid w:val="00503ED2"/>
    <w:rsid w:val="00504478"/>
    <w:rsid w:val="0050447C"/>
    <w:rsid w:val="00504677"/>
    <w:rsid w:val="005047C0"/>
    <w:rsid w:val="00504A5F"/>
    <w:rsid w:val="00504A9B"/>
    <w:rsid w:val="00504BC2"/>
    <w:rsid w:val="00504DA3"/>
    <w:rsid w:val="00504ED1"/>
    <w:rsid w:val="00504F8C"/>
    <w:rsid w:val="00505020"/>
    <w:rsid w:val="00505699"/>
    <w:rsid w:val="0050571C"/>
    <w:rsid w:val="005058DA"/>
    <w:rsid w:val="00505AA7"/>
    <w:rsid w:val="00505B8B"/>
    <w:rsid w:val="00505F28"/>
    <w:rsid w:val="00506032"/>
    <w:rsid w:val="0050612E"/>
    <w:rsid w:val="0050617D"/>
    <w:rsid w:val="0050642E"/>
    <w:rsid w:val="005065D3"/>
    <w:rsid w:val="005066B8"/>
    <w:rsid w:val="00506A8E"/>
    <w:rsid w:val="00506C42"/>
    <w:rsid w:val="00506D30"/>
    <w:rsid w:val="00507179"/>
    <w:rsid w:val="005071B1"/>
    <w:rsid w:val="0050734C"/>
    <w:rsid w:val="005073BD"/>
    <w:rsid w:val="0050764E"/>
    <w:rsid w:val="00507767"/>
    <w:rsid w:val="0050792B"/>
    <w:rsid w:val="00507992"/>
    <w:rsid w:val="00507A54"/>
    <w:rsid w:val="00507D33"/>
    <w:rsid w:val="00507FB8"/>
    <w:rsid w:val="00510052"/>
    <w:rsid w:val="005103BD"/>
    <w:rsid w:val="005107DB"/>
    <w:rsid w:val="00510EAA"/>
    <w:rsid w:val="00510F87"/>
    <w:rsid w:val="0051119A"/>
    <w:rsid w:val="005111D6"/>
    <w:rsid w:val="00511304"/>
    <w:rsid w:val="00511320"/>
    <w:rsid w:val="0051141B"/>
    <w:rsid w:val="0051148B"/>
    <w:rsid w:val="005115EE"/>
    <w:rsid w:val="00511675"/>
    <w:rsid w:val="005119C9"/>
    <w:rsid w:val="00511AC0"/>
    <w:rsid w:val="00511C4D"/>
    <w:rsid w:val="00511CEA"/>
    <w:rsid w:val="00511D08"/>
    <w:rsid w:val="0051220F"/>
    <w:rsid w:val="005122B8"/>
    <w:rsid w:val="005122BD"/>
    <w:rsid w:val="0051232C"/>
    <w:rsid w:val="005126AB"/>
    <w:rsid w:val="005126E8"/>
    <w:rsid w:val="00512A71"/>
    <w:rsid w:val="00512D61"/>
    <w:rsid w:val="00512D63"/>
    <w:rsid w:val="00512E23"/>
    <w:rsid w:val="00512EAE"/>
    <w:rsid w:val="00512F11"/>
    <w:rsid w:val="00512FD3"/>
    <w:rsid w:val="00513016"/>
    <w:rsid w:val="005130C9"/>
    <w:rsid w:val="00513496"/>
    <w:rsid w:val="00513692"/>
    <w:rsid w:val="005136AB"/>
    <w:rsid w:val="0051370A"/>
    <w:rsid w:val="00513D01"/>
    <w:rsid w:val="00513E2E"/>
    <w:rsid w:val="00514263"/>
    <w:rsid w:val="005143F9"/>
    <w:rsid w:val="005145FB"/>
    <w:rsid w:val="00514635"/>
    <w:rsid w:val="005148A4"/>
    <w:rsid w:val="00514DE2"/>
    <w:rsid w:val="00514E10"/>
    <w:rsid w:val="00514E18"/>
    <w:rsid w:val="00514E56"/>
    <w:rsid w:val="00514FD3"/>
    <w:rsid w:val="0051597B"/>
    <w:rsid w:val="00515A86"/>
    <w:rsid w:val="00515B14"/>
    <w:rsid w:val="00515FD5"/>
    <w:rsid w:val="00516138"/>
    <w:rsid w:val="005161B7"/>
    <w:rsid w:val="0051627B"/>
    <w:rsid w:val="0051646B"/>
    <w:rsid w:val="005164C0"/>
    <w:rsid w:val="00516566"/>
    <w:rsid w:val="0051666F"/>
    <w:rsid w:val="00516832"/>
    <w:rsid w:val="00516862"/>
    <w:rsid w:val="005168F4"/>
    <w:rsid w:val="00516950"/>
    <w:rsid w:val="00516B64"/>
    <w:rsid w:val="00516E21"/>
    <w:rsid w:val="0051708D"/>
    <w:rsid w:val="005172AF"/>
    <w:rsid w:val="005172FA"/>
    <w:rsid w:val="00517911"/>
    <w:rsid w:val="00517A3F"/>
    <w:rsid w:val="00517A71"/>
    <w:rsid w:val="00517B35"/>
    <w:rsid w:val="005201C4"/>
    <w:rsid w:val="00520510"/>
    <w:rsid w:val="005208F2"/>
    <w:rsid w:val="00520928"/>
    <w:rsid w:val="00520AF5"/>
    <w:rsid w:val="00521011"/>
    <w:rsid w:val="00521733"/>
    <w:rsid w:val="00521818"/>
    <w:rsid w:val="00521866"/>
    <w:rsid w:val="005218C3"/>
    <w:rsid w:val="005219EE"/>
    <w:rsid w:val="00521B2E"/>
    <w:rsid w:val="00521C43"/>
    <w:rsid w:val="00521C5D"/>
    <w:rsid w:val="00521E4A"/>
    <w:rsid w:val="00521FC8"/>
    <w:rsid w:val="005220F4"/>
    <w:rsid w:val="0052221E"/>
    <w:rsid w:val="0052232E"/>
    <w:rsid w:val="005227A0"/>
    <w:rsid w:val="0052287C"/>
    <w:rsid w:val="00522A2B"/>
    <w:rsid w:val="00522ABD"/>
    <w:rsid w:val="00522B2B"/>
    <w:rsid w:val="00522B61"/>
    <w:rsid w:val="00522F4D"/>
    <w:rsid w:val="00522FB6"/>
    <w:rsid w:val="00523151"/>
    <w:rsid w:val="00523674"/>
    <w:rsid w:val="00523809"/>
    <w:rsid w:val="005239DC"/>
    <w:rsid w:val="00523D9C"/>
    <w:rsid w:val="00523DCD"/>
    <w:rsid w:val="00523FB3"/>
    <w:rsid w:val="00524172"/>
    <w:rsid w:val="00524374"/>
    <w:rsid w:val="00524532"/>
    <w:rsid w:val="0052474E"/>
    <w:rsid w:val="005247A8"/>
    <w:rsid w:val="00524981"/>
    <w:rsid w:val="00524A39"/>
    <w:rsid w:val="00524A72"/>
    <w:rsid w:val="00524AFD"/>
    <w:rsid w:val="00524BDF"/>
    <w:rsid w:val="00524CE6"/>
    <w:rsid w:val="00524DBD"/>
    <w:rsid w:val="00524FE6"/>
    <w:rsid w:val="0052523A"/>
    <w:rsid w:val="00525325"/>
    <w:rsid w:val="005253CB"/>
    <w:rsid w:val="005253DD"/>
    <w:rsid w:val="00525417"/>
    <w:rsid w:val="00525B53"/>
    <w:rsid w:val="00525E99"/>
    <w:rsid w:val="00525F06"/>
    <w:rsid w:val="00525F60"/>
    <w:rsid w:val="00526059"/>
    <w:rsid w:val="0052609C"/>
    <w:rsid w:val="0052619C"/>
    <w:rsid w:val="00526774"/>
    <w:rsid w:val="005269CE"/>
    <w:rsid w:val="00526D31"/>
    <w:rsid w:val="00526D94"/>
    <w:rsid w:val="00526F68"/>
    <w:rsid w:val="00526FF6"/>
    <w:rsid w:val="005274A9"/>
    <w:rsid w:val="0052758B"/>
    <w:rsid w:val="00527639"/>
    <w:rsid w:val="00527717"/>
    <w:rsid w:val="005278FF"/>
    <w:rsid w:val="005279E9"/>
    <w:rsid w:val="00527BF4"/>
    <w:rsid w:val="00527C0A"/>
    <w:rsid w:val="00527C39"/>
    <w:rsid w:val="00527EDD"/>
    <w:rsid w:val="00527F8C"/>
    <w:rsid w:val="00530236"/>
    <w:rsid w:val="005304BB"/>
    <w:rsid w:val="005304F2"/>
    <w:rsid w:val="00530580"/>
    <w:rsid w:val="005305D7"/>
    <w:rsid w:val="00530B28"/>
    <w:rsid w:val="00530BE7"/>
    <w:rsid w:val="00530D73"/>
    <w:rsid w:val="00530DEB"/>
    <w:rsid w:val="00530F3C"/>
    <w:rsid w:val="005310C2"/>
    <w:rsid w:val="00531104"/>
    <w:rsid w:val="0053113B"/>
    <w:rsid w:val="0053130F"/>
    <w:rsid w:val="0053147A"/>
    <w:rsid w:val="0053159D"/>
    <w:rsid w:val="0053177A"/>
    <w:rsid w:val="0053193D"/>
    <w:rsid w:val="00531B98"/>
    <w:rsid w:val="00531C11"/>
    <w:rsid w:val="00531DBB"/>
    <w:rsid w:val="00531FA3"/>
    <w:rsid w:val="0053211C"/>
    <w:rsid w:val="0053226D"/>
    <w:rsid w:val="005324DB"/>
    <w:rsid w:val="00532A68"/>
    <w:rsid w:val="00532AF6"/>
    <w:rsid w:val="00532CD0"/>
    <w:rsid w:val="005330A9"/>
    <w:rsid w:val="005331BF"/>
    <w:rsid w:val="0053350B"/>
    <w:rsid w:val="005336C7"/>
    <w:rsid w:val="0053388D"/>
    <w:rsid w:val="00533AFC"/>
    <w:rsid w:val="00533B34"/>
    <w:rsid w:val="00533BE0"/>
    <w:rsid w:val="00533C5C"/>
    <w:rsid w:val="00533CA0"/>
    <w:rsid w:val="00533D8A"/>
    <w:rsid w:val="00533E43"/>
    <w:rsid w:val="00533F52"/>
    <w:rsid w:val="00534103"/>
    <w:rsid w:val="0053448E"/>
    <w:rsid w:val="00534666"/>
    <w:rsid w:val="00534742"/>
    <w:rsid w:val="00534CB4"/>
    <w:rsid w:val="00534DA2"/>
    <w:rsid w:val="00534E57"/>
    <w:rsid w:val="00534F19"/>
    <w:rsid w:val="0053514B"/>
    <w:rsid w:val="005353E6"/>
    <w:rsid w:val="00535598"/>
    <w:rsid w:val="0053568F"/>
    <w:rsid w:val="00535C74"/>
    <w:rsid w:val="00535D92"/>
    <w:rsid w:val="00535EC3"/>
    <w:rsid w:val="005361AB"/>
    <w:rsid w:val="00536614"/>
    <w:rsid w:val="00536664"/>
    <w:rsid w:val="00536698"/>
    <w:rsid w:val="0053673E"/>
    <w:rsid w:val="00536832"/>
    <w:rsid w:val="00536B57"/>
    <w:rsid w:val="00536B5F"/>
    <w:rsid w:val="00536D0F"/>
    <w:rsid w:val="00536DBF"/>
    <w:rsid w:val="00536E77"/>
    <w:rsid w:val="0053710B"/>
    <w:rsid w:val="005372D4"/>
    <w:rsid w:val="00537424"/>
    <w:rsid w:val="0053768E"/>
    <w:rsid w:val="005378C5"/>
    <w:rsid w:val="00537A94"/>
    <w:rsid w:val="00537C05"/>
    <w:rsid w:val="00537DA5"/>
    <w:rsid w:val="00537DD4"/>
    <w:rsid w:val="00537EAD"/>
    <w:rsid w:val="0054035E"/>
    <w:rsid w:val="0054064D"/>
    <w:rsid w:val="005407B3"/>
    <w:rsid w:val="00540A8C"/>
    <w:rsid w:val="00540F0F"/>
    <w:rsid w:val="00541227"/>
    <w:rsid w:val="00541456"/>
    <w:rsid w:val="005416CF"/>
    <w:rsid w:val="00541A10"/>
    <w:rsid w:val="00541B3F"/>
    <w:rsid w:val="00541D43"/>
    <w:rsid w:val="00541E81"/>
    <w:rsid w:val="00541FB9"/>
    <w:rsid w:val="00542068"/>
    <w:rsid w:val="00542154"/>
    <w:rsid w:val="00542263"/>
    <w:rsid w:val="00542378"/>
    <w:rsid w:val="0054242E"/>
    <w:rsid w:val="0054244C"/>
    <w:rsid w:val="005424A4"/>
    <w:rsid w:val="00542816"/>
    <w:rsid w:val="00542864"/>
    <w:rsid w:val="00542A01"/>
    <w:rsid w:val="00542B6B"/>
    <w:rsid w:val="00542C5C"/>
    <w:rsid w:val="00542D30"/>
    <w:rsid w:val="00542FBC"/>
    <w:rsid w:val="00543123"/>
    <w:rsid w:val="0054318E"/>
    <w:rsid w:val="005431FC"/>
    <w:rsid w:val="00543437"/>
    <w:rsid w:val="00543513"/>
    <w:rsid w:val="005435BD"/>
    <w:rsid w:val="00543719"/>
    <w:rsid w:val="00543733"/>
    <w:rsid w:val="005438E8"/>
    <w:rsid w:val="005439D7"/>
    <w:rsid w:val="005439E5"/>
    <w:rsid w:val="00543AF9"/>
    <w:rsid w:val="00543BF7"/>
    <w:rsid w:val="00543CA5"/>
    <w:rsid w:val="00543E21"/>
    <w:rsid w:val="00543E31"/>
    <w:rsid w:val="005441D1"/>
    <w:rsid w:val="00544998"/>
    <w:rsid w:val="00544C74"/>
    <w:rsid w:val="00544DE1"/>
    <w:rsid w:val="0054503F"/>
    <w:rsid w:val="00545095"/>
    <w:rsid w:val="005452A8"/>
    <w:rsid w:val="00545342"/>
    <w:rsid w:val="005456F7"/>
    <w:rsid w:val="00545978"/>
    <w:rsid w:val="00545D7F"/>
    <w:rsid w:val="00545DBA"/>
    <w:rsid w:val="00545ED9"/>
    <w:rsid w:val="00545F1E"/>
    <w:rsid w:val="00546138"/>
    <w:rsid w:val="005463C4"/>
    <w:rsid w:val="005463D8"/>
    <w:rsid w:val="00546701"/>
    <w:rsid w:val="00546B3D"/>
    <w:rsid w:val="00546B53"/>
    <w:rsid w:val="00546D61"/>
    <w:rsid w:val="00546DC3"/>
    <w:rsid w:val="00546F28"/>
    <w:rsid w:val="00546FAF"/>
    <w:rsid w:val="00547390"/>
    <w:rsid w:val="005474BF"/>
    <w:rsid w:val="005476EC"/>
    <w:rsid w:val="00547918"/>
    <w:rsid w:val="00547A2E"/>
    <w:rsid w:val="00547B7E"/>
    <w:rsid w:val="00547B88"/>
    <w:rsid w:val="00547CBA"/>
    <w:rsid w:val="00547CD2"/>
    <w:rsid w:val="00547D8A"/>
    <w:rsid w:val="00547FC0"/>
    <w:rsid w:val="005502A3"/>
    <w:rsid w:val="00550471"/>
    <w:rsid w:val="0055072B"/>
    <w:rsid w:val="00550998"/>
    <w:rsid w:val="005509B6"/>
    <w:rsid w:val="00550AF5"/>
    <w:rsid w:val="00550B90"/>
    <w:rsid w:val="00551092"/>
    <w:rsid w:val="005513DB"/>
    <w:rsid w:val="00551605"/>
    <w:rsid w:val="00551669"/>
    <w:rsid w:val="0055196D"/>
    <w:rsid w:val="00551AC8"/>
    <w:rsid w:val="00551B7F"/>
    <w:rsid w:val="00551D8C"/>
    <w:rsid w:val="00551DCF"/>
    <w:rsid w:val="00551E8E"/>
    <w:rsid w:val="00551F75"/>
    <w:rsid w:val="00552033"/>
    <w:rsid w:val="00552097"/>
    <w:rsid w:val="005521E4"/>
    <w:rsid w:val="0055226D"/>
    <w:rsid w:val="005522CD"/>
    <w:rsid w:val="00552444"/>
    <w:rsid w:val="00552456"/>
    <w:rsid w:val="00552549"/>
    <w:rsid w:val="00552995"/>
    <w:rsid w:val="00552ADC"/>
    <w:rsid w:val="00552BED"/>
    <w:rsid w:val="005530DD"/>
    <w:rsid w:val="00553182"/>
    <w:rsid w:val="005531F4"/>
    <w:rsid w:val="0055323C"/>
    <w:rsid w:val="005532FE"/>
    <w:rsid w:val="00553469"/>
    <w:rsid w:val="005534FE"/>
    <w:rsid w:val="005535A0"/>
    <w:rsid w:val="00553A85"/>
    <w:rsid w:val="00553B7A"/>
    <w:rsid w:val="00554057"/>
    <w:rsid w:val="0055434D"/>
    <w:rsid w:val="00554476"/>
    <w:rsid w:val="00554502"/>
    <w:rsid w:val="00554522"/>
    <w:rsid w:val="00554ACD"/>
    <w:rsid w:val="00554C22"/>
    <w:rsid w:val="00554D49"/>
    <w:rsid w:val="00554FF1"/>
    <w:rsid w:val="00555134"/>
    <w:rsid w:val="0055532F"/>
    <w:rsid w:val="00555366"/>
    <w:rsid w:val="005558A9"/>
    <w:rsid w:val="0055593B"/>
    <w:rsid w:val="0055596F"/>
    <w:rsid w:val="005559AD"/>
    <w:rsid w:val="005559E5"/>
    <w:rsid w:val="00555F43"/>
    <w:rsid w:val="00555F57"/>
    <w:rsid w:val="00556110"/>
    <w:rsid w:val="00556123"/>
    <w:rsid w:val="005561AD"/>
    <w:rsid w:val="00556234"/>
    <w:rsid w:val="0055671C"/>
    <w:rsid w:val="00556734"/>
    <w:rsid w:val="00556A3A"/>
    <w:rsid w:val="00556AD8"/>
    <w:rsid w:val="00556B65"/>
    <w:rsid w:val="00556D4B"/>
    <w:rsid w:val="00556DFA"/>
    <w:rsid w:val="005570D3"/>
    <w:rsid w:val="005571BD"/>
    <w:rsid w:val="00557524"/>
    <w:rsid w:val="00557579"/>
    <w:rsid w:val="00557621"/>
    <w:rsid w:val="00557628"/>
    <w:rsid w:val="0055780A"/>
    <w:rsid w:val="0055786D"/>
    <w:rsid w:val="00557941"/>
    <w:rsid w:val="00557A36"/>
    <w:rsid w:val="00557C62"/>
    <w:rsid w:val="00557CC2"/>
    <w:rsid w:val="00557D44"/>
    <w:rsid w:val="00557F4A"/>
    <w:rsid w:val="00557FF4"/>
    <w:rsid w:val="00560033"/>
    <w:rsid w:val="00560047"/>
    <w:rsid w:val="0056007B"/>
    <w:rsid w:val="005607AC"/>
    <w:rsid w:val="00560B4A"/>
    <w:rsid w:val="00560BC3"/>
    <w:rsid w:val="00560BD7"/>
    <w:rsid w:val="00560D4F"/>
    <w:rsid w:val="00560D73"/>
    <w:rsid w:val="00561091"/>
    <w:rsid w:val="00561447"/>
    <w:rsid w:val="005616A3"/>
    <w:rsid w:val="005617C3"/>
    <w:rsid w:val="005617DF"/>
    <w:rsid w:val="00561D24"/>
    <w:rsid w:val="00561D75"/>
    <w:rsid w:val="00561E9B"/>
    <w:rsid w:val="00561FF4"/>
    <w:rsid w:val="0056210A"/>
    <w:rsid w:val="00562205"/>
    <w:rsid w:val="005623D4"/>
    <w:rsid w:val="005624ED"/>
    <w:rsid w:val="005625F0"/>
    <w:rsid w:val="00562785"/>
    <w:rsid w:val="00562858"/>
    <w:rsid w:val="00562B87"/>
    <w:rsid w:val="00562CF5"/>
    <w:rsid w:val="00562D39"/>
    <w:rsid w:val="0056320A"/>
    <w:rsid w:val="0056328A"/>
    <w:rsid w:val="005632A0"/>
    <w:rsid w:val="005633F1"/>
    <w:rsid w:val="00563499"/>
    <w:rsid w:val="00563669"/>
    <w:rsid w:val="00563B2E"/>
    <w:rsid w:val="00563C2D"/>
    <w:rsid w:val="00563C44"/>
    <w:rsid w:val="00563C6C"/>
    <w:rsid w:val="00563C78"/>
    <w:rsid w:val="00563E2B"/>
    <w:rsid w:val="00564044"/>
    <w:rsid w:val="005640DC"/>
    <w:rsid w:val="005641C4"/>
    <w:rsid w:val="0056429D"/>
    <w:rsid w:val="005644D1"/>
    <w:rsid w:val="00564718"/>
    <w:rsid w:val="00564AF7"/>
    <w:rsid w:val="00564D53"/>
    <w:rsid w:val="005650AB"/>
    <w:rsid w:val="0056514D"/>
    <w:rsid w:val="005653C9"/>
    <w:rsid w:val="005653EF"/>
    <w:rsid w:val="0056560A"/>
    <w:rsid w:val="00565717"/>
    <w:rsid w:val="00565880"/>
    <w:rsid w:val="005659D6"/>
    <w:rsid w:val="00565A06"/>
    <w:rsid w:val="00565AE2"/>
    <w:rsid w:val="00565F1C"/>
    <w:rsid w:val="005660E2"/>
    <w:rsid w:val="005663BF"/>
    <w:rsid w:val="005664D4"/>
    <w:rsid w:val="005665B3"/>
    <w:rsid w:val="005666C5"/>
    <w:rsid w:val="00566743"/>
    <w:rsid w:val="00566926"/>
    <w:rsid w:val="00566BB4"/>
    <w:rsid w:val="00566C9B"/>
    <w:rsid w:val="00566D1F"/>
    <w:rsid w:val="00566FB0"/>
    <w:rsid w:val="0056700F"/>
    <w:rsid w:val="0056702A"/>
    <w:rsid w:val="005671E5"/>
    <w:rsid w:val="00567392"/>
    <w:rsid w:val="005674A9"/>
    <w:rsid w:val="0056753A"/>
    <w:rsid w:val="005677D5"/>
    <w:rsid w:val="00567939"/>
    <w:rsid w:val="00567AAB"/>
    <w:rsid w:val="00567DAB"/>
    <w:rsid w:val="00567EB7"/>
    <w:rsid w:val="0057012C"/>
    <w:rsid w:val="0057025D"/>
    <w:rsid w:val="0057063D"/>
    <w:rsid w:val="0057099E"/>
    <w:rsid w:val="00570AA8"/>
    <w:rsid w:val="0057100F"/>
    <w:rsid w:val="00571273"/>
    <w:rsid w:val="005712B0"/>
    <w:rsid w:val="0057140F"/>
    <w:rsid w:val="0057150E"/>
    <w:rsid w:val="005715C0"/>
    <w:rsid w:val="005717D7"/>
    <w:rsid w:val="005717EC"/>
    <w:rsid w:val="00571965"/>
    <w:rsid w:val="00571A68"/>
    <w:rsid w:val="00571AD1"/>
    <w:rsid w:val="00571CAB"/>
    <w:rsid w:val="00571D55"/>
    <w:rsid w:val="00571D72"/>
    <w:rsid w:val="00572180"/>
    <w:rsid w:val="005721E4"/>
    <w:rsid w:val="005723D8"/>
    <w:rsid w:val="00572660"/>
    <w:rsid w:val="0057271E"/>
    <w:rsid w:val="00572D97"/>
    <w:rsid w:val="00572DE6"/>
    <w:rsid w:val="00572E31"/>
    <w:rsid w:val="0057324A"/>
    <w:rsid w:val="005734CA"/>
    <w:rsid w:val="005735B3"/>
    <w:rsid w:val="005737FE"/>
    <w:rsid w:val="005738A6"/>
    <w:rsid w:val="005739C0"/>
    <w:rsid w:val="00573F5F"/>
    <w:rsid w:val="0057438C"/>
    <w:rsid w:val="005743EB"/>
    <w:rsid w:val="00574843"/>
    <w:rsid w:val="00574854"/>
    <w:rsid w:val="005748F3"/>
    <w:rsid w:val="005750EF"/>
    <w:rsid w:val="0057546C"/>
    <w:rsid w:val="00575488"/>
    <w:rsid w:val="00575C95"/>
    <w:rsid w:val="00575CF1"/>
    <w:rsid w:val="00576497"/>
    <w:rsid w:val="005765A7"/>
    <w:rsid w:val="00576695"/>
    <w:rsid w:val="00576755"/>
    <w:rsid w:val="005768F7"/>
    <w:rsid w:val="00576ADE"/>
    <w:rsid w:val="00576B8B"/>
    <w:rsid w:val="00576F98"/>
    <w:rsid w:val="005770BA"/>
    <w:rsid w:val="005770C4"/>
    <w:rsid w:val="005772D1"/>
    <w:rsid w:val="00577726"/>
    <w:rsid w:val="00577857"/>
    <w:rsid w:val="00577CFD"/>
    <w:rsid w:val="00577D02"/>
    <w:rsid w:val="00577DEF"/>
    <w:rsid w:val="00580242"/>
    <w:rsid w:val="005805CD"/>
    <w:rsid w:val="00580659"/>
    <w:rsid w:val="005806AD"/>
    <w:rsid w:val="0058092B"/>
    <w:rsid w:val="00580AE4"/>
    <w:rsid w:val="00580B86"/>
    <w:rsid w:val="00580BBD"/>
    <w:rsid w:val="0058108A"/>
    <w:rsid w:val="005814CB"/>
    <w:rsid w:val="005814F2"/>
    <w:rsid w:val="00581533"/>
    <w:rsid w:val="005816FD"/>
    <w:rsid w:val="00581B0E"/>
    <w:rsid w:val="00581C81"/>
    <w:rsid w:val="00581D5C"/>
    <w:rsid w:val="00581DAC"/>
    <w:rsid w:val="00581FA8"/>
    <w:rsid w:val="0058241F"/>
    <w:rsid w:val="00582479"/>
    <w:rsid w:val="005825EE"/>
    <w:rsid w:val="00582B58"/>
    <w:rsid w:val="00582F47"/>
    <w:rsid w:val="00583197"/>
    <w:rsid w:val="005832BD"/>
    <w:rsid w:val="00583617"/>
    <w:rsid w:val="00583700"/>
    <w:rsid w:val="0058371A"/>
    <w:rsid w:val="005837AB"/>
    <w:rsid w:val="00583854"/>
    <w:rsid w:val="005839AB"/>
    <w:rsid w:val="00583B21"/>
    <w:rsid w:val="00583B4B"/>
    <w:rsid w:val="00583C61"/>
    <w:rsid w:val="00583F29"/>
    <w:rsid w:val="00583F42"/>
    <w:rsid w:val="00584094"/>
    <w:rsid w:val="0058459F"/>
    <w:rsid w:val="0058464D"/>
    <w:rsid w:val="0058478E"/>
    <w:rsid w:val="00584808"/>
    <w:rsid w:val="00584B75"/>
    <w:rsid w:val="00584B7F"/>
    <w:rsid w:val="00584DC2"/>
    <w:rsid w:val="00584DD6"/>
    <w:rsid w:val="00584E7E"/>
    <w:rsid w:val="00584E88"/>
    <w:rsid w:val="00585752"/>
    <w:rsid w:val="00585861"/>
    <w:rsid w:val="00585879"/>
    <w:rsid w:val="005858EE"/>
    <w:rsid w:val="00585BCD"/>
    <w:rsid w:val="00585C6B"/>
    <w:rsid w:val="00585C6D"/>
    <w:rsid w:val="00585EEE"/>
    <w:rsid w:val="005860A1"/>
    <w:rsid w:val="0058619B"/>
    <w:rsid w:val="0058637D"/>
    <w:rsid w:val="005863C4"/>
    <w:rsid w:val="00586614"/>
    <w:rsid w:val="005866C9"/>
    <w:rsid w:val="00586752"/>
    <w:rsid w:val="005867E1"/>
    <w:rsid w:val="005870C1"/>
    <w:rsid w:val="00587154"/>
    <w:rsid w:val="00587867"/>
    <w:rsid w:val="00587A6E"/>
    <w:rsid w:val="00587C59"/>
    <w:rsid w:val="00587CDA"/>
    <w:rsid w:val="00587D70"/>
    <w:rsid w:val="00590026"/>
    <w:rsid w:val="0059028D"/>
    <w:rsid w:val="00590404"/>
    <w:rsid w:val="0059056F"/>
    <w:rsid w:val="00590577"/>
    <w:rsid w:val="00590CEF"/>
    <w:rsid w:val="00590E2C"/>
    <w:rsid w:val="00590E43"/>
    <w:rsid w:val="005911E8"/>
    <w:rsid w:val="005913B3"/>
    <w:rsid w:val="00591503"/>
    <w:rsid w:val="00591667"/>
    <w:rsid w:val="005916F0"/>
    <w:rsid w:val="005917E3"/>
    <w:rsid w:val="0059184E"/>
    <w:rsid w:val="005918F9"/>
    <w:rsid w:val="00591AB1"/>
    <w:rsid w:val="00591D36"/>
    <w:rsid w:val="00592052"/>
    <w:rsid w:val="005920DD"/>
    <w:rsid w:val="00592281"/>
    <w:rsid w:val="00592668"/>
    <w:rsid w:val="00592C94"/>
    <w:rsid w:val="00592CBF"/>
    <w:rsid w:val="00592DD8"/>
    <w:rsid w:val="00592FC3"/>
    <w:rsid w:val="005935C0"/>
    <w:rsid w:val="005938CF"/>
    <w:rsid w:val="005938F1"/>
    <w:rsid w:val="0059393F"/>
    <w:rsid w:val="005939B5"/>
    <w:rsid w:val="00593BA2"/>
    <w:rsid w:val="00593F97"/>
    <w:rsid w:val="00593FF6"/>
    <w:rsid w:val="00594079"/>
    <w:rsid w:val="00594677"/>
    <w:rsid w:val="00594730"/>
    <w:rsid w:val="00594739"/>
    <w:rsid w:val="00594C35"/>
    <w:rsid w:val="00594EAB"/>
    <w:rsid w:val="0059515D"/>
    <w:rsid w:val="00595929"/>
    <w:rsid w:val="00595ACF"/>
    <w:rsid w:val="00595B0A"/>
    <w:rsid w:val="00595B4A"/>
    <w:rsid w:val="00595EE9"/>
    <w:rsid w:val="005961CC"/>
    <w:rsid w:val="00596230"/>
    <w:rsid w:val="005962BC"/>
    <w:rsid w:val="00596406"/>
    <w:rsid w:val="005965C2"/>
    <w:rsid w:val="00596667"/>
    <w:rsid w:val="0059676A"/>
    <w:rsid w:val="0059685D"/>
    <w:rsid w:val="005969F2"/>
    <w:rsid w:val="00596BB4"/>
    <w:rsid w:val="00596C4D"/>
    <w:rsid w:val="00596CB7"/>
    <w:rsid w:val="005975BF"/>
    <w:rsid w:val="005977A0"/>
    <w:rsid w:val="00597972"/>
    <w:rsid w:val="00597B33"/>
    <w:rsid w:val="00597DD5"/>
    <w:rsid w:val="00597FAB"/>
    <w:rsid w:val="005A000C"/>
    <w:rsid w:val="005A00B8"/>
    <w:rsid w:val="005A0749"/>
    <w:rsid w:val="005A079E"/>
    <w:rsid w:val="005A0910"/>
    <w:rsid w:val="005A0A4F"/>
    <w:rsid w:val="005A0B84"/>
    <w:rsid w:val="005A0BFB"/>
    <w:rsid w:val="005A0D48"/>
    <w:rsid w:val="005A0E4A"/>
    <w:rsid w:val="005A1146"/>
    <w:rsid w:val="005A120D"/>
    <w:rsid w:val="005A13E6"/>
    <w:rsid w:val="005A1741"/>
    <w:rsid w:val="005A1817"/>
    <w:rsid w:val="005A1A66"/>
    <w:rsid w:val="005A1CD4"/>
    <w:rsid w:val="005A1E88"/>
    <w:rsid w:val="005A1F40"/>
    <w:rsid w:val="005A2043"/>
    <w:rsid w:val="005A209B"/>
    <w:rsid w:val="005A23A5"/>
    <w:rsid w:val="005A26B4"/>
    <w:rsid w:val="005A29F6"/>
    <w:rsid w:val="005A2B48"/>
    <w:rsid w:val="005A2BD9"/>
    <w:rsid w:val="005A2FEE"/>
    <w:rsid w:val="005A31BA"/>
    <w:rsid w:val="005A3210"/>
    <w:rsid w:val="005A326F"/>
    <w:rsid w:val="005A3281"/>
    <w:rsid w:val="005A32C9"/>
    <w:rsid w:val="005A3366"/>
    <w:rsid w:val="005A34A3"/>
    <w:rsid w:val="005A356B"/>
    <w:rsid w:val="005A3587"/>
    <w:rsid w:val="005A35F9"/>
    <w:rsid w:val="005A3697"/>
    <w:rsid w:val="005A37DE"/>
    <w:rsid w:val="005A38A0"/>
    <w:rsid w:val="005A38FF"/>
    <w:rsid w:val="005A3CE4"/>
    <w:rsid w:val="005A3D99"/>
    <w:rsid w:val="005A3FA8"/>
    <w:rsid w:val="005A3FC1"/>
    <w:rsid w:val="005A4030"/>
    <w:rsid w:val="005A407C"/>
    <w:rsid w:val="005A41FD"/>
    <w:rsid w:val="005A4262"/>
    <w:rsid w:val="005A433B"/>
    <w:rsid w:val="005A475A"/>
    <w:rsid w:val="005A4785"/>
    <w:rsid w:val="005A485F"/>
    <w:rsid w:val="005A4A68"/>
    <w:rsid w:val="005A4B0F"/>
    <w:rsid w:val="005A4B66"/>
    <w:rsid w:val="005A4BAB"/>
    <w:rsid w:val="005A4C43"/>
    <w:rsid w:val="005A4CE2"/>
    <w:rsid w:val="005A4D6E"/>
    <w:rsid w:val="005A4D81"/>
    <w:rsid w:val="005A4DAD"/>
    <w:rsid w:val="005A4DD8"/>
    <w:rsid w:val="005A4F14"/>
    <w:rsid w:val="005A55F9"/>
    <w:rsid w:val="005A5606"/>
    <w:rsid w:val="005A562A"/>
    <w:rsid w:val="005A5985"/>
    <w:rsid w:val="005A5E69"/>
    <w:rsid w:val="005A5FD8"/>
    <w:rsid w:val="005A644D"/>
    <w:rsid w:val="005A654B"/>
    <w:rsid w:val="005A665A"/>
    <w:rsid w:val="005A6818"/>
    <w:rsid w:val="005A6828"/>
    <w:rsid w:val="005A6A21"/>
    <w:rsid w:val="005A6FA6"/>
    <w:rsid w:val="005A70C7"/>
    <w:rsid w:val="005A718E"/>
    <w:rsid w:val="005A71C0"/>
    <w:rsid w:val="005A7575"/>
    <w:rsid w:val="005A7582"/>
    <w:rsid w:val="005A75E3"/>
    <w:rsid w:val="005A7681"/>
    <w:rsid w:val="005A7770"/>
    <w:rsid w:val="005B0002"/>
    <w:rsid w:val="005B000E"/>
    <w:rsid w:val="005B0021"/>
    <w:rsid w:val="005B01A4"/>
    <w:rsid w:val="005B05F2"/>
    <w:rsid w:val="005B0953"/>
    <w:rsid w:val="005B0CE5"/>
    <w:rsid w:val="005B0DCC"/>
    <w:rsid w:val="005B0DE5"/>
    <w:rsid w:val="005B0E10"/>
    <w:rsid w:val="005B1048"/>
    <w:rsid w:val="005B104C"/>
    <w:rsid w:val="005B13C9"/>
    <w:rsid w:val="005B13E9"/>
    <w:rsid w:val="005B1725"/>
    <w:rsid w:val="005B17DF"/>
    <w:rsid w:val="005B1B13"/>
    <w:rsid w:val="005B1B6B"/>
    <w:rsid w:val="005B1EB0"/>
    <w:rsid w:val="005B225B"/>
    <w:rsid w:val="005B2456"/>
    <w:rsid w:val="005B2502"/>
    <w:rsid w:val="005B2844"/>
    <w:rsid w:val="005B29BB"/>
    <w:rsid w:val="005B2D22"/>
    <w:rsid w:val="005B3452"/>
    <w:rsid w:val="005B34B2"/>
    <w:rsid w:val="005B355C"/>
    <w:rsid w:val="005B356C"/>
    <w:rsid w:val="005B36FC"/>
    <w:rsid w:val="005B3B1D"/>
    <w:rsid w:val="005B3BAB"/>
    <w:rsid w:val="005B3DAA"/>
    <w:rsid w:val="005B40B7"/>
    <w:rsid w:val="005B4282"/>
    <w:rsid w:val="005B44D7"/>
    <w:rsid w:val="005B476F"/>
    <w:rsid w:val="005B4B20"/>
    <w:rsid w:val="005B4CCB"/>
    <w:rsid w:val="005B4CE6"/>
    <w:rsid w:val="005B543C"/>
    <w:rsid w:val="005B55A7"/>
    <w:rsid w:val="005B5927"/>
    <w:rsid w:val="005B5983"/>
    <w:rsid w:val="005B59D3"/>
    <w:rsid w:val="005B5C6E"/>
    <w:rsid w:val="005B5DED"/>
    <w:rsid w:val="005B61EA"/>
    <w:rsid w:val="005B63E9"/>
    <w:rsid w:val="005B63FF"/>
    <w:rsid w:val="005B6607"/>
    <w:rsid w:val="005B6650"/>
    <w:rsid w:val="005B672D"/>
    <w:rsid w:val="005B6928"/>
    <w:rsid w:val="005B6BE7"/>
    <w:rsid w:val="005B6D80"/>
    <w:rsid w:val="005B6E36"/>
    <w:rsid w:val="005B6F46"/>
    <w:rsid w:val="005B7128"/>
    <w:rsid w:val="005B73AA"/>
    <w:rsid w:val="005B74C6"/>
    <w:rsid w:val="005B7581"/>
    <w:rsid w:val="005B77C4"/>
    <w:rsid w:val="005B783D"/>
    <w:rsid w:val="005B7AA7"/>
    <w:rsid w:val="005B7BFC"/>
    <w:rsid w:val="005B7C36"/>
    <w:rsid w:val="005B7C91"/>
    <w:rsid w:val="005B7CA5"/>
    <w:rsid w:val="005B7CD4"/>
    <w:rsid w:val="005B7F18"/>
    <w:rsid w:val="005C03C5"/>
    <w:rsid w:val="005C0792"/>
    <w:rsid w:val="005C07C3"/>
    <w:rsid w:val="005C0836"/>
    <w:rsid w:val="005C08EB"/>
    <w:rsid w:val="005C09E9"/>
    <w:rsid w:val="005C0ADB"/>
    <w:rsid w:val="005C0C37"/>
    <w:rsid w:val="005C0C92"/>
    <w:rsid w:val="005C16B0"/>
    <w:rsid w:val="005C1DBB"/>
    <w:rsid w:val="005C2085"/>
    <w:rsid w:val="005C2307"/>
    <w:rsid w:val="005C2400"/>
    <w:rsid w:val="005C2441"/>
    <w:rsid w:val="005C2445"/>
    <w:rsid w:val="005C2507"/>
    <w:rsid w:val="005C2662"/>
    <w:rsid w:val="005C279F"/>
    <w:rsid w:val="005C27C3"/>
    <w:rsid w:val="005C27E9"/>
    <w:rsid w:val="005C2A01"/>
    <w:rsid w:val="005C2D7D"/>
    <w:rsid w:val="005C2DBB"/>
    <w:rsid w:val="005C2E6A"/>
    <w:rsid w:val="005C2EE5"/>
    <w:rsid w:val="005C2FF1"/>
    <w:rsid w:val="005C3206"/>
    <w:rsid w:val="005C3462"/>
    <w:rsid w:val="005C363C"/>
    <w:rsid w:val="005C38C6"/>
    <w:rsid w:val="005C3A10"/>
    <w:rsid w:val="005C3A4D"/>
    <w:rsid w:val="005C3CBC"/>
    <w:rsid w:val="005C3D3B"/>
    <w:rsid w:val="005C4022"/>
    <w:rsid w:val="005C407E"/>
    <w:rsid w:val="005C424B"/>
    <w:rsid w:val="005C43C7"/>
    <w:rsid w:val="005C4431"/>
    <w:rsid w:val="005C46EB"/>
    <w:rsid w:val="005C47C6"/>
    <w:rsid w:val="005C47CD"/>
    <w:rsid w:val="005C4817"/>
    <w:rsid w:val="005C4C9C"/>
    <w:rsid w:val="005C4DA7"/>
    <w:rsid w:val="005C512B"/>
    <w:rsid w:val="005C531F"/>
    <w:rsid w:val="005C5396"/>
    <w:rsid w:val="005C53CC"/>
    <w:rsid w:val="005C5518"/>
    <w:rsid w:val="005C5926"/>
    <w:rsid w:val="005C59B4"/>
    <w:rsid w:val="005C5D53"/>
    <w:rsid w:val="005C6664"/>
    <w:rsid w:val="005C691C"/>
    <w:rsid w:val="005C69EA"/>
    <w:rsid w:val="005C6A66"/>
    <w:rsid w:val="005C6B56"/>
    <w:rsid w:val="005C6B7D"/>
    <w:rsid w:val="005C6C23"/>
    <w:rsid w:val="005C6D70"/>
    <w:rsid w:val="005C6DF5"/>
    <w:rsid w:val="005C73C0"/>
    <w:rsid w:val="005C768A"/>
    <w:rsid w:val="005C7862"/>
    <w:rsid w:val="005C793C"/>
    <w:rsid w:val="005C79C7"/>
    <w:rsid w:val="005C7B34"/>
    <w:rsid w:val="005C7F8C"/>
    <w:rsid w:val="005C7FA5"/>
    <w:rsid w:val="005C7FF6"/>
    <w:rsid w:val="005C7FFD"/>
    <w:rsid w:val="005D0210"/>
    <w:rsid w:val="005D0364"/>
    <w:rsid w:val="005D036F"/>
    <w:rsid w:val="005D0593"/>
    <w:rsid w:val="005D05B5"/>
    <w:rsid w:val="005D07D7"/>
    <w:rsid w:val="005D0AA7"/>
    <w:rsid w:val="005D0BC0"/>
    <w:rsid w:val="005D0BE5"/>
    <w:rsid w:val="005D0DDE"/>
    <w:rsid w:val="005D0EF1"/>
    <w:rsid w:val="005D0FBB"/>
    <w:rsid w:val="005D10B7"/>
    <w:rsid w:val="005D120E"/>
    <w:rsid w:val="005D13DA"/>
    <w:rsid w:val="005D162B"/>
    <w:rsid w:val="005D1831"/>
    <w:rsid w:val="005D18AE"/>
    <w:rsid w:val="005D19F7"/>
    <w:rsid w:val="005D1CFB"/>
    <w:rsid w:val="005D1D49"/>
    <w:rsid w:val="005D1F01"/>
    <w:rsid w:val="005D213B"/>
    <w:rsid w:val="005D24B3"/>
    <w:rsid w:val="005D2535"/>
    <w:rsid w:val="005D2EF6"/>
    <w:rsid w:val="005D2F86"/>
    <w:rsid w:val="005D3711"/>
    <w:rsid w:val="005D389C"/>
    <w:rsid w:val="005D38E7"/>
    <w:rsid w:val="005D3BC9"/>
    <w:rsid w:val="005D3D2C"/>
    <w:rsid w:val="005D3DE3"/>
    <w:rsid w:val="005D416E"/>
    <w:rsid w:val="005D4237"/>
    <w:rsid w:val="005D4323"/>
    <w:rsid w:val="005D456E"/>
    <w:rsid w:val="005D460D"/>
    <w:rsid w:val="005D4652"/>
    <w:rsid w:val="005D4654"/>
    <w:rsid w:val="005D465C"/>
    <w:rsid w:val="005D4666"/>
    <w:rsid w:val="005D47A6"/>
    <w:rsid w:val="005D4BF2"/>
    <w:rsid w:val="005D4D12"/>
    <w:rsid w:val="005D4DA6"/>
    <w:rsid w:val="005D5270"/>
    <w:rsid w:val="005D5606"/>
    <w:rsid w:val="005D5AA7"/>
    <w:rsid w:val="005D5B47"/>
    <w:rsid w:val="005D5B85"/>
    <w:rsid w:val="005D5BA1"/>
    <w:rsid w:val="005D5BC7"/>
    <w:rsid w:val="005D5C3F"/>
    <w:rsid w:val="005D5D23"/>
    <w:rsid w:val="005D60B4"/>
    <w:rsid w:val="005D61AB"/>
    <w:rsid w:val="005D64A7"/>
    <w:rsid w:val="005D673C"/>
    <w:rsid w:val="005D6815"/>
    <w:rsid w:val="005D697E"/>
    <w:rsid w:val="005D6D39"/>
    <w:rsid w:val="005D6F65"/>
    <w:rsid w:val="005D70F3"/>
    <w:rsid w:val="005D7469"/>
    <w:rsid w:val="005D7494"/>
    <w:rsid w:val="005D7572"/>
    <w:rsid w:val="005D75DE"/>
    <w:rsid w:val="005D77C7"/>
    <w:rsid w:val="005D783D"/>
    <w:rsid w:val="005D7919"/>
    <w:rsid w:val="005D7BE4"/>
    <w:rsid w:val="005D7E39"/>
    <w:rsid w:val="005E047E"/>
    <w:rsid w:val="005E04C9"/>
    <w:rsid w:val="005E062F"/>
    <w:rsid w:val="005E07CE"/>
    <w:rsid w:val="005E0C64"/>
    <w:rsid w:val="005E0CAC"/>
    <w:rsid w:val="005E12D9"/>
    <w:rsid w:val="005E1395"/>
    <w:rsid w:val="005E1799"/>
    <w:rsid w:val="005E17ED"/>
    <w:rsid w:val="005E1C95"/>
    <w:rsid w:val="005E22B1"/>
    <w:rsid w:val="005E22B4"/>
    <w:rsid w:val="005E23AB"/>
    <w:rsid w:val="005E2B6C"/>
    <w:rsid w:val="005E2D19"/>
    <w:rsid w:val="005E3277"/>
    <w:rsid w:val="005E3297"/>
    <w:rsid w:val="005E330D"/>
    <w:rsid w:val="005E34BC"/>
    <w:rsid w:val="005E3589"/>
    <w:rsid w:val="005E383F"/>
    <w:rsid w:val="005E39FF"/>
    <w:rsid w:val="005E3B5A"/>
    <w:rsid w:val="005E3C3F"/>
    <w:rsid w:val="005E3EF2"/>
    <w:rsid w:val="005E4221"/>
    <w:rsid w:val="005E43C3"/>
    <w:rsid w:val="005E48F3"/>
    <w:rsid w:val="005E49B2"/>
    <w:rsid w:val="005E4A02"/>
    <w:rsid w:val="005E4A9D"/>
    <w:rsid w:val="005E4EAA"/>
    <w:rsid w:val="005E53DC"/>
    <w:rsid w:val="005E540A"/>
    <w:rsid w:val="005E5628"/>
    <w:rsid w:val="005E5815"/>
    <w:rsid w:val="005E5BBE"/>
    <w:rsid w:val="005E5CA5"/>
    <w:rsid w:val="005E5DC1"/>
    <w:rsid w:val="005E6007"/>
    <w:rsid w:val="005E6358"/>
    <w:rsid w:val="005E635C"/>
    <w:rsid w:val="005E63F5"/>
    <w:rsid w:val="005E640F"/>
    <w:rsid w:val="005E642C"/>
    <w:rsid w:val="005E652A"/>
    <w:rsid w:val="005E697F"/>
    <w:rsid w:val="005E6A7A"/>
    <w:rsid w:val="005E6BF8"/>
    <w:rsid w:val="005E713B"/>
    <w:rsid w:val="005E71E7"/>
    <w:rsid w:val="005E737B"/>
    <w:rsid w:val="005E73DE"/>
    <w:rsid w:val="005E79D1"/>
    <w:rsid w:val="005E7AB5"/>
    <w:rsid w:val="005E7BC1"/>
    <w:rsid w:val="005F08F2"/>
    <w:rsid w:val="005F0AE8"/>
    <w:rsid w:val="005F0E49"/>
    <w:rsid w:val="005F0F62"/>
    <w:rsid w:val="005F12FE"/>
    <w:rsid w:val="005F1360"/>
    <w:rsid w:val="005F17CE"/>
    <w:rsid w:val="005F18F7"/>
    <w:rsid w:val="005F1D51"/>
    <w:rsid w:val="005F1D53"/>
    <w:rsid w:val="005F1D80"/>
    <w:rsid w:val="005F1FD6"/>
    <w:rsid w:val="005F1FD9"/>
    <w:rsid w:val="005F207A"/>
    <w:rsid w:val="005F2515"/>
    <w:rsid w:val="005F264D"/>
    <w:rsid w:val="005F290B"/>
    <w:rsid w:val="005F2A6B"/>
    <w:rsid w:val="005F3228"/>
    <w:rsid w:val="005F32A7"/>
    <w:rsid w:val="005F3366"/>
    <w:rsid w:val="005F34F6"/>
    <w:rsid w:val="005F3606"/>
    <w:rsid w:val="005F3E5F"/>
    <w:rsid w:val="005F3EDF"/>
    <w:rsid w:val="005F3EF2"/>
    <w:rsid w:val="005F3F1F"/>
    <w:rsid w:val="005F4019"/>
    <w:rsid w:val="005F40C1"/>
    <w:rsid w:val="005F40C3"/>
    <w:rsid w:val="005F40E1"/>
    <w:rsid w:val="005F413F"/>
    <w:rsid w:val="005F42A5"/>
    <w:rsid w:val="005F42E7"/>
    <w:rsid w:val="005F4376"/>
    <w:rsid w:val="005F4586"/>
    <w:rsid w:val="005F4589"/>
    <w:rsid w:val="005F48AC"/>
    <w:rsid w:val="005F4AD8"/>
    <w:rsid w:val="005F4F96"/>
    <w:rsid w:val="005F508F"/>
    <w:rsid w:val="005F5511"/>
    <w:rsid w:val="005F584F"/>
    <w:rsid w:val="005F59B5"/>
    <w:rsid w:val="005F5B25"/>
    <w:rsid w:val="005F5CAD"/>
    <w:rsid w:val="005F5F92"/>
    <w:rsid w:val="005F6462"/>
    <w:rsid w:val="005F6930"/>
    <w:rsid w:val="005F6989"/>
    <w:rsid w:val="005F6CEB"/>
    <w:rsid w:val="005F6EE0"/>
    <w:rsid w:val="005F7094"/>
    <w:rsid w:val="005F70A6"/>
    <w:rsid w:val="005F70EA"/>
    <w:rsid w:val="005F7332"/>
    <w:rsid w:val="005F7446"/>
    <w:rsid w:val="005F7591"/>
    <w:rsid w:val="005F776B"/>
    <w:rsid w:val="005F787E"/>
    <w:rsid w:val="005F78C0"/>
    <w:rsid w:val="005F78C8"/>
    <w:rsid w:val="005F7AA8"/>
    <w:rsid w:val="005F7B44"/>
    <w:rsid w:val="005F7B4A"/>
    <w:rsid w:val="005F7CC0"/>
    <w:rsid w:val="005F7DF7"/>
    <w:rsid w:val="005F7E70"/>
    <w:rsid w:val="005FF696"/>
    <w:rsid w:val="006003C3"/>
    <w:rsid w:val="00600484"/>
    <w:rsid w:val="006008E0"/>
    <w:rsid w:val="00600906"/>
    <w:rsid w:val="00600A39"/>
    <w:rsid w:val="00600E60"/>
    <w:rsid w:val="00600EB7"/>
    <w:rsid w:val="00600F47"/>
    <w:rsid w:val="00601025"/>
    <w:rsid w:val="00601076"/>
    <w:rsid w:val="0060115D"/>
    <w:rsid w:val="00601540"/>
    <w:rsid w:val="0060154C"/>
    <w:rsid w:val="00601A25"/>
    <w:rsid w:val="00601D1A"/>
    <w:rsid w:val="00601D75"/>
    <w:rsid w:val="00601E3C"/>
    <w:rsid w:val="00601E5F"/>
    <w:rsid w:val="00602064"/>
    <w:rsid w:val="0060222B"/>
    <w:rsid w:val="00602467"/>
    <w:rsid w:val="00602494"/>
    <w:rsid w:val="006024D3"/>
    <w:rsid w:val="006025D8"/>
    <w:rsid w:val="006026C6"/>
    <w:rsid w:val="00602871"/>
    <w:rsid w:val="00602872"/>
    <w:rsid w:val="006029A7"/>
    <w:rsid w:val="00602AA7"/>
    <w:rsid w:val="00602E47"/>
    <w:rsid w:val="0060313D"/>
    <w:rsid w:val="0060335F"/>
    <w:rsid w:val="0060347C"/>
    <w:rsid w:val="006035FE"/>
    <w:rsid w:val="0060391F"/>
    <w:rsid w:val="00603B6F"/>
    <w:rsid w:val="00604021"/>
    <w:rsid w:val="0060476A"/>
    <w:rsid w:val="006048EC"/>
    <w:rsid w:val="00604F99"/>
    <w:rsid w:val="00605522"/>
    <w:rsid w:val="00605780"/>
    <w:rsid w:val="0060585E"/>
    <w:rsid w:val="006058BF"/>
    <w:rsid w:val="00605BD4"/>
    <w:rsid w:val="00605DB2"/>
    <w:rsid w:val="00605F44"/>
    <w:rsid w:val="00606055"/>
    <w:rsid w:val="006060BF"/>
    <w:rsid w:val="006061D1"/>
    <w:rsid w:val="00606376"/>
    <w:rsid w:val="00606392"/>
    <w:rsid w:val="006069C3"/>
    <w:rsid w:val="00606A23"/>
    <w:rsid w:val="00606A9D"/>
    <w:rsid w:val="00606AA4"/>
    <w:rsid w:val="00606B72"/>
    <w:rsid w:val="00606D74"/>
    <w:rsid w:val="00606DA9"/>
    <w:rsid w:val="00606E88"/>
    <w:rsid w:val="00606EF9"/>
    <w:rsid w:val="00606F37"/>
    <w:rsid w:val="0060706A"/>
    <w:rsid w:val="00607414"/>
    <w:rsid w:val="006074E9"/>
    <w:rsid w:val="00607574"/>
    <w:rsid w:val="00607636"/>
    <w:rsid w:val="00607758"/>
    <w:rsid w:val="0060786F"/>
    <w:rsid w:val="0060788E"/>
    <w:rsid w:val="00607B88"/>
    <w:rsid w:val="00607F3C"/>
    <w:rsid w:val="00610035"/>
    <w:rsid w:val="00610210"/>
    <w:rsid w:val="0061048F"/>
    <w:rsid w:val="006104BB"/>
    <w:rsid w:val="00610582"/>
    <w:rsid w:val="00610674"/>
    <w:rsid w:val="00610716"/>
    <w:rsid w:val="00610816"/>
    <w:rsid w:val="00610850"/>
    <w:rsid w:val="00610969"/>
    <w:rsid w:val="00610B0C"/>
    <w:rsid w:val="00610BAF"/>
    <w:rsid w:val="00610D5E"/>
    <w:rsid w:val="00610D9C"/>
    <w:rsid w:val="00610ED8"/>
    <w:rsid w:val="00610F8D"/>
    <w:rsid w:val="00610FDC"/>
    <w:rsid w:val="006110E8"/>
    <w:rsid w:val="00611295"/>
    <w:rsid w:val="006112E3"/>
    <w:rsid w:val="00611370"/>
    <w:rsid w:val="00611506"/>
    <w:rsid w:val="0061159F"/>
    <w:rsid w:val="0061174C"/>
    <w:rsid w:val="006117F1"/>
    <w:rsid w:val="00611AD9"/>
    <w:rsid w:val="00611F64"/>
    <w:rsid w:val="006121E6"/>
    <w:rsid w:val="00612285"/>
    <w:rsid w:val="00612392"/>
    <w:rsid w:val="0061248C"/>
    <w:rsid w:val="006127D5"/>
    <w:rsid w:val="00612942"/>
    <w:rsid w:val="00612AD9"/>
    <w:rsid w:val="00612B55"/>
    <w:rsid w:val="00612E8A"/>
    <w:rsid w:val="00613035"/>
    <w:rsid w:val="0061322F"/>
    <w:rsid w:val="006133C3"/>
    <w:rsid w:val="00613467"/>
    <w:rsid w:val="00613512"/>
    <w:rsid w:val="0061351F"/>
    <w:rsid w:val="00613892"/>
    <w:rsid w:val="006139E4"/>
    <w:rsid w:val="00613A76"/>
    <w:rsid w:val="00613CA8"/>
    <w:rsid w:val="00613DA8"/>
    <w:rsid w:val="00613F14"/>
    <w:rsid w:val="00614057"/>
    <w:rsid w:val="00614656"/>
    <w:rsid w:val="0061470A"/>
    <w:rsid w:val="00614A55"/>
    <w:rsid w:val="00614AB5"/>
    <w:rsid w:val="00614BAE"/>
    <w:rsid w:val="00614CBB"/>
    <w:rsid w:val="00615056"/>
    <w:rsid w:val="00615134"/>
    <w:rsid w:val="006151B1"/>
    <w:rsid w:val="00615424"/>
    <w:rsid w:val="006154BB"/>
    <w:rsid w:val="006156C3"/>
    <w:rsid w:val="00615991"/>
    <w:rsid w:val="00615C47"/>
    <w:rsid w:val="0061603D"/>
    <w:rsid w:val="00616101"/>
    <w:rsid w:val="006161D2"/>
    <w:rsid w:val="006162DF"/>
    <w:rsid w:val="00616535"/>
    <w:rsid w:val="00616C56"/>
    <w:rsid w:val="00616D69"/>
    <w:rsid w:val="00617183"/>
    <w:rsid w:val="00617191"/>
    <w:rsid w:val="00617457"/>
    <w:rsid w:val="006178A2"/>
    <w:rsid w:val="006178BF"/>
    <w:rsid w:val="00617927"/>
    <w:rsid w:val="006179DD"/>
    <w:rsid w:val="00617A0D"/>
    <w:rsid w:val="00617B6E"/>
    <w:rsid w:val="00617F85"/>
    <w:rsid w:val="00617FF4"/>
    <w:rsid w:val="0062027A"/>
    <w:rsid w:val="00620736"/>
    <w:rsid w:val="0062084E"/>
    <w:rsid w:val="006208E3"/>
    <w:rsid w:val="00620A1B"/>
    <w:rsid w:val="00620A46"/>
    <w:rsid w:val="00620D41"/>
    <w:rsid w:val="00620DE5"/>
    <w:rsid w:val="00620E5F"/>
    <w:rsid w:val="00621164"/>
    <w:rsid w:val="00621210"/>
    <w:rsid w:val="0062133C"/>
    <w:rsid w:val="00621419"/>
    <w:rsid w:val="00621498"/>
    <w:rsid w:val="00621619"/>
    <w:rsid w:val="0062194E"/>
    <w:rsid w:val="00621A0B"/>
    <w:rsid w:val="00621AF8"/>
    <w:rsid w:val="00621B95"/>
    <w:rsid w:val="00621CE9"/>
    <w:rsid w:val="00621E20"/>
    <w:rsid w:val="006221A4"/>
    <w:rsid w:val="006224AC"/>
    <w:rsid w:val="0062252B"/>
    <w:rsid w:val="0062258D"/>
    <w:rsid w:val="006225B8"/>
    <w:rsid w:val="006227A5"/>
    <w:rsid w:val="006229D3"/>
    <w:rsid w:val="00622D96"/>
    <w:rsid w:val="00623072"/>
    <w:rsid w:val="00623092"/>
    <w:rsid w:val="00623386"/>
    <w:rsid w:val="00623454"/>
    <w:rsid w:val="006234E2"/>
    <w:rsid w:val="006236F6"/>
    <w:rsid w:val="0062388B"/>
    <w:rsid w:val="0062398E"/>
    <w:rsid w:val="00623B9C"/>
    <w:rsid w:val="00623CD6"/>
    <w:rsid w:val="00623E70"/>
    <w:rsid w:val="00623F40"/>
    <w:rsid w:val="00623FC7"/>
    <w:rsid w:val="0062430F"/>
    <w:rsid w:val="00624315"/>
    <w:rsid w:val="006244A7"/>
    <w:rsid w:val="006245AB"/>
    <w:rsid w:val="006245C8"/>
    <w:rsid w:val="006246FF"/>
    <w:rsid w:val="00624778"/>
    <w:rsid w:val="00624ADA"/>
    <w:rsid w:val="00624C0A"/>
    <w:rsid w:val="00624D8B"/>
    <w:rsid w:val="00624E66"/>
    <w:rsid w:val="00624F8A"/>
    <w:rsid w:val="0062545B"/>
    <w:rsid w:val="0062552A"/>
    <w:rsid w:val="0062558C"/>
    <w:rsid w:val="006257E7"/>
    <w:rsid w:val="006258CF"/>
    <w:rsid w:val="00625CD5"/>
    <w:rsid w:val="00625CF2"/>
    <w:rsid w:val="00625DE4"/>
    <w:rsid w:val="0062607E"/>
    <w:rsid w:val="006261A0"/>
    <w:rsid w:val="00626660"/>
    <w:rsid w:val="0062677B"/>
    <w:rsid w:val="006267C7"/>
    <w:rsid w:val="006268A3"/>
    <w:rsid w:val="00626FFC"/>
    <w:rsid w:val="006271C8"/>
    <w:rsid w:val="0062726F"/>
    <w:rsid w:val="006272AD"/>
    <w:rsid w:val="0062745D"/>
    <w:rsid w:val="0062752A"/>
    <w:rsid w:val="0062765D"/>
    <w:rsid w:val="00627982"/>
    <w:rsid w:val="00627A05"/>
    <w:rsid w:val="00627B26"/>
    <w:rsid w:val="00627BBF"/>
    <w:rsid w:val="00627BE1"/>
    <w:rsid w:val="00627CBD"/>
    <w:rsid w:val="00630483"/>
    <w:rsid w:val="00630496"/>
    <w:rsid w:val="0063067F"/>
    <w:rsid w:val="00630731"/>
    <w:rsid w:val="00630A21"/>
    <w:rsid w:val="00630D8B"/>
    <w:rsid w:val="00630D9A"/>
    <w:rsid w:val="00630E42"/>
    <w:rsid w:val="00630F47"/>
    <w:rsid w:val="00631112"/>
    <w:rsid w:val="006311DD"/>
    <w:rsid w:val="00631704"/>
    <w:rsid w:val="006318F0"/>
    <w:rsid w:val="006319A5"/>
    <w:rsid w:val="00631B38"/>
    <w:rsid w:val="00631F02"/>
    <w:rsid w:val="00632291"/>
    <w:rsid w:val="006326F0"/>
    <w:rsid w:val="00632775"/>
    <w:rsid w:val="006328C5"/>
    <w:rsid w:val="00632C38"/>
    <w:rsid w:val="00632F32"/>
    <w:rsid w:val="006332BE"/>
    <w:rsid w:val="0063332F"/>
    <w:rsid w:val="0063339C"/>
    <w:rsid w:val="006333C5"/>
    <w:rsid w:val="006333D0"/>
    <w:rsid w:val="006333D5"/>
    <w:rsid w:val="0063364F"/>
    <w:rsid w:val="00633960"/>
    <w:rsid w:val="00633D2F"/>
    <w:rsid w:val="00633EA1"/>
    <w:rsid w:val="00633FFA"/>
    <w:rsid w:val="00634236"/>
    <w:rsid w:val="006342B7"/>
    <w:rsid w:val="00634467"/>
    <w:rsid w:val="006344A6"/>
    <w:rsid w:val="00634727"/>
    <w:rsid w:val="0063476F"/>
    <w:rsid w:val="00634846"/>
    <w:rsid w:val="00634C8E"/>
    <w:rsid w:val="00634D6E"/>
    <w:rsid w:val="00634EF1"/>
    <w:rsid w:val="0063517C"/>
    <w:rsid w:val="006351CF"/>
    <w:rsid w:val="00635437"/>
    <w:rsid w:val="006354CA"/>
    <w:rsid w:val="0063554C"/>
    <w:rsid w:val="0063568D"/>
    <w:rsid w:val="0063591D"/>
    <w:rsid w:val="00635B03"/>
    <w:rsid w:val="00635C14"/>
    <w:rsid w:val="00635DDD"/>
    <w:rsid w:val="00635F37"/>
    <w:rsid w:val="00635FB7"/>
    <w:rsid w:val="00636007"/>
    <w:rsid w:val="00636229"/>
    <w:rsid w:val="00636432"/>
    <w:rsid w:val="006365FE"/>
    <w:rsid w:val="00636C73"/>
    <w:rsid w:val="00636CD9"/>
    <w:rsid w:val="00636D93"/>
    <w:rsid w:val="00636F5A"/>
    <w:rsid w:val="00637260"/>
    <w:rsid w:val="00637483"/>
    <w:rsid w:val="006374FC"/>
    <w:rsid w:val="006376A4"/>
    <w:rsid w:val="00637761"/>
    <w:rsid w:val="00637AD3"/>
    <w:rsid w:val="00637C5B"/>
    <w:rsid w:val="00637FE3"/>
    <w:rsid w:val="00640068"/>
    <w:rsid w:val="006400EA"/>
    <w:rsid w:val="0064035D"/>
    <w:rsid w:val="00640526"/>
    <w:rsid w:val="00640582"/>
    <w:rsid w:val="006408C3"/>
    <w:rsid w:val="0064092C"/>
    <w:rsid w:val="006409DE"/>
    <w:rsid w:val="00640E65"/>
    <w:rsid w:val="006410DC"/>
    <w:rsid w:val="0064150A"/>
    <w:rsid w:val="00641606"/>
    <w:rsid w:val="00641A3F"/>
    <w:rsid w:val="00641D53"/>
    <w:rsid w:val="00641EE2"/>
    <w:rsid w:val="00641F9D"/>
    <w:rsid w:val="0064206D"/>
    <w:rsid w:val="006420F2"/>
    <w:rsid w:val="006421FB"/>
    <w:rsid w:val="006423F0"/>
    <w:rsid w:val="006428AF"/>
    <w:rsid w:val="0064290C"/>
    <w:rsid w:val="0064299E"/>
    <w:rsid w:val="00642B74"/>
    <w:rsid w:val="00642D5E"/>
    <w:rsid w:val="00642D9D"/>
    <w:rsid w:val="00642EFA"/>
    <w:rsid w:val="00642F3E"/>
    <w:rsid w:val="0064344A"/>
    <w:rsid w:val="006436B7"/>
    <w:rsid w:val="00643B3C"/>
    <w:rsid w:val="00643C51"/>
    <w:rsid w:val="00644202"/>
    <w:rsid w:val="00644243"/>
    <w:rsid w:val="0064443D"/>
    <w:rsid w:val="0064448E"/>
    <w:rsid w:val="006444D0"/>
    <w:rsid w:val="006444E4"/>
    <w:rsid w:val="006444FA"/>
    <w:rsid w:val="006444FC"/>
    <w:rsid w:val="00644673"/>
    <w:rsid w:val="0064481B"/>
    <w:rsid w:val="00644827"/>
    <w:rsid w:val="0064489C"/>
    <w:rsid w:val="006448C0"/>
    <w:rsid w:val="00644989"/>
    <w:rsid w:val="006449C3"/>
    <w:rsid w:val="00644B1E"/>
    <w:rsid w:val="00644BD2"/>
    <w:rsid w:val="00644CFA"/>
    <w:rsid w:val="00644D68"/>
    <w:rsid w:val="00645246"/>
    <w:rsid w:val="006452A0"/>
    <w:rsid w:val="0064546C"/>
    <w:rsid w:val="006454BB"/>
    <w:rsid w:val="00645644"/>
    <w:rsid w:val="0064586B"/>
    <w:rsid w:val="0064598B"/>
    <w:rsid w:val="00645AB3"/>
    <w:rsid w:val="00645DF5"/>
    <w:rsid w:val="00645F8A"/>
    <w:rsid w:val="0064609B"/>
    <w:rsid w:val="0064611B"/>
    <w:rsid w:val="0064614D"/>
    <w:rsid w:val="00646193"/>
    <w:rsid w:val="0064620D"/>
    <w:rsid w:val="00646321"/>
    <w:rsid w:val="00646611"/>
    <w:rsid w:val="00646A3F"/>
    <w:rsid w:val="00646A4E"/>
    <w:rsid w:val="00646B87"/>
    <w:rsid w:val="00646BC4"/>
    <w:rsid w:val="00646D36"/>
    <w:rsid w:val="00646E53"/>
    <w:rsid w:val="00646EAA"/>
    <w:rsid w:val="00646F98"/>
    <w:rsid w:val="00647100"/>
    <w:rsid w:val="0064719A"/>
    <w:rsid w:val="006473BF"/>
    <w:rsid w:val="00647497"/>
    <w:rsid w:val="006477AB"/>
    <w:rsid w:val="00647B28"/>
    <w:rsid w:val="00647C88"/>
    <w:rsid w:val="0065022C"/>
    <w:rsid w:val="006506C3"/>
    <w:rsid w:val="0065071F"/>
    <w:rsid w:val="00650833"/>
    <w:rsid w:val="00650A4B"/>
    <w:rsid w:val="00650BA7"/>
    <w:rsid w:val="00650BD5"/>
    <w:rsid w:val="00650BE6"/>
    <w:rsid w:val="00650CFC"/>
    <w:rsid w:val="00650DB8"/>
    <w:rsid w:val="0065137E"/>
    <w:rsid w:val="0065142C"/>
    <w:rsid w:val="00651515"/>
    <w:rsid w:val="00651760"/>
    <w:rsid w:val="0065184F"/>
    <w:rsid w:val="00651979"/>
    <w:rsid w:val="006519DF"/>
    <w:rsid w:val="00651E4F"/>
    <w:rsid w:val="00652066"/>
    <w:rsid w:val="006520DF"/>
    <w:rsid w:val="0065226B"/>
    <w:rsid w:val="006522A7"/>
    <w:rsid w:val="00652968"/>
    <w:rsid w:val="00652AC8"/>
    <w:rsid w:val="00652B2D"/>
    <w:rsid w:val="00652E1E"/>
    <w:rsid w:val="00653208"/>
    <w:rsid w:val="006533FA"/>
    <w:rsid w:val="00653410"/>
    <w:rsid w:val="00653E38"/>
    <w:rsid w:val="006540DF"/>
    <w:rsid w:val="006542B2"/>
    <w:rsid w:val="0065438E"/>
    <w:rsid w:val="006543C1"/>
    <w:rsid w:val="00654425"/>
    <w:rsid w:val="006545E6"/>
    <w:rsid w:val="006547EC"/>
    <w:rsid w:val="00654823"/>
    <w:rsid w:val="00654B65"/>
    <w:rsid w:val="00654CD7"/>
    <w:rsid w:val="00654DF2"/>
    <w:rsid w:val="00654E54"/>
    <w:rsid w:val="00654EDD"/>
    <w:rsid w:val="00655099"/>
    <w:rsid w:val="0065514A"/>
    <w:rsid w:val="00655158"/>
    <w:rsid w:val="00655227"/>
    <w:rsid w:val="0065532E"/>
    <w:rsid w:val="00655358"/>
    <w:rsid w:val="006554F6"/>
    <w:rsid w:val="00655842"/>
    <w:rsid w:val="006559BB"/>
    <w:rsid w:val="006559CF"/>
    <w:rsid w:val="00655BC4"/>
    <w:rsid w:val="00655D07"/>
    <w:rsid w:val="00655E13"/>
    <w:rsid w:val="00655E48"/>
    <w:rsid w:val="006565D1"/>
    <w:rsid w:val="006568AF"/>
    <w:rsid w:val="006569E5"/>
    <w:rsid w:val="00656A27"/>
    <w:rsid w:val="00656E46"/>
    <w:rsid w:val="0065705D"/>
    <w:rsid w:val="0065711B"/>
    <w:rsid w:val="006573CB"/>
    <w:rsid w:val="0065747B"/>
    <w:rsid w:val="006575E4"/>
    <w:rsid w:val="00657708"/>
    <w:rsid w:val="00657754"/>
    <w:rsid w:val="006577D3"/>
    <w:rsid w:val="006577E9"/>
    <w:rsid w:val="006578CE"/>
    <w:rsid w:val="00657970"/>
    <w:rsid w:val="00657979"/>
    <w:rsid w:val="00657C31"/>
    <w:rsid w:val="00657E78"/>
    <w:rsid w:val="00657EBC"/>
    <w:rsid w:val="00657FA0"/>
    <w:rsid w:val="00660026"/>
    <w:rsid w:val="006600A7"/>
    <w:rsid w:val="0066017E"/>
    <w:rsid w:val="00660183"/>
    <w:rsid w:val="00660283"/>
    <w:rsid w:val="006602A1"/>
    <w:rsid w:val="006602B9"/>
    <w:rsid w:val="006606E8"/>
    <w:rsid w:val="0066097B"/>
    <w:rsid w:val="00660DAD"/>
    <w:rsid w:val="00660DE2"/>
    <w:rsid w:val="00660EBD"/>
    <w:rsid w:val="00660F9D"/>
    <w:rsid w:val="006616B6"/>
    <w:rsid w:val="00661788"/>
    <w:rsid w:val="0066178F"/>
    <w:rsid w:val="006618AA"/>
    <w:rsid w:val="00661901"/>
    <w:rsid w:val="00661CE7"/>
    <w:rsid w:val="00661ED8"/>
    <w:rsid w:val="00662304"/>
    <w:rsid w:val="0066236D"/>
    <w:rsid w:val="0066256C"/>
    <w:rsid w:val="00662759"/>
    <w:rsid w:val="006628BD"/>
    <w:rsid w:val="00662AAB"/>
    <w:rsid w:val="00662AC4"/>
    <w:rsid w:val="00662B28"/>
    <w:rsid w:val="00662DFF"/>
    <w:rsid w:val="00662E4C"/>
    <w:rsid w:val="0066303A"/>
    <w:rsid w:val="00663163"/>
    <w:rsid w:val="006631D4"/>
    <w:rsid w:val="0066328E"/>
    <w:rsid w:val="00663382"/>
    <w:rsid w:val="00663A3C"/>
    <w:rsid w:val="00663C72"/>
    <w:rsid w:val="00663D06"/>
    <w:rsid w:val="00663E85"/>
    <w:rsid w:val="00664356"/>
    <w:rsid w:val="0066437D"/>
    <w:rsid w:val="00664AC1"/>
    <w:rsid w:val="00664B11"/>
    <w:rsid w:val="00664C01"/>
    <w:rsid w:val="00664D36"/>
    <w:rsid w:val="0066589D"/>
    <w:rsid w:val="00665A4B"/>
    <w:rsid w:val="00665A53"/>
    <w:rsid w:val="00665E97"/>
    <w:rsid w:val="00665FC6"/>
    <w:rsid w:val="0066624D"/>
    <w:rsid w:val="006662BC"/>
    <w:rsid w:val="00666614"/>
    <w:rsid w:val="006667FB"/>
    <w:rsid w:val="00666988"/>
    <w:rsid w:val="00666D84"/>
    <w:rsid w:val="00667104"/>
    <w:rsid w:val="00667159"/>
    <w:rsid w:val="006672C7"/>
    <w:rsid w:val="0066759F"/>
    <w:rsid w:val="006675C0"/>
    <w:rsid w:val="0066761C"/>
    <w:rsid w:val="00667961"/>
    <w:rsid w:val="00667A49"/>
    <w:rsid w:val="00667A4C"/>
    <w:rsid w:val="00667AF7"/>
    <w:rsid w:val="00667B00"/>
    <w:rsid w:val="00667B3D"/>
    <w:rsid w:val="00667CBF"/>
    <w:rsid w:val="00667E2C"/>
    <w:rsid w:val="00667F13"/>
    <w:rsid w:val="00667FA2"/>
    <w:rsid w:val="00667FD9"/>
    <w:rsid w:val="0067006A"/>
    <w:rsid w:val="0067025A"/>
    <w:rsid w:val="0067051D"/>
    <w:rsid w:val="0067068D"/>
    <w:rsid w:val="0067080E"/>
    <w:rsid w:val="00670A55"/>
    <w:rsid w:val="00670B9E"/>
    <w:rsid w:val="00670E56"/>
    <w:rsid w:val="00670EDC"/>
    <w:rsid w:val="0067106D"/>
    <w:rsid w:val="00671236"/>
    <w:rsid w:val="006712C7"/>
    <w:rsid w:val="006715D8"/>
    <w:rsid w:val="006718A3"/>
    <w:rsid w:val="00671BC1"/>
    <w:rsid w:val="00671BF9"/>
    <w:rsid w:val="00671ECA"/>
    <w:rsid w:val="00671FC0"/>
    <w:rsid w:val="00672120"/>
    <w:rsid w:val="0067213C"/>
    <w:rsid w:val="00672285"/>
    <w:rsid w:val="00672377"/>
    <w:rsid w:val="0067237D"/>
    <w:rsid w:val="006723CC"/>
    <w:rsid w:val="0067264E"/>
    <w:rsid w:val="00672683"/>
    <w:rsid w:val="00672918"/>
    <w:rsid w:val="00672F00"/>
    <w:rsid w:val="00672F7D"/>
    <w:rsid w:val="00672FFA"/>
    <w:rsid w:val="0067327D"/>
    <w:rsid w:val="00673352"/>
    <w:rsid w:val="00673525"/>
    <w:rsid w:val="00673843"/>
    <w:rsid w:val="00673864"/>
    <w:rsid w:val="00673B09"/>
    <w:rsid w:val="00673B44"/>
    <w:rsid w:val="00673F80"/>
    <w:rsid w:val="0067424D"/>
    <w:rsid w:val="006744AB"/>
    <w:rsid w:val="00674555"/>
    <w:rsid w:val="00674AB4"/>
    <w:rsid w:val="00674CD7"/>
    <w:rsid w:val="00675323"/>
    <w:rsid w:val="0067538C"/>
    <w:rsid w:val="00675757"/>
    <w:rsid w:val="00675907"/>
    <w:rsid w:val="00675948"/>
    <w:rsid w:val="006759E7"/>
    <w:rsid w:val="00675AD4"/>
    <w:rsid w:val="00675BF3"/>
    <w:rsid w:val="00675D5F"/>
    <w:rsid w:val="00675F7E"/>
    <w:rsid w:val="006760F2"/>
    <w:rsid w:val="00676127"/>
    <w:rsid w:val="006761DF"/>
    <w:rsid w:val="006762A8"/>
    <w:rsid w:val="006763F1"/>
    <w:rsid w:val="00676424"/>
    <w:rsid w:val="0067650F"/>
    <w:rsid w:val="0067677E"/>
    <w:rsid w:val="00676795"/>
    <w:rsid w:val="00676963"/>
    <w:rsid w:val="00676970"/>
    <w:rsid w:val="00676993"/>
    <w:rsid w:val="00676CA5"/>
    <w:rsid w:val="00676E15"/>
    <w:rsid w:val="006770D5"/>
    <w:rsid w:val="00677350"/>
    <w:rsid w:val="0067746B"/>
    <w:rsid w:val="0067785D"/>
    <w:rsid w:val="006779A7"/>
    <w:rsid w:val="006779CA"/>
    <w:rsid w:val="00677A38"/>
    <w:rsid w:val="00677AB4"/>
    <w:rsid w:val="00677B3F"/>
    <w:rsid w:val="00677BC7"/>
    <w:rsid w:val="00677D82"/>
    <w:rsid w:val="00677EF2"/>
    <w:rsid w:val="00680135"/>
    <w:rsid w:val="00680495"/>
    <w:rsid w:val="006806BB"/>
    <w:rsid w:val="006807F6"/>
    <w:rsid w:val="006808B2"/>
    <w:rsid w:val="006808DF"/>
    <w:rsid w:val="00680C1D"/>
    <w:rsid w:val="00680C47"/>
    <w:rsid w:val="00680CEA"/>
    <w:rsid w:val="00680D51"/>
    <w:rsid w:val="00680DA6"/>
    <w:rsid w:val="00680E0A"/>
    <w:rsid w:val="00680F01"/>
    <w:rsid w:val="006810BF"/>
    <w:rsid w:val="006810F2"/>
    <w:rsid w:val="00681454"/>
    <w:rsid w:val="006817FA"/>
    <w:rsid w:val="006818A4"/>
    <w:rsid w:val="006818AD"/>
    <w:rsid w:val="006819DD"/>
    <w:rsid w:val="00681C44"/>
    <w:rsid w:val="00681C5B"/>
    <w:rsid w:val="00681E9F"/>
    <w:rsid w:val="006820CA"/>
    <w:rsid w:val="006822A4"/>
    <w:rsid w:val="00682842"/>
    <w:rsid w:val="006828A0"/>
    <w:rsid w:val="00682D85"/>
    <w:rsid w:val="00682FC7"/>
    <w:rsid w:val="006830A6"/>
    <w:rsid w:val="006830C9"/>
    <w:rsid w:val="006830ED"/>
    <w:rsid w:val="0068315F"/>
    <w:rsid w:val="00683168"/>
    <w:rsid w:val="00683489"/>
    <w:rsid w:val="006834B8"/>
    <w:rsid w:val="006835AC"/>
    <w:rsid w:val="006835BF"/>
    <w:rsid w:val="0068368C"/>
    <w:rsid w:val="00683A49"/>
    <w:rsid w:val="00683AA5"/>
    <w:rsid w:val="00683C61"/>
    <w:rsid w:val="00683C7E"/>
    <w:rsid w:val="0068415A"/>
    <w:rsid w:val="0068440B"/>
    <w:rsid w:val="0068446B"/>
    <w:rsid w:val="00684509"/>
    <w:rsid w:val="00684516"/>
    <w:rsid w:val="006846A8"/>
    <w:rsid w:val="006848C3"/>
    <w:rsid w:val="00684933"/>
    <w:rsid w:val="0068493D"/>
    <w:rsid w:val="00684ACA"/>
    <w:rsid w:val="00684AD3"/>
    <w:rsid w:val="00684B38"/>
    <w:rsid w:val="00684B9B"/>
    <w:rsid w:val="00684C2E"/>
    <w:rsid w:val="00684DE6"/>
    <w:rsid w:val="00684DF7"/>
    <w:rsid w:val="00684ECD"/>
    <w:rsid w:val="00684FF8"/>
    <w:rsid w:val="0068546D"/>
    <w:rsid w:val="006854A0"/>
    <w:rsid w:val="006856A9"/>
    <w:rsid w:val="0068575F"/>
    <w:rsid w:val="00685824"/>
    <w:rsid w:val="006858B6"/>
    <w:rsid w:val="00685945"/>
    <w:rsid w:val="00685BCE"/>
    <w:rsid w:val="00685E8E"/>
    <w:rsid w:val="00685FC3"/>
    <w:rsid w:val="00685FEE"/>
    <w:rsid w:val="00686332"/>
    <w:rsid w:val="00686339"/>
    <w:rsid w:val="00686365"/>
    <w:rsid w:val="0068650C"/>
    <w:rsid w:val="00686A09"/>
    <w:rsid w:val="00686A71"/>
    <w:rsid w:val="00686D5E"/>
    <w:rsid w:val="00686EF0"/>
    <w:rsid w:val="00686F2E"/>
    <w:rsid w:val="00686F8E"/>
    <w:rsid w:val="006871A1"/>
    <w:rsid w:val="00687252"/>
    <w:rsid w:val="00687287"/>
    <w:rsid w:val="006872FA"/>
    <w:rsid w:val="006873C4"/>
    <w:rsid w:val="00687643"/>
    <w:rsid w:val="00687894"/>
    <w:rsid w:val="006878BC"/>
    <w:rsid w:val="006879A1"/>
    <w:rsid w:val="00687C8C"/>
    <w:rsid w:val="00687F3D"/>
    <w:rsid w:val="00687F5C"/>
    <w:rsid w:val="006900CD"/>
    <w:rsid w:val="006902C9"/>
    <w:rsid w:val="00690607"/>
    <w:rsid w:val="006906C1"/>
    <w:rsid w:val="00690752"/>
    <w:rsid w:val="00690989"/>
    <w:rsid w:val="00690C01"/>
    <w:rsid w:val="00690CFA"/>
    <w:rsid w:val="00690E18"/>
    <w:rsid w:val="00690EEA"/>
    <w:rsid w:val="00690F88"/>
    <w:rsid w:val="00691036"/>
    <w:rsid w:val="0069123E"/>
    <w:rsid w:val="006915AA"/>
    <w:rsid w:val="00691866"/>
    <w:rsid w:val="006918F0"/>
    <w:rsid w:val="00691913"/>
    <w:rsid w:val="00691963"/>
    <w:rsid w:val="00691F90"/>
    <w:rsid w:val="00691FC0"/>
    <w:rsid w:val="00691FE8"/>
    <w:rsid w:val="00692074"/>
    <w:rsid w:val="00692107"/>
    <w:rsid w:val="006921B5"/>
    <w:rsid w:val="00692219"/>
    <w:rsid w:val="00692C16"/>
    <w:rsid w:val="00692D6D"/>
    <w:rsid w:val="00692E79"/>
    <w:rsid w:val="006931BC"/>
    <w:rsid w:val="006932D6"/>
    <w:rsid w:val="00693399"/>
    <w:rsid w:val="00693590"/>
    <w:rsid w:val="00693757"/>
    <w:rsid w:val="006937D4"/>
    <w:rsid w:val="0069390A"/>
    <w:rsid w:val="006939CA"/>
    <w:rsid w:val="00693F2A"/>
    <w:rsid w:val="006940A0"/>
    <w:rsid w:val="006940DC"/>
    <w:rsid w:val="0069442C"/>
    <w:rsid w:val="00694434"/>
    <w:rsid w:val="0069452A"/>
    <w:rsid w:val="0069454E"/>
    <w:rsid w:val="0069459C"/>
    <w:rsid w:val="00694683"/>
    <w:rsid w:val="006948D8"/>
    <w:rsid w:val="00694A6C"/>
    <w:rsid w:val="00694BCA"/>
    <w:rsid w:val="00694F36"/>
    <w:rsid w:val="00694FF9"/>
    <w:rsid w:val="006950EA"/>
    <w:rsid w:val="006953E2"/>
    <w:rsid w:val="00695452"/>
    <w:rsid w:val="00695533"/>
    <w:rsid w:val="00695709"/>
    <w:rsid w:val="00695730"/>
    <w:rsid w:val="0069582C"/>
    <w:rsid w:val="0069587B"/>
    <w:rsid w:val="00695B09"/>
    <w:rsid w:val="00695EFE"/>
    <w:rsid w:val="00695F82"/>
    <w:rsid w:val="006961D7"/>
    <w:rsid w:val="00696249"/>
    <w:rsid w:val="00696390"/>
    <w:rsid w:val="0069650A"/>
    <w:rsid w:val="006966E5"/>
    <w:rsid w:val="006969B9"/>
    <w:rsid w:val="00696C0A"/>
    <w:rsid w:val="00696CA0"/>
    <w:rsid w:val="006971A8"/>
    <w:rsid w:val="00697253"/>
    <w:rsid w:val="006975E4"/>
    <w:rsid w:val="00697626"/>
    <w:rsid w:val="00697B50"/>
    <w:rsid w:val="00697DC4"/>
    <w:rsid w:val="00697E36"/>
    <w:rsid w:val="00697E49"/>
    <w:rsid w:val="00697F80"/>
    <w:rsid w:val="00697F97"/>
    <w:rsid w:val="006A0392"/>
    <w:rsid w:val="006A094A"/>
    <w:rsid w:val="006A0ACC"/>
    <w:rsid w:val="006A0DD1"/>
    <w:rsid w:val="006A0E82"/>
    <w:rsid w:val="006A117A"/>
    <w:rsid w:val="006A12E0"/>
    <w:rsid w:val="006A138B"/>
    <w:rsid w:val="006A1569"/>
    <w:rsid w:val="006A15B9"/>
    <w:rsid w:val="006A1652"/>
    <w:rsid w:val="006A16AC"/>
    <w:rsid w:val="006A18BE"/>
    <w:rsid w:val="006A19CC"/>
    <w:rsid w:val="006A19E3"/>
    <w:rsid w:val="006A1A4D"/>
    <w:rsid w:val="006A1F3A"/>
    <w:rsid w:val="006A201D"/>
    <w:rsid w:val="006A235A"/>
    <w:rsid w:val="006A239A"/>
    <w:rsid w:val="006A23E5"/>
    <w:rsid w:val="006A23FA"/>
    <w:rsid w:val="006A25BF"/>
    <w:rsid w:val="006A2A4C"/>
    <w:rsid w:val="006A2FBB"/>
    <w:rsid w:val="006A307C"/>
    <w:rsid w:val="006A363A"/>
    <w:rsid w:val="006A3980"/>
    <w:rsid w:val="006A3A90"/>
    <w:rsid w:val="006A3C4F"/>
    <w:rsid w:val="006A3E10"/>
    <w:rsid w:val="006A3E14"/>
    <w:rsid w:val="006A3E2E"/>
    <w:rsid w:val="006A4032"/>
    <w:rsid w:val="006A4083"/>
    <w:rsid w:val="006A4108"/>
    <w:rsid w:val="006A41C4"/>
    <w:rsid w:val="006A4294"/>
    <w:rsid w:val="006A431C"/>
    <w:rsid w:val="006A440E"/>
    <w:rsid w:val="006A447F"/>
    <w:rsid w:val="006A44A6"/>
    <w:rsid w:val="006A4816"/>
    <w:rsid w:val="006A4C47"/>
    <w:rsid w:val="006A504F"/>
    <w:rsid w:val="006A5070"/>
    <w:rsid w:val="006A52ED"/>
    <w:rsid w:val="006A54D7"/>
    <w:rsid w:val="006A56D9"/>
    <w:rsid w:val="006A5704"/>
    <w:rsid w:val="006A58B3"/>
    <w:rsid w:val="006A5BA1"/>
    <w:rsid w:val="006A5C66"/>
    <w:rsid w:val="006A5D92"/>
    <w:rsid w:val="006A5E2F"/>
    <w:rsid w:val="006A60B0"/>
    <w:rsid w:val="006A6382"/>
    <w:rsid w:val="006A6488"/>
    <w:rsid w:val="006A66E2"/>
    <w:rsid w:val="006A6734"/>
    <w:rsid w:val="006A6A53"/>
    <w:rsid w:val="006A6B8B"/>
    <w:rsid w:val="006A6D58"/>
    <w:rsid w:val="006A6F54"/>
    <w:rsid w:val="006A6F85"/>
    <w:rsid w:val="006A709E"/>
    <w:rsid w:val="006A7185"/>
    <w:rsid w:val="006A7187"/>
    <w:rsid w:val="006A7342"/>
    <w:rsid w:val="006A7495"/>
    <w:rsid w:val="006A76D1"/>
    <w:rsid w:val="006A7BB8"/>
    <w:rsid w:val="006A7BEC"/>
    <w:rsid w:val="006A7C9D"/>
    <w:rsid w:val="006A7CF9"/>
    <w:rsid w:val="006B00BD"/>
    <w:rsid w:val="006B0228"/>
    <w:rsid w:val="006B0295"/>
    <w:rsid w:val="006B043B"/>
    <w:rsid w:val="006B0480"/>
    <w:rsid w:val="006B0569"/>
    <w:rsid w:val="006B07FE"/>
    <w:rsid w:val="006B0A7D"/>
    <w:rsid w:val="006B0C09"/>
    <w:rsid w:val="006B0CBD"/>
    <w:rsid w:val="006B0CC1"/>
    <w:rsid w:val="006B0E7A"/>
    <w:rsid w:val="006B111A"/>
    <w:rsid w:val="006B126A"/>
    <w:rsid w:val="006B1331"/>
    <w:rsid w:val="006B140A"/>
    <w:rsid w:val="006B1461"/>
    <w:rsid w:val="006B155F"/>
    <w:rsid w:val="006B16A9"/>
    <w:rsid w:val="006B16C8"/>
    <w:rsid w:val="006B173A"/>
    <w:rsid w:val="006B1A91"/>
    <w:rsid w:val="006B1D59"/>
    <w:rsid w:val="006B1EC5"/>
    <w:rsid w:val="006B1EE3"/>
    <w:rsid w:val="006B1F81"/>
    <w:rsid w:val="006B201A"/>
    <w:rsid w:val="006B2141"/>
    <w:rsid w:val="006B22BE"/>
    <w:rsid w:val="006B2448"/>
    <w:rsid w:val="006B2556"/>
    <w:rsid w:val="006B2BD1"/>
    <w:rsid w:val="006B2C24"/>
    <w:rsid w:val="006B2C2E"/>
    <w:rsid w:val="006B2C7F"/>
    <w:rsid w:val="006B2E13"/>
    <w:rsid w:val="006B2F9E"/>
    <w:rsid w:val="006B2FB3"/>
    <w:rsid w:val="006B3147"/>
    <w:rsid w:val="006B32AD"/>
    <w:rsid w:val="006B32CB"/>
    <w:rsid w:val="006B35A0"/>
    <w:rsid w:val="006B376A"/>
    <w:rsid w:val="006B37F7"/>
    <w:rsid w:val="006B3879"/>
    <w:rsid w:val="006B3890"/>
    <w:rsid w:val="006B3B12"/>
    <w:rsid w:val="006B3D9C"/>
    <w:rsid w:val="006B3FEB"/>
    <w:rsid w:val="006B4090"/>
    <w:rsid w:val="006B41CC"/>
    <w:rsid w:val="006B4647"/>
    <w:rsid w:val="006B4ABD"/>
    <w:rsid w:val="006B4BCB"/>
    <w:rsid w:val="006B4FD4"/>
    <w:rsid w:val="006B503B"/>
    <w:rsid w:val="006B50FC"/>
    <w:rsid w:val="006B5117"/>
    <w:rsid w:val="006B5224"/>
    <w:rsid w:val="006B53A7"/>
    <w:rsid w:val="006B560D"/>
    <w:rsid w:val="006B5693"/>
    <w:rsid w:val="006B56D1"/>
    <w:rsid w:val="006B5B77"/>
    <w:rsid w:val="006B5BE1"/>
    <w:rsid w:val="006B5BEE"/>
    <w:rsid w:val="006B5BFA"/>
    <w:rsid w:val="006B5D29"/>
    <w:rsid w:val="006B6044"/>
    <w:rsid w:val="006B64D7"/>
    <w:rsid w:val="006B655D"/>
    <w:rsid w:val="006B6DA5"/>
    <w:rsid w:val="006B6DE4"/>
    <w:rsid w:val="006B7388"/>
    <w:rsid w:val="006B7730"/>
    <w:rsid w:val="006B7914"/>
    <w:rsid w:val="006B7A87"/>
    <w:rsid w:val="006B7DAE"/>
    <w:rsid w:val="006B7E28"/>
    <w:rsid w:val="006B7E5A"/>
    <w:rsid w:val="006B7E5B"/>
    <w:rsid w:val="006B7F83"/>
    <w:rsid w:val="006B7FCF"/>
    <w:rsid w:val="006C014A"/>
    <w:rsid w:val="006C0278"/>
    <w:rsid w:val="006C053C"/>
    <w:rsid w:val="006C05AC"/>
    <w:rsid w:val="006C0785"/>
    <w:rsid w:val="006C0882"/>
    <w:rsid w:val="006C0974"/>
    <w:rsid w:val="006C0CF7"/>
    <w:rsid w:val="006C0F9F"/>
    <w:rsid w:val="006C1055"/>
    <w:rsid w:val="006C1056"/>
    <w:rsid w:val="006C105C"/>
    <w:rsid w:val="006C11B2"/>
    <w:rsid w:val="006C122F"/>
    <w:rsid w:val="006C134B"/>
    <w:rsid w:val="006C1802"/>
    <w:rsid w:val="006C19D2"/>
    <w:rsid w:val="006C1E10"/>
    <w:rsid w:val="006C200F"/>
    <w:rsid w:val="006C2069"/>
    <w:rsid w:val="006C2681"/>
    <w:rsid w:val="006C26FF"/>
    <w:rsid w:val="006C2C25"/>
    <w:rsid w:val="006C2CBC"/>
    <w:rsid w:val="006C3146"/>
    <w:rsid w:val="006C31AB"/>
    <w:rsid w:val="006C323C"/>
    <w:rsid w:val="006C34FF"/>
    <w:rsid w:val="006C36EC"/>
    <w:rsid w:val="006C377F"/>
    <w:rsid w:val="006C38DA"/>
    <w:rsid w:val="006C3906"/>
    <w:rsid w:val="006C392D"/>
    <w:rsid w:val="006C3A1F"/>
    <w:rsid w:val="006C3AC1"/>
    <w:rsid w:val="006C3CD7"/>
    <w:rsid w:val="006C426F"/>
    <w:rsid w:val="006C4310"/>
    <w:rsid w:val="006C44FF"/>
    <w:rsid w:val="006C462A"/>
    <w:rsid w:val="006C468B"/>
    <w:rsid w:val="006C4906"/>
    <w:rsid w:val="006C4945"/>
    <w:rsid w:val="006C4B34"/>
    <w:rsid w:val="006C4B4A"/>
    <w:rsid w:val="006C4B67"/>
    <w:rsid w:val="006C4B74"/>
    <w:rsid w:val="006C4BBF"/>
    <w:rsid w:val="006C4D56"/>
    <w:rsid w:val="006C504B"/>
    <w:rsid w:val="006C528C"/>
    <w:rsid w:val="006C5324"/>
    <w:rsid w:val="006C53DB"/>
    <w:rsid w:val="006C5464"/>
    <w:rsid w:val="006C56BD"/>
    <w:rsid w:val="006C5890"/>
    <w:rsid w:val="006C5CCE"/>
    <w:rsid w:val="006C5E32"/>
    <w:rsid w:val="006C5F45"/>
    <w:rsid w:val="006C6464"/>
    <w:rsid w:val="006C6870"/>
    <w:rsid w:val="006C6AA6"/>
    <w:rsid w:val="006C6AEA"/>
    <w:rsid w:val="006C6DD8"/>
    <w:rsid w:val="006C6E41"/>
    <w:rsid w:val="006C6F00"/>
    <w:rsid w:val="006C72CD"/>
    <w:rsid w:val="006C74AE"/>
    <w:rsid w:val="006C751A"/>
    <w:rsid w:val="006C78A2"/>
    <w:rsid w:val="006C7B88"/>
    <w:rsid w:val="006C7DF1"/>
    <w:rsid w:val="006C7EA4"/>
    <w:rsid w:val="006C7F17"/>
    <w:rsid w:val="006C7FBB"/>
    <w:rsid w:val="006D00B9"/>
    <w:rsid w:val="006D0158"/>
    <w:rsid w:val="006D034D"/>
    <w:rsid w:val="006D0595"/>
    <w:rsid w:val="006D09C7"/>
    <w:rsid w:val="006D0AB1"/>
    <w:rsid w:val="006D0C34"/>
    <w:rsid w:val="006D0D28"/>
    <w:rsid w:val="006D0D7D"/>
    <w:rsid w:val="006D0F35"/>
    <w:rsid w:val="006D10C5"/>
    <w:rsid w:val="006D1234"/>
    <w:rsid w:val="006D14AE"/>
    <w:rsid w:val="006D1CA1"/>
    <w:rsid w:val="006D1F49"/>
    <w:rsid w:val="006D2211"/>
    <w:rsid w:val="006D23D6"/>
    <w:rsid w:val="006D253C"/>
    <w:rsid w:val="006D30BD"/>
    <w:rsid w:val="006D3271"/>
    <w:rsid w:val="006D33C5"/>
    <w:rsid w:val="006D379F"/>
    <w:rsid w:val="006D392F"/>
    <w:rsid w:val="006D3994"/>
    <w:rsid w:val="006D3C30"/>
    <w:rsid w:val="006D3CCA"/>
    <w:rsid w:val="006D3CEB"/>
    <w:rsid w:val="006D3E33"/>
    <w:rsid w:val="006D3E72"/>
    <w:rsid w:val="006D42AA"/>
    <w:rsid w:val="006D458C"/>
    <w:rsid w:val="006D458E"/>
    <w:rsid w:val="006D4648"/>
    <w:rsid w:val="006D476B"/>
    <w:rsid w:val="006D4953"/>
    <w:rsid w:val="006D4B81"/>
    <w:rsid w:val="006D4BAE"/>
    <w:rsid w:val="006D4BDB"/>
    <w:rsid w:val="006D4C78"/>
    <w:rsid w:val="006D4DC7"/>
    <w:rsid w:val="006D4E1F"/>
    <w:rsid w:val="006D525F"/>
    <w:rsid w:val="006D5276"/>
    <w:rsid w:val="006D52DB"/>
    <w:rsid w:val="006D535F"/>
    <w:rsid w:val="006D54AF"/>
    <w:rsid w:val="006D54B0"/>
    <w:rsid w:val="006D5658"/>
    <w:rsid w:val="006D5B45"/>
    <w:rsid w:val="006D5C05"/>
    <w:rsid w:val="006D5D03"/>
    <w:rsid w:val="006D5F43"/>
    <w:rsid w:val="006D60AD"/>
    <w:rsid w:val="006D6278"/>
    <w:rsid w:val="006D63A3"/>
    <w:rsid w:val="006D6457"/>
    <w:rsid w:val="006D6615"/>
    <w:rsid w:val="006D66FF"/>
    <w:rsid w:val="006D6940"/>
    <w:rsid w:val="006D6A92"/>
    <w:rsid w:val="006D6C81"/>
    <w:rsid w:val="006D6CDA"/>
    <w:rsid w:val="006D6EDF"/>
    <w:rsid w:val="006D6EE8"/>
    <w:rsid w:val="006D6F4D"/>
    <w:rsid w:val="006D6FA4"/>
    <w:rsid w:val="006D7043"/>
    <w:rsid w:val="006D70DE"/>
    <w:rsid w:val="006D7140"/>
    <w:rsid w:val="006D73E4"/>
    <w:rsid w:val="006D7405"/>
    <w:rsid w:val="006D75C8"/>
    <w:rsid w:val="006D7614"/>
    <w:rsid w:val="006D77F5"/>
    <w:rsid w:val="006D7C56"/>
    <w:rsid w:val="006D7D25"/>
    <w:rsid w:val="006D7FA0"/>
    <w:rsid w:val="006D7FBC"/>
    <w:rsid w:val="006E00CE"/>
    <w:rsid w:val="006E01AC"/>
    <w:rsid w:val="006E052E"/>
    <w:rsid w:val="006E056D"/>
    <w:rsid w:val="006E0812"/>
    <w:rsid w:val="006E0A71"/>
    <w:rsid w:val="006E0C02"/>
    <w:rsid w:val="006E0DF3"/>
    <w:rsid w:val="006E141C"/>
    <w:rsid w:val="006E1431"/>
    <w:rsid w:val="006E1685"/>
    <w:rsid w:val="006E1B1D"/>
    <w:rsid w:val="006E1DBD"/>
    <w:rsid w:val="006E1DD9"/>
    <w:rsid w:val="006E1F0E"/>
    <w:rsid w:val="006E1F3B"/>
    <w:rsid w:val="006E203A"/>
    <w:rsid w:val="006E2133"/>
    <w:rsid w:val="006E21AF"/>
    <w:rsid w:val="006E22F6"/>
    <w:rsid w:val="006E29DF"/>
    <w:rsid w:val="006E2B7A"/>
    <w:rsid w:val="006E2CEC"/>
    <w:rsid w:val="006E2FA1"/>
    <w:rsid w:val="006E3210"/>
    <w:rsid w:val="006E334F"/>
    <w:rsid w:val="006E33DC"/>
    <w:rsid w:val="006E3576"/>
    <w:rsid w:val="006E3871"/>
    <w:rsid w:val="006E3923"/>
    <w:rsid w:val="006E3A49"/>
    <w:rsid w:val="006E3A56"/>
    <w:rsid w:val="006E3DF7"/>
    <w:rsid w:val="006E3E94"/>
    <w:rsid w:val="006E3F1A"/>
    <w:rsid w:val="006E3F9C"/>
    <w:rsid w:val="006E3FCE"/>
    <w:rsid w:val="006E4256"/>
    <w:rsid w:val="006E461D"/>
    <w:rsid w:val="006E478A"/>
    <w:rsid w:val="006E49CE"/>
    <w:rsid w:val="006E4A82"/>
    <w:rsid w:val="006E4C69"/>
    <w:rsid w:val="006E4E21"/>
    <w:rsid w:val="006E4E35"/>
    <w:rsid w:val="006E4E52"/>
    <w:rsid w:val="006E5158"/>
    <w:rsid w:val="006E529E"/>
    <w:rsid w:val="006E5379"/>
    <w:rsid w:val="006E56AD"/>
    <w:rsid w:val="006E5802"/>
    <w:rsid w:val="006E5990"/>
    <w:rsid w:val="006E5CCC"/>
    <w:rsid w:val="006E6035"/>
    <w:rsid w:val="006E6906"/>
    <w:rsid w:val="006E6911"/>
    <w:rsid w:val="006E7041"/>
    <w:rsid w:val="006E7302"/>
    <w:rsid w:val="006E73CA"/>
    <w:rsid w:val="006E74D7"/>
    <w:rsid w:val="006E78EA"/>
    <w:rsid w:val="006E793A"/>
    <w:rsid w:val="006E79D9"/>
    <w:rsid w:val="006E79DC"/>
    <w:rsid w:val="006E7AAB"/>
    <w:rsid w:val="006E7E55"/>
    <w:rsid w:val="006E7EED"/>
    <w:rsid w:val="006E7F29"/>
    <w:rsid w:val="006F015E"/>
    <w:rsid w:val="006F02AD"/>
    <w:rsid w:val="006F03DB"/>
    <w:rsid w:val="006F0781"/>
    <w:rsid w:val="006F0973"/>
    <w:rsid w:val="006F1096"/>
    <w:rsid w:val="006F1140"/>
    <w:rsid w:val="006F1205"/>
    <w:rsid w:val="006F12A4"/>
    <w:rsid w:val="006F12B5"/>
    <w:rsid w:val="006F161E"/>
    <w:rsid w:val="006F1785"/>
    <w:rsid w:val="006F1958"/>
    <w:rsid w:val="006F198C"/>
    <w:rsid w:val="006F1BB3"/>
    <w:rsid w:val="006F1F6F"/>
    <w:rsid w:val="006F2020"/>
    <w:rsid w:val="006F21CC"/>
    <w:rsid w:val="006F2437"/>
    <w:rsid w:val="006F26DB"/>
    <w:rsid w:val="006F296A"/>
    <w:rsid w:val="006F2AA9"/>
    <w:rsid w:val="006F2BAA"/>
    <w:rsid w:val="006F2C0B"/>
    <w:rsid w:val="006F2D44"/>
    <w:rsid w:val="006F2E79"/>
    <w:rsid w:val="006F2F01"/>
    <w:rsid w:val="006F3023"/>
    <w:rsid w:val="006F3254"/>
    <w:rsid w:val="006F3331"/>
    <w:rsid w:val="006F344B"/>
    <w:rsid w:val="006F350A"/>
    <w:rsid w:val="006F3898"/>
    <w:rsid w:val="006F3B70"/>
    <w:rsid w:val="006F3B9D"/>
    <w:rsid w:val="006F3CE8"/>
    <w:rsid w:val="006F3DE5"/>
    <w:rsid w:val="006F40B5"/>
    <w:rsid w:val="006F41B5"/>
    <w:rsid w:val="006F41D3"/>
    <w:rsid w:val="006F455F"/>
    <w:rsid w:val="006F4874"/>
    <w:rsid w:val="006F48A0"/>
    <w:rsid w:val="006F48AE"/>
    <w:rsid w:val="006F4A13"/>
    <w:rsid w:val="006F4AE8"/>
    <w:rsid w:val="006F4B58"/>
    <w:rsid w:val="006F4B75"/>
    <w:rsid w:val="006F4BBE"/>
    <w:rsid w:val="006F4C52"/>
    <w:rsid w:val="006F4DD9"/>
    <w:rsid w:val="006F4FC6"/>
    <w:rsid w:val="006F4FD1"/>
    <w:rsid w:val="006F5061"/>
    <w:rsid w:val="006F51A5"/>
    <w:rsid w:val="006F537C"/>
    <w:rsid w:val="006F5719"/>
    <w:rsid w:val="006F591A"/>
    <w:rsid w:val="006F604D"/>
    <w:rsid w:val="006F6065"/>
    <w:rsid w:val="006F6290"/>
    <w:rsid w:val="006F63CC"/>
    <w:rsid w:val="006F654C"/>
    <w:rsid w:val="006F6582"/>
    <w:rsid w:val="006F6620"/>
    <w:rsid w:val="006F66C8"/>
    <w:rsid w:val="006F6770"/>
    <w:rsid w:val="006F6840"/>
    <w:rsid w:val="006F6ACA"/>
    <w:rsid w:val="006F6BA9"/>
    <w:rsid w:val="006F6CB0"/>
    <w:rsid w:val="006F6E63"/>
    <w:rsid w:val="006F7239"/>
    <w:rsid w:val="006F72BF"/>
    <w:rsid w:val="006F74E9"/>
    <w:rsid w:val="006F74FF"/>
    <w:rsid w:val="006F75EB"/>
    <w:rsid w:val="006F77CA"/>
    <w:rsid w:val="006F789A"/>
    <w:rsid w:val="006F79DB"/>
    <w:rsid w:val="006F7AF6"/>
    <w:rsid w:val="006F7BE7"/>
    <w:rsid w:val="006F7CB8"/>
    <w:rsid w:val="00700052"/>
    <w:rsid w:val="007002A4"/>
    <w:rsid w:val="0070036C"/>
    <w:rsid w:val="007004F9"/>
    <w:rsid w:val="007006ED"/>
    <w:rsid w:val="007009E5"/>
    <w:rsid w:val="00700B89"/>
    <w:rsid w:val="00700BD7"/>
    <w:rsid w:val="00700E79"/>
    <w:rsid w:val="00700FE7"/>
    <w:rsid w:val="00701038"/>
    <w:rsid w:val="0070116C"/>
    <w:rsid w:val="00701342"/>
    <w:rsid w:val="0070158D"/>
    <w:rsid w:val="00701661"/>
    <w:rsid w:val="00701779"/>
    <w:rsid w:val="0070192C"/>
    <w:rsid w:val="0070193B"/>
    <w:rsid w:val="00701A6E"/>
    <w:rsid w:val="00701AB9"/>
    <w:rsid w:val="007024A5"/>
    <w:rsid w:val="0070290E"/>
    <w:rsid w:val="00702B5E"/>
    <w:rsid w:val="00702C42"/>
    <w:rsid w:val="007030A8"/>
    <w:rsid w:val="00703127"/>
    <w:rsid w:val="00703418"/>
    <w:rsid w:val="0070354C"/>
    <w:rsid w:val="0070359B"/>
    <w:rsid w:val="007036BF"/>
    <w:rsid w:val="007039FD"/>
    <w:rsid w:val="00703C36"/>
    <w:rsid w:val="00703D78"/>
    <w:rsid w:val="00703EE1"/>
    <w:rsid w:val="00703F12"/>
    <w:rsid w:val="00704094"/>
    <w:rsid w:val="007042A7"/>
    <w:rsid w:val="007043FA"/>
    <w:rsid w:val="00704552"/>
    <w:rsid w:val="00704578"/>
    <w:rsid w:val="0070468F"/>
    <w:rsid w:val="007047BB"/>
    <w:rsid w:val="00704D2D"/>
    <w:rsid w:val="00704E45"/>
    <w:rsid w:val="00705611"/>
    <w:rsid w:val="00705700"/>
    <w:rsid w:val="007059B0"/>
    <w:rsid w:val="007061AA"/>
    <w:rsid w:val="007061F3"/>
    <w:rsid w:val="007062FF"/>
    <w:rsid w:val="007063D3"/>
    <w:rsid w:val="007066DB"/>
    <w:rsid w:val="007068ED"/>
    <w:rsid w:val="007069BE"/>
    <w:rsid w:val="00706E2B"/>
    <w:rsid w:val="00707130"/>
    <w:rsid w:val="00707303"/>
    <w:rsid w:val="007074BB"/>
    <w:rsid w:val="00707605"/>
    <w:rsid w:val="00707957"/>
    <w:rsid w:val="00707A4D"/>
    <w:rsid w:val="00707CE6"/>
    <w:rsid w:val="00707D52"/>
    <w:rsid w:val="00707F34"/>
    <w:rsid w:val="00707F70"/>
    <w:rsid w:val="0071004F"/>
    <w:rsid w:val="00710438"/>
    <w:rsid w:val="00710485"/>
    <w:rsid w:val="007104C5"/>
    <w:rsid w:val="00710749"/>
    <w:rsid w:val="0071098E"/>
    <w:rsid w:val="007109D8"/>
    <w:rsid w:val="00710B5B"/>
    <w:rsid w:val="00710CAC"/>
    <w:rsid w:val="00710D7F"/>
    <w:rsid w:val="00710FAA"/>
    <w:rsid w:val="0071118A"/>
    <w:rsid w:val="00711370"/>
    <w:rsid w:val="007115E8"/>
    <w:rsid w:val="007116B2"/>
    <w:rsid w:val="00711833"/>
    <w:rsid w:val="00711AFC"/>
    <w:rsid w:val="00711B35"/>
    <w:rsid w:val="0071203D"/>
    <w:rsid w:val="007120B7"/>
    <w:rsid w:val="007120BF"/>
    <w:rsid w:val="007123E2"/>
    <w:rsid w:val="00712545"/>
    <w:rsid w:val="007125DA"/>
    <w:rsid w:val="00712685"/>
    <w:rsid w:val="00712735"/>
    <w:rsid w:val="00712C73"/>
    <w:rsid w:val="00712D39"/>
    <w:rsid w:val="00713058"/>
    <w:rsid w:val="007130EC"/>
    <w:rsid w:val="007131DD"/>
    <w:rsid w:val="007131F9"/>
    <w:rsid w:val="00713219"/>
    <w:rsid w:val="0071344D"/>
    <w:rsid w:val="0071362E"/>
    <w:rsid w:val="007136DB"/>
    <w:rsid w:val="0071372C"/>
    <w:rsid w:val="00713783"/>
    <w:rsid w:val="0071394F"/>
    <w:rsid w:val="00713AE8"/>
    <w:rsid w:val="0071412B"/>
    <w:rsid w:val="0071434E"/>
    <w:rsid w:val="007143E1"/>
    <w:rsid w:val="0071455A"/>
    <w:rsid w:val="007145C3"/>
    <w:rsid w:val="0071465A"/>
    <w:rsid w:val="007146E7"/>
    <w:rsid w:val="007146EF"/>
    <w:rsid w:val="00714979"/>
    <w:rsid w:val="00714CDA"/>
    <w:rsid w:val="00714E0D"/>
    <w:rsid w:val="00714E10"/>
    <w:rsid w:val="00714ED7"/>
    <w:rsid w:val="00715033"/>
    <w:rsid w:val="00715115"/>
    <w:rsid w:val="007151A2"/>
    <w:rsid w:val="007151C8"/>
    <w:rsid w:val="00715430"/>
    <w:rsid w:val="00715518"/>
    <w:rsid w:val="00715551"/>
    <w:rsid w:val="007155F0"/>
    <w:rsid w:val="0071566E"/>
    <w:rsid w:val="0071570D"/>
    <w:rsid w:val="0071599C"/>
    <w:rsid w:val="00715B48"/>
    <w:rsid w:val="00715BD1"/>
    <w:rsid w:val="00715C79"/>
    <w:rsid w:val="00715E51"/>
    <w:rsid w:val="00715E74"/>
    <w:rsid w:val="00715F49"/>
    <w:rsid w:val="007165A3"/>
    <w:rsid w:val="00716F24"/>
    <w:rsid w:val="00716F34"/>
    <w:rsid w:val="00717230"/>
    <w:rsid w:val="00717887"/>
    <w:rsid w:val="00717A27"/>
    <w:rsid w:val="00717AA1"/>
    <w:rsid w:val="00717B26"/>
    <w:rsid w:val="00717B9E"/>
    <w:rsid w:val="00717C8E"/>
    <w:rsid w:val="00717D28"/>
    <w:rsid w:val="00717E60"/>
    <w:rsid w:val="0072000E"/>
    <w:rsid w:val="0072047C"/>
    <w:rsid w:val="007205E3"/>
    <w:rsid w:val="007206FF"/>
    <w:rsid w:val="007209E4"/>
    <w:rsid w:val="00720E3B"/>
    <w:rsid w:val="00720E59"/>
    <w:rsid w:val="00721212"/>
    <w:rsid w:val="0072153D"/>
    <w:rsid w:val="00721551"/>
    <w:rsid w:val="00721900"/>
    <w:rsid w:val="00721EF1"/>
    <w:rsid w:val="00722107"/>
    <w:rsid w:val="007221BD"/>
    <w:rsid w:val="00722360"/>
    <w:rsid w:val="00722367"/>
    <w:rsid w:val="00722446"/>
    <w:rsid w:val="00722719"/>
    <w:rsid w:val="00722899"/>
    <w:rsid w:val="00722A23"/>
    <w:rsid w:val="00722AF9"/>
    <w:rsid w:val="00722D47"/>
    <w:rsid w:val="007231E6"/>
    <w:rsid w:val="0072327E"/>
    <w:rsid w:val="007234BB"/>
    <w:rsid w:val="007236A6"/>
    <w:rsid w:val="00723758"/>
    <w:rsid w:val="00723C11"/>
    <w:rsid w:val="00723CC0"/>
    <w:rsid w:val="00723D8F"/>
    <w:rsid w:val="00723D9B"/>
    <w:rsid w:val="00723E1E"/>
    <w:rsid w:val="00723E78"/>
    <w:rsid w:val="00723FA1"/>
    <w:rsid w:val="00723FF4"/>
    <w:rsid w:val="00724006"/>
    <w:rsid w:val="007240AE"/>
    <w:rsid w:val="007242BF"/>
    <w:rsid w:val="007244B0"/>
    <w:rsid w:val="007244FD"/>
    <w:rsid w:val="00724587"/>
    <w:rsid w:val="007247AD"/>
    <w:rsid w:val="007247F1"/>
    <w:rsid w:val="007248B1"/>
    <w:rsid w:val="007248E7"/>
    <w:rsid w:val="00724971"/>
    <w:rsid w:val="0072497F"/>
    <w:rsid w:val="00724CC0"/>
    <w:rsid w:val="00724CFF"/>
    <w:rsid w:val="00724F0C"/>
    <w:rsid w:val="00724FC3"/>
    <w:rsid w:val="00725132"/>
    <w:rsid w:val="00725187"/>
    <w:rsid w:val="007251B6"/>
    <w:rsid w:val="0072525A"/>
    <w:rsid w:val="007252C7"/>
    <w:rsid w:val="0072545A"/>
    <w:rsid w:val="007255BF"/>
    <w:rsid w:val="00725714"/>
    <w:rsid w:val="00725876"/>
    <w:rsid w:val="007259C6"/>
    <w:rsid w:val="00725A47"/>
    <w:rsid w:val="00725A97"/>
    <w:rsid w:val="00725B65"/>
    <w:rsid w:val="00725E07"/>
    <w:rsid w:val="00726579"/>
    <w:rsid w:val="007265BB"/>
    <w:rsid w:val="00726760"/>
    <w:rsid w:val="00726807"/>
    <w:rsid w:val="0072685C"/>
    <w:rsid w:val="00726D9F"/>
    <w:rsid w:val="00727062"/>
    <w:rsid w:val="007274D7"/>
    <w:rsid w:val="00727506"/>
    <w:rsid w:val="0072768F"/>
    <w:rsid w:val="007276EE"/>
    <w:rsid w:val="0072775A"/>
    <w:rsid w:val="00727781"/>
    <w:rsid w:val="00727B05"/>
    <w:rsid w:val="00727D82"/>
    <w:rsid w:val="00727D95"/>
    <w:rsid w:val="007300C6"/>
    <w:rsid w:val="00730521"/>
    <w:rsid w:val="0073074C"/>
    <w:rsid w:val="007307AD"/>
    <w:rsid w:val="00730997"/>
    <w:rsid w:val="00730A27"/>
    <w:rsid w:val="00730CA0"/>
    <w:rsid w:val="00730D14"/>
    <w:rsid w:val="00730D7F"/>
    <w:rsid w:val="00730DBF"/>
    <w:rsid w:val="00731136"/>
    <w:rsid w:val="00731284"/>
    <w:rsid w:val="00731618"/>
    <w:rsid w:val="00731776"/>
    <w:rsid w:val="00731DEE"/>
    <w:rsid w:val="007321EE"/>
    <w:rsid w:val="0073232F"/>
    <w:rsid w:val="00732508"/>
    <w:rsid w:val="00732CFC"/>
    <w:rsid w:val="00732D30"/>
    <w:rsid w:val="00732DE9"/>
    <w:rsid w:val="00732F8B"/>
    <w:rsid w:val="007330E8"/>
    <w:rsid w:val="00733369"/>
    <w:rsid w:val="0073356B"/>
    <w:rsid w:val="00733AC2"/>
    <w:rsid w:val="00733B35"/>
    <w:rsid w:val="00733BBA"/>
    <w:rsid w:val="00733C38"/>
    <w:rsid w:val="00733FF5"/>
    <w:rsid w:val="007340C2"/>
    <w:rsid w:val="0073413F"/>
    <w:rsid w:val="007342E5"/>
    <w:rsid w:val="00734ADF"/>
    <w:rsid w:val="00734AE1"/>
    <w:rsid w:val="00734C02"/>
    <w:rsid w:val="00734DD9"/>
    <w:rsid w:val="00735195"/>
    <w:rsid w:val="007353B6"/>
    <w:rsid w:val="00735562"/>
    <w:rsid w:val="007355F1"/>
    <w:rsid w:val="00735846"/>
    <w:rsid w:val="00735855"/>
    <w:rsid w:val="0073585E"/>
    <w:rsid w:val="00735870"/>
    <w:rsid w:val="00735AF8"/>
    <w:rsid w:val="007361C2"/>
    <w:rsid w:val="0073644A"/>
    <w:rsid w:val="007364B6"/>
    <w:rsid w:val="0073659D"/>
    <w:rsid w:val="00736944"/>
    <w:rsid w:val="007369AC"/>
    <w:rsid w:val="00736B7B"/>
    <w:rsid w:val="00736CBD"/>
    <w:rsid w:val="00736CE6"/>
    <w:rsid w:val="00736FD4"/>
    <w:rsid w:val="00737209"/>
    <w:rsid w:val="00737503"/>
    <w:rsid w:val="007376F6"/>
    <w:rsid w:val="00737C51"/>
    <w:rsid w:val="00737DDA"/>
    <w:rsid w:val="00737E37"/>
    <w:rsid w:val="00737F12"/>
    <w:rsid w:val="0074029C"/>
    <w:rsid w:val="0074075C"/>
    <w:rsid w:val="007407A6"/>
    <w:rsid w:val="007407E0"/>
    <w:rsid w:val="007408F2"/>
    <w:rsid w:val="00740913"/>
    <w:rsid w:val="00740A3B"/>
    <w:rsid w:val="00740A6E"/>
    <w:rsid w:val="00740AD1"/>
    <w:rsid w:val="00740C5B"/>
    <w:rsid w:val="00740F36"/>
    <w:rsid w:val="00740FD5"/>
    <w:rsid w:val="0074100A"/>
    <w:rsid w:val="00741026"/>
    <w:rsid w:val="00741253"/>
    <w:rsid w:val="0074125F"/>
    <w:rsid w:val="00741310"/>
    <w:rsid w:val="0074131C"/>
    <w:rsid w:val="007413DD"/>
    <w:rsid w:val="0074148F"/>
    <w:rsid w:val="007415F1"/>
    <w:rsid w:val="007418A2"/>
    <w:rsid w:val="0074190E"/>
    <w:rsid w:val="00741E86"/>
    <w:rsid w:val="00741F75"/>
    <w:rsid w:val="00742024"/>
    <w:rsid w:val="007429C0"/>
    <w:rsid w:val="00742A1D"/>
    <w:rsid w:val="00742B40"/>
    <w:rsid w:val="00742CE3"/>
    <w:rsid w:val="00742EF2"/>
    <w:rsid w:val="00742FFD"/>
    <w:rsid w:val="0074313C"/>
    <w:rsid w:val="0074317E"/>
    <w:rsid w:val="007431E2"/>
    <w:rsid w:val="0074325C"/>
    <w:rsid w:val="0074329C"/>
    <w:rsid w:val="007433F2"/>
    <w:rsid w:val="00743674"/>
    <w:rsid w:val="007436A6"/>
    <w:rsid w:val="0074374C"/>
    <w:rsid w:val="0074386B"/>
    <w:rsid w:val="0074389A"/>
    <w:rsid w:val="00743983"/>
    <w:rsid w:val="00743ADC"/>
    <w:rsid w:val="00743B80"/>
    <w:rsid w:val="00744331"/>
    <w:rsid w:val="007447D5"/>
    <w:rsid w:val="007448EF"/>
    <w:rsid w:val="00744A3D"/>
    <w:rsid w:val="00744ACC"/>
    <w:rsid w:val="00744B9D"/>
    <w:rsid w:val="00744BB9"/>
    <w:rsid w:val="00744CAB"/>
    <w:rsid w:val="00744D0C"/>
    <w:rsid w:val="00744FB4"/>
    <w:rsid w:val="007451A7"/>
    <w:rsid w:val="0074537C"/>
    <w:rsid w:val="007453CE"/>
    <w:rsid w:val="00745430"/>
    <w:rsid w:val="00745437"/>
    <w:rsid w:val="007454B3"/>
    <w:rsid w:val="0074583E"/>
    <w:rsid w:val="007458E0"/>
    <w:rsid w:val="00745E87"/>
    <w:rsid w:val="00745FA7"/>
    <w:rsid w:val="0074611C"/>
    <w:rsid w:val="007461E6"/>
    <w:rsid w:val="00746434"/>
    <w:rsid w:val="0074648E"/>
    <w:rsid w:val="007464DF"/>
    <w:rsid w:val="007469DC"/>
    <w:rsid w:val="00746A13"/>
    <w:rsid w:val="00746AEE"/>
    <w:rsid w:val="00746C7D"/>
    <w:rsid w:val="00746EE8"/>
    <w:rsid w:val="00746FE5"/>
    <w:rsid w:val="007470C9"/>
    <w:rsid w:val="00747380"/>
    <w:rsid w:val="00747661"/>
    <w:rsid w:val="007476DE"/>
    <w:rsid w:val="00747970"/>
    <w:rsid w:val="00747993"/>
    <w:rsid w:val="00747A3A"/>
    <w:rsid w:val="00747C80"/>
    <w:rsid w:val="00747CCA"/>
    <w:rsid w:val="00747E43"/>
    <w:rsid w:val="007503C5"/>
    <w:rsid w:val="0075041E"/>
    <w:rsid w:val="00750420"/>
    <w:rsid w:val="007507AF"/>
    <w:rsid w:val="0075082C"/>
    <w:rsid w:val="00750875"/>
    <w:rsid w:val="00750907"/>
    <w:rsid w:val="007509A6"/>
    <w:rsid w:val="00750B5A"/>
    <w:rsid w:val="00750C04"/>
    <w:rsid w:val="00750EA8"/>
    <w:rsid w:val="007510A0"/>
    <w:rsid w:val="007511DB"/>
    <w:rsid w:val="007518CF"/>
    <w:rsid w:val="007518DB"/>
    <w:rsid w:val="00751A37"/>
    <w:rsid w:val="00751C6B"/>
    <w:rsid w:val="00751DFA"/>
    <w:rsid w:val="00751F15"/>
    <w:rsid w:val="007521E5"/>
    <w:rsid w:val="00752465"/>
    <w:rsid w:val="0075267C"/>
    <w:rsid w:val="007528E3"/>
    <w:rsid w:val="0075312C"/>
    <w:rsid w:val="007532DE"/>
    <w:rsid w:val="007532EC"/>
    <w:rsid w:val="0075372F"/>
    <w:rsid w:val="00753CEE"/>
    <w:rsid w:val="00753EA9"/>
    <w:rsid w:val="00753F57"/>
    <w:rsid w:val="00753F83"/>
    <w:rsid w:val="0075401E"/>
    <w:rsid w:val="00754312"/>
    <w:rsid w:val="0075455C"/>
    <w:rsid w:val="00754754"/>
    <w:rsid w:val="00754920"/>
    <w:rsid w:val="00754A78"/>
    <w:rsid w:val="00754B3D"/>
    <w:rsid w:val="00754D2D"/>
    <w:rsid w:val="00754E85"/>
    <w:rsid w:val="007550B1"/>
    <w:rsid w:val="007550B2"/>
    <w:rsid w:val="007556A1"/>
    <w:rsid w:val="007558FA"/>
    <w:rsid w:val="00755A48"/>
    <w:rsid w:val="00755EF1"/>
    <w:rsid w:val="00756084"/>
    <w:rsid w:val="00756473"/>
    <w:rsid w:val="007564A7"/>
    <w:rsid w:val="00756533"/>
    <w:rsid w:val="007565FF"/>
    <w:rsid w:val="007567FD"/>
    <w:rsid w:val="007569A6"/>
    <w:rsid w:val="00756A54"/>
    <w:rsid w:val="00756AD4"/>
    <w:rsid w:val="00756BD5"/>
    <w:rsid w:val="00756D48"/>
    <w:rsid w:val="00756DB3"/>
    <w:rsid w:val="00756EC7"/>
    <w:rsid w:val="0075711E"/>
    <w:rsid w:val="00757153"/>
    <w:rsid w:val="00757997"/>
    <w:rsid w:val="00757A27"/>
    <w:rsid w:val="00757AB9"/>
    <w:rsid w:val="00757B93"/>
    <w:rsid w:val="00757D34"/>
    <w:rsid w:val="00757D4A"/>
    <w:rsid w:val="00757D5C"/>
    <w:rsid w:val="00757F1C"/>
    <w:rsid w:val="007600BF"/>
    <w:rsid w:val="007600CA"/>
    <w:rsid w:val="007601CA"/>
    <w:rsid w:val="00760234"/>
    <w:rsid w:val="00760822"/>
    <w:rsid w:val="00760DD0"/>
    <w:rsid w:val="00761057"/>
    <w:rsid w:val="0076162B"/>
    <w:rsid w:val="00761670"/>
    <w:rsid w:val="0076197D"/>
    <w:rsid w:val="00761C97"/>
    <w:rsid w:val="00761DBF"/>
    <w:rsid w:val="00761EDC"/>
    <w:rsid w:val="00762373"/>
    <w:rsid w:val="00762397"/>
    <w:rsid w:val="00762611"/>
    <w:rsid w:val="00762625"/>
    <w:rsid w:val="007627B5"/>
    <w:rsid w:val="007627CD"/>
    <w:rsid w:val="0076298B"/>
    <w:rsid w:val="00762D10"/>
    <w:rsid w:val="00762D2C"/>
    <w:rsid w:val="00762E9B"/>
    <w:rsid w:val="007636A1"/>
    <w:rsid w:val="007636B0"/>
    <w:rsid w:val="0076379A"/>
    <w:rsid w:val="00763A29"/>
    <w:rsid w:val="00763C58"/>
    <w:rsid w:val="00763F29"/>
    <w:rsid w:val="0076407C"/>
    <w:rsid w:val="0076415D"/>
    <w:rsid w:val="007643C9"/>
    <w:rsid w:val="0076446C"/>
    <w:rsid w:val="00764512"/>
    <w:rsid w:val="00764621"/>
    <w:rsid w:val="0076489D"/>
    <w:rsid w:val="00764E0C"/>
    <w:rsid w:val="00764F8A"/>
    <w:rsid w:val="0076521B"/>
    <w:rsid w:val="00765285"/>
    <w:rsid w:val="0076553F"/>
    <w:rsid w:val="00765AA5"/>
    <w:rsid w:val="00765B15"/>
    <w:rsid w:val="00765C1F"/>
    <w:rsid w:val="00765C5B"/>
    <w:rsid w:val="00765E5C"/>
    <w:rsid w:val="00765EC3"/>
    <w:rsid w:val="00765F0F"/>
    <w:rsid w:val="007662EB"/>
    <w:rsid w:val="00766371"/>
    <w:rsid w:val="00766453"/>
    <w:rsid w:val="0076651A"/>
    <w:rsid w:val="00766D91"/>
    <w:rsid w:val="00766F2F"/>
    <w:rsid w:val="00767159"/>
    <w:rsid w:val="007671E0"/>
    <w:rsid w:val="00767234"/>
    <w:rsid w:val="0076727B"/>
    <w:rsid w:val="007672D9"/>
    <w:rsid w:val="00767471"/>
    <w:rsid w:val="007676CB"/>
    <w:rsid w:val="007677C2"/>
    <w:rsid w:val="007701F6"/>
    <w:rsid w:val="007703CA"/>
    <w:rsid w:val="007703DB"/>
    <w:rsid w:val="007706B4"/>
    <w:rsid w:val="00770880"/>
    <w:rsid w:val="00770966"/>
    <w:rsid w:val="00770ACE"/>
    <w:rsid w:val="00770ED7"/>
    <w:rsid w:val="0077113B"/>
    <w:rsid w:val="00771216"/>
    <w:rsid w:val="0077132B"/>
    <w:rsid w:val="007713CD"/>
    <w:rsid w:val="007715F0"/>
    <w:rsid w:val="0077167E"/>
    <w:rsid w:val="00771B9C"/>
    <w:rsid w:val="00771F05"/>
    <w:rsid w:val="00772084"/>
    <w:rsid w:val="007726A3"/>
    <w:rsid w:val="0077296C"/>
    <w:rsid w:val="00772BD2"/>
    <w:rsid w:val="00772C22"/>
    <w:rsid w:val="00772C70"/>
    <w:rsid w:val="00772D45"/>
    <w:rsid w:val="00772E30"/>
    <w:rsid w:val="00772E3F"/>
    <w:rsid w:val="00772E6D"/>
    <w:rsid w:val="00772FE0"/>
    <w:rsid w:val="00772FFD"/>
    <w:rsid w:val="007733FF"/>
    <w:rsid w:val="00773425"/>
    <w:rsid w:val="007734C8"/>
    <w:rsid w:val="0077366F"/>
    <w:rsid w:val="00773735"/>
    <w:rsid w:val="00773879"/>
    <w:rsid w:val="007740BA"/>
    <w:rsid w:val="00774639"/>
    <w:rsid w:val="007746DF"/>
    <w:rsid w:val="00774928"/>
    <w:rsid w:val="00774B09"/>
    <w:rsid w:val="00774EFD"/>
    <w:rsid w:val="007752B5"/>
    <w:rsid w:val="007753C1"/>
    <w:rsid w:val="0077548D"/>
    <w:rsid w:val="007755BA"/>
    <w:rsid w:val="00775798"/>
    <w:rsid w:val="007758AA"/>
    <w:rsid w:val="007759C8"/>
    <w:rsid w:val="007759DD"/>
    <w:rsid w:val="00775A79"/>
    <w:rsid w:val="00775B44"/>
    <w:rsid w:val="00775BA6"/>
    <w:rsid w:val="00775E5D"/>
    <w:rsid w:val="00775EB7"/>
    <w:rsid w:val="00775ED1"/>
    <w:rsid w:val="00776AC2"/>
    <w:rsid w:val="00776B93"/>
    <w:rsid w:val="0077776D"/>
    <w:rsid w:val="00777D07"/>
    <w:rsid w:val="00777E85"/>
    <w:rsid w:val="00777F0D"/>
    <w:rsid w:val="00777FDA"/>
    <w:rsid w:val="007803E0"/>
    <w:rsid w:val="007805AD"/>
    <w:rsid w:val="0078073B"/>
    <w:rsid w:val="007807BD"/>
    <w:rsid w:val="0078081F"/>
    <w:rsid w:val="00780971"/>
    <w:rsid w:val="00780B2B"/>
    <w:rsid w:val="00780B2F"/>
    <w:rsid w:val="00780B3A"/>
    <w:rsid w:val="00780D62"/>
    <w:rsid w:val="00780D90"/>
    <w:rsid w:val="00780EA3"/>
    <w:rsid w:val="0078130D"/>
    <w:rsid w:val="00781777"/>
    <w:rsid w:val="00781837"/>
    <w:rsid w:val="00781843"/>
    <w:rsid w:val="00781CBD"/>
    <w:rsid w:val="00781D6A"/>
    <w:rsid w:val="00781EC7"/>
    <w:rsid w:val="00781ECD"/>
    <w:rsid w:val="00781F4B"/>
    <w:rsid w:val="00782174"/>
    <w:rsid w:val="0078218C"/>
    <w:rsid w:val="0078252C"/>
    <w:rsid w:val="00782844"/>
    <w:rsid w:val="0078294C"/>
    <w:rsid w:val="00782A2E"/>
    <w:rsid w:val="00782A90"/>
    <w:rsid w:val="00783138"/>
    <w:rsid w:val="007831C5"/>
    <w:rsid w:val="007833F0"/>
    <w:rsid w:val="007838B6"/>
    <w:rsid w:val="00783C46"/>
    <w:rsid w:val="00783EDE"/>
    <w:rsid w:val="007841A9"/>
    <w:rsid w:val="007841DA"/>
    <w:rsid w:val="007842E6"/>
    <w:rsid w:val="0078436F"/>
    <w:rsid w:val="007847FA"/>
    <w:rsid w:val="00784863"/>
    <w:rsid w:val="00784872"/>
    <w:rsid w:val="00784AD2"/>
    <w:rsid w:val="00784BC7"/>
    <w:rsid w:val="00785028"/>
    <w:rsid w:val="00785099"/>
    <w:rsid w:val="007853E5"/>
    <w:rsid w:val="007857FC"/>
    <w:rsid w:val="00785806"/>
    <w:rsid w:val="00785C66"/>
    <w:rsid w:val="00785F7A"/>
    <w:rsid w:val="00786169"/>
    <w:rsid w:val="00786204"/>
    <w:rsid w:val="00786243"/>
    <w:rsid w:val="0078624B"/>
    <w:rsid w:val="0078694A"/>
    <w:rsid w:val="00786B99"/>
    <w:rsid w:val="00786CF7"/>
    <w:rsid w:val="00786F56"/>
    <w:rsid w:val="00786FFD"/>
    <w:rsid w:val="00787332"/>
    <w:rsid w:val="007875A5"/>
    <w:rsid w:val="0078777B"/>
    <w:rsid w:val="007877E4"/>
    <w:rsid w:val="0078790B"/>
    <w:rsid w:val="00787A3A"/>
    <w:rsid w:val="00787B86"/>
    <w:rsid w:val="00787C69"/>
    <w:rsid w:val="00787C93"/>
    <w:rsid w:val="00787DF2"/>
    <w:rsid w:val="00787FBD"/>
    <w:rsid w:val="00790313"/>
    <w:rsid w:val="00790589"/>
    <w:rsid w:val="007905A2"/>
    <w:rsid w:val="00790910"/>
    <w:rsid w:val="00790C20"/>
    <w:rsid w:val="00790D0C"/>
    <w:rsid w:val="00790EA5"/>
    <w:rsid w:val="00790F19"/>
    <w:rsid w:val="00791005"/>
    <w:rsid w:val="00791355"/>
    <w:rsid w:val="00791432"/>
    <w:rsid w:val="00791527"/>
    <w:rsid w:val="00791607"/>
    <w:rsid w:val="00791834"/>
    <w:rsid w:val="007918BF"/>
    <w:rsid w:val="00791A05"/>
    <w:rsid w:val="00791DE1"/>
    <w:rsid w:val="00791DE5"/>
    <w:rsid w:val="007924C8"/>
    <w:rsid w:val="0079254A"/>
    <w:rsid w:val="007925CA"/>
    <w:rsid w:val="00792638"/>
    <w:rsid w:val="007926B1"/>
    <w:rsid w:val="00792A58"/>
    <w:rsid w:val="00792CC4"/>
    <w:rsid w:val="00792DB5"/>
    <w:rsid w:val="00792E75"/>
    <w:rsid w:val="00792E9D"/>
    <w:rsid w:val="00792EC9"/>
    <w:rsid w:val="00792FA4"/>
    <w:rsid w:val="00793068"/>
    <w:rsid w:val="007931CF"/>
    <w:rsid w:val="00793243"/>
    <w:rsid w:val="007932D0"/>
    <w:rsid w:val="007934EC"/>
    <w:rsid w:val="0079375E"/>
    <w:rsid w:val="00793E64"/>
    <w:rsid w:val="00793EDF"/>
    <w:rsid w:val="007941C3"/>
    <w:rsid w:val="007942D5"/>
    <w:rsid w:val="0079440A"/>
    <w:rsid w:val="00794481"/>
    <w:rsid w:val="0079454F"/>
    <w:rsid w:val="007946EE"/>
    <w:rsid w:val="007949E9"/>
    <w:rsid w:val="00794A65"/>
    <w:rsid w:val="00794BF1"/>
    <w:rsid w:val="00794F9E"/>
    <w:rsid w:val="00794FB8"/>
    <w:rsid w:val="00795063"/>
    <w:rsid w:val="0079515E"/>
    <w:rsid w:val="007951E9"/>
    <w:rsid w:val="00795238"/>
    <w:rsid w:val="00795511"/>
    <w:rsid w:val="00795AB6"/>
    <w:rsid w:val="00795C26"/>
    <w:rsid w:val="007964D2"/>
    <w:rsid w:val="007964EC"/>
    <w:rsid w:val="007965E8"/>
    <w:rsid w:val="007965EB"/>
    <w:rsid w:val="00796A13"/>
    <w:rsid w:val="00796D18"/>
    <w:rsid w:val="00796E46"/>
    <w:rsid w:val="00797223"/>
    <w:rsid w:val="00797687"/>
    <w:rsid w:val="00797752"/>
    <w:rsid w:val="00797BB2"/>
    <w:rsid w:val="00797CA7"/>
    <w:rsid w:val="00797CEE"/>
    <w:rsid w:val="00797D36"/>
    <w:rsid w:val="00797F04"/>
    <w:rsid w:val="007A0162"/>
    <w:rsid w:val="007A033A"/>
    <w:rsid w:val="007A05AF"/>
    <w:rsid w:val="007A0667"/>
    <w:rsid w:val="007A06A7"/>
    <w:rsid w:val="007A0C1D"/>
    <w:rsid w:val="007A0C94"/>
    <w:rsid w:val="007A0E00"/>
    <w:rsid w:val="007A1419"/>
    <w:rsid w:val="007A15B8"/>
    <w:rsid w:val="007A1617"/>
    <w:rsid w:val="007A16C2"/>
    <w:rsid w:val="007A1924"/>
    <w:rsid w:val="007A198C"/>
    <w:rsid w:val="007A1A37"/>
    <w:rsid w:val="007A1A77"/>
    <w:rsid w:val="007A1AA1"/>
    <w:rsid w:val="007A1AD9"/>
    <w:rsid w:val="007A1AEB"/>
    <w:rsid w:val="007A1B41"/>
    <w:rsid w:val="007A1CD5"/>
    <w:rsid w:val="007A1EC1"/>
    <w:rsid w:val="007A210B"/>
    <w:rsid w:val="007A22AB"/>
    <w:rsid w:val="007A2672"/>
    <w:rsid w:val="007A2961"/>
    <w:rsid w:val="007A2ACE"/>
    <w:rsid w:val="007A2CA1"/>
    <w:rsid w:val="007A2D6E"/>
    <w:rsid w:val="007A2DCA"/>
    <w:rsid w:val="007A2E0B"/>
    <w:rsid w:val="007A2E5F"/>
    <w:rsid w:val="007A2F15"/>
    <w:rsid w:val="007A3126"/>
    <w:rsid w:val="007A31A9"/>
    <w:rsid w:val="007A321D"/>
    <w:rsid w:val="007A35D4"/>
    <w:rsid w:val="007A35D8"/>
    <w:rsid w:val="007A36DD"/>
    <w:rsid w:val="007A37EA"/>
    <w:rsid w:val="007A39B6"/>
    <w:rsid w:val="007A3A8C"/>
    <w:rsid w:val="007A3B78"/>
    <w:rsid w:val="007A3FD3"/>
    <w:rsid w:val="007A4034"/>
    <w:rsid w:val="007A4358"/>
    <w:rsid w:val="007A4500"/>
    <w:rsid w:val="007A4766"/>
    <w:rsid w:val="007A4A2D"/>
    <w:rsid w:val="007A4AB8"/>
    <w:rsid w:val="007A4B2B"/>
    <w:rsid w:val="007A4C11"/>
    <w:rsid w:val="007A4C77"/>
    <w:rsid w:val="007A4DAE"/>
    <w:rsid w:val="007A4DF3"/>
    <w:rsid w:val="007A4EC3"/>
    <w:rsid w:val="007A52EE"/>
    <w:rsid w:val="007A534A"/>
    <w:rsid w:val="007A5496"/>
    <w:rsid w:val="007A58FF"/>
    <w:rsid w:val="007A593A"/>
    <w:rsid w:val="007A597A"/>
    <w:rsid w:val="007A5F76"/>
    <w:rsid w:val="007A5FB6"/>
    <w:rsid w:val="007A6254"/>
    <w:rsid w:val="007A6298"/>
    <w:rsid w:val="007A62C9"/>
    <w:rsid w:val="007A65A2"/>
    <w:rsid w:val="007A6646"/>
    <w:rsid w:val="007A66BA"/>
    <w:rsid w:val="007A6839"/>
    <w:rsid w:val="007A6856"/>
    <w:rsid w:val="007A6A26"/>
    <w:rsid w:val="007A6BA1"/>
    <w:rsid w:val="007A6D52"/>
    <w:rsid w:val="007A7027"/>
    <w:rsid w:val="007A7172"/>
    <w:rsid w:val="007A725F"/>
    <w:rsid w:val="007A7D99"/>
    <w:rsid w:val="007A7DD6"/>
    <w:rsid w:val="007A7DFC"/>
    <w:rsid w:val="007B013B"/>
    <w:rsid w:val="007B0161"/>
    <w:rsid w:val="007B02FA"/>
    <w:rsid w:val="007B037E"/>
    <w:rsid w:val="007B0403"/>
    <w:rsid w:val="007B0432"/>
    <w:rsid w:val="007B0438"/>
    <w:rsid w:val="007B0681"/>
    <w:rsid w:val="007B0700"/>
    <w:rsid w:val="007B07A5"/>
    <w:rsid w:val="007B08A5"/>
    <w:rsid w:val="007B08DE"/>
    <w:rsid w:val="007B093E"/>
    <w:rsid w:val="007B0973"/>
    <w:rsid w:val="007B09B9"/>
    <w:rsid w:val="007B0A83"/>
    <w:rsid w:val="007B0CF1"/>
    <w:rsid w:val="007B0DA9"/>
    <w:rsid w:val="007B0E0C"/>
    <w:rsid w:val="007B100B"/>
    <w:rsid w:val="007B10A4"/>
    <w:rsid w:val="007B11DD"/>
    <w:rsid w:val="007B123C"/>
    <w:rsid w:val="007B154D"/>
    <w:rsid w:val="007B1720"/>
    <w:rsid w:val="007B1B06"/>
    <w:rsid w:val="007B1F2D"/>
    <w:rsid w:val="007B20D7"/>
    <w:rsid w:val="007B20F3"/>
    <w:rsid w:val="007B21D9"/>
    <w:rsid w:val="007B23AF"/>
    <w:rsid w:val="007B23FC"/>
    <w:rsid w:val="007B25C1"/>
    <w:rsid w:val="007B2AF8"/>
    <w:rsid w:val="007B2CDF"/>
    <w:rsid w:val="007B2E1F"/>
    <w:rsid w:val="007B2F19"/>
    <w:rsid w:val="007B2F94"/>
    <w:rsid w:val="007B3235"/>
    <w:rsid w:val="007B374E"/>
    <w:rsid w:val="007B3755"/>
    <w:rsid w:val="007B3ED8"/>
    <w:rsid w:val="007B3F4F"/>
    <w:rsid w:val="007B405C"/>
    <w:rsid w:val="007B41C9"/>
    <w:rsid w:val="007B421E"/>
    <w:rsid w:val="007B46F9"/>
    <w:rsid w:val="007B475D"/>
    <w:rsid w:val="007B4E3B"/>
    <w:rsid w:val="007B5151"/>
    <w:rsid w:val="007B5281"/>
    <w:rsid w:val="007B52C7"/>
    <w:rsid w:val="007B5351"/>
    <w:rsid w:val="007B559D"/>
    <w:rsid w:val="007B567A"/>
    <w:rsid w:val="007B5801"/>
    <w:rsid w:val="007B590F"/>
    <w:rsid w:val="007B5BAD"/>
    <w:rsid w:val="007B626C"/>
    <w:rsid w:val="007B62BA"/>
    <w:rsid w:val="007B6387"/>
    <w:rsid w:val="007B63BA"/>
    <w:rsid w:val="007B642E"/>
    <w:rsid w:val="007B65A5"/>
    <w:rsid w:val="007B6A08"/>
    <w:rsid w:val="007B6A4E"/>
    <w:rsid w:val="007B6AD3"/>
    <w:rsid w:val="007B6D0E"/>
    <w:rsid w:val="007B6DDA"/>
    <w:rsid w:val="007B6F38"/>
    <w:rsid w:val="007B6FD2"/>
    <w:rsid w:val="007B6FD3"/>
    <w:rsid w:val="007B7189"/>
    <w:rsid w:val="007B71C4"/>
    <w:rsid w:val="007B71D5"/>
    <w:rsid w:val="007B739D"/>
    <w:rsid w:val="007B750D"/>
    <w:rsid w:val="007B7718"/>
    <w:rsid w:val="007B77D8"/>
    <w:rsid w:val="007B79EF"/>
    <w:rsid w:val="007B7FD6"/>
    <w:rsid w:val="007C01FC"/>
    <w:rsid w:val="007C06A3"/>
    <w:rsid w:val="007C0929"/>
    <w:rsid w:val="007C0954"/>
    <w:rsid w:val="007C0D0E"/>
    <w:rsid w:val="007C0E85"/>
    <w:rsid w:val="007C0FF7"/>
    <w:rsid w:val="007C1011"/>
    <w:rsid w:val="007C1152"/>
    <w:rsid w:val="007C1212"/>
    <w:rsid w:val="007C135B"/>
    <w:rsid w:val="007C14FA"/>
    <w:rsid w:val="007C1582"/>
    <w:rsid w:val="007C1732"/>
    <w:rsid w:val="007C1895"/>
    <w:rsid w:val="007C18A7"/>
    <w:rsid w:val="007C18F5"/>
    <w:rsid w:val="007C1A00"/>
    <w:rsid w:val="007C1A83"/>
    <w:rsid w:val="007C1BF8"/>
    <w:rsid w:val="007C1F1D"/>
    <w:rsid w:val="007C20B5"/>
    <w:rsid w:val="007C214E"/>
    <w:rsid w:val="007C218D"/>
    <w:rsid w:val="007C2285"/>
    <w:rsid w:val="007C26E5"/>
    <w:rsid w:val="007C27EA"/>
    <w:rsid w:val="007C2EC2"/>
    <w:rsid w:val="007C30C1"/>
    <w:rsid w:val="007C3119"/>
    <w:rsid w:val="007C327D"/>
    <w:rsid w:val="007C32E9"/>
    <w:rsid w:val="007C336A"/>
    <w:rsid w:val="007C33F2"/>
    <w:rsid w:val="007C34BA"/>
    <w:rsid w:val="007C35DD"/>
    <w:rsid w:val="007C39D8"/>
    <w:rsid w:val="007C39EE"/>
    <w:rsid w:val="007C3C31"/>
    <w:rsid w:val="007C3FFC"/>
    <w:rsid w:val="007C4048"/>
    <w:rsid w:val="007C4408"/>
    <w:rsid w:val="007C4759"/>
    <w:rsid w:val="007C47D2"/>
    <w:rsid w:val="007C4CB4"/>
    <w:rsid w:val="007C4EAD"/>
    <w:rsid w:val="007C4FB7"/>
    <w:rsid w:val="007C4FFB"/>
    <w:rsid w:val="007C507B"/>
    <w:rsid w:val="007C522D"/>
    <w:rsid w:val="007C525F"/>
    <w:rsid w:val="007C5518"/>
    <w:rsid w:val="007C5646"/>
    <w:rsid w:val="007C598E"/>
    <w:rsid w:val="007C5AD7"/>
    <w:rsid w:val="007C64FB"/>
    <w:rsid w:val="007C6647"/>
    <w:rsid w:val="007C6B1D"/>
    <w:rsid w:val="007C6B3F"/>
    <w:rsid w:val="007C6CB4"/>
    <w:rsid w:val="007C7163"/>
    <w:rsid w:val="007C720A"/>
    <w:rsid w:val="007C746F"/>
    <w:rsid w:val="007C7499"/>
    <w:rsid w:val="007C765B"/>
    <w:rsid w:val="007C768C"/>
    <w:rsid w:val="007C7724"/>
    <w:rsid w:val="007C7734"/>
    <w:rsid w:val="007C7829"/>
    <w:rsid w:val="007C7936"/>
    <w:rsid w:val="007C7B5A"/>
    <w:rsid w:val="007C7BC0"/>
    <w:rsid w:val="007C7D00"/>
    <w:rsid w:val="007C7D93"/>
    <w:rsid w:val="007D00CD"/>
    <w:rsid w:val="007D0189"/>
    <w:rsid w:val="007D0279"/>
    <w:rsid w:val="007D029B"/>
    <w:rsid w:val="007D035C"/>
    <w:rsid w:val="007D03E0"/>
    <w:rsid w:val="007D040D"/>
    <w:rsid w:val="007D0560"/>
    <w:rsid w:val="007D0B29"/>
    <w:rsid w:val="007D0BCA"/>
    <w:rsid w:val="007D0D96"/>
    <w:rsid w:val="007D0EA2"/>
    <w:rsid w:val="007D0F61"/>
    <w:rsid w:val="007D1092"/>
    <w:rsid w:val="007D118C"/>
    <w:rsid w:val="007D1398"/>
    <w:rsid w:val="007D13F4"/>
    <w:rsid w:val="007D185F"/>
    <w:rsid w:val="007D18FB"/>
    <w:rsid w:val="007D1924"/>
    <w:rsid w:val="007D1BD5"/>
    <w:rsid w:val="007D1EBA"/>
    <w:rsid w:val="007D1F08"/>
    <w:rsid w:val="007D201B"/>
    <w:rsid w:val="007D20C3"/>
    <w:rsid w:val="007D215B"/>
    <w:rsid w:val="007D216D"/>
    <w:rsid w:val="007D24E9"/>
    <w:rsid w:val="007D2584"/>
    <w:rsid w:val="007D2621"/>
    <w:rsid w:val="007D2DE6"/>
    <w:rsid w:val="007D2DFD"/>
    <w:rsid w:val="007D3386"/>
    <w:rsid w:val="007D33FF"/>
    <w:rsid w:val="007D3519"/>
    <w:rsid w:val="007D35BE"/>
    <w:rsid w:val="007D36E9"/>
    <w:rsid w:val="007D3709"/>
    <w:rsid w:val="007D3BFB"/>
    <w:rsid w:val="007D3C46"/>
    <w:rsid w:val="007D3C5B"/>
    <w:rsid w:val="007D3C76"/>
    <w:rsid w:val="007D3F19"/>
    <w:rsid w:val="007D4441"/>
    <w:rsid w:val="007D4517"/>
    <w:rsid w:val="007D4974"/>
    <w:rsid w:val="007D4B2F"/>
    <w:rsid w:val="007D4B95"/>
    <w:rsid w:val="007D4BAE"/>
    <w:rsid w:val="007D4DE0"/>
    <w:rsid w:val="007D4FF4"/>
    <w:rsid w:val="007D5337"/>
    <w:rsid w:val="007D5565"/>
    <w:rsid w:val="007D55D4"/>
    <w:rsid w:val="007D5ACD"/>
    <w:rsid w:val="007D5CA8"/>
    <w:rsid w:val="007D5D0D"/>
    <w:rsid w:val="007D5D2F"/>
    <w:rsid w:val="007D5D88"/>
    <w:rsid w:val="007D5EE2"/>
    <w:rsid w:val="007D5F83"/>
    <w:rsid w:val="007D62F5"/>
    <w:rsid w:val="007D63AD"/>
    <w:rsid w:val="007D6948"/>
    <w:rsid w:val="007D6AE6"/>
    <w:rsid w:val="007D6B57"/>
    <w:rsid w:val="007D6B96"/>
    <w:rsid w:val="007D6B9E"/>
    <w:rsid w:val="007D6CC1"/>
    <w:rsid w:val="007D6E6E"/>
    <w:rsid w:val="007D7032"/>
    <w:rsid w:val="007D70F4"/>
    <w:rsid w:val="007D7177"/>
    <w:rsid w:val="007D728C"/>
    <w:rsid w:val="007D72CD"/>
    <w:rsid w:val="007D7382"/>
    <w:rsid w:val="007D755B"/>
    <w:rsid w:val="007D7592"/>
    <w:rsid w:val="007D77C1"/>
    <w:rsid w:val="007D7ACB"/>
    <w:rsid w:val="007D7CFE"/>
    <w:rsid w:val="007D7D0C"/>
    <w:rsid w:val="007D7EB3"/>
    <w:rsid w:val="007D7FDE"/>
    <w:rsid w:val="007E0255"/>
    <w:rsid w:val="007E028F"/>
    <w:rsid w:val="007E02A7"/>
    <w:rsid w:val="007E05BC"/>
    <w:rsid w:val="007E09B3"/>
    <w:rsid w:val="007E0BDB"/>
    <w:rsid w:val="007E0CAF"/>
    <w:rsid w:val="007E0DF5"/>
    <w:rsid w:val="007E0E8A"/>
    <w:rsid w:val="007E0FB8"/>
    <w:rsid w:val="007E1066"/>
    <w:rsid w:val="007E122D"/>
    <w:rsid w:val="007E12E5"/>
    <w:rsid w:val="007E12F6"/>
    <w:rsid w:val="007E15EF"/>
    <w:rsid w:val="007E16BD"/>
    <w:rsid w:val="007E1A84"/>
    <w:rsid w:val="007E1AA2"/>
    <w:rsid w:val="007E1B3B"/>
    <w:rsid w:val="007E1CDF"/>
    <w:rsid w:val="007E1D4C"/>
    <w:rsid w:val="007E1EA8"/>
    <w:rsid w:val="007E20DE"/>
    <w:rsid w:val="007E2162"/>
    <w:rsid w:val="007E237C"/>
    <w:rsid w:val="007E23B8"/>
    <w:rsid w:val="007E2503"/>
    <w:rsid w:val="007E268B"/>
    <w:rsid w:val="007E2903"/>
    <w:rsid w:val="007E2BCE"/>
    <w:rsid w:val="007E2DC6"/>
    <w:rsid w:val="007E2DCB"/>
    <w:rsid w:val="007E2F09"/>
    <w:rsid w:val="007E312A"/>
    <w:rsid w:val="007E31A4"/>
    <w:rsid w:val="007E3432"/>
    <w:rsid w:val="007E3522"/>
    <w:rsid w:val="007E37C8"/>
    <w:rsid w:val="007E37CA"/>
    <w:rsid w:val="007E37CE"/>
    <w:rsid w:val="007E382D"/>
    <w:rsid w:val="007E39C7"/>
    <w:rsid w:val="007E3AA1"/>
    <w:rsid w:val="007E3FC9"/>
    <w:rsid w:val="007E4140"/>
    <w:rsid w:val="007E421E"/>
    <w:rsid w:val="007E4441"/>
    <w:rsid w:val="007E4635"/>
    <w:rsid w:val="007E47E1"/>
    <w:rsid w:val="007E4BE1"/>
    <w:rsid w:val="007E4EFC"/>
    <w:rsid w:val="007E4F48"/>
    <w:rsid w:val="007E5216"/>
    <w:rsid w:val="007E530D"/>
    <w:rsid w:val="007E53AE"/>
    <w:rsid w:val="007E569B"/>
    <w:rsid w:val="007E57D5"/>
    <w:rsid w:val="007E57F8"/>
    <w:rsid w:val="007E5847"/>
    <w:rsid w:val="007E5870"/>
    <w:rsid w:val="007E589A"/>
    <w:rsid w:val="007E58EB"/>
    <w:rsid w:val="007E5CE8"/>
    <w:rsid w:val="007E61D5"/>
    <w:rsid w:val="007E6570"/>
    <w:rsid w:val="007E69EB"/>
    <w:rsid w:val="007E6A96"/>
    <w:rsid w:val="007E6AD9"/>
    <w:rsid w:val="007E6C10"/>
    <w:rsid w:val="007E6E2D"/>
    <w:rsid w:val="007E6F0C"/>
    <w:rsid w:val="007E6F4B"/>
    <w:rsid w:val="007E75BE"/>
    <w:rsid w:val="007E782A"/>
    <w:rsid w:val="007E7B72"/>
    <w:rsid w:val="007E7C91"/>
    <w:rsid w:val="007F0065"/>
    <w:rsid w:val="007F0314"/>
    <w:rsid w:val="007F03EC"/>
    <w:rsid w:val="007F04EB"/>
    <w:rsid w:val="007F0569"/>
    <w:rsid w:val="007F05D9"/>
    <w:rsid w:val="007F082D"/>
    <w:rsid w:val="007F08CA"/>
    <w:rsid w:val="007F0B5A"/>
    <w:rsid w:val="007F0C3F"/>
    <w:rsid w:val="007F0CE5"/>
    <w:rsid w:val="007F0E3A"/>
    <w:rsid w:val="007F0EAB"/>
    <w:rsid w:val="007F0F8F"/>
    <w:rsid w:val="007F0FBE"/>
    <w:rsid w:val="007F1168"/>
    <w:rsid w:val="007F149B"/>
    <w:rsid w:val="007F194C"/>
    <w:rsid w:val="007F1A77"/>
    <w:rsid w:val="007F1E81"/>
    <w:rsid w:val="007F1ED0"/>
    <w:rsid w:val="007F1EF7"/>
    <w:rsid w:val="007F1F90"/>
    <w:rsid w:val="007F22B2"/>
    <w:rsid w:val="007F2340"/>
    <w:rsid w:val="007F2498"/>
    <w:rsid w:val="007F2641"/>
    <w:rsid w:val="007F2841"/>
    <w:rsid w:val="007F2C93"/>
    <w:rsid w:val="007F2CB5"/>
    <w:rsid w:val="007F2FCC"/>
    <w:rsid w:val="007F3007"/>
    <w:rsid w:val="007F32BB"/>
    <w:rsid w:val="007F32D5"/>
    <w:rsid w:val="007F33EC"/>
    <w:rsid w:val="007F349F"/>
    <w:rsid w:val="007F367F"/>
    <w:rsid w:val="007F3773"/>
    <w:rsid w:val="007F380E"/>
    <w:rsid w:val="007F3B6E"/>
    <w:rsid w:val="007F3BF2"/>
    <w:rsid w:val="007F3E62"/>
    <w:rsid w:val="007F3E8D"/>
    <w:rsid w:val="007F4073"/>
    <w:rsid w:val="007F4147"/>
    <w:rsid w:val="007F45E2"/>
    <w:rsid w:val="007F4C84"/>
    <w:rsid w:val="007F5170"/>
    <w:rsid w:val="007F561D"/>
    <w:rsid w:val="007F599E"/>
    <w:rsid w:val="007F5E4A"/>
    <w:rsid w:val="007F610F"/>
    <w:rsid w:val="007F6324"/>
    <w:rsid w:val="007F6655"/>
    <w:rsid w:val="007F68BE"/>
    <w:rsid w:val="007F6A7E"/>
    <w:rsid w:val="007F6C3E"/>
    <w:rsid w:val="007F6E20"/>
    <w:rsid w:val="007F70EE"/>
    <w:rsid w:val="007F7158"/>
    <w:rsid w:val="007F7463"/>
    <w:rsid w:val="007F7A09"/>
    <w:rsid w:val="007F7AC2"/>
    <w:rsid w:val="007F7FD1"/>
    <w:rsid w:val="00800199"/>
    <w:rsid w:val="00800717"/>
    <w:rsid w:val="008007BF"/>
    <w:rsid w:val="008007FD"/>
    <w:rsid w:val="00800816"/>
    <w:rsid w:val="00800A2A"/>
    <w:rsid w:val="00800B18"/>
    <w:rsid w:val="00800CC9"/>
    <w:rsid w:val="00800E83"/>
    <w:rsid w:val="00801139"/>
    <w:rsid w:val="008014FD"/>
    <w:rsid w:val="00801508"/>
    <w:rsid w:val="0080175D"/>
    <w:rsid w:val="00801869"/>
    <w:rsid w:val="00801D82"/>
    <w:rsid w:val="00801E94"/>
    <w:rsid w:val="0080206B"/>
    <w:rsid w:val="00802224"/>
    <w:rsid w:val="00802275"/>
    <w:rsid w:val="008023F2"/>
    <w:rsid w:val="00802B63"/>
    <w:rsid w:val="00802BE2"/>
    <w:rsid w:val="00802CCD"/>
    <w:rsid w:val="00802F4E"/>
    <w:rsid w:val="00802FD1"/>
    <w:rsid w:val="00803052"/>
    <w:rsid w:val="0080308F"/>
    <w:rsid w:val="008030C3"/>
    <w:rsid w:val="00803ACF"/>
    <w:rsid w:val="0080409F"/>
    <w:rsid w:val="008045BD"/>
    <w:rsid w:val="00804754"/>
    <w:rsid w:val="00804830"/>
    <w:rsid w:val="008048B0"/>
    <w:rsid w:val="00804D6C"/>
    <w:rsid w:val="00804EE6"/>
    <w:rsid w:val="00805208"/>
    <w:rsid w:val="0080550B"/>
    <w:rsid w:val="00805884"/>
    <w:rsid w:val="00805AEE"/>
    <w:rsid w:val="00805D3C"/>
    <w:rsid w:val="0080620A"/>
    <w:rsid w:val="00806299"/>
    <w:rsid w:val="00806383"/>
    <w:rsid w:val="00806434"/>
    <w:rsid w:val="00806468"/>
    <w:rsid w:val="00806478"/>
    <w:rsid w:val="00806595"/>
    <w:rsid w:val="008066E7"/>
    <w:rsid w:val="0080705A"/>
    <w:rsid w:val="00807559"/>
    <w:rsid w:val="008075B3"/>
    <w:rsid w:val="00807672"/>
    <w:rsid w:val="008076BC"/>
    <w:rsid w:val="00807722"/>
    <w:rsid w:val="00807900"/>
    <w:rsid w:val="00807B6B"/>
    <w:rsid w:val="00807C0D"/>
    <w:rsid w:val="00807C16"/>
    <w:rsid w:val="00807C7E"/>
    <w:rsid w:val="008100C1"/>
    <w:rsid w:val="008100FC"/>
    <w:rsid w:val="00810505"/>
    <w:rsid w:val="0081079F"/>
    <w:rsid w:val="00810890"/>
    <w:rsid w:val="0081092E"/>
    <w:rsid w:val="00810BCE"/>
    <w:rsid w:val="00810F37"/>
    <w:rsid w:val="0081102F"/>
    <w:rsid w:val="008115AB"/>
    <w:rsid w:val="008115C2"/>
    <w:rsid w:val="00811713"/>
    <w:rsid w:val="008117B5"/>
    <w:rsid w:val="008117BF"/>
    <w:rsid w:val="00811831"/>
    <w:rsid w:val="0081183C"/>
    <w:rsid w:val="00811A2D"/>
    <w:rsid w:val="00811E4A"/>
    <w:rsid w:val="00811F90"/>
    <w:rsid w:val="00812034"/>
    <w:rsid w:val="0081223F"/>
    <w:rsid w:val="008122C9"/>
    <w:rsid w:val="00812319"/>
    <w:rsid w:val="008123EA"/>
    <w:rsid w:val="008123F2"/>
    <w:rsid w:val="00812557"/>
    <w:rsid w:val="008126CE"/>
    <w:rsid w:val="008127AA"/>
    <w:rsid w:val="008127CD"/>
    <w:rsid w:val="00812CD1"/>
    <w:rsid w:val="00812CD5"/>
    <w:rsid w:val="00812EF7"/>
    <w:rsid w:val="00812FB0"/>
    <w:rsid w:val="00813245"/>
    <w:rsid w:val="00813288"/>
    <w:rsid w:val="008135CD"/>
    <w:rsid w:val="008136D1"/>
    <w:rsid w:val="00813BCF"/>
    <w:rsid w:val="00813C34"/>
    <w:rsid w:val="00813D78"/>
    <w:rsid w:val="00813DD1"/>
    <w:rsid w:val="0081410D"/>
    <w:rsid w:val="00814215"/>
    <w:rsid w:val="00814257"/>
    <w:rsid w:val="008143A6"/>
    <w:rsid w:val="008145BE"/>
    <w:rsid w:val="0081477F"/>
    <w:rsid w:val="008148C2"/>
    <w:rsid w:val="00814BFA"/>
    <w:rsid w:val="00814C59"/>
    <w:rsid w:val="00814C9F"/>
    <w:rsid w:val="00814FD6"/>
    <w:rsid w:val="008152E2"/>
    <w:rsid w:val="008156DA"/>
    <w:rsid w:val="008156F5"/>
    <w:rsid w:val="0081570B"/>
    <w:rsid w:val="008158C7"/>
    <w:rsid w:val="00815A3A"/>
    <w:rsid w:val="00815DE7"/>
    <w:rsid w:val="0081607F"/>
    <w:rsid w:val="0081627A"/>
    <w:rsid w:val="008162D4"/>
    <w:rsid w:val="008164E5"/>
    <w:rsid w:val="00816696"/>
    <w:rsid w:val="00816812"/>
    <w:rsid w:val="00816AD1"/>
    <w:rsid w:val="00816E38"/>
    <w:rsid w:val="00816EF3"/>
    <w:rsid w:val="008171BD"/>
    <w:rsid w:val="008173DD"/>
    <w:rsid w:val="00817447"/>
    <w:rsid w:val="008174B5"/>
    <w:rsid w:val="008176B1"/>
    <w:rsid w:val="00817AEB"/>
    <w:rsid w:val="00817C15"/>
    <w:rsid w:val="00817C17"/>
    <w:rsid w:val="00817E4E"/>
    <w:rsid w:val="00817E9D"/>
    <w:rsid w:val="00817EB3"/>
    <w:rsid w:val="00820097"/>
    <w:rsid w:val="008200EF"/>
    <w:rsid w:val="008202BD"/>
    <w:rsid w:val="008202C6"/>
    <w:rsid w:val="008205D0"/>
    <w:rsid w:val="008207FC"/>
    <w:rsid w:val="00820849"/>
    <w:rsid w:val="0082087D"/>
    <w:rsid w:val="00820D3F"/>
    <w:rsid w:val="0082105D"/>
    <w:rsid w:val="008210F6"/>
    <w:rsid w:val="008216E2"/>
    <w:rsid w:val="00821709"/>
    <w:rsid w:val="00821736"/>
    <w:rsid w:val="008217B2"/>
    <w:rsid w:val="00821A29"/>
    <w:rsid w:val="00821A69"/>
    <w:rsid w:val="0082200C"/>
    <w:rsid w:val="008220A0"/>
    <w:rsid w:val="008225D4"/>
    <w:rsid w:val="00822674"/>
    <w:rsid w:val="00822A73"/>
    <w:rsid w:val="00822AE8"/>
    <w:rsid w:val="00823001"/>
    <w:rsid w:val="0082311C"/>
    <w:rsid w:val="00823233"/>
    <w:rsid w:val="008232D6"/>
    <w:rsid w:val="0082334C"/>
    <w:rsid w:val="00823611"/>
    <w:rsid w:val="008236AB"/>
    <w:rsid w:val="008236D8"/>
    <w:rsid w:val="00823717"/>
    <w:rsid w:val="00823729"/>
    <w:rsid w:val="00823898"/>
    <w:rsid w:val="008238E9"/>
    <w:rsid w:val="008239AC"/>
    <w:rsid w:val="00823A3C"/>
    <w:rsid w:val="00823EFD"/>
    <w:rsid w:val="008242E9"/>
    <w:rsid w:val="00824426"/>
    <w:rsid w:val="008248E7"/>
    <w:rsid w:val="00824912"/>
    <w:rsid w:val="00824A68"/>
    <w:rsid w:val="00824B0E"/>
    <w:rsid w:val="00824C76"/>
    <w:rsid w:val="00824C9D"/>
    <w:rsid w:val="00824E18"/>
    <w:rsid w:val="00824EB0"/>
    <w:rsid w:val="00824FA5"/>
    <w:rsid w:val="00825068"/>
    <w:rsid w:val="00825083"/>
    <w:rsid w:val="0082509A"/>
    <w:rsid w:val="00825105"/>
    <w:rsid w:val="008252BD"/>
    <w:rsid w:val="00825301"/>
    <w:rsid w:val="00825359"/>
    <w:rsid w:val="008256EB"/>
    <w:rsid w:val="00825CAF"/>
    <w:rsid w:val="00825E8C"/>
    <w:rsid w:val="008260B8"/>
    <w:rsid w:val="00826161"/>
    <w:rsid w:val="008261CE"/>
    <w:rsid w:val="008267FC"/>
    <w:rsid w:val="00826D69"/>
    <w:rsid w:val="00826E59"/>
    <w:rsid w:val="00827093"/>
    <w:rsid w:val="00827126"/>
    <w:rsid w:val="00827386"/>
    <w:rsid w:val="00827459"/>
    <w:rsid w:val="00827537"/>
    <w:rsid w:val="00827591"/>
    <w:rsid w:val="00827616"/>
    <w:rsid w:val="008276E8"/>
    <w:rsid w:val="00827BAA"/>
    <w:rsid w:val="008302A7"/>
    <w:rsid w:val="008302AA"/>
    <w:rsid w:val="0083050A"/>
    <w:rsid w:val="00830576"/>
    <w:rsid w:val="00830597"/>
    <w:rsid w:val="008305BB"/>
    <w:rsid w:val="0083070A"/>
    <w:rsid w:val="008307E9"/>
    <w:rsid w:val="008309C6"/>
    <w:rsid w:val="00830C90"/>
    <w:rsid w:val="00830E52"/>
    <w:rsid w:val="00830E75"/>
    <w:rsid w:val="00830F01"/>
    <w:rsid w:val="00830F06"/>
    <w:rsid w:val="008311C8"/>
    <w:rsid w:val="00831519"/>
    <w:rsid w:val="0083197F"/>
    <w:rsid w:val="00831999"/>
    <w:rsid w:val="00831D0F"/>
    <w:rsid w:val="00831FCC"/>
    <w:rsid w:val="008322E5"/>
    <w:rsid w:val="0083233F"/>
    <w:rsid w:val="0083240F"/>
    <w:rsid w:val="008324E3"/>
    <w:rsid w:val="0083269B"/>
    <w:rsid w:val="008326C7"/>
    <w:rsid w:val="008327D9"/>
    <w:rsid w:val="00832889"/>
    <w:rsid w:val="00832A3D"/>
    <w:rsid w:val="00832A79"/>
    <w:rsid w:val="00832AE1"/>
    <w:rsid w:val="00832CD3"/>
    <w:rsid w:val="00832E06"/>
    <w:rsid w:val="00833049"/>
    <w:rsid w:val="00833196"/>
    <w:rsid w:val="0083319C"/>
    <w:rsid w:val="008333DB"/>
    <w:rsid w:val="00833A7F"/>
    <w:rsid w:val="00833B2A"/>
    <w:rsid w:val="00833B9F"/>
    <w:rsid w:val="00833C21"/>
    <w:rsid w:val="00833E59"/>
    <w:rsid w:val="00833EC0"/>
    <w:rsid w:val="00833EE6"/>
    <w:rsid w:val="00833F20"/>
    <w:rsid w:val="00834682"/>
    <w:rsid w:val="00834815"/>
    <w:rsid w:val="00834BA8"/>
    <w:rsid w:val="00834CB1"/>
    <w:rsid w:val="00834F15"/>
    <w:rsid w:val="00834FA5"/>
    <w:rsid w:val="00834FFB"/>
    <w:rsid w:val="00835672"/>
    <w:rsid w:val="00835738"/>
    <w:rsid w:val="00835AD7"/>
    <w:rsid w:val="00836108"/>
    <w:rsid w:val="0083624D"/>
    <w:rsid w:val="00836A59"/>
    <w:rsid w:val="00836AB3"/>
    <w:rsid w:val="00836AE0"/>
    <w:rsid w:val="00836BA4"/>
    <w:rsid w:val="00836C0C"/>
    <w:rsid w:val="00836DF6"/>
    <w:rsid w:val="00836E23"/>
    <w:rsid w:val="00836E8D"/>
    <w:rsid w:val="00836E9C"/>
    <w:rsid w:val="00836F6E"/>
    <w:rsid w:val="00837184"/>
    <w:rsid w:val="008371E9"/>
    <w:rsid w:val="008374C4"/>
    <w:rsid w:val="00837607"/>
    <w:rsid w:val="008378F0"/>
    <w:rsid w:val="0083799D"/>
    <w:rsid w:val="00837A6D"/>
    <w:rsid w:val="00837AED"/>
    <w:rsid w:val="00837EAA"/>
    <w:rsid w:val="008400CD"/>
    <w:rsid w:val="00840121"/>
    <w:rsid w:val="00840139"/>
    <w:rsid w:val="00840477"/>
    <w:rsid w:val="0084066F"/>
    <w:rsid w:val="008408CB"/>
    <w:rsid w:val="008408FF"/>
    <w:rsid w:val="00840E22"/>
    <w:rsid w:val="00840E2A"/>
    <w:rsid w:val="00840ED1"/>
    <w:rsid w:val="00841108"/>
    <w:rsid w:val="00841341"/>
    <w:rsid w:val="0084138A"/>
    <w:rsid w:val="008415F6"/>
    <w:rsid w:val="008417D9"/>
    <w:rsid w:val="00841858"/>
    <w:rsid w:val="008418B3"/>
    <w:rsid w:val="00841ABF"/>
    <w:rsid w:val="00841E34"/>
    <w:rsid w:val="00842000"/>
    <w:rsid w:val="008420FA"/>
    <w:rsid w:val="0084221F"/>
    <w:rsid w:val="008424BB"/>
    <w:rsid w:val="008424F0"/>
    <w:rsid w:val="00842627"/>
    <w:rsid w:val="00842783"/>
    <w:rsid w:val="00842D91"/>
    <w:rsid w:val="00843142"/>
    <w:rsid w:val="00843312"/>
    <w:rsid w:val="008435B7"/>
    <w:rsid w:val="008439E6"/>
    <w:rsid w:val="00843AAD"/>
    <w:rsid w:val="00843B03"/>
    <w:rsid w:val="00843B23"/>
    <w:rsid w:val="00843DEC"/>
    <w:rsid w:val="00844241"/>
    <w:rsid w:val="00844347"/>
    <w:rsid w:val="0084437F"/>
    <w:rsid w:val="00844393"/>
    <w:rsid w:val="00844617"/>
    <w:rsid w:val="0084466D"/>
    <w:rsid w:val="00844702"/>
    <w:rsid w:val="00844854"/>
    <w:rsid w:val="00844AD7"/>
    <w:rsid w:val="00844B77"/>
    <w:rsid w:val="00844C89"/>
    <w:rsid w:val="00844CEF"/>
    <w:rsid w:val="00844EA0"/>
    <w:rsid w:val="00844FB7"/>
    <w:rsid w:val="00845062"/>
    <w:rsid w:val="008450F3"/>
    <w:rsid w:val="0084519E"/>
    <w:rsid w:val="008451C2"/>
    <w:rsid w:val="00845568"/>
    <w:rsid w:val="00845946"/>
    <w:rsid w:val="008459C5"/>
    <w:rsid w:val="00845AFD"/>
    <w:rsid w:val="00845B26"/>
    <w:rsid w:val="00845C3B"/>
    <w:rsid w:val="0084606F"/>
    <w:rsid w:val="0084629E"/>
    <w:rsid w:val="008462EA"/>
    <w:rsid w:val="0084671F"/>
    <w:rsid w:val="008467CB"/>
    <w:rsid w:val="0084683D"/>
    <w:rsid w:val="008469AD"/>
    <w:rsid w:val="00846E4E"/>
    <w:rsid w:val="00846EE7"/>
    <w:rsid w:val="00847068"/>
    <w:rsid w:val="008475B2"/>
    <w:rsid w:val="00847645"/>
    <w:rsid w:val="008476A0"/>
    <w:rsid w:val="00847953"/>
    <w:rsid w:val="008479B8"/>
    <w:rsid w:val="00847B07"/>
    <w:rsid w:val="00847BC4"/>
    <w:rsid w:val="00847C75"/>
    <w:rsid w:val="00847F15"/>
    <w:rsid w:val="00847F46"/>
    <w:rsid w:val="00850059"/>
    <w:rsid w:val="00850226"/>
    <w:rsid w:val="0085031A"/>
    <w:rsid w:val="0085041B"/>
    <w:rsid w:val="0085066D"/>
    <w:rsid w:val="008506C7"/>
    <w:rsid w:val="0085072F"/>
    <w:rsid w:val="008507A4"/>
    <w:rsid w:val="00850996"/>
    <w:rsid w:val="008509A3"/>
    <w:rsid w:val="008509E0"/>
    <w:rsid w:val="00850AAE"/>
    <w:rsid w:val="00850BC2"/>
    <w:rsid w:val="00850C87"/>
    <w:rsid w:val="00850DC8"/>
    <w:rsid w:val="00851065"/>
    <w:rsid w:val="00851485"/>
    <w:rsid w:val="008517F9"/>
    <w:rsid w:val="008519B1"/>
    <w:rsid w:val="00851ACE"/>
    <w:rsid w:val="00851C5E"/>
    <w:rsid w:val="00851E8C"/>
    <w:rsid w:val="00851EC4"/>
    <w:rsid w:val="0085213E"/>
    <w:rsid w:val="0085242D"/>
    <w:rsid w:val="008525AD"/>
    <w:rsid w:val="00852602"/>
    <w:rsid w:val="00852867"/>
    <w:rsid w:val="00852956"/>
    <w:rsid w:val="00852CF3"/>
    <w:rsid w:val="00852F38"/>
    <w:rsid w:val="00853167"/>
    <w:rsid w:val="008532B8"/>
    <w:rsid w:val="008532E0"/>
    <w:rsid w:val="00853392"/>
    <w:rsid w:val="008533CC"/>
    <w:rsid w:val="00853684"/>
    <w:rsid w:val="008538BF"/>
    <w:rsid w:val="008539E7"/>
    <w:rsid w:val="0085402E"/>
    <w:rsid w:val="008543BE"/>
    <w:rsid w:val="0085440D"/>
    <w:rsid w:val="00854560"/>
    <w:rsid w:val="008545CF"/>
    <w:rsid w:val="008545D9"/>
    <w:rsid w:val="00854672"/>
    <w:rsid w:val="00854880"/>
    <w:rsid w:val="00854A2F"/>
    <w:rsid w:val="00854A7C"/>
    <w:rsid w:val="00854EF0"/>
    <w:rsid w:val="00855130"/>
    <w:rsid w:val="0085538A"/>
    <w:rsid w:val="0085544D"/>
    <w:rsid w:val="0085572E"/>
    <w:rsid w:val="0085584F"/>
    <w:rsid w:val="00855C28"/>
    <w:rsid w:val="00855ECC"/>
    <w:rsid w:val="00855FA4"/>
    <w:rsid w:val="008560E1"/>
    <w:rsid w:val="00856296"/>
    <w:rsid w:val="008562AD"/>
    <w:rsid w:val="00856405"/>
    <w:rsid w:val="00856755"/>
    <w:rsid w:val="00856A3E"/>
    <w:rsid w:val="00856C34"/>
    <w:rsid w:val="00856C87"/>
    <w:rsid w:val="00857529"/>
    <w:rsid w:val="00857616"/>
    <w:rsid w:val="00857697"/>
    <w:rsid w:val="00857715"/>
    <w:rsid w:val="00857754"/>
    <w:rsid w:val="008579CB"/>
    <w:rsid w:val="00857CA9"/>
    <w:rsid w:val="00857D02"/>
    <w:rsid w:val="00860106"/>
    <w:rsid w:val="0086018E"/>
    <w:rsid w:val="00860213"/>
    <w:rsid w:val="00860294"/>
    <w:rsid w:val="008604B9"/>
    <w:rsid w:val="00860D2D"/>
    <w:rsid w:val="00860D91"/>
    <w:rsid w:val="00860E05"/>
    <w:rsid w:val="0086103B"/>
    <w:rsid w:val="00861419"/>
    <w:rsid w:val="0086148E"/>
    <w:rsid w:val="00861850"/>
    <w:rsid w:val="00861BA3"/>
    <w:rsid w:val="00861EC0"/>
    <w:rsid w:val="008621C6"/>
    <w:rsid w:val="008621CF"/>
    <w:rsid w:val="0086233B"/>
    <w:rsid w:val="00862384"/>
    <w:rsid w:val="008623BE"/>
    <w:rsid w:val="00862586"/>
    <w:rsid w:val="008626D8"/>
    <w:rsid w:val="008627D5"/>
    <w:rsid w:val="00862849"/>
    <w:rsid w:val="00862B69"/>
    <w:rsid w:val="00862BFB"/>
    <w:rsid w:val="00862C03"/>
    <w:rsid w:val="008631B5"/>
    <w:rsid w:val="00863888"/>
    <w:rsid w:val="008638AA"/>
    <w:rsid w:val="00863BE9"/>
    <w:rsid w:val="00863D5E"/>
    <w:rsid w:val="00863DC5"/>
    <w:rsid w:val="00863E95"/>
    <w:rsid w:val="00864129"/>
    <w:rsid w:val="0086415F"/>
    <w:rsid w:val="0086437C"/>
    <w:rsid w:val="00864414"/>
    <w:rsid w:val="00864509"/>
    <w:rsid w:val="00864669"/>
    <w:rsid w:val="00864A0A"/>
    <w:rsid w:val="00864F76"/>
    <w:rsid w:val="008650BF"/>
    <w:rsid w:val="008650EB"/>
    <w:rsid w:val="00865546"/>
    <w:rsid w:val="008655A5"/>
    <w:rsid w:val="008655E4"/>
    <w:rsid w:val="00865886"/>
    <w:rsid w:val="00865A4B"/>
    <w:rsid w:val="00865D2C"/>
    <w:rsid w:val="00865DC1"/>
    <w:rsid w:val="00865E55"/>
    <w:rsid w:val="008661A1"/>
    <w:rsid w:val="008661F4"/>
    <w:rsid w:val="0086622F"/>
    <w:rsid w:val="0086642E"/>
    <w:rsid w:val="00866553"/>
    <w:rsid w:val="008666AB"/>
    <w:rsid w:val="008668D5"/>
    <w:rsid w:val="00866D38"/>
    <w:rsid w:val="00867561"/>
    <w:rsid w:val="008675A8"/>
    <w:rsid w:val="00867CBB"/>
    <w:rsid w:val="00867E67"/>
    <w:rsid w:val="00870112"/>
    <w:rsid w:val="0087090A"/>
    <w:rsid w:val="008709D4"/>
    <w:rsid w:val="00870ACD"/>
    <w:rsid w:val="00870AE8"/>
    <w:rsid w:val="00870C8E"/>
    <w:rsid w:val="00870EE3"/>
    <w:rsid w:val="00870FAF"/>
    <w:rsid w:val="00870FCF"/>
    <w:rsid w:val="00871090"/>
    <w:rsid w:val="008710E6"/>
    <w:rsid w:val="008710F2"/>
    <w:rsid w:val="00871298"/>
    <w:rsid w:val="00871504"/>
    <w:rsid w:val="00871653"/>
    <w:rsid w:val="00871803"/>
    <w:rsid w:val="00871980"/>
    <w:rsid w:val="00871A76"/>
    <w:rsid w:val="00871D08"/>
    <w:rsid w:val="00871E92"/>
    <w:rsid w:val="00872077"/>
    <w:rsid w:val="008720E4"/>
    <w:rsid w:val="00872208"/>
    <w:rsid w:val="0087226B"/>
    <w:rsid w:val="00872285"/>
    <w:rsid w:val="008725D3"/>
    <w:rsid w:val="00872743"/>
    <w:rsid w:val="00872BD8"/>
    <w:rsid w:val="00872C7F"/>
    <w:rsid w:val="00872D51"/>
    <w:rsid w:val="00872D71"/>
    <w:rsid w:val="00873127"/>
    <w:rsid w:val="0087343B"/>
    <w:rsid w:val="0087365A"/>
    <w:rsid w:val="00873A2F"/>
    <w:rsid w:val="00873A4A"/>
    <w:rsid w:val="00873B48"/>
    <w:rsid w:val="00873CCF"/>
    <w:rsid w:val="008740BB"/>
    <w:rsid w:val="0087412D"/>
    <w:rsid w:val="00874193"/>
    <w:rsid w:val="0087433F"/>
    <w:rsid w:val="008743C7"/>
    <w:rsid w:val="00874688"/>
    <w:rsid w:val="008746E3"/>
    <w:rsid w:val="00874A5F"/>
    <w:rsid w:val="00874D48"/>
    <w:rsid w:val="00874F64"/>
    <w:rsid w:val="008750F9"/>
    <w:rsid w:val="00875341"/>
    <w:rsid w:val="0087536F"/>
    <w:rsid w:val="008754AF"/>
    <w:rsid w:val="00875755"/>
    <w:rsid w:val="00875853"/>
    <w:rsid w:val="00875BD2"/>
    <w:rsid w:val="00875DDE"/>
    <w:rsid w:val="00875F5A"/>
    <w:rsid w:val="00875F69"/>
    <w:rsid w:val="00876091"/>
    <w:rsid w:val="00876280"/>
    <w:rsid w:val="00876A93"/>
    <w:rsid w:val="00876FE1"/>
    <w:rsid w:val="008772DE"/>
    <w:rsid w:val="0087734E"/>
    <w:rsid w:val="008773CC"/>
    <w:rsid w:val="00877455"/>
    <w:rsid w:val="008775BD"/>
    <w:rsid w:val="00877661"/>
    <w:rsid w:val="008777F2"/>
    <w:rsid w:val="00877960"/>
    <w:rsid w:val="0087798E"/>
    <w:rsid w:val="008779AE"/>
    <w:rsid w:val="00877B7E"/>
    <w:rsid w:val="00877C82"/>
    <w:rsid w:val="00877DFF"/>
    <w:rsid w:val="00877E21"/>
    <w:rsid w:val="00877FE0"/>
    <w:rsid w:val="0088006B"/>
    <w:rsid w:val="00880748"/>
    <w:rsid w:val="008808F9"/>
    <w:rsid w:val="008808FA"/>
    <w:rsid w:val="00880944"/>
    <w:rsid w:val="0088095D"/>
    <w:rsid w:val="00880A40"/>
    <w:rsid w:val="00880FC4"/>
    <w:rsid w:val="00881049"/>
    <w:rsid w:val="008810DB"/>
    <w:rsid w:val="00881163"/>
    <w:rsid w:val="008817E5"/>
    <w:rsid w:val="0088186D"/>
    <w:rsid w:val="008818B7"/>
    <w:rsid w:val="008818EE"/>
    <w:rsid w:val="00881ADB"/>
    <w:rsid w:val="00881C75"/>
    <w:rsid w:val="00881C81"/>
    <w:rsid w:val="00881D15"/>
    <w:rsid w:val="00882116"/>
    <w:rsid w:val="008822E2"/>
    <w:rsid w:val="0088247B"/>
    <w:rsid w:val="008824B3"/>
    <w:rsid w:val="00882598"/>
    <w:rsid w:val="008825D2"/>
    <w:rsid w:val="008828B7"/>
    <w:rsid w:val="00882C06"/>
    <w:rsid w:val="00882CC7"/>
    <w:rsid w:val="00882E1D"/>
    <w:rsid w:val="00882FE3"/>
    <w:rsid w:val="008833A1"/>
    <w:rsid w:val="008834ED"/>
    <w:rsid w:val="0088365C"/>
    <w:rsid w:val="008836CE"/>
    <w:rsid w:val="00883841"/>
    <w:rsid w:val="00883908"/>
    <w:rsid w:val="00883CC3"/>
    <w:rsid w:val="00883FFB"/>
    <w:rsid w:val="008841B7"/>
    <w:rsid w:val="00884394"/>
    <w:rsid w:val="008844EF"/>
    <w:rsid w:val="008844FD"/>
    <w:rsid w:val="00884626"/>
    <w:rsid w:val="00884687"/>
    <w:rsid w:val="008846A0"/>
    <w:rsid w:val="00884918"/>
    <w:rsid w:val="008849BD"/>
    <w:rsid w:val="008849CB"/>
    <w:rsid w:val="00884B01"/>
    <w:rsid w:val="00884DD5"/>
    <w:rsid w:val="00884F3B"/>
    <w:rsid w:val="0088522A"/>
    <w:rsid w:val="0088534F"/>
    <w:rsid w:val="0088535B"/>
    <w:rsid w:val="00885A15"/>
    <w:rsid w:val="00885B9F"/>
    <w:rsid w:val="00885D03"/>
    <w:rsid w:val="00886195"/>
    <w:rsid w:val="00886218"/>
    <w:rsid w:val="00886370"/>
    <w:rsid w:val="00886434"/>
    <w:rsid w:val="00886908"/>
    <w:rsid w:val="008869F4"/>
    <w:rsid w:val="00886AB0"/>
    <w:rsid w:val="00886BAA"/>
    <w:rsid w:val="00886D0E"/>
    <w:rsid w:val="008870A5"/>
    <w:rsid w:val="0088717F"/>
    <w:rsid w:val="00887336"/>
    <w:rsid w:val="0088748D"/>
    <w:rsid w:val="008874D9"/>
    <w:rsid w:val="0088787E"/>
    <w:rsid w:val="008878EF"/>
    <w:rsid w:val="00887ABD"/>
    <w:rsid w:val="00887BDD"/>
    <w:rsid w:val="00887F82"/>
    <w:rsid w:val="008902E8"/>
    <w:rsid w:val="00890308"/>
    <w:rsid w:val="0089047F"/>
    <w:rsid w:val="008907D1"/>
    <w:rsid w:val="00890D2A"/>
    <w:rsid w:val="00890E41"/>
    <w:rsid w:val="00890F6C"/>
    <w:rsid w:val="008910F2"/>
    <w:rsid w:val="00891132"/>
    <w:rsid w:val="008911CB"/>
    <w:rsid w:val="008912A5"/>
    <w:rsid w:val="00891361"/>
    <w:rsid w:val="00891560"/>
    <w:rsid w:val="00891893"/>
    <w:rsid w:val="008919E5"/>
    <w:rsid w:val="00891B2E"/>
    <w:rsid w:val="00891E29"/>
    <w:rsid w:val="00891E4D"/>
    <w:rsid w:val="00891E68"/>
    <w:rsid w:val="00891F7D"/>
    <w:rsid w:val="00891FB0"/>
    <w:rsid w:val="00892023"/>
    <w:rsid w:val="008921B9"/>
    <w:rsid w:val="00892201"/>
    <w:rsid w:val="00892374"/>
    <w:rsid w:val="008927B6"/>
    <w:rsid w:val="00892B0B"/>
    <w:rsid w:val="0089309D"/>
    <w:rsid w:val="00893192"/>
    <w:rsid w:val="0089319D"/>
    <w:rsid w:val="008931CE"/>
    <w:rsid w:val="008932B2"/>
    <w:rsid w:val="0089346A"/>
    <w:rsid w:val="00893529"/>
    <w:rsid w:val="00893EEF"/>
    <w:rsid w:val="00893FC3"/>
    <w:rsid w:val="00894040"/>
    <w:rsid w:val="00894084"/>
    <w:rsid w:val="008943E3"/>
    <w:rsid w:val="00894531"/>
    <w:rsid w:val="008945B8"/>
    <w:rsid w:val="008947D0"/>
    <w:rsid w:val="00894D35"/>
    <w:rsid w:val="00894D52"/>
    <w:rsid w:val="00894E50"/>
    <w:rsid w:val="00894EFB"/>
    <w:rsid w:val="008950E0"/>
    <w:rsid w:val="00895335"/>
    <w:rsid w:val="008956D3"/>
    <w:rsid w:val="008956E0"/>
    <w:rsid w:val="00895A9B"/>
    <w:rsid w:val="00895B63"/>
    <w:rsid w:val="00895C67"/>
    <w:rsid w:val="00895E71"/>
    <w:rsid w:val="00896166"/>
    <w:rsid w:val="00896340"/>
    <w:rsid w:val="00896360"/>
    <w:rsid w:val="00896C11"/>
    <w:rsid w:val="00896C3C"/>
    <w:rsid w:val="008972D1"/>
    <w:rsid w:val="008973CE"/>
    <w:rsid w:val="0089743B"/>
    <w:rsid w:val="00897460"/>
    <w:rsid w:val="008975A2"/>
    <w:rsid w:val="00897678"/>
    <w:rsid w:val="00897826"/>
    <w:rsid w:val="00897982"/>
    <w:rsid w:val="00897ADF"/>
    <w:rsid w:val="00897B51"/>
    <w:rsid w:val="00897EA3"/>
    <w:rsid w:val="008A00C4"/>
    <w:rsid w:val="008A0638"/>
    <w:rsid w:val="008A07E2"/>
    <w:rsid w:val="008A0817"/>
    <w:rsid w:val="008A0B2E"/>
    <w:rsid w:val="008A0BCD"/>
    <w:rsid w:val="008A0C03"/>
    <w:rsid w:val="008A0CED"/>
    <w:rsid w:val="008A103E"/>
    <w:rsid w:val="008A109F"/>
    <w:rsid w:val="008A11E8"/>
    <w:rsid w:val="008A12B3"/>
    <w:rsid w:val="008A12F6"/>
    <w:rsid w:val="008A1473"/>
    <w:rsid w:val="008A14CB"/>
    <w:rsid w:val="008A1537"/>
    <w:rsid w:val="008A1647"/>
    <w:rsid w:val="008A1698"/>
    <w:rsid w:val="008A16BF"/>
    <w:rsid w:val="008A174F"/>
    <w:rsid w:val="008A184F"/>
    <w:rsid w:val="008A189F"/>
    <w:rsid w:val="008A1E5F"/>
    <w:rsid w:val="008A232F"/>
    <w:rsid w:val="008A2453"/>
    <w:rsid w:val="008A263D"/>
    <w:rsid w:val="008A268C"/>
    <w:rsid w:val="008A268D"/>
    <w:rsid w:val="008A2909"/>
    <w:rsid w:val="008A2A33"/>
    <w:rsid w:val="008A2B68"/>
    <w:rsid w:val="008A2C67"/>
    <w:rsid w:val="008A2C72"/>
    <w:rsid w:val="008A2DDD"/>
    <w:rsid w:val="008A2E25"/>
    <w:rsid w:val="008A2F25"/>
    <w:rsid w:val="008A2F72"/>
    <w:rsid w:val="008A3425"/>
    <w:rsid w:val="008A3450"/>
    <w:rsid w:val="008A34B5"/>
    <w:rsid w:val="008A3A30"/>
    <w:rsid w:val="008A3A8E"/>
    <w:rsid w:val="008A3ADD"/>
    <w:rsid w:val="008A3F51"/>
    <w:rsid w:val="008A3F58"/>
    <w:rsid w:val="008A3FFB"/>
    <w:rsid w:val="008A408E"/>
    <w:rsid w:val="008A40BC"/>
    <w:rsid w:val="008A40DD"/>
    <w:rsid w:val="008A40FC"/>
    <w:rsid w:val="008A41CD"/>
    <w:rsid w:val="008A4472"/>
    <w:rsid w:val="008A4880"/>
    <w:rsid w:val="008A4A4C"/>
    <w:rsid w:val="008A4D84"/>
    <w:rsid w:val="008A5161"/>
    <w:rsid w:val="008A51C1"/>
    <w:rsid w:val="008A52B1"/>
    <w:rsid w:val="008A52D1"/>
    <w:rsid w:val="008A5427"/>
    <w:rsid w:val="008A559A"/>
    <w:rsid w:val="008A5754"/>
    <w:rsid w:val="008A5788"/>
    <w:rsid w:val="008A583C"/>
    <w:rsid w:val="008A599D"/>
    <w:rsid w:val="008A5A0E"/>
    <w:rsid w:val="008A5B3E"/>
    <w:rsid w:val="008A5C55"/>
    <w:rsid w:val="008A5C63"/>
    <w:rsid w:val="008A5E0E"/>
    <w:rsid w:val="008A5F41"/>
    <w:rsid w:val="008A5F53"/>
    <w:rsid w:val="008A604F"/>
    <w:rsid w:val="008A6102"/>
    <w:rsid w:val="008A6204"/>
    <w:rsid w:val="008A657E"/>
    <w:rsid w:val="008A6606"/>
    <w:rsid w:val="008A675B"/>
    <w:rsid w:val="008A67BA"/>
    <w:rsid w:val="008A67FF"/>
    <w:rsid w:val="008A69D4"/>
    <w:rsid w:val="008A6A72"/>
    <w:rsid w:val="008A6D54"/>
    <w:rsid w:val="008A6E76"/>
    <w:rsid w:val="008A6EC6"/>
    <w:rsid w:val="008A70DA"/>
    <w:rsid w:val="008A7A61"/>
    <w:rsid w:val="008A7D2B"/>
    <w:rsid w:val="008A7F05"/>
    <w:rsid w:val="008B0037"/>
    <w:rsid w:val="008B012C"/>
    <w:rsid w:val="008B049F"/>
    <w:rsid w:val="008B051D"/>
    <w:rsid w:val="008B066F"/>
    <w:rsid w:val="008B084F"/>
    <w:rsid w:val="008B0A2F"/>
    <w:rsid w:val="008B0C53"/>
    <w:rsid w:val="008B0CA7"/>
    <w:rsid w:val="008B0D24"/>
    <w:rsid w:val="008B0F0B"/>
    <w:rsid w:val="008B0F2E"/>
    <w:rsid w:val="008B0F4A"/>
    <w:rsid w:val="008B0FA3"/>
    <w:rsid w:val="008B120B"/>
    <w:rsid w:val="008B1974"/>
    <w:rsid w:val="008B1D3C"/>
    <w:rsid w:val="008B1E5D"/>
    <w:rsid w:val="008B1F21"/>
    <w:rsid w:val="008B1F32"/>
    <w:rsid w:val="008B1FE6"/>
    <w:rsid w:val="008B1FFD"/>
    <w:rsid w:val="008B2122"/>
    <w:rsid w:val="008B219F"/>
    <w:rsid w:val="008B2287"/>
    <w:rsid w:val="008B22DD"/>
    <w:rsid w:val="008B27AC"/>
    <w:rsid w:val="008B2887"/>
    <w:rsid w:val="008B28D3"/>
    <w:rsid w:val="008B2C31"/>
    <w:rsid w:val="008B2E71"/>
    <w:rsid w:val="008B2E79"/>
    <w:rsid w:val="008B2EC2"/>
    <w:rsid w:val="008B2F19"/>
    <w:rsid w:val="008B30B6"/>
    <w:rsid w:val="008B3277"/>
    <w:rsid w:val="008B3351"/>
    <w:rsid w:val="008B3664"/>
    <w:rsid w:val="008B38B7"/>
    <w:rsid w:val="008B403B"/>
    <w:rsid w:val="008B4090"/>
    <w:rsid w:val="008B4117"/>
    <w:rsid w:val="008B4502"/>
    <w:rsid w:val="008B4522"/>
    <w:rsid w:val="008B471C"/>
    <w:rsid w:val="008B47CD"/>
    <w:rsid w:val="008B47F0"/>
    <w:rsid w:val="008B49D6"/>
    <w:rsid w:val="008B4B3E"/>
    <w:rsid w:val="008B4BCB"/>
    <w:rsid w:val="008B4DB8"/>
    <w:rsid w:val="008B4EA4"/>
    <w:rsid w:val="008B508E"/>
    <w:rsid w:val="008B517C"/>
    <w:rsid w:val="008B5483"/>
    <w:rsid w:val="008B5498"/>
    <w:rsid w:val="008B56BF"/>
    <w:rsid w:val="008B5AF5"/>
    <w:rsid w:val="008B5B32"/>
    <w:rsid w:val="008B5F08"/>
    <w:rsid w:val="008B61FC"/>
    <w:rsid w:val="008B65D0"/>
    <w:rsid w:val="008B6864"/>
    <w:rsid w:val="008B68D4"/>
    <w:rsid w:val="008B6919"/>
    <w:rsid w:val="008B6A06"/>
    <w:rsid w:val="008B6AA7"/>
    <w:rsid w:val="008B6AE4"/>
    <w:rsid w:val="008B6B54"/>
    <w:rsid w:val="008B6BF2"/>
    <w:rsid w:val="008B6D15"/>
    <w:rsid w:val="008B6DC2"/>
    <w:rsid w:val="008B7485"/>
    <w:rsid w:val="008B775F"/>
    <w:rsid w:val="008B7763"/>
    <w:rsid w:val="008B7817"/>
    <w:rsid w:val="008B7829"/>
    <w:rsid w:val="008B7842"/>
    <w:rsid w:val="008B797A"/>
    <w:rsid w:val="008B7EC5"/>
    <w:rsid w:val="008B7EC8"/>
    <w:rsid w:val="008B7FF3"/>
    <w:rsid w:val="008C031B"/>
    <w:rsid w:val="008C034C"/>
    <w:rsid w:val="008C0401"/>
    <w:rsid w:val="008C0540"/>
    <w:rsid w:val="008C0669"/>
    <w:rsid w:val="008C085F"/>
    <w:rsid w:val="008C0897"/>
    <w:rsid w:val="008C08B7"/>
    <w:rsid w:val="008C0C44"/>
    <w:rsid w:val="008C0C4C"/>
    <w:rsid w:val="008C0CAB"/>
    <w:rsid w:val="008C0CCB"/>
    <w:rsid w:val="008C0E55"/>
    <w:rsid w:val="008C0ECB"/>
    <w:rsid w:val="008C1028"/>
    <w:rsid w:val="008C142E"/>
    <w:rsid w:val="008C1884"/>
    <w:rsid w:val="008C1DDA"/>
    <w:rsid w:val="008C1E5A"/>
    <w:rsid w:val="008C1F2A"/>
    <w:rsid w:val="008C2390"/>
    <w:rsid w:val="008C2690"/>
    <w:rsid w:val="008C2989"/>
    <w:rsid w:val="008C2A1C"/>
    <w:rsid w:val="008C2B6B"/>
    <w:rsid w:val="008C2B86"/>
    <w:rsid w:val="008C2EB0"/>
    <w:rsid w:val="008C3033"/>
    <w:rsid w:val="008C3076"/>
    <w:rsid w:val="008C3447"/>
    <w:rsid w:val="008C34E0"/>
    <w:rsid w:val="008C3552"/>
    <w:rsid w:val="008C3861"/>
    <w:rsid w:val="008C386B"/>
    <w:rsid w:val="008C3A6F"/>
    <w:rsid w:val="008C3B2E"/>
    <w:rsid w:val="008C3B62"/>
    <w:rsid w:val="008C3CB6"/>
    <w:rsid w:val="008C3D0F"/>
    <w:rsid w:val="008C4206"/>
    <w:rsid w:val="008C43DC"/>
    <w:rsid w:val="008C4517"/>
    <w:rsid w:val="008C454F"/>
    <w:rsid w:val="008C4587"/>
    <w:rsid w:val="008C45F1"/>
    <w:rsid w:val="008C460D"/>
    <w:rsid w:val="008C4811"/>
    <w:rsid w:val="008C4A7F"/>
    <w:rsid w:val="008C4D7A"/>
    <w:rsid w:val="008C4DE2"/>
    <w:rsid w:val="008C4E96"/>
    <w:rsid w:val="008C4EDD"/>
    <w:rsid w:val="008C536B"/>
    <w:rsid w:val="008C5592"/>
    <w:rsid w:val="008C59F4"/>
    <w:rsid w:val="008C5C34"/>
    <w:rsid w:val="008C5D2C"/>
    <w:rsid w:val="008C5D3B"/>
    <w:rsid w:val="008C6092"/>
    <w:rsid w:val="008C60A2"/>
    <w:rsid w:val="008C6266"/>
    <w:rsid w:val="008C6339"/>
    <w:rsid w:val="008C638B"/>
    <w:rsid w:val="008C63F2"/>
    <w:rsid w:val="008C65CB"/>
    <w:rsid w:val="008C67BF"/>
    <w:rsid w:val="008C67E8"/>
    <w:rsid w:val="008C688D"/>
    <w:rsid w:val="008C68BB"/>
    <w:rsid w:val="008C69C5"/>
    <w:rsid w:val="008C69FC"/>
    <w:rsid w:val="008C6B13"/>
    <w:rsid w:val="008C6B7D"/>
    <w:rsid w:val="008C6CA0"/>
    <w:rsid w:val="008C6D23"/>
    <w:rsid w:val="008C7300"/>
    <w:rsid w:val="008C76FA"/>
    <w:rsid w:val="008C77D1"/>
    <w:rsid w:val="008C7927"/>
    <w:rsid w:val="008C7CE8"/>
    <w:rsid w:val="008D0181"/>
    <w:rsid w:val="008D0681"/>
    <w:rsid w:val="008D0692"/>
    <w:rsid w:val="008D0852"/>
    <w:rsid w:val="008D09DD"/>
    <w:rsid w:val="008D0A39"/>
    <w:rsid w:val="008D0BAE"/>
    <w:rsid w:val="008D0F74"/>
    <w:rsid w:val="008D10B3"/>
    <w:rsid w:val="008D1228"/>
    <w:rsid w:val="008D12D8"/>
    <w:rsid w:val="008D14DD"/>
    <w:rsid w:val="008D15C3"/>
    <w:rsid w:val="008D1623"/>
    <w:rsid w:val="008D1784"/>
    <w:rsid w:val="008D1DC6"/>
    <w:rsid w:val="008D1E20"/>
    <w:rsid w:val="008D1E2A"/>
    <w:rsid w:val="008D2394"/>
    <w:rsid w:val="008D269A"/>
    <w:rsid w:val="008D2DBB"/>
    <w:rsid w:val="008D2E4E"/>
    <w:rsid w:val="008D3168"/>
    <w:rsid w:val="008D3206"/>
    <w:rsid w:val="008D32E3"/>
    <w:rsid w:val="008D3311"/>
    <w:rsid w:val="008D39C2"/>
    <w:rsid w:val="008D39E1"/>
    <w:rsid w:val="008D3A05"/>
    <w:rsid w:val="008D3E8A"/>
    <w:rsid w:val="008D3FBF"/>
    <w:rsid w:val="008D4020"/>
    <w:rsid w:val="008D4141"/>
    <w:rsid w:val="008D4324"/>
    <w:rsid w:val="008D475B"/>
    <w:rsid w:val="008D4AB8"/>
    <w:rsid w:val="008D4BA4"/>
    <w:rsid w:val="008D4FE3"/>
    <w:rsid w:val="008D564C"/>
    <w:rsid w:val="008D5876"/>
    <w:rsid w:val="008D58E2"/>
    <w:rsid w:val="008D59AC"/>
    <w:rsid w:val="008D59F2"/>
    <w:rsid w:val="008D5F48"/>
    <w:rsid w:val="008D60F8"/>
    <w:rsid w:val="008D6418"/>
    <w:rsid w:val="008D658C"/>
    <w:rsid w:val="008D658E"/>
    <w:rsid w:val="008D67D3"/>
    <w:rsid w:val="008D69DC"/>
    <w:rsid w:val="008D6A9D"/>
    <w:rsid w:val="008D6C92"/>
    <w:rsid w:val="008D6C9A"/>
    <w:rsid w:val="008D6DA2"/>
    <w:rsid w:val="008D6E2B"/>
    <w:rsid w:val="008D6EFE"/>
    <w:rsid w:val="008D6F00"/>
    <w:rsid w:val="008D7540"/>
    <w:rsid w:val="008D789E"/>
    <w:rsid w:val="008D78FF"/>
    <w:rsid w:val="008D7A28"/>
    <w:rsid w:val="008D7AF7"/>
    <w:rsid w:val="008D7BF5"/>
    <w:rsid w:val="008D7DC1"/>
    <w:rsid w:val="008D7F4A"/>
    <w:rsid w:val="008E0044"/>
    <w:rsid w:val="008E004C"/>
    <w:rsid w:val="008E00A3"/>
    <w:rsid w:val="008E0156"/>
    <w:rsid w:val="008E025C"/>
    <w:rsid w:val="008E02D7"/>
    <w:rsid w:val="008E056D"/>
    <w:rsid w:val="008E074E"/>
    <w:rsid w:val="008E08E0"/>
    <w:rsid w:val="008E0AA0"/>
    <w:rsid w:val="008E0CF1"/>
    <w:rsid w:val="008E0E4D"/>
    <w:rsid w:val="008E0EB4"/>
    <w:rsid w:val="008E0F5F"/>
    <w:rsid w:val="008E1451"/>
    <w:rsid w:val="008E14F6"/>
    <w:rsid w:val="008E1735"/>
    <w:rsid w:val="008E18D5"/>
    <w:rsid w:val="008E19FD"/>
    <w:rsid w:val="008E1A24"/>
    <w:rsid w:val="008E1B1D"/>
    <w:rsid w:val="008E1EEC"/>
    <w:rsid w:val="008E1F84"/>
    <w:rsid w:val="008E20CB"/>
    <w:rsid w:val="008E2113"/>
    <w:rsid w:val="008E2208"/>
    <w:rsid w:val="008E22B7"/>
    <w:rsid w:val="008E26C0"/>
    <w:rsid w:val="008E2776"/>
    <w:rsid w:val="008E2ADE"/>
    <w:rsid w:val="008E2C7C"/>
    <w:rsid w:val="008E2FBB"/>
    <w:rsid w:val="008E30D1"/>
    <w:rsid w:val="008E32B7"/>
    <w:rsid w:val="008E34AA"/>
    <w:rsid w:val="008E34CB"/>
    <w:rsid w:val="008E391A"/>
    <w:rsid w:val="008E4222"/>
    <w:rsid w:val="008E4677"/>
    <w:rsid w:val="008E488A"/>
    <w:rsid w:val="008E4CFE"/>
    <w:rsid w:val="008E4F76"/>
    <w:rsid w:val="008E502C"/>
    <w:rsid w:val="008E524C"/>
    <w:rsid w:val="008E527A"/>
    <w:rsid w:val="008E52B6"/>
    <w:rsid w:val="008E53B1"/>
    <w:rsid w:val="008E5AD0"/>
    <w:rsid w:val="008E5CD6"/>
    <w:rsid w:val="008E5D32"/>
    <w:rsid w:val="008E6137"/>
    <w:rsid w:val="008E6427"/>
    <w:rsid w:val="008E6567"/>
    <w:rsid w:val="008E6592"/>
    <w:rsid w:val="008E670E"/>
    <w:rsid w:val="008E689D"/>
    <w:rsid w:val="008E6B6E"/>
    <w:rsid w:val="008E6BA8"/>
    <w:rsid w:val="008E6D58"/>
    <w:rsid w:val="008E7061"/>
    <w:rsid w:val="008E72A2"/>
    <w:rsid w:val="008E7362"/>
    <w:rsid w:val="008E742B"/>
    <w:rsid w:val="008E743C"/>
    <w:rsid w:val="008E76BB"/>
    <w:rsid w:val="008E7763"/>
    <w:rsid w:val="008E7977"/>
    <w:rsid w:val="008E7AE2"/>
    <w:rsid w:val="008E7CF8"/>
    <w:rsid w:val="008F0333"/>
    <w:rsid w:val="008F07FC"/>
    <w:rsid w:val="008F0847"/>
    <w:rsid w:val="008F094E"/>
    <w:rsid w:val="008F09FE"/>
    <w:rsid w:val="008F0C72"/>
    <w:rsid w:val="008F0CC4"/>
    <w:rsid w:val="008F0D98"/>
    <w:rsid w:val="008F0DCB"/>
    <w:rsid w:val="008F129A"/>
    <w:rsid w:val="008F132F"/>
    <w:rsid w:val="008F1553"/>
    <w:rsid w:val="008F16E4"/>
    <w:rsid w:val="008F1A87"/>
    <w:rsid w:val="008F23B6"/>
    <w:rsid w:val="008F23E2"/>
    <w:rsid w:val="008F25FD"/>
    <w:rsid w:val="008F29D2"/>
    <w:rsid w:val="008F3319"/>
    <w:rsid w:val="008F3519"/>
    <w:rsid w:val="008F3B5F"/>
    <w:rsid w:val="008F3BAE"/>
    <w:rsid w:val="008F3C1D"/>
    <w:rsid w:val="008F3E49"/>
    <w:rsid w:val="008F4402"/>
    <w:rsid w:val="008F448B"/>
    <w:rsid w:val="008F4A10"/>
    <w:rsid w:val="008F4A64"/>
    <w:rsid w:val="008F4A7E"/>
    <w:rsid w:val="008F4F54"/>
    <w:rsid w:val="008F527B"/>
    <w:rsid w:val="008F5285"/>
    <w:rsid w:val="008F5299"/>
    <w:rsid w:val="008F5BB8"/>
    <w:rsid w:val="008F5CC7"/>
    <w:rsid w:val="008F5D0F"/>
    <w:rsid w:val="008F5E79"/>
    <w:rsid w:val="008F61B8"/>
    <w:rsid w:val="008F61CD"/>
    <w:rsid w:val="008F663A"/>
    <w:rsid w:val="008F678F"/>
    <w:rsid w:val="008F6878"/>
    <w:rsid w:val="008F688E"/>
    <w:rsid w:val="008F6C2E"/>
    <w:rsid w:val="008F6DB2"/>
    <w:rsid w:val="008F6DFA"/>
    <w:rsid w:val="008F703E"/>
    <w:rsid w:val="008F7049"/>
    <w:rsid w:val="008F70F9"/>
    <w:rsid w:val="008F7216"/>
    <w:rsid w:val="008F759E"/>
    <w:rsid w:val="008F782A"/>
    <w:rsid w:val="008F79F0"/>
    <w:rsid w:val="008F7AEA"/>
    <w:rsid w:val="008F7B66"/>
    <w:rsid w:val="008F7B7E"/>
    <w:rsid w:val="009000B3"/>
    <w:rsid w:val="00900174"/>
    <w:rsid w:val="0090021B"/>
    <w:rsid w:val="0090037E"/>
    <w:rsid w:val="009003BE"/>
    <w:rsid w:val="00900933"/>
    <w:rsid w:val="00900C23"/>
    <w:rsid w:val="00900D17"/>
    <w:rsid w:val="00900D38"/>
    <w:rsid w:val="009012A1"/>
    <w:rsid w:val="00901511"/>
    <w:rsid w:val="00901955"/>
    <w:rsid w:val="00901C26"/>
    <w:rsid w:val="00901E46"/>
    <w:rsid w:val="0090201A"/>
    <w:rsid w:val="0090211E"/>
    <w:rsid w:val="0090232C"/>
    <w:rsid w:val="009023B3"/>
    <w:rsid w:val="009028C2"/>
    <w:rsid w:val="0090291F"/>
    <w:rsid w:val="0090297A"/>
    <w:rsid w:val="00902FCD"/>
    <w:rsid w:val="009032A5"/>
    <w:rsid w:val="00903883"/>
    <w:rsid w:val="009039B3"/>
    <w:rsid w:val="00903E4C"/>
    <w:rsid w:val="00903F33"/>
    <w:rsid w:val="00903FA9"/>
    <w:rsid w:val="00904768"/>
    <w:rsid w:val="00904856"/>
    <w:rsid w:val="00904939"/>
    <w:rsid w:val="00904D37"/>
    <w:rsid w:val="00904E8B"/>
    <w:rsid w:val="009051C4"/>
    <w:rsid w:val="009052C8"/>
    <w:rsid w:val="0090543B"/>
    <w:rsid w:val="0090544A"/>
    <w:rsid w:val="00905460"/>
    <w:rsid w:val="009054C4"/>
    <w:rsid w:val="00905551"/>
    <w:rsid w:val="00905575"/>
    <w:rsid w:val="009055DE"/>
    <w:rsid w:val="00905610"/>
    <w:rsid w:val="00905649"/>
    <w:rsid w:val="0090588E"/>
    <w:rsid w:val="00905891"/>
    <w:rsid w:val="009059E5"/>
    <w:rsid w:val="009059EC"/>
    <w:rsid w:val="00905A9D"/>
    <w:rsid w:val="00905CB7"/>
    <w:rsid w:val="00905D85"/>
    <w:rsid w:val="00905DB2"/>
    <w:rsid w:val="00905DEF"/>
    <w:rsid w:val="00905EE6"/>
    <w:rsid w:val="009061E5"/>
    <w:rsid w:val="009061F8"/>
    <w:rsid w:val="009062A2"/>
    <w:rsid w:val="00906361"/>
    <w:rsid w:val="009063DB"/>
    <w:rsid w:val="0090659E"/>
    <w:rsid w:val="009065BF"/>
    <w:rsid w:val="00906646"/>
    <w:rsid w:val="00906791"/>
    <w:rsid w:val="00906975"/>
    <w:rsid w:val="00906996"/>
    <w:rsid w:val="00906A0D"/>
    <w:rsid w:val="00906B3B"/>
    <w:rsid w:val="00906C2F"/>
    <w:rsid w:val="00906D40"/>
    <w:rsid w:val="00907261"/>
    <w:rsid w:val="009072C1"/>
    <w:rsid w:val="00907330"/>
    <w:rsid w:val="0090734D"/>
    <w:rsid w:val="0090743B"/>
    <w:rsid w:val="00907587"/>
    <w:rsid w:val="00907593"/>
    <w:rsid w:val="009076C6"/>
    <w:rsid w:val="00907899"/>
    <w:rsid w:val="009079DD"/>
    <w:rsid w:val="00907A9A"/>
    <w:rsid w:val="00907F7F"/>
    <w:rsid w:val="009100EC"/>
    <w:rsid w:val="009102D9"/>
    <w:rsid w:val="00910321"/>
    <w:rsid w:val="0091044A"/>
    <w:rsid w:val="009105E4"/>
    <w:rsid w:val="009108B3"/>
    <w:rsid w:val="00910A12"/>
    <w:rsid w:val="00910A95"/>
    <w:rsid w:val="00910B0A"/>
    <w:rsid w:val="00910BE4"/>
    <w:rsid w:val="00910DAB"/>
    <w:rsid w:val="0091134C"/>
    <w:rsid w:val="00911352"/>
    <w:rsid w:val="00911427"/>
    <w:rsid w:val="0091146F"/>
    <w:rsid w:val="009114D7"/>
    <w:rsid w:val="00911675"/>
    <w:rsid w:val="00911884"/>
    <w:rsid w:val="00911AA1"/>
    <w:rsid w:val="00911BB0"/>
    <w:rsid w:val="00911CD9"/>
    <w:rsid w:val="00911EFE"/>
    <w:rsid w:val="00911F64"/>
    <w:rsid w:val="00912075"/>
    <w:rsid w:val="0091212D"/>
    <w:rsid w:val="0091216A"/>
    <w:rsid w:val="0091228D"/>
    <w:rsid w:val="0091238F"/>
    <w:rsid w:val="009123D2"/>
    <w:rsid w:val="009124ED"/>
    <w:rsid w:val="00912576"/>
    <w:rsid w:val="009125F6"/>
    <w:rsid w:val="00912612"/>
    <w:rsid w:val="0091264F"/>
    <w:rsid w:val="0091275F"/>
    <w:rsid w:val="009128BB"/>
    <w:rsid w:val="00912A08"/>
    <w:rsid w:val="00912C4E"/>
    <w:rsid w:val="00912DC9"/>
    <w:rsid w:val="00912DD2"/>
    <w:rsid w:val="00912FC2"/>
    <w:rsid w:val="00913401"/>
    <w:rsid w:val="009137EE"/>
    <w:rsid w:val="00913D19"/>
    <w:rsid w:val="00913E9E"/>
    <w:rsid w:val="00913FE3"/>
    <w:rsid w:val="00914005"/>
    <w:rsid w:val="009142DB"/>
    <w:rsid w:val="009142F4"/>
    <w:rsid w:val="00914561"/>
    <w:rsid w:val="0091491E"/>
    <w:rsid w:val="0091492E"/>
    <w:rsid w:val="009149AF"/>
    <w:rsid w:val="00914A2D"/>
    <w:rsid w:val="00914AFB"/>
    <w:rsid w:val="00914DA7"/>
    <w:rsid w:val="00914F44"/>
    <w:rsid w:val="00915238"/>
    <w:rsid w:val="009153BF"/>
    <w:rsid w:val="0091570B"/>
    <w:rsid w:val="00915812"/>
    <w:rsid w:val="00915AA9"/>
    <w:rsid w:val="00915F63"/>
    <w:rsid w:val="009161C8"/>
    <w:rsid w:val="00916378"/>
    <w:rsid w:val="00916410"/>
    <w:rsid w:val="009164E7"/>
    <w:rsid w:val="009168F7"/>
    <w:rsid w:val="00916AFA"/>
    <w:rsid w:val="00916BEF"/>
    <w:rsid w:val="00916C47"/>
    <w:rsid w:val="00916CCB"/>
    <w:rsid w:val="0091758C"/>
    <w:rsid w:val="009175E0"/>
    <w:rsid w:val="009176B2"/>
    <w:rsid w:val="009177E9"/>
    <w:rsid w:val="00917849"/>
    <w:rsid w:val="00917B92"/>
    <w:rsid w:val="00917E09"/>
    <w:rsid w:val="00920130"/>
    <w:rsid w:val="009201EE"/>
    <w:rsid w:val="00920405"/>
    <w:rsid w:val="00920623"/>
    <w:rsid w:val="00920698"/>
    <w:rsid w:val="00920918"/>
    <w:rsid w:val="00920998"/>
    <w:rsid w:val="00920B36"/>
    <w:rsid w:val="00920DA5"/>
    <w:rsid w:val="00920E5E"/>
    <w:rsid w:val="00920EBB"/>
    <w:rsid w:val="00920ED0"/>
    <w:rsid w:val="00921055"/>
    <w:rsid w:val="00921298"/>
    <w:rsid w:val="009214AD"/>
    <w:rsid w:val="00921BA2"/>
    <w:rsid w:val="00921C53"/>
    <w:rsid w:val="00921E5F"/>
    <w:rsid w:val="00921FF9"/>
    <w:rsid w:val="009220A1"/>
    <w:rsid w:val="009221AD"/>
    <w:rsid w:val="00922565"/>
    <w:rsid w:val="0092260C"/>
    <w:rsid w:val="00922A89"/>
    <w:rsid w:val="00922BF1"/>
    <w:rsid w:val="00922EDA"/>
    <w:rsid w:val="00922F09"/>
    <w:rsid w:val="0092302F"/>
    <w:rsid w:val="00923213"/>
    <w:rsid w:val="009232AD"/>
    <w:rsid w:val="009232EA"/>
    <w:rsid w:val="00923312"/>
    <w:rsid w:val="00923366"/>
    <w:rsid w:val="00923554"/>
    <w:rsid w:val="00923644"/>
    <w:rsid w:val="00923BB5"/>
    <w:rsid w:val="00923FAA"/>
    <w:rsid w:val="009240B7"/>
    <w:rsid w:val="009243B1"/>
    <w:rsid w:val="00924449"/>
    <w:rsid w:val="009244CA"/>
    <w:rsid w:val="0092451E"/>
    <w:rsid w:val="00924696"/>
    <w:rsid w:val="009246F8"/>
    <w:rsid w:val="0092477C"/>
    <w:rsid w:val="00924D4F"/>
    <w:rsid w:val="00924F8B"/>
    <w:rsid w:val="00924FCD"/>
    <w:rsid w:val="0092513E"/>
    <w:rsid w:val="0092555B"/>
    <w:rsid w:val="009255F6"/>
    <w:rsid w:val="009257D7"/>
    <w:rsid w:val="009258A9"/>
    <w:rsid w:val="009258CF"/>
    <w:rsid w:val="00925B02"/>
    <w:rsid w:val="00925B6D"/>
    <w:rsid w:val="00925C4E"/>
    <w:rsid w:val="00925F28"/>
    <w:rsid w:val="00925F6D"/>
    <w:rsid w:val="0092600B"/>
    <w:rsid w:val="009260AC"/>
    <w:rsid w:val="009261FC"/>
    <w:rsid w:val="009263C3"/>
    <w:rsid w:val="009265C7"/>
    <w:rsid w:val="00926938"/>
    <w:rsid w:val="00926A05"/>
    <w:rsid w:val="00926CE6"/>
    <w:rsid w:val="0092701C"/>
    <w:rsid w:val="009279D3"/>
    <w:rsid w:val="00927B86"/>
    <w:rsid w:val="00927DD0"/>
    <w:rsid w:val="00927E22"/>
    <w:rsid w:val="00930043"/>
    <w:rsid w:val="0093013E"/>
    <w:rsid w:val="009301EF"/>
    <w:rsid w:val="00930240"/>
    <w:rsid w:val="0093057F"/>
    <w:rsid w:val="009309A1"/>
    <w:rsid w:val="009309A8"/>
    <w:rsid w:val="00930BC5"/>
    <w:rsid w:val="00930D09"/>
    <w:rsid w:val="00930E41"/>
    <w:rsid w:val="00931099"/>
    <w:rsid w:val="009313C1"/>
    <w:rsid w:val="00931502"/>
    <w:rsid w:val="00931749"/>
    <w:rsid w:val="009318DA"/>
    <w:rsid w:val="0093197F"/>
    <w:rsid w:val="00931B2E"/>
    <w:rsid w:val="00931E2D"/>
    <w:rsid w:val="0093210D"/>
    <w:rsid w:val="00932171"/>
    <w:rsid w:val="0093218B"/>
    <w:rsid w:val="009321D2"/>
    <w:rsid w:val="00932305"/>
    <w:rsid w:val="009324BD"/>
    <w:rsid w:val="00932501"/>
    <w:rsid w:val="00932583"/>
    <w:rsid w:val="009325E1"/>
    <w:rsid w:val="009326B1"/>
    <w:rsid w:val="009326CD"/>
    <w:rsid w:val="009326EC"/>
    <w:rsid w:val="009328C9"/>
    <w:rsid w:val="00932E0A"/>
    <w:rsid w:val="0093304A"/>
    <w:rsid w:val="009331AC"/>
    <w:rsid w:val="009331CF"/>
    <w:rsid w:val="00933441"/>
    <w:rsid w:val="009334AC"/>
    <w:rsid w:val="00933C77"/>
    <w:rsid w:val="00934060"/>
    <w:rsid w:val="0093444E"/>
    <w:rsid w:val="0093448A"/>
    <w:rsid w:val="00934564"/>
    <w:rsid w:val="009345D6"/>
    <w:rsid w:val="009345F6"/>
    <w:rsid w:val="009346F9"/>
    <w:rsid w:val="00934726"/>
    <w:rsid w:val="00934763"/>
    <w:rsid w:val="00934AC9"/>
    <w:rsid w:val="00934B07"/>
    <w:rsid w:val="00934D58"/>
    <w:rsid w:val="00934F49"/>
    <w:rsid w:val="009350A6"/>
    <w:rsid w:val="0093512C"/>
    <w:rsid w:val="0093524F"/>
    <w:rsid w:val="00935356"/>
    <w:rsid w:val="00935458"/>
    <w:rsid w:val="00935501"/>
    <w:rsid w:val="0093552C"/>
    <w:rsid w:val="00935593"/>
    <w:rsid w:val="00935709"/>
    <w:rsid w:val="00935975"/>
    <w:rsid w:val="009359E9"/>
    <w:rsid w:val="00935A35"/>
    <w:rsid w:val="00935CFB"/>
    <w:rsid w:val="00935DCE"/>
    <w:rsid w:val="00935E03"/>
    <w:rsid w:val="00935FBC"/>
    <w:rsid w:val="009360F3"/>
    <w:rsid w:val="00936228"/>
    <w:rsid w:val="009368B2"/>
    <w:rsid w:val="00936BE4"/>
    <w:rsid w:val="009371EB"/>
    <w:rsid w:val="009372F3"/>
    <w:rsid w:val="009376D4"/>
    <w:rsid w:val="009379CD"/>
    <w:rsid w:val="00937C59"/>
    <w:rsid w:val="00937CB7"/>
    <w:rsid w:val="00937D9B"/>
    <w:rsid w:val="00937E20"/>
    <w:rsid w:val="00937E53"/>
    <w:rsid w:val="00940045"/>
    <w:rsid w:val="00940273"/>
    <w:rsid w:val="00940357"/>
    <w:rsid w:val="009403DF"/>
    <w:rsid w:val="00940626"/>
    <w:rsid w:val="009406D9"/>
    <w:rsid w:val="009409CC"/>
    <w:rsid w:val="009409DF"/>
    <w:rsid w:val="00940A9C"/>
    <w:rsid w:val="00940BCB"/>
    <w:rsid w:val="00940C5A"/>
    <w:rsid w:val="0094146D"/>
    <w:rsid w:val="009414DA"/>
    <w:rsid w:val="009415C5"/>
    <w:rsid w:val="009416C8"/>
    <w:rsid w:val="00941758"/>
    <w:rsid w:val="00941819"/>
    <w:rsid w:val="00941A22"/>
    <w:rsid w:val="00941EAD"/>
    <w:rsid w:val="00941ED9"/>
    <w:rsid w:val="00942010"/>
    <w:rsid w:val="0094239C"/>
    <w:rsid w:val="00942700"/>
    <w:rsid w:val="00942746"/>
    <w:rsid w:val="00942906"/>
    <w:rsid w:val="00942922"/>
    <w:rsid w:val="0094296E"/>
    <w:rsid w:val="00942A67"/>
    <w:rsid w:val="0094320A"/>
    <w:rsid w:val="0094327A"/>
    <w:rsid w:val="0094338A"/>
    <w:rsid w:val="00943411"/>
    <w:rsid w:val="0094358D"/>
    <w:rsid w:val="00943979"/>
    <w:rsid w:val="00943A84"/>
    <w:rsid w:val="00943B10"/>
    <w:rsid w:val="0094406A"/>
    <w:rsid w:val="00944143"/>
    <w:rsid w:val="009441B6"/>
    <w:rsid w:val="009444A9"/>
    <w:rsid w:val="0094461A"/>
    <w:rsid w:val="00944BF2"/>
    <w:rsid w:val="00944C72"/>
    <w:rsid w:val="00944F5A"/>
    <w:rsid w:val="00945065"/>
    <w:rsid w:val="009450B2"/>
    <w:rsid w:val="009451D0"/>
    <w:rsid w:val="0094531F"/>
    <w:rsid w:val="009453DA"/>
    <w:rsid w:val="0094540F"/>
    <w:rsid w:val="0094546E"/>
    <w:rsid w:val="00945484"/>
    <w:rsid w:val="00945597"/>
    <w:rsid w:val="00945736"/>
    <w:rsid w:val="0094587D"/>
    <w:rsid w:val="0094594C"/>
    <w:rsid w:val="0094598A"/>
    <w:rsid w:val="00945A89"/>
    <w:rsid w:val="00945E38"/>
    <w:rsid w:val="0094626E"/>
    <w:rsid w:val="009463B0"/>
    <w:rsid w:val="0094662E"/>
    <w:rsid w:val="009468FE"/>
    <w:rsid w:val="00946C98"/>
    <w:rsid w:val="00946DFF"/>
    <w:rsid w:val="0094706B"/>
    <w:rsid w:val="009471F4"/>
    <w:rsid w:val="00947271"/>
    <w:rsid w:val="0094740D"/>
    <w:rsid w:val="0094755E"/>
    <w:rsid w:val="009476D9"/>
    <w:rsid w:val="00947E79"/>
    <w:rsid w:val="00947EB1"/>
    <w:rsid w:val="0094E372"/>
    <w:rsid w:val="0095020F"/>
    <w:rsid w:val="0095045E"/>
    <w:rsid w:val="0095060C"/>
    <w:rsid w:val="00950761"/>
    <w:rsid w:val="00950877"/>
    <w:rsid w:val="009508D5"/>
    <w:rsid w:val="00950932"/>
    <w:rsid w:val="00950A80"/>
    <w:rsid w:val="00950B9F"/>
    <w:rsid w:val="00950D22"/>
    <w:rsid w:val="00950ED6"/>
    <w:rsid w:val="009511D7"/>
    <w:rsid w:val="009513DE"/>
    <w:rsid w:val="0095141A"/>
    <w:rsid w:val="00951543"/>
    <w:rsid w:val="009515D3"/>
    <w:rsid w:val="0095170D"/>
    <w:rsid w:val="00951B6D"/>
    <w:rsid w:val="00951B7F"/>
    <w:rsid w:val="00951E64"/>
    <w:rsid w:val="00951EA6"/>
    <w:rsid w:val="00951ED0"/>
    <w:rsid w:val="00952632"/>
    <w:rsid w:val="00952906"/>
    <w:rsid w:val="00952A08"/>
    <w:rsid w:val="00952BFF"/>
    <w:rsid w:val="00952C55"/>
    <w:rsid w:val="00952CEF"/>
    <w:rsid w:val="00952D17"/>
    <w:rsid w:val="00952D90"/>
    <w:rsid w:val="00952F49"/>
    <w:rsid w:val="00953053"/>
    <w:rsid w:val="0095307F"/>
    <w:rsid w:val="00953417"/>
    <w:rsid w:val="009534B6"/>
    <w:rsid w:val="0095350A"/>
    <w:rsid w:val="00953514"/>
    <w:rsid w:val="00953670"/>
    <w:rsid w:val="00953779"/>
    <w:rsid w:val="0095385F"/>
    <w:rsid w:val="009538D6"/>
    <w:rsid w:val="00953995"/>
    <w:rsid w:val="00953A81"/>
    <w:rsid w:val="00953B9F"/>
    <w:rsid w:val="00953BE9"/>
    <w:rsid w:val="00953DA6"/>
    <w:rsid w:val="00953DC9"/>
    <w:rsid w:val="00953EA6"/>
    <w:rsid w:val="00953EA9"/>
    <w:rsid w:val="00953F06"/>
    <w:rsid w:val="00953FCD"/>
    <w:rsid w:val="00954069"/>
    <w:rsid w:val="0095434E"/>
    <w:rsid w:val="00954465"/>
    <w:rsid w:val="009548FF"/>
    <w:rsid w:val="00954AAA"/>
    <w:rsid w:val="00954B5F"/>
    <w:rsid w:val="00954DF7"/>
    <w:rsid w:val="00954F70"/>
    <w:rsid w:val="0095507B"/>
    <w:rsid w:val="0095524D"/>
    <w:rsid w:val="00955356"/>
    <w:rsid w:val="009553EC"/>
    <w:rsid w:val="009554CE"/>
    <w:rsid w:val="00955526"/>
    <w:rsid w:val="009556B2"/>
    <w:rsid w:val="00955723"/>
    <w:rsid w:val="00955972"/>
    <w:rsid w:val="009559BA"/>
    <w:rsid w:val="009559BF"/>
    <w:rsid w:val="009559E8"/>
    <w:rsid w:val="00955C0B"/>
    <w:rsid w:val="00955C3F"/>
    <w:rsid w:val="00955DDD"/>
    <w:rsid w:val="0095685F"/>
    <w:rsid w:val="00956A65"/>
    <w:rsid w:val="00956B02"/>
    <w:rsid w:val="00956B08"/>
    <w:rsid w:val="00956C79"/>
    <w:rsid w:val="009570BD"/>
    <w:rsid w:val="009570BF"/>
    <w:rsid w:val="009571F7"/>
    <w:rsid w:val="00957344"/>
    <w:rsid w:val="00957697"/>
    <w:rsid w:val="00957A12"/>
    <w:rsid w:val="00957A2A"/>
    <w:rsid w:val="00957BDD"/>
    <w:rsid w:val="00957FD5"/>
    <w:rsid w:val="00957FF7"/>
    <w:rsid w:val="009600F1"/>
    <w:rsid w:val="0096027E"/>
    <w:rsid w:val="009604E7"/>
    <w:rsid w:val="009605B2"/>
    <w:rsid w:val="00960616"/>
    <w:rsid w:val="009606D3"/>
    <w:rsid w:val="0096074C"/>
    <w:rsid w:val="009607C6"/>
    <w:rsid w:val="00960812"/>
    <w:rsid w:val="0096088B"/>
    <w:rsid w:val="009609BA"/>
    <w:rsid w:val="009609D3"/>
    <w:rsid w:val="00960A9F"/>
    <w:rsid w:val="00960B0E"/>
    <w:rsid w:val="0096109F"/>
    <w:rsid w:val="00961263"/>
    <w:rsid w:val="00961481"/>
    <w:rsid w:val="009615F7"/>
    <w:rsid w:val="009616F5"/>
    <w:rsid w:val="009617C4"/>
    <w:rsid w:val="0096188F"/>
    <w:rsid w:val="009619D9"/>
    <w:rsid w:val="00961ACA"/>
    <w:rsid w:val="00961ACC"/>
    <w:rsid w:val="00961ED5"/>
    <w:rsid w:val="00961FCB"/>
    <w:rsid w:val="00962393"/>
    <w:rsid w:val="009624EE"/>
    <w:rsid w:val="009624F6"/>
    <w:rsid w:val="00962538"/>
    <w:rsid w:val="009625AE"/>
    <w:rsid w:val="00962A91"/>
    <w:rsid w:val="00963408"/>
    <w:rsid w:val="00963455"/>
    <w:rsid w:val="00963511"/>
    <w:rsid w:val="009635FF"/>
    <w:rsid w:val="0096377F"/>
    <w:rsid w:val="00963A79"/>
    <w:rsid w:val="00963B84"/>
    <w:rsid w:val="00963DE1"/>
    <w:rsid w:val="009644F1"/>
    <w:rsid w:val="00964509"/>
    <w:rsid w:val="009645C6"/>
    <w:rsid w:val="009646EF"/>
    <w:rsid w:val="009647AF"/>
    <w:rsid w:val="009648A1"/>
    <w:rsid w:val="00964FB3"/>
    <w:rsid w:val="009651B8"/>
    <w:rsid w:val="00965242"/>
    <w:rsid w:val="00965269"/>
    <w:rsid w:val="009652E3"/>
    <w:rsid w:val="00965371"/>
    <w:rsid w:val="00965592"/>
    <w:rsid w:val="00965975"/>
    <w:rsid w:val="00965AB8"/>
    <w:rsid w:val="00965AC8"/>
    <w:rsid w:val="00965D27"/>
    <w:rsid w:val="00965DA7"/>
    <w:rsid w:val="0096643D"/>
    <w:rsid w:val="00966762"/>
    <w:rsid w:val="009668F7"/>
    <w:rsid w:val="00966C09"/>
    <w:rsid w:val="00966D1C"/>
    <w:rsid w:val="009672F1"/>
    <w:rsid w:val="009673F8"/>
    <w:rsid w:val="00967436"/>
    <w:rsid w:val="00967487"/>
    <w:rsid w:val="0096749D"/>
    <w:rsid w:val="0096755D"/>
    <w:rsid w:val="009675D7"/>
    <w:rsid w:val="00967844"/>
    <w:rsid w:val="0096784F"/>
    <w:rsid w:val="00967935"/>
    <w:rsid w:val="00967A7D"/>
    <w:rsid w:val="00967AC3"/>
    <w:rsid w:val="00967CE3"/>
    <w:rsid w:val="00967E05"/>
    <w:rsid w:val="0096A0A5"/>
    <w:rsid w:val="00970008"/>
    <w:rsid w:val="009701B6"/>
    <w:rsid w:val="00970565"/>
    <w:rsid w:val="00970585"/>
    <w:rsid w:val="0097063F"/>
    <w:rsid w:val="009706A5"/>
    <w:rsid w:val="0097084D"/>
    <w:rsid w:val="00970A49"/>
    <w:rsid w:val="00970BB4"/>
    <w:rsid w:val="00970BFE"/>
    <w:rsid w:val="00970D2E"/>
    <w:rsid w:val="00970F3E"/>
    <w:rsid w:val="0097125A"/>
    <w:rsid w:val="00971684"/>
    <w:rsid w:val="009717C0"/>
    <w:rsid w:val="00971804"/>
    <w:rsid w:val="0097181D"/>
    <w:rsid w:val="009719C9"/>
    <w:rsid w:val="00971A86"/>
    <w:rsid w:val="00971B49"/>
    <w:rsid w:val="00971CA0"/>
    <w:rsid w:val="00971CFE"/>
    <w:rsid w:val="00971D1F"/>
    <w:rsid w:val="00971E5B"/>
    <w:rsid w:val="00971EE6"/>
    <w:rsid w:val="009720E7"/>
    <w:rsid w:val="00972120"/>
    <w:rsid w:val="009721D5"/>
    <w:rsid w:val="009721EE"/>
    <w:rsid w:val="009723D9"/>
    <w:rsid w:val="0097260C"/>
    <w:rsid w:val="0097279A"/>
    <w:rsid w:val="00972E66"/>
    <w:rsid w:val="00973118"/>
    <w:rsid w:val="009732E6"/>
    <w:rsid w:val="00973658"/>
    <w:rsid w:val="00973B15"/>
    <w:rsid w:val="00973E9B"/>
    <w:rsid w:val="00973F00"/>
    <w:rsid w:val="00973F3F"/>
    <w:rsid w:val="00974104"/>
    <w:rsid w:val="0097437B"/>
    <w:rsid w:val="009743AD"/>
    <w:rsid w:val="00974737"/>
    <w:rsid w:val="00974872"/>
    <w:rsid w:val="00974AC9"/>
    <w:rsid w:val="00974B36"/>
    <w:rsid w:val="00974D32"/>
    <w:rsid w:val="0097512A"/>
    <w:rsid w:val="0097525E"/>
    <w:rsid w:val="0097558B"/>
    <w:rsid w:val="0097563E"/>
    <w:rsid w:val="0097575C"/>
    <w:rsid w:val="00975842"/>
    <w:rsid w:val="009758A4"/>
    <w:rsid w:val="009758F3"/>
    <w:rsid w:val="00975946"/>
    <w:rsid w:val="009759B5"/>
    <w:rsid w:val="00975A63"/>
    <w:rsid w:val="00975A73"/>
    <w:rsid w:val="00975B2E"/>
    <w:rsid w:val="00975B96"/>
    <w:rsid w:val="00975C7A"/>
    <w:rsid w:val="00975E28"/>
    <w:rsid w:val="0097606D"/>
    <w:rsid w:val="009762FF"/>
    <w:rsid w:val="00976388"/>
    <w:rsid w:val="009764A6"/>
    <w:rsid w:val="009765FA"/>
    <w:rsid w:val="0097670E"/>
    <w:rsid w:val="009768AF"/>
    <w:rsid w:val="00976E14"/>
    <w:rsid w:val="0097752B"/>
    <w:rsid w:val="009776C6"/>
    <w:rsid w:val="00977838"/>
    <w:rsid w:val="00977938"/>
    <w:rsid w:val="009779AF"/>
    <w:rsid w:val="00977B51"/>
    <w:rsid w:val="00977B7C"/>
    <w:rsid w:val="00977C14"/>
    <w:rsid w:val="00977C7F"/>
    <w:rsid w:val="00977D54"/>
    <w:rsid w:val="00977DA3"/>
    <w:rsid w:val="00977E1A"/>
    <w:rsid w:val="0098003D"/>
    <w:rsid w:val="009801D0"/>
    <w:rsid w:val="0098046D"/>
    <w:rsid w:val="00980524"/>
    <w:rsid w:val="00980648"/>
    <w:rsid w:val="00980759"/>
    <w:rsid w:val="00980926"/>
    <w:rsid w:val="00980A82"/>
    <w:rsid w:val="00980A8D"/>
    <w:rsid w:val="00980BC8"/>
    <w:rsid w:val="00980CAD"/>
    <w:rsid w:val="00980F00"/>
    <w:rsid w:val="00980F87"/>
    <w:rsid w:val="009810BB"/>
    <w:rsid w:val="0098121E"/>
    <w:rsid w:val="00981427"/>
    <w:rsid w:val="00981453"/>
    <w:rsid w:val="00981467"/>
    <w:rsid w:val="0098169F"/>
    <w:rsid w:val="009816E6"/>
    <w:rsid w:val="00981763"/>
    <w:rsid w:val="00981AC9"/>
    <w:rsid w:val="00981FE2"/>
    <w:rsid w:val="0098207C"/>
    <w:rsid w:val="00982098"/>
    <w:rsid w:val="009820DD"/>
    <w:rsid w:val="00982289"/>
    <w:rsid w:val="00982429"/>
    <w:rsid w:val="00982469"/>
    <w:rsid w:val="00982565"/>
    <w:rsid w:val="00982643"/>
    <w:rsid w:val="0098275E"/>
    <w:rsid w:val="009828BC"/>
    <w:rsid w:val="0098293F"/>
    <w:rsid w:val="009829AA"/>
    <w:rsid w:val="00982E95"/>
    <w:rsid w:val="00982F59"/>
    <w:rsid w:val="00983536"/>
    <w:rsid w:val="00983590"/>
    <w:rsid w:val="0098372B"/>
    <w:rsid w:val="009837A0"/>
    <w:rsid w:val="00983911"/>
    <w:rsid w:val="00983991"/>
    <w:rsid w:val="00984369"/>
    <w:rsid w:val="00984441"/>
    <w:rsid w:val="009844CF"/>
    <w:rsid w:val="009846F5"/>
    <w:rsid w:val="00984786"/>
    <w:rsid w:val="00984795"/>
    <w:rsid w:val="00984B9C"/>
    <w:rsid w:val="00984D7E"/>
    <w:rsid w:val="00984DD8"/>
    <w:rsid w:val="00984E47"/>
    <w:rsid w:val="00984FCC"/>
    <w:rsid w:val="009850A1"/>
    <w:rsid w:val="009853C1"/>
    <w:rsid w:val="009855A2"/>
    <w:rsid w:val="0098568A"/>
    <w:rsid w:val="009856DE"/>
    <w:rsid w:val="009856F5"/>
    <w:rsid w:val="009858E3"/>
    <w:rsid w:val="00985970"/>
    <w:rsid w:val="00985B4B"/>
    <w:rsid w:val="00985C8A"/>
    <w:rsid w:val="00985DF6"/>
    <w:rsid w:val="00985E88"/>
    <w:rsid w:val="00985EB4"/>
    <w:rsid w:val="00986259"/>
    <w:rsid w:val="009862BA"/>
    <w:rsid w:val="00986659"/>
    <w:rsid w:val="00986D59"/>
    <w:rsid w:val="00986D80"/>
    <w:rsid w:val="00986F4D"/>
    <w:rsid w:val="009871F7"/>
    <w:rsid w:val="009873B4"/>
    <w:rsid w:val="009874AE"/>
    <w:rsid w:val="00987B7D"/>
    <w:rsid w:val="00987E5A"/>
    <w:rsid w:val="00990029"/>
    <w:rsid w:val="0099014C"/>
    <w:rsid w:val="00990249"/>
    <w:rsid w:val="0099049B"/>
    <w:rsid w:val="009904DC"/>
    <w:rsid w:val="0099051B"/>
    <w:rsid w:val="00990690"/>
    <w:rsid w:val="00990785"/>
    <w:rsid w:val="0099085F"/>
    <w:rsid w:val="009908B3"/>
    <w:rsid w:val="00990986"/>
    <w:rsid w:val="00990A90"/>
    <w:rsid w:val="00990B35"/>
    <w:rsid w:val="00990BA3"/>
    <w:rsid w:val="00990BAF"/>
    <w:rsid w:val="00990C9C"/>
    <w:rsid w:val="00991334"/>
    <w:rsid w:val="0099146C"/>
    <w:rsid w:val="00991B07"/>
    <w:rsid w:val="0099259E"/>
    <w:rsid w:val="009925DB"/>
    <w:rsid w:val="00992B3A"/>
    <w:rsid w:val="00992B93"/>
    <w:rsid w:val="00992C60"/>
    <w:rsid w:val="00992F99"/>
    <w:rsid w:val="009930F9"/>
    <w:rsid w:val="00993114"/>
    <w:rsid w:val="009931D2"/>
    <w:rsid w:val="0099393A"/>
    <w:rsid w:val="0099399E"/>
    <w:rsid w:val="00993ACA"/>
    <w:rsid w:val="00993ACC"/>
    <w:rsid w:val="00993B72"/>
    <w:rsid w:val="00993BD7"/>
    <w:rsid w:val="00993CA5"/>
    <w:rsid w:val="00993CC9"/>
    <w:rsid w:val="00994066"/>
    <w:rsid w:val="009940A4"/>
    <w:rsid w:val="00994319"/>
    <w:rsid w:val="0099459B"/>
    <w:rsid w:val="00994B90"/>
    <w:rsid w:val="00994CE1"/>
    <w:rsid w:val="00994F0B"/>
    <w:rsid w:val="009953F4"/>
    <w:rsid w:val="00995AD7"/>
    <w:rsid w:val="00995DB0"/>
    <w:rsid w:val="00995E2E"/>
    <w:rsid w:val="00995E3A"/>
    <w:rsid w:val="009962D8"/>
    <w:rsid w:val="0099640E"/>
    <w:rsid w:val="0099663E"/>
    <w:rsid w:val="0099674D"/>
    <w:rsid w:val="00996898"/>
    <w:rsid w:val="0099697F"/>
    <w:rsid w:val="00996C6B"/>
    <w:rsid w:val="00996D2B"/>
    <w:rsid w:val="00996DE6"/>
    <w:rsid w:val="00997A2C"/>
    <w:rsid w:val="00997A9E"/>
    <w:rsid w:val="00997ABD"/>
    <w:rsid w:val="00997AC5"/>
    <w:rsid w:val="00997C1F"/>
    <w:rsid w:val="00997D7F"/>
    <w:rsid w:val="009A003A"/>
    <w:rsid w:val="009A0372"/>
    <w:rsid w:val="009A0374"/>
    <w:rsid w:val="009A058D"/>
    <w:rsid w:val="009A0AC0"/>
    <w:rsid w:val="009A0BB1"/>
    <w:rsid w:val="009A0C9F"/>
    <w:rsid w:val="009A0D27"/>
    <w:rsid w:val="009A0EF1"/>
    <w:rsid w:val="009A1166"/>
    <w:rsid w:val="009A12CE"/>
    <w:rsid w:val="009A1485"/>
    <w:rsid w:val="009A14CC"/>
    <w:rsid w:val="009A1566"/>
    <w:rsid w:val="009A1572"/>
    <w:rsid w:val="009A1740"/>
    <w:rsid w:val="009A19B7"/>
    <w:rsid w:val="009A1B9E"/>
    <w:rsid w:val="009A1CCE"/>
    <w:rsid w:val="009A1EC5"/>
    <w:rsid w:val="009A2121"/>
    <w:rsid w:val="009A2132"/>
    <w:rsid w:val="009A216B"/>
    <w:rsid w:val="009A218B"/>
    <w:rsid w:val="009A230D"/>
    <w:rsid w:val="009A234F"/>
    <w:rsid w:val="009A2453"/>
    <w:rsid w:val="009A27CA"/>
    <w:rsid w:val="009A289E"/>
    <w:rsid w:val="009A292D"/>
    <w:rsid w:val="009A2B50"/>
    <w:rsid w:val="009A2CC8"/>
    <w:rsid w:val="009A2D5A"/>
    <w:rsid w:val="009A2E24"/>
    <w:rsid w:val="009A3020"/>
    <w:rsid w:val="009A3066"/>
    <w:rsid w:val="009A3096"/>
    <w:rsid w:val="009A32AB"/>
    <w:rsid w:val="009A33F4"/>
    <w:rsid w:val="009A340E"/>
    <w:rsid w:val="009A3692"/>
    <w:rsid w:val="009A3829"/>
    <w:rsid w:val="009A3B35"/>
    <w:rsid w:val="009A3D22"/>
    <w:rsid w:val="009A3E7C"/>
    <w:rsid w:val="009A4305"/>
    <w:rsid w:val="009A430D"/>
    <w:rsid w:val="009A4872"/>
    <w:rsid w:val="009A49BE"/>
    <w:rsid w:val="009A49C6"/>
    <w:rsid w:val="009A4C34"/>
    <w:rsid w:val="009A4CDD"/>
    <w:rsid w:val="009A4D24"/>
    <w:rsid w:val="009A4E5C"/>
    <w:rsid w:val="009A4FCB"/>
    <w:rsid w:val="009A503F"/>
    <w:rsid w:val="009A5344"/>
    <w:rsid w:val="009A53B6"/>
    <w:rsid w:val="009A541E"/>
    <w:rsid w:val="009A580E"/>
    <w:rsid w:val="009A5837"/>
    <w:rsid w:val="009A5979"/>
    <w:rsid w:val="009A5A74"/>
    <w:rsid w:val="009A5C96"/>
    <w:rsid w:val="009A5CF2"/>
    <w:rsid w:val="009A6166"/>
    <w:rsid w:val="009A63E5"/>
    <w:rsid w:val="009A6442"/>
    <w:rsid w:val="009A65DF"/>
    <w:rsid w:val="009A67A0"/>
    <w:rsid w:val="009A68A4"/>
    <w:rsid w:val="009A6A4D"/>
    <w:rsid w:val="009A6B69"/>
    <w:rsid w:val="009A6BCA"/>
    <w:rsid w:val="009A6CBD"/>
    <w:rsid w:val="009A6D99"/>
    <w:rsid w:val="009A6F74"/>
    <w:rsid w:val="009A70A3"/>
    <w:rsid w:val="009A7241"/>
    <w:rsid w:val="009A75F6"/>
    <w:rsid w:val="009A7C36"/>
    <w:rsid w:val="009B00A3"/>
    <w:rsid w:val="009B0392"/>
    <w:rsid w:val="009B0442"/>
    <w:rsid w:val="009B0768"/>
    <w:rsid w:val="009B0786"/>
    <w:rsid w:val="009B090E"/>
    <w:rsid w:val="009B0954"/>
    <w:rsid w:val="009B0A34"/>
    <w:rsid w:val="009B0AAD"/>
    <w:rsid w:val="009B0AB1"/>
    <w:rsid w:val="009B0DA0"/>
    <w:rsid w:val="009B0DAF"/>
    <w:rsid w:val="009B14E7"/>
    <w:rsid w:val="009B1777"/>
    <w:rsid w:val="009B1859"/>
    <w:rsid w:val="009B19A0"/>
    <w:rsid w:val="009B1C16"/>
    <w:rsid w:val="009B1C23"/>
    <w:rsid w:val="009B209D"/>
    <w:rsid w:val="009B2138"/>
    <w:rsid w:val="009B2216"/>
    <w:rsid w:val="009B233C"/>
    <w:rsid w:val="009B2425"/>
    <w:rsid w:val="009B2796"/>
    <w:rsid w:val="009B29CE"/>
    <w:rsid w:val="009B2CAE"/>
    <w:rsid w:val="009B2D0C"/>
    <w:rsid w:val="009B2E5B"/>
    <w:rsid w:val="009B2F7B"/>
    <w:rsid w:val="009B30A0"/>
    <w:rsid w:val="009B3196"/>
    <w:rsid w:val="009B32F5"/>
    <w:rsid w:val="009B3342"/>
    <w:rsid w:val="009B3775"/>
    <w:rsid w:val="009B3937"/>
    <w:rsid w:val="009B4034"/>
    <w:rsid w:val="009B42CF"/>
    <w:rsid w:val="009B4363"/>
    <w:rsid w:val="009B4496"/>
    <w:rsid w:val="009B4585"/>
    <w:rsid w:val="009B4844"/>
    <w:rsid w:val="009B4889"/>
    <w:rsid w:val="009B4AB6"/>
    <w:rsid w:val="009B4C3A"/>
    <w:rsid w:val="009B52C8"/>
    <w:rsid w:val="009B5591"/>
    <w:rsid w:val="009B56F6"/>
    <w:rsid w:val="009B577A"/>
    <w:rsid w:val="009B5857"/>
    <w:rsid w:val="009B5962"/>
    <w:rsid w:val="009B5973"/>
    <w:rsid w:val="009B5AC4"/>
    <w:rsid w:val="009B5F55"/>
    <w:rsid w:val="009B620A"/>
    <w:rsid w:val="009B66C8"/>
    <w:rsid w:val="009B66D3"/>
    <w:rsid w:val="009B68CF"/>
    <w:rsid w:val="009B694A"/>
    <w:rsid w:val="009B69B0"/>
    <w:rsid w:val="009B7170"/>
    <w:rsid w:val="009B72EA"/>
    <w:rsid w:val="009B7386"/>
    <w:rsid w:val="009B75E9"/>
    <w:rsid w:val="009B7839"/>
    <w:rsid w:val="009B79DD"/>
    <w:rsid w:val="009B7C99"/>
    <w:rsid w:val="009B7D3C"/>
    <w:rsid w:val="009B7DC5"/>
    <w:rsid w:val="009B7E54"/>
    <w:rsid w:val="009B7EC5"/>
    <w:rsid w:val="009C0498"/>
    <w:rsid w:val="009C052D"/>
    <w:rsid w:val="009C0577"/>
    <w:rsid w:val="009C071B"/>
    <w:rsid w:val="009C0C1A"/>
    <w:rsid w:val="009C0C61"/>
    <w:rsid w:val="009C0CC4"/>
    <w:rsid w:val="009C0F03"/>
    <w:rsid w:val="009C12C3"/>
    <w:rsid w:val="009C1369"/>
    <w:rsid w:val="009C1423"/>
    <w:rsid w:val="009C1A0D"/>
    <w:rsid w:val="009C1AA1"/>
    <w:rsid w:val="009C1BAB"/>
    <w:rsid w:val="009C1D3B"/>
    <w:rsid w:val="009C2059"/>
    <w:rsid w:val="009C217A"/>
    <w:rsid w:val="009C22B1"/>
    <w:rsid w:val="009C2369"/>
    <w:rsid w:val="009C277E"/>
    <w:rsid w:val="009C293A"/>
    <w:rsid w:val="009C29ED"/>
    <w:rsid w:val="009C2A3F"/>
    <w:rsid w:val="009C2EC9"/>
    <w:rsid w:val="009C2F69"/>
    <w:rsid w:val="009C301F"/>
    <w:rsid w:val="009C3029"/>
    <w:rsid w:val="009C30B4"/>
    <w:rsid w:val="009C311B"/>
    <w:rsid w:val="009C321A"/>
    <w:rsid w:val="009C32EB"/>
    <w:rsid w:val="009C3410"/>
    <w:rsid w:val="009C353F"/>
    <w:rsid w:val="009C3672"/>
    <w:rsid w:val="009C37D3"/>
    <w:rsid w:val="009C404F"/>
    <w:rsid w:val="009C4176"/>
    <w:rsid w:val="009C42F4"/>
    <w:rsid w:val="009C441A"/>
    <w:rsid w:val="009C46DB"/>
    <w:rsid w:val="009C4756"/>
    <w:rsid w:val="009C49C0"/>
    <w:rsid w:val="009C4C45"/>
    <w:rsid w:val="009C4C62"/>
    <w:rsid w:val="009C4D08"/>
    <w:rsid w:val="009C4F22"/>
    <w:rsid w:val="009C518E"/>
    <w:rsid w:val="009C54F5"/>
    <w:rsid w:val="009C57C7"/>
    <w:rsid w:val="009C58C8"/>
    <w:rsid w:val="009C5A8F"/>
    <w:rsid w:val="009C5B26"/>
    <w:rsid w:val="009C5BD3"/>
    <w:rsid w:val="009C5DB5"/>
    <w:rsid w:val="009C61B8"/>
    <w:rsid w:val="009C61F4"/>
    <w:rsid w:val="009C69B5"/>
    <w:rsid w:val="009C6BFD"/>
    <w:rsid w:val="009C710E"/>
    <w:rsid w:val="009C7477"/>
    <w:rsid w:val="009C74AD"/>
    <w:rsid w:val="009C7575"/>
    <w:rsid w:val="009C7D64"/>
    <w:rsid w:val="009C7F16"/>
    <w:rsid w:val="009C7FB8"/>
    <w:rsid w:val="009D00AC"/>
    <w:rsid w:val="009D0166"/>
    <w:rsid w:val="009D02E2"/>
    <w:rsid w:val="009D02F0"/>
    <w:rsid w:val="009D03D9"/>
    <w:rsid w:val="009D057F"/>
    <w:rsid w:val="009D06E8"/>
    <w:rsid w:val="009D081C"/>
    <w:rsid w:val="009D0A06"/>
    <w:rsid w:val="009D0A54"/>
    <w:rsid w:val="009D0B83"/>
    <w:rsid w:val="009D13D1"/>
    <w:rsid w:val="009D13DF"/>
    <w:rsid w:val="009D166F"/>
    <w:rsid w:val="009D1705"/>
    <w:rsid w:val="009D17F1"/>
    <w:rsid w:val="009D195E"/>
    <w:rsid w:val="009D1A26"/>
    <w:rsid w:val="009D1B87"/>
    <w:rsid w:val="009D1BA0"/>
    <w:rsid w:val="009D1F6E"/>
    <w:rsid w:val="009D22B5"/>
    <w:rsid w:val="009D23CF"/>
    <w:rsid w:val="009D2416"/>
    <w:rsid w:val="009D2770"/>
    <w:rsid w:val="009D2A2D"/>
    <w:rsid w:val="009D2C36"/>
    <w:rsid w:val="009D2DAC"/>
    <w:rsid w:val="009D2EA6"/>
    <w:rsid w:val="009D2F43"/>
    <w:rsid w:val="009D302E"/>
    <w:rsid w:val="009D3165"/>
    <w:rsid w:val="009D3226"/>
    <w:rsid w:val="009D3237"/>
    <w:rsid w:val="009D335A"/>
    <w:rsid w:val="009D33A6"/>
    <w:rsid w:val="009D34FA"/>
    <w:rsid w:val="009D360C"/>
    <w:rsid w:val="009D3628"/>
    <w:rsid w:val="009D3716"/>
    <w:rsid w:val="009D3C3E"/>
    <w:rsid w:val="009D4390"/>
    <w:rsid w:val="009D4601"/>
    <w:rsid w:val="009D4634"/>
    <w:rsid w:val="009D4777"/>
    <w:rsid w:val="009D4C2A"/>
    <w:rsid w:val="009D4E49"/>
    <w:rsid w:val="009D5544"/>
    <w:rsid w:val="009D55A3"/>
    <w:rsid w:val="009D58EC"/>
    <w:rsid w:val="009D59D0"/>
    <w:rsid w:val="009D5B49"/>
    <w:rsid w:val="009D5BCA"/>
    <w:rsid w:val="009D5D9D"/>
    <w:rsid w:val="009D5F3B"/>
    <w:rsid w:val="009D60C1"/>
    <w:rsid w:val="009D6118"/>
    <w:rsid w:val="009D62F6"/>
    <w:rsid w:val="009D630F"/>
    <w:rsid w:val="009D6366"/>
    <w:rsid w:val="009D640A"/>
    <w:rsid w:val="009D6689"/>
    <w:rsid w:val="009D66B4"/>
    <w:rsid w:val="009D674A"/>
    <w:rsid w:val="009D6903"/>
    <w:rsid w:val="009D6914"/>
    <w:rsid w:val="009D6B76"/>
    <w:rsid w:val="009D6F3F"/>
    <w:rsid w:val="009D70AD"/>
    <w:rsid w:val="009D720C"/>
    <w:rsid w:val="009D726F"/>
    <w:rsid w:val="009D7582"/>
    <w:rsid w:val="009D75A6"/>
    <w:rsid w:val="009D76D6"/>
    <w:rsid w:val="009D76F2"/>
    <w:rsid w:val="009D7A6F"/>
    <w:rsid w:val="009D7A94"/>
    <w:rsid w:val="009D7AA4"/>
    <w:rsid w:val="009D7B2E"/>
    <w:rsid w:val="009D7BE2"/>
    <w:rsid w:val="009D7DBA"/>
    <w:rsid w:val="009D7ECE"/>
    <w:rsid w:val="009D7F55"/>
    <w:rsid w:val="009E025F"/>
    <w:rsid w:val="009E02B0"/>
    <w:rsid w:val="009E0622"/>
    <w:rsid w:val="009E08AE"/>
    <w:rsid w:val="009E08B8"/>
    <w:rsid w:val="009E0EBA"/>
    <w:rsid w:val="009E0F35"/>
    <w:rsid w:val="009E13A5"/>
    <w:rsid w:val="009E189E"/>
    <w:rsid w:val="009E1A3C"/>
    <w:rsid w:val="009E1A84"/>
    <w:rsid w:val="009E1C22"/>
    <w:rsid w:val="009E1CF5"/>
    <w:rsid w:val="009E20CB"/>
    <w:rsid w:val="009E2481"/>
    <w:rsid w:val="009E2545"/>
    <w:rsid w:val="009E25E2"/>
    <w:rsid w:val="009E2636"/>
    <w:rsid w:val="009E26CC"/>
    <w:rsid w:val="009E2D54"/>
    <w:rsid w:val="009E309C"/>
    <w:rsid w:val="009E33D8"/>
    <w:rsid w:val="009E34F0"/>
    <w:rsid w:val="009E3516"/>
    <w:rsid w:val="009E366C"/>
    <w:rsid w:val="009E36CB"/>
    <w:rsid w:val="009E37E4"/>
    <w:rsid w:val="009E3890"/>
    <w:rsid w:val="009E3916"/>
    <w:rsid w:val="009E3ACD"/>
    <w:rsid w:val="009E3AD8"/>
    <w:rsid w:val="009E3BFA"/>
    <w:rsid w:val="009E3C7E"/>
    <w:rsid w:val="009E3EC3"/>
    <w:rsid w:val="009E4112"/>
    <w:rsid w:val="009E43E8"/>
    <w:rsid w:val="009E4424"/>
    <w:rsid w:val="009E44CB"/>
    <w:rsid w:val="009E453A"/>
    <w:rsid w:val="009E4707"/>
    <w:rsid w:val="009E48B9"/>
    <w:rsid w:val="009E4C70"/>
    <w:rsid w:val="009E52EE"/>
    <w:rsid w:val="009E5309"/>
    <w:rsid w:val="009E5377"/>
    <w:rsid w:val="009E539D"/>
    <w:rsid w:val="009E5521"/>
    <w:rsid w:val="009E5573"/>
    <w:rsid w:val="009E558E"/>
    <w:rsid w:val="009E55D7"/>
    <w:rsid w:val="009E574D"/>
    <w:rsid w:val="009E5771"/>
    <w:rsid w:val="009E588A"/>
    <w:rsid w:val="009E5A8E"/>
    <w:rsid w:val="009E5C88"/>
    <w:rsid w:val="009E5D7E"/>
    <w:rsid w:val="009E5DD6"/>
    <w:rsid w:val="009E5E26"/>
    <w:rsid w:val="009E5E6C"/>
    <w:rsid w:val="009E5FD9"/>
    <w:rsid w:val="009E61CD"/>
    <w:rsid w:val="009E65F2"/>
    <w:rsid w:val="009E6E04"/>
    <w:rsid w:val="009E6EC4"/>
    <w:rsid w:val="009E6FBD"/>
    <w:rsid w:val="009E70BC"/>
    <w:rsid w:val="009E7154"/>
    <w:rsid w:val="009E7291"/>
    <w:rsid w:val="009E7696"/>
    <w:rsid w:val="009E7770"/>
    <w:rsid w:val="009E7858"/>
    <w:rsid w:val="009E788C"/>
    <w:rsid w:val="009E7982"/>
    <w:rsid w:val="009E7A04"/>
    <w:rsid w:val="009E7BD7"/>
    <w:rsid w:val="009E7D38"/>
    <w:rsid w:val="009F0008"/>
    <w:rsid w:val="009F035C"/>
    <w:rsid w:val="009F0381"/>
    <w:rsid w:val="009F0597"/>
    <w:rsid w:val="009F0694"/>
    <w:rsid w:val="009F074B"/>
    <w:rsid w:val="009F085D"/>
    <w:rsid w:val="009F09BC"/>
    <w:rsid w:val="009F0AC3"/>
    <w:rsid w:val="009F0B22"/>
    <w:rsid w:val="009F0D70"/>
    <w:rsid w:val="009F1293"/>
    <w:rsid w:val="009F1308"/>
    <w:rsid w:val="009F1314"/>
    <w:rsid w:val="009F1330"/>
    <w:rsid w:val="009F13FF"/>
    <w:rsid w:val="009F18C8"/>
    <w:rsid w:val="009F193A"/>
    <w:rsid w:val="009F1BF4"/>
    <w:rsid w:val="009F1DA6"/>
    <w:rsid w:val="009F1E78"/>
    <w:rsid w:val="009F1F78"/>
    <w:rsid w:val="009F29F8"/>
    <w:rsid w:val="009F2BA3"/>
    <w:rsid w:val="009F2BAC"/>
    <w:rsid w:val="009F2D48"/>
    <w:rsid w:val="009F2FB0"/>
    <w:rsid w:val="009F30C8"/>
    <w:rsid w:val="009F34A0"/>
    <w:rsid w:val="009F3631"/>
    <w:rsid w:val="009F363C"/>
    <w:rsid w:val="009F3790"/>
    <w:rsid w:val="009F3A97"/>
    <w:rsid w:val="009F3C6F"/>
    <w:rsid w:val="009F3D92"/>
    <w:rsid w:val="009F3ECB"/>
    <w:rsid w:val="009F4557"/>
    <w:rsid w:val="009F455D"/>
    <w:rsid w:val="009F476C"/>
    <w:rsid w:val="009F484A"/>
    <w:rsid w:val="009F488F"/>
    <w:rsid w:val="009F4B7F"/>
    <w:rsid w:val="009F4CFA"/>
    <w:rsid w:val="009F52CA"/>
    <w:rsid w:val="009F55D1"/>
    <w:rsid w:val="009F56E5"/>
    <w:rsid w:val="009F586C"/>
    <w:rsid w:val="009F589E"/>
    <w:rsid w:val="009F596B"/>
    <w:rsid w:val="009F5D30"/>
    <w:rsid w:val="009F5E9C"/>
    <w:rsid w:val="009F62D4"/>
    <w:rsid w:val="009F639D"/>
    <w:rsid w:val="009F6496"/>
    <w:rsid w:val="009F64B8"/>
    <w:rsid w:val="009F6550"/>
    <w:rsid w:val="009F6599"/>
    <w:rsid w:val="009F6718"/>
    <w:rsid w:val="009F67B7"/>
    <w:rsid w:val="009F682E"/>
    <w:rsid w:val="009F6897"/>
    <w:rsid w:val="009F6C10"/>
    <w:rsid w:val="009F6C3B"/>
    <w:rsid w:val="009F71C8"/>
    <w:rsid w:val="009F71F2"/>
    <w:rsid w:val="009F72A1"/>
    <w:rsid w:val="009F73F5"/>
    <w:rsid w:val="009F76C0"/>
    <w:rsid w:val="009F787E"/>
    <w:rsid w:val="009F7A90"/>
    <w:rsid w:val="009F7BBE"/>
    <w:rsid w:val="009F7C18"/>
    <w:rsid w:val="009F7CEB"/>
    <w:rsid w:val="009F7DDD"/>
    <w:rsid w:val="009F7F4A"/>
    <w:rsid w:val="00A001E4"/>
    <w:rsid w:val="00A00244"/>
    <w:rsid w:val="00A0063F"/>
    <w:rsid w:val="00A0074B"/>
    <w:rsid w:val="00A00758"/>
    <w:rsid w:val="00A00887"/>
    <w:rsid w:val="00A008F7"/>
    <w:rsid w:val="00A00ADF"/>
    <w:rsid w:val="00A00B39"/>
    <w:rsid w:val="00A00C45"/>
    <w:rsid w:val="00A00D07"/>
    <w:rsid w:val="00A00D6B"/>
    <w:rsid w:val="00A00E5B"/>
    <w:rsid w:val="00A018DA"/>
    <w:rsid w:val="00A01B70"/>
    <w:rsid w:val="00A01DFF"/>
    <w:rsid w:val="00A02176"/>
    <w:rsid w:val="00A023E2"/>
    <w:rsid w:val="00A026A2"/>
    <w:rsid w:val="00A026B2"/>
    <w:rsid w:val="00A02781"/>
    <w:rsid w:val="00A02878"/>
    <w:rsid w:val="00A02CB9"/>
    <w:rsid w:val="00A02E7A"/>
    <w:rsid w:val="00A03203"/>
    <w:rsid w:val="00A03256"/>
    <w:rsid w:val="00A03258"/>
    <w:rsid w:val="00A03307"/>
    <w:rsid w:val="00A03462"/>
    <w:rsid w:val="00A03552"/>
    <w:rsid w:val="00A035A0"/>
    <w:rsid w:val="00A03814"/>
    <w:rsid w:val="00A0389A"/>
    <w:rsid w:val="00A03960"/>
    <w:rsid w:val="00A03BE4"/>
    <w:rsid w:val="00A03C08"/>
    <w:rsid w:val="00A04040"/>
    <w:rsid w:val="00A040FD"/>
    <w:rsid w:val="00A04253"/>
    <w:rsid w:val="00A0426A"/>
    <w:rsid w:val="00A04294"/>
    <w:rsid w:val="00A04417"/>
    <w:rsid w:val="00A0482B"/>
    <w:rsid w:val="00A04B69"/>
    <w:rsid w:val="00A04C0D"/>
    <w:rsid w:val="00A04D6E"/>
    <w:rsid w:val="00A04DC6"/>
    <w:rsid w:val="00A04F55"/>
    <w:rsid w:val="00A05179"/>
    <w:rsid w:val="00A05244"/>
    <w:rsid w:val="00A052A9"/>
    <w:rsid w:val="00A0532E"/>
    <w:rsid w:val="00A053AC"/>
    <w:rsid w:val="00A0543E"/>
    <w:rsid w:val="00A0556F"/>
    <w:rsid w:val="00A05CD0"/>
    <w:rsid w:val="00A05EB9"/>
    <w:rsid w:val="00A061BD"/>
    <w:rsid w:val="00A061F5"/>
    <w:rsid w:val="00A062C9"/>
    <w:rsid w:val="00A06695"/>
    <w:rsid w:val="00A0695B"/>
    <w:rsid w:val="00A06995"/>
    <w:rsid w:val="00A06AD5"/>
    <w:rsid w:val="00A06BB6"/>
    <w:rsid w:val="00A06BD0"/>
    <w:rsid w:val="00A06D38"/>
    <w:rsid w:val="00A06D68"/>
    <w:rsid w:val="00A06D7D"/>
    <w:rsid w:val="00A06F3B"/>
    <w:rsid w:val="00A07053"/>
    <w:rsid w:val="00A072A3"/>
    <w:rsid w:val="00A07327"/>
    <w:rsid w:val="00A0751A"/>
    <w:rsid w:val="00A0771D"/>
    <w:rsid w:val="00A078B4"/>
    <w:rsid w:val="00A07A96"/>
    <w:rsid w:val="00A07D71"/>
    <w:rsid w:val="00A1010E"/>
    <w:rsid w:val="00A10181"/>
    <w:rsid w:val="00A1022B"/>
    <w:rsid w:val="00A103EF"/>
    <w:rsid w:val="00A10460"/>
    <w:rsid w:val="00A10491"/>
    <w:rsid w:val="00A105F9"/>
    <w:rsid w:val="00A106C9"/>
    <w:rsid w:val="00A1091A"/>
    <w:rsid w:val="00A10B3A"/>
    <w:rsid w:val="00A10B51"/>
    <w:rsid w:val="00A10FBF"/>
    <w:rsid w:val="00A110F1"/>
    <w:rsid w:val="00A115F5"/>
    <w:rsid w:val="00A1168F"/>
    <w:rsid w:val="00A11A72"/>
    <w:rsid w:val="00A11A8F"/>
    <w:rsid w:val="00A11F2B"/>
    <w:rsid w:val="00A11FA1"/>
    <w:rsid w:val="00A121CC"/>
    <w:rsid w:val="00A125B2"/>
    <w:rsid w:val="00A1265E"/>
    <w:rsid w:val="00A1282C"/>
    <w:rsid w:val="00A12983"/>
    <w:rsid w:val="00A12A44"/>
    <w:rsid w:val="00A12AE2"/>
    <w:rsid w:val="00A12C59"/>
    <w:rsid w:val="00A12CA2"/>
    <w:rsid w:val="00A12DA4"/>
    <w:rsid w:val="00A137BB"/>
    <w:rsid w:val="00A1387B"/>
    <w:rsid w:val="00A13E16"/>
    <w:rsid w:val="00A13FA9"/>
    <w:rsid w:val="00A143C7"/>
    <w:rsid w:val="00A14464"/>
    <w:rsid w:val="00A1457D"/>
    <w:rsid w:val="00A1471D"/>
    <w:rsid w:val="00A149AA"/>
    <w:rsid w:val="00A14A96"/>
    <w:rsid w:val="00A14BA9"/>
    <w:rsid w:val="00A14C29"/>
    <w:rsid w:val="00A14C83"/>
    <w:rsid w:val="00A14FB9"/>
    <w:rsid w:val="00A150EE"/>
    <w:rsid w:val="00A1560C"/>
    <w:rsid w:val="00A158AF"/>
    <w:rsid w:val="00A15996"/>
    <w:rsid w:val="00A15B51"/>
    <w:rsid w:val="00A15D12"/>
    <w:rsid w:val="00A15FF3"/>
    <w:rsid w:val="00A161A2"/>
    <w:rsid w:val="00A1621A"/>
    <w:rsid w:val="00A1656D"/>
    <w:rsid w:val="00A16638"/>
    <w:rsid w:val="00A16747"/>
    <w:rsid w:val="00A16B3D"/>
    <w:rsid w:val="00A16C22"/>
    <w:rsid w:val="00A16EE8"/>
    <w:rsid w:val="00A170B4"/>
    <w:rsid w:val="00A171BE"/>
    <w:rsid w:val="00A172C4"/>
    <w:rsid w:val="00A17490"/>
    <w:rsid w:val="00A178A7"/>
    <w:rsid w:val="00A179C8"/>
    <w:rsid w:val="00A17A10"/>
    <w:rsid w:val="00A17AB4"/>
    <w:rsid w:val="00A17C07"/>
    <w:rsid w:val="00A17C42"/>
    <w:rsid w:val="00A17E79"/>
    <w:rsid w:val="00A17EB5"/>
    <w:rsid w:val="00A17F96"/>
    <w:rsid w:val="00A2042E"/>
    <w:rsid w:val="00A20713"/>
    <w:rsid w:val="00A20B1A"/>
    <w:rsid w:val="00A20B9A"/>
    <w:rsid w:val="00A20BAC"/>
    <w:rsid w:val="00A20F23"/>
    <w:rsid w:val="00A20FDE"/>
    <w:rsid w:val="00A2136F"/>
    <w:rsid w:val="00A216F9"/>
    <w:rsid w:val="00A217FA"/>
    <w:rsid w:val="00A21901"/>
    <w:rsid w:val="00A2196F"/>
    <w:rsid w:val="00A21A90"/>
    <w:rsid w:val="00A21BC1"/>
    <w:rsid w:val="00A21D67"/>
    <w:rsid w:val="00A21E5D"/>
    <w:rsid w:val="00A21F4B"/>
    <w:rsid w:val="00A2219F"/>
    <w:rsid w:val="00A22422"/>
    <w:rsid w:val="00A22604"/>
    <w:rsid w:val="00A2279E"/>
    <w:rsid w:val="00A2294A"/>
    <w:rsid w:val="00A22A39"/>
    <w:rsid w:val="00A22C89"/>
    <w:rsid w:val="00A22D23"/>
    <w:rsid w:val="00A2315A"/>
    <w:rsid w:val="00A23238"/>
    <w:rsid w:val="00A23347"/>
    <w:rsid w:val="00A239A0"/>
    <w:rsid w:val="00A23C3B"/>
    <w:rsid w:val="00A23C52"/>
    <w:rsid w:val="00A23E6F"/>
    <w:rsid w:val="00A241F3"/>
    <w:rsid w:val="00A24245"/>
    <w:rsid w:val="00A24342"/>
    <w:rsid w:val="00A24377"/>
    <w:rsid w:val="00A243EE"/>
    <w:rsid w:val="00A24462"/>
    <w:rsid w:val="00A244D9"/>
    <w:rsid w:val="00A24998"/>
    <w:rsid w:val="00A24AA0"/>
    <w:rsid w:val="00A24BF7"/>
    <w:rsid w:val="00A25230"/>
    <w:rsid w:val="00A25411"/>
    <w:rsid w:val="00A25813"/>
    <w:rsid w:val="00A25822"/>
    <w:rsid w:val="00A25826"/>
    <w:rsid w:val="00A258DC"/>
    <w:rsid w:val="00A258E7"/>
    <w:rsid w:val="00A25910"/>
    <w:rsid w:val="00A25DC7"/>
    <w:rsid w:val="00A25E07"/>
    <w:rsid w:val="00A25E4C"/>
    <w:rsid w:val="00A25F32"/>
    <w:rsid w:val="00A2616F"/>
    <w:rsid w:val="00A26196"/>
    <w:rsid w:val="00A2629E"/>
    <w:rsid w:val="00A26454"/>
    <w:rsid w:val="00A2672F"/>
    <w:rsid w:val="00A267FE"/>
    <w:rsid w:val="00A26A08"/>
    <w:rsid w:val="00A26A5C"/>
    <w:rsid w:val="00A26AFA"/>
    <w:rsid w:val="00A26E4A"/>
    <w:rsid w:val="00A279C4"/>
    <w:rsid w:val="00A27B23"/>
    <w:rsid w:val="00A27CE9"/>
    <w:rsid w:val="00A27EE0"/>
    <w:rsid w:val="00A30227"/>
    <w:rsid w:val="00A30489"/>
    <w:rsid w:val="00A3084A"/>
    <w:rsid w:val="00A30BA1"/>
    <w:rsid w:val="00A30C2F"/>
    <w:rsid w:val="00A30EA1"/>
    <w:rsid w:val="00A314A3"/>
    <w:rsid w:val="00A317C4"/>
    <w:rsid w:val="00A3181A"/>
    <w:rsid w:val="00A318EC"/>
    <w:rsid w:val="00A3197E"/>
    <w:rsid w:val="00A31D08"/>
    <w:rsid w:val="00A31EA6"/>
    <w:rsid w:val="00A31F4E"/>
    <w:rsid w:val="00A3228B"/>
    <w:rsid w:val="00A32540"/>
    <w:rsid w:val="00A32597"/>
    <w:rsid w:val="00A325C1"/>
    <w:rsid w:val="00A326F8"/>
    <w:rsid w:val="00A32921"/>
    <w:rsid w:val="00A3297D"/>
    <w:rsid w:val="00A32B96"/>
    <w:rsid w:val="00A32EC5"/>
    <w:rsid w:val="00A33030"/>
    <w:rsid w:val="00A33137"/>
    <w:rsid w:val="00A33294"/>
    <w:rsid w:val="00A332AB"/>
    <w:rsid w:val="00A33345"/>
    <w:rsid w:val="00A334B9"/>
    <w:rsid w:val="00A334CF"/>
    <w:rsid w:val="00A336F2"/>
    <w:rsid w:val="00A33951"/>
    <w:rsid w:val="00A33F0E"/>
    <w:rsid w:val="00A33FDC"/>
    <w:rsid w:val="00A34009"/>
    <w:rsid w:val="00A34023"/>
    <w:rsid w:val="00A3411A"/>
    <w:rsid w:val="00A34222"/>
    <w:rsid w:val="00A34263"/>
    <w:rsid w:val="00A342DF"/>
    <w:rsid w:val="00A343CD"/>
    <w:rsid w:val="00A34436"/>
    <w:rsid w:val="00A3445C"/>
    <w:rsid w:val="00A34533"/>
    <w:rsid w:val="00A34B9F"/>
    <w:rsid w:val="00A34D0E"/>
    <w:rsid w:val="00A34D57"/>
    <w:rsid w:val="00A34F06"/>
    <w:rsid w:val="00A34F84"/>
    <w:rsid w:val="00A35608"/>
    <w:rsid w:val="00A35716"/>
    <w:rsid w:val="00A35766"/>
    <w:rsid w:val="00A358A3"/>
    <w:rsid w:val="00A35ADB"/>
    <w:rsid w:val="00A35BED"/>
    <w:rsid w:val="00A35C1C"/>
    <w:rsid w:val="00A35F0E"/>
    <w:rsid w:val="00A35FE8"/>
    <w:rsid w:val="00A360F7"/>
    <w:rsid w:val="00A36139"/>
    <w:rsid w:val="00A362B3"/>
    <w:rsid w:val="00A3642E"/>
    <w:rsid w:val="00A365EF"/>
    <w:rsid w:val="00A366E6"/>
    <w:rsid w:val="00A368EC"/>
    <w:rsid w:val="00A36928"/>
    <w:rsid w:val="00A36A3C"/>
    <w:rsid w:val="00A36D75"/>
    <w:rsid w:val="00A36E62"/>
    <w:rsid w:val="00A36E67"/>
    <w:rsid w:val="00A370F3"/>
    <w:rsid w:val="00A370F9"/>
    <w:rsid w:val="00A371C6"/>
    <w:rsid w:val="00A37431"/>
    <w:rsid w:val="00A374CF"/>
    <w:rsid w:val="00A378D3"/>
    <w:rsid w:val="00A378F1"/>
    <w:rsid w:val="00A37F12"/>
    <w:rsid w:val="00A400B8"/>
    <w:rsid w:val="00A40278"/>
    <w:rsid w:val="00A40485"/>
    <w:rsid w:val="00A404CC"/>
    <w:rsid w:val="00A40599"/>
    <w:rsid w:val="00A405E0"/>
    <w:rsid w:val="00A40602"/>
    <w:rsid w:val="00A4077D"/>
    <w:rsid w:val="00A407E6"/>
    <w:rsid w:val="00A40985"/>
    <w:rsid w:val="00A40AA0"/>
    <w:rsid w:val="00A40BD0"/>
    <w:rsid w:val="00A40E63"/>
    <w:rsid w:val="00A40EAE"/>
    <w:rsid w:val="00A410F3"/>
    <w:rsid w:val="00A41680"/>
    <w:rsid w:val="00A41A2A"/>
    <w:rsid w:val="00A41D7B"/>
    <w:rsid w:val="00A41E5D"/>
    <w:rsid w:val="00A41FE6"/>
    <w:rsid w:val="00A421CF"/>
    <w:rsid w:val="00A42200"/>
    <w:rsid w:val="00A4240C"/>
    <w:rsid w:val="00A424EE"/>
    <w:rsid w:val="00A42950"/>
    <w:rsid w:val="00A42C2D"/>
    <w:rsid w:val="00A42F97"/>
    <w:rsid w:val="00A431BD"/>
    <w:rsid w:val="00A436C3"/>
    <w:rsid w:val="00A437F8"/>
    <w:rsid w:val="00A43926"/>
    <w:rsid w:val="00A43A57"/>
    <w:rsid w:val="00A43BA7"/>
    <w:rsid w:val="00A43FB7"/>
    <w:rsid w:val="00A44134"/>
    <w:rsid w:val="00A441DD"/>
    <w:rsid w:val="00A443BE"/>
    <w:rsid w:val="00A4452D"/>
    <w:rsid w:val="00A44553"/>
    <w:rsid w:val="00A44770"/>
    <w:rsid w:val="00A44F6F"/>
    <w:rsid w:val="00A44FD9"/>
    <w:rsid w:val="00A45051"/>
    <w:rsid w:val="00A45054"/>
    <w:rsid w:val="00A450A2"/>
    <w:rsid w:val="00A451C8"/>
    <w:rsid w:val="00A45200"/>
    <w:rsid w:val="00A45378"/>
    <w:rsid w:val="00A45F5B"/>
    <w:rsid w:val="00A45FC6"/>
    <w:rsid w:val="00A463E5"/>
    <w:rsid w:val="00A4671E"/>
    <w:rsid w:val="00A467C7"/>
    <w:rsid w:val="00A46976"/>
    <w:rsid w:val="00A46C23"/>
    <w:rsid w:val="00A46DAE"/>
    <w:rsid w:val="00A47197"/>
    <w:rsid w:val="00A471B6"/>
    <w:rsid w:val="00A47572"/>
    <w:rsid w:val="00A475A1"/>
    <w:rsid w:val="00A479E9"/>
    <w:rsid w:val="00A47B16"/>
    <w:rsid w:val="00A47C96"/>
    <w:rsid w:val="00A47CA7"/>
    <w:rsid w:val="00A47F0D"/>
    <w:rsid w:val="00A47FDF"/>
    <w:rsid w:val="00A50260"/>
    <w:rsid w:val="00A5043A"/>
    <w:rsid w:val="00A504CB"/>
    <w:rsid w:val="00A50782"/>
    <w:rsid w:val="00A50971"/>
    <w:rsid w:val="00A50F2A"/>
    <w:rsid w:val="00A50F6D"/>
    <w:rsid w:val="00A50FA5"/>
    <w:rsid w:val="00A510B8"/>
    <w:rsid w:val="00A51456"/>
    <w:rsid w:val="00A515C2"/>
    <w:rsid w:val="00A51B3D"/>
    <w:rsid w:val="00A51CB1"/>
    <w:rsid w:val="00A51D44"/>
    <w:rsid w:val="00A51E0E"/>
    <w:rsid w:val="00A52004"/>
    <w:rsid w:val="00A52110"/>
    <w:rsid w:val="00A52128"/>
    <w:rsid w:val="00A528ED"/>
    <w:rsid w:val="00A5319E"/>
    <w:rsid w:val="00A535FB"/>
    <w:rsid w:val="00A53913"/>
    <w:rsid w:val="00A539A4"/>
    <w:rsid w:val="00A53B37"/>
    <w:rsid w:val="00A53ED9"/>
    <w:rsid w:val="00A53F79"/>
    <w:rsid w:val="00A53FA8"/>
    <w:rsid w:val="00A541AD"/>
    <w:rsid w:val="00A5445D"/>
    <w:rsid w:val="00A544C4"/>
    <w:rsid w:val="00A5453C"/>
    <w:rsid w:val="00A545AE"/>
    <w:rsid w:val="00A546E9"/>
    <w:rsid w:val="00A5493D"/>
    <w:rsid w:val="00A54CEF"/>
    <w:rsid w:val="00A54D32"/>
    <w:rsid w:val="00A54DE4"/>
    <w:rsid w:val="00A550AE"/>
    <w:rsid w:val="00A55236"/>
    <w:rsid w:val="00A55286"/>
    <w:rsid w:val="00A552DB"/>
    <w:rsid w:val="00A55308"/>
    <w:rsid w:val="00A554DA"/>
    <w:rsid w:val="00A55938"/>
    <w:rsid w:val="00A55DA8"/>
    <w:rsid w:val="00A55DB6"/>
    <w:rsid w:val="00A55EE9"/>
    <w:rsid w:val="00A55FE4"/>
    <w:rsid w:val="00A56095"/>
    <w:rsid w:val="00A56354"/>
    <w:rsid w:val="00A56420"/>
    <w:rsid w:val="00A565FB"/>
    <w:rsid w:val="00A567CA"/>
    <w:rsid w:val="00A569A3"/>
    <w:rsid w:val="00A56A41"/>
    <w:rsid w:val="00A56A68"/>
    <w:rsid w:val="00A56D51"/>
    <w:rsid w:val="00A56FD5"/>
    <w:rsid w:val="00A5707D"/>
    <w:rsid w:val="00A570E5"/>
    <w:rsid w:val="00A57212"/>
    <w:rsid w:val="00A575AE"/>
    <w:rsid w:val="00A57679"/>
    <w:rsid w:val="00A57810"/>
    <w:rsid w:val="00A5791B"/>
    <w:rsid w:val="00A57979"/>
    <w:rsid w:val="00A57BC6"/>
    <w:rsid w:val="00A57EE4"/>
    <w:rsid w:val="00A60003"/>
    <w:rsid w:val="00A60110"/>
    <w:rsid w:val="00A60128"/>
    <w:rsid w:val="00A60442"/>
    <w:rsid w:val="00A604B8"/>
    <w:rsid w:val="00A6095B"/>
    <w:rsid w:val="00A60A32"/>
    <w:rsid w:val="00A60CA2"/>
    <w:rsid w:val="00A6128D"/>
    <w:rsid w:val="00A6144F"/>
    <w:rsid w:val="00A6155A"/>
    <w:rsid w:val="00A619ED"/>
    <w:rsid w:val="00A61B06"/>
    <w:rsid w:val="00A61DC9"/>
    <w:rsid w:val="00A6205D"/>
    <w:rsid w:val="00A6240B"/>
    <w:rsid w:val="00A626CC"/>
    <w:rsid w:val="00A627A7"/>
    <w:rsid w:val="00A62942"/>
    <w:rsid w:val="00A62BD5"/>
    <w:rsid w:val="00A62BE2"/>
    <w:rsid w:val="00A62BE9"/>
    <w:rsid w:val="00A62D67"/>
    <w:rsid w:val="00A62E60"/>
    <w:rsid w:val="00A62E99"/>
    <w:rsid w:val="00A62F77"/>
    <w:rsid w:val="00A63262"/>
    <w:rsid w:val="00A63398"/>
    <w:rsid w:val="00A63630"/>
    <w:rsid w:val="00A6371D"/>
    <w:rsid w:val="00A6374D"/>
    <w:rsid w:val="00A63C61"/>
    <w:rsid w:val="00A63E83"/>
    <w:rsid w:val="00A64096"/>
    <w:rsid w:val="00A640C5"/>
    <w:rsid w:val="00A64308"/>
    <w:rsid w:val="00A644AA"/>
    <w:rsid w:val="00A644E0"/>
    <w:rsid w:val="00A6457F"/>
    <w:rsid w:val="00A646E9"/>
    <w:rsid w:val="00A64856"/>
    <w:rsid w:val="00A649A5"/>
    <w:rsid w:val="00A64B74"/>
    <w:rsid w:val="00A64D4E"/>
    <w:rsid w:val="00A6517D"/>
    <w:rsid w:val="00A65181"/>
    <w:rsid w:val="00A65211"/>
    <w:rsid w:val="00A65225"/>
    <w:rsid w:val="00A65386"/>
    <w:rsid w:val="00A654CA"/>
    <w:rsid w:val="00A6599E"/>
    <w:rsid w:val="00A65C1F"/>
    <w:rsid w:val="00A65FB7"/>
    <w:rsid w:val="00A661AC"/>
    <w:rsid w:val="00A66439"/>
    <w:rsid w:val="00A6643C"/>
    <w:rsid w:val="00A669F6"/>
    <w:rsid w:val="00A66AC0"/>
    <w:rsid w:val="00A66B4A"/>
    <w:rsid w:val="00A66C4A"/>
    <w:rsid w:val="00A66C4B"/>
    <w:rsid w:val="00A670D9"/>
    <w:rsid w:val="00A670EC"/>
    <w:rsid w:val="00A67295"/>
    <w:rsid w:val="00A672FF"/>
    <w:rsid w:val="00A6752F"/>
    <w:rsid w:val="00A67633"/>
    <w:rsid w:val="00A6765F"/>
    <w:rsid w:val="00A67B82"/>
    <w:rsid w:val="00A67E44"/>
    <w:rsid w:val="00A67E53"/>
    <w:rsid w:val="00A7068C"/>
    <w:rsid w:val="00A70782"/>
    <w:rsid w:val="00A707FF"/>
    <w:rsid w:val="00A7092D"/>
    <w:rsid w:val="00A7098B"/>
    <w:rsid w:val="00A70E7E"/>
    <w:rsid w:val="00A71000"/>
    <w:rsid w:val="00A71205"/>
    <w:rsid w:val="00A7131C"/>
    <w:rsid w:val="00A71569"/>
    <w:rsid w:val="00A71B2F"/>
    <w:rsid w:val="00A71C7F"/>
    <w:rsid w:val="00A71E52"/>
    <w:rsid w:val="00A71F58"/>
    <w:rsid w:val="00A71FE9"/>
    <w:rsid w:val="00A7218E"/>
    <w:rsid w:val="00A7238B"/>
    <w:rsid w:val="00A7249C"/>
    <w:rsid w:val="00A7258D"/>
    <w:rsid w:val="00A726B6"/>
    <w:rsid w:val="00A72B2D"/>
    <w:rsid w:val="00A72CA8"/>
    <w:rsid w:val="00A72EB3"/>
    <w:rsid w:val="00A7335F"/>
    <w:rsid w:val="00A73859"/>
    <w:rsid w:val="00A738D3"/>
    <w:rsid w:val="00A7393E"/>
    <w:rsid w:val="00A73A40"/>
    <w:rsid w:val="00A73A9C"/>
    <w:rsid w:val="00A73ABE"/>
    <w:rsid w:val="00A73B13"/>
    <w:rsid w:val="00A73E38"/>
    <w:rsid w:val="00A73F5A"/>
    <w:rsid w:val="00A73FC6"/>
    <w:rsid w:val="00A7432A"/>
    <w:rsid w:val="00A744A8"/>
    <w:rsid w:val="00A7462D"/>
    <w:rsid w:val="00A748F4"/>
    <w:rsid w:val="00A74A0E"/>
    <w:rsid w:val="00A74D3D"/>
    <w:rsid w:val="00A74E83"/>
    <w:rsid w:val="00A750F3"/>
    <w:rsid w:val="00A75112"/>
    <w:rsid w:val="00A75305"/>
    <w:rsid w:val="00A754C1"/>
    <w:rsid w:val="00A75647"/>
    <w:rsid w:val="00A75ABD"/>
    <w:rsid w:val="00A75D3B"/>
    <w:rsid w:val="00A75DA1"/>
    <w:rsid w:val="00A75DD6"/>
    <w:rsid w:val="00A75F6F"/>
    <w:rsid w:val="00A76519"/>
    <w:rsid w:val="00A7658F"/>
    <w:rsid w:val="00A766CA"/>
    <w:rsid w:val="00A76A12"/>
    <w:rsid w:val="00A76BF2"/>
    <w:rsid w:val="00A76CAB"/>
    <w:rsid w:val="00A76EA4"/>
    <w:rsid w:val="00A76FBD"/>
    <w:rsid w:val="00A77249"/>
    <w:rsid w:val="00A77337"/>
    <w:rsid w:val="00A77375"/>
    <w:rsid w:val="00A774C2"/>
    <w:rsid w:val="00A7778B"/>
    <w:rsid w:val="00A778AF"/>
    <w:rsid w:val="00A778B5"/>
    <w:rsid w:val="00A77BDE"/>
    <w:rsid w:val="00A77CBB"/>
    <w:rsid w:val="00A77CE2"/>
    <w:rsid w:val="00A77E46"/>
    <w:rsid w:val="00A77F64"/>
    <w:rsid w:val="00A800C7"/>
    <w:rsid w:val="00A8013C"/>
    <w:rsid w:val="00A8021B"/>
    <w:rsid w:val="00A80237"/>
    <w:rsid w:val="00A809F6"/>
    <w:rsid w:val="00A80C4B"/>
    <w:rsid w:val="00A80CB4"/>
    <w:rsid w:val="00A81726"/>
    <w:rsid w:val="00A81AA6"/>
    <w:rsid w:val="00A81C17"/>
    <w:rsid w:val="00A81D9F"/>
    <w:rsid w:val="00A81E18"/>
    <w:rsid w:val="00A81EFA"/>
    <w:rsid w:val="00A81F82"/>
    <w:rsid w:val="00A82102"/>
    <w:rsid w:val="00A82401"/>
    <w:rsid w:val="00A8241C"/>
    <w:rsid w:val="00A82437"/>
    <w:rsid w:val="00A824B3"/>
    <w:rsid w:val="00A826C3"/>
    <w:rsid w:val="00A827D0"/>
    <w:rsid w:val="00A8283F"/>
    <w:rsid w:val="00A82927"/>
    <w:rsid w:val="00A82B18"/>
    <w:rsid w:val="00A82BEC"/>
    <w:rsid w:val="00A82C1E"/>
    <w:rsid w:val="00A82D13"/>
    <w:rsid w:val="00A82D95"/>
    <w:rsid w:val="00A82D9F"/>
    <w:rsid w:val="00A833DB"/>
    <w:rsid w:val="00A83610"/>
    <w:rsid w:val="00A836A9"/>
    <w:rsid w:val="00A837D0"/>
    <w:rsid w:val="00A838DC"/>
    <w:rsid w:val="00A83A35"/>
    <w:rsid w:val="00A83B08"/>
    <w:rsid w:val="00A83C0E"/>
    <w:rsid w:val="00A83C41"/>
    <w:rsid w:val="00A83D3E"/>
    <w:rsid w:val="00A83DF1"/>
    <w:rsid w:val="00A83EBD"/>
    <w:rsid w:val="00A84046"/>
    <w:rsid w:val="00A840F7"/>
    <w:rsid w:val="00A8413B"/>
    <w:rsid w:val="00A841B0"/>
    <w:rsid w:val="00A84471"/>
    <w:rsid w:val="00A84478"/>
    <w:rsid w:val="00A846BA"/>
    <w:rsid w:val="00A84A16"/>
    <w:rsid w:val="00A84CBF"/>
    <w:rsid w:val="00A84D84"/>
    <w:rsid w:val="00A84E26"/>
    <w:rsid w:val="00A84EAA"/>
    <w:rsid w:val="00A84F99"/>
    <w:rsid w:val="00A8501D"/>
    <w:rsid w:val="00A85130"/>
    <w:rsid w:val="00A8525F"/>
    <w:rsid w:val="00A852B4"/>
    <w:rsid w:val="00A8534E"/>
    <w:rsid w:val="00A85426"/>
    <w:rsid w:val="00A855ED"/>
    <w:rsid w:val="00A85709"/>
    <w:rsid w:val="00A859F6"/>
    <w:rsid w:val="00A85A2B"/>
    <w:rsid w:val="00A86148"/>
    <w:rsid w:val="00A861D3"/>
    <w:rsid w:val="00A862CF"/>
    <w:rsid w:val="00A8633A"/>
    <w:rsid w:val="00A868CC"/>
    <w:rsid w:val="00A8690A"/>
    <w:rsid w:val="00A86AA6"/>
    <w:rsid w:val="00A86BB2"/>
    <w:rsid w:val="00A86F9F"/>
    <w:rsid w:val="00A87064"/>
    <w:rsid w:val="00A873C9"/>
    <w:rsid w:val="00A8755D"/>
    <w:rsid w:val="00A8764A"/>
    <w:rsid w:val="00A87A15"/>
    <w:rsid w:val="00A87AA6"/>
    <w:rsid w:val="00A87AC9"/>
    <w:rsid w:val="00A87CD6"/>
    <w:rsid w:val="00A87DD8"/>
    <w:rsid w:val="00A87EB7"/>
    <w:rsid w:val="00A903A2"/>
    <w:rsid w:val="00A90468"/>
    <w:rsid w:val="00A90639"/>
    <w:rsid w:val="00A90675"/>
    <w:rsid w:val="00A906CB"/>
    <w:rsid w:val="00A9088E"/>
    <w:rsid w:val="00A90905"/>
    <w:rsid w:val="00A90930"/>
    <w:rsid w:val="00A90D6E"/>
    <w:rsid w:val="00A90E28"/>
    <w:rsid w:val="00A91082"/>
    <w:rsid w:val="00A91183"/>
    <w:rsid w:val="00A911C8"/>
    <w:rsid w:val="00A911FB"/>
    <w:rsid w:val="00A914F0"/>
    <w:rsid w:val="00A916BD"/>
    <w:rsid w:val="00A91872"/>
    <w:rsid w:val="00A9194B"/>
    <w:rsid w:val="00A91A72"/>
    <w:rsid w:val="00A91EB4"/>
    <w:rsid w:val="00A91EEF"/>
    <w:rsid w:val="00A91EF2"/>
    <w:rsid w:val="00A92184"/>
    <w:rsid w:val="00A922F2"/>
    <w:rsid w:val="00A92345"/>
    <w:rsid w:val="00A92540"/>
    <w:rsid w:val="00A9266E"/>
    <w:rsid w:val="00A9283D"/>
    <w:rsid w:val="00A92B28"/>
    <w:rsid w:val="00A92B95"/>
    <w:rsid w:val="00A92D02"/>
    <w:rsid w:val="00A92E0B"/>
    <w:rsid w:val="00A92FFF"/>
    <w:rsid w:val="00A93543"/>
    <w:rsid w:val="00A9392C"/>
    <w:rsid w:val="00A93E03"/>
    <w:rsid w:val="00A93E1F"/>
    <w:rsid w:val="00A93F16"/>
    <w:rsid w:val="00A93F6B"/>
    <w:rsid w:val="00A940B2"/>
    <w:rsid w:val="00A941F2"/>
    <w:rsid w:val="00A94458"/>
    <w:rsid w:val="00A947B3"/>
    <w:rsid w:val="00A9494B"/>
    <w:rsid w:val="00A94A13"/>
    <w:rsid w:val="00A94A3B"/>
    <w:rsid w:val="00A94D32"/>
    <w:rsid w:val="00A94EC9"/>
    <w:rsid w:val="00A94EFC"/>
    <w:rsid w:val="00A94F87"/>
    <w:rsid w:val="00A950F3"/>
    <w:rsid w:val="00A95142"/>
    <w:rsid w:val="00A95546"/>
    <w:rsid w:val="00A956C1"/>
    <w:rsid w:val="00A95762"/>
    <w:rsid w:val="00A9590A"/>
    <w:rsid w:val="00A95A1B"/>
    <w:rsid w:val="00A95A34"/>
    <w:rsid w:val="00A95CC8"/>
    <w:rsid w:val="00A95DD2"/>
    <w:rsid w:val="00A95FF8"/>
    <w:rsid w:val="00A96154"/>
    <w:rsid w:val="00A9618B"/>
    <w:rsid w:val="00A96337"/>
    <w:rsid w:val="00A96385"/>
    <w:rsid w:val="00A963DD"/>
    <w:rsid w:val="00A9644D"/>
    <w:rsid w:val="00A965F4"/>
    <w:rsid w:val="00A9675F"/>
    <w:rsid w:val="00A96DD9"/>
    <w:rsid w:val="00A96EE3"/>
    <w:rsid w:val="00A97014"/>
    <w:rsid w:val="00A972F0"/>
    <w:rsid w:val="00A974B4"/>
    <w:rsid w:val="00A974F6"/>
    <w:rsid w:val="00A97576"/>
    <w:rsid w:val="00A977A0"/>
    <w:rsid w:val="00A9783B"/>
    <w:rsid w:val="00A978CC"/>
    <w:rsid w:val="00A97A6D"/>
    <w:rsid w:val="00A97E03"/>
    <w:rsid w:val="00A97E34"/>
    <w:rsid w:val="00A97ECE"/>
    <w:rsid w:val="00AA0006"/>
    <w:rsid w:val="00AA024E"/>
    <w:rsid w:val="00AA0700"/>
    <w:rsid w:val="00AA07C1"/>
    <w:rsid w:val="00AA0899"/>
    <w:rsid w:val="00AA0C67"/>
    <w:rsid w:val="00AA0FBC"/>
    <w:rsid w:val="00AA1044"/>
    <w:rsid w:val="00AA151B"/>
    <w:rsid w:val="00AA1616"/>
    <w:rsid w:val="00AA1681"/>
    <w:rsid w:val="00AA19B4"/>
    <w:rsid w:val="00AA1B41"/>
    <w:rsid w:val="00AA1CEE"/>
    <w:rsid w:val="00AA1E9F"/>
    <w:rsid w:val="00AA1FD4"/>
    <w:rsid w:val="00AA2198"/>
    <w:rsid w:val="00AA23FC"/>
    <w:rsid w:val="00AA2459"/>
    <w:rsid w:val="00AA264C"/>
    <w:rsid w:val="00AA272C"/>
    <w:rsid w:val="00AA2811"/>
    <w:rsid w:val="00AA2A64"/>
    <w:rsid w:val="00AA2AAE"/>
    <w:rsid w:val="00AA2AC3"/>
    <w:rsid w:val="00AA2FA1"/>
    <w:rsid w:val="00AA316B"/>
    <w:rsid w:val="00AA31CC"/>
    <w:rsid w:val="00AA3297"/>
    <w:rsid w:val="00AA35F5"/>
    <w:rsid w:val="00AA3631"/>
    <w:rsid w:val="00AA37DE"/>
    <w:rsid w:val="00AA3882"/>
    <w:rsid w:val="00AA39B6"/>
    <w:rsid w:val="00AA3E01"/>
    <w:rsid w:val="00AA4542"/>
    <w:rsid w:val="00AA46AB"/>
    <w:rsid w:val="00AA4755"/>
    <w:rsid w:val="00AA48FA"/>
    <w:rsid w:val="00AA4A14"/>
    <w:rsid w:val="00AA4BAA"/>
    <w:rsid w:val="00AA4D7F"/>
    <w:rsid w:val="00AA4F08"/>
    <w:rsid w:val="00AA4FB8"/>
    <w:rsid w:val="00AA5027"/>
    <w:rsid w:val="00AA5084"/>
    <w:rsid w:val="00AA51C1"/>
    <w:rsid w:val="00AA51FF"/>
    <w:rsid w:val="00AA5C95"/>
    <w:rsid w:val="00AA5D75"/>
    <w:rsid w:val="00AA5EA7"/>
    <w:rsid w:val="00AA5F6F"/>
    <w:rsid w:val="00AA5FC6"/>
    <w:rsid w:val="00AA6127"/>
    <w:rsid w:val="00AA6156"/>
    <w:rsid w:val="00AA62E4"/>
    <w:rsid w:val="00AA6315"/>
    <w:rsid w:val="00AA63AD"/>
    <w:rsid w:val="00AA6589"/>
    <w:rsid w:val="00AA68A8"/>
    <w:rsid w:val="00AA6A28"/>
    <w:rsid w:val="00AA6A46"/>
    <w:rsid w:val="00AA6AB9"/>
    <w:rsid w:val="00AA6DA3"/>
    <w:rsid w:val="00AA7185"/>
    <w:rsid w:val="00AA71D9"/>
    <w:rsid w:val="00AA727F"/>
    <w:rsid w:val="00AA733E"/>
    <w:rsid w:val="00AA73AC"/>
    <w:rsid w:val="00AA74C7"/>
    <w:rsid w:val="00AA7618"/>
    <w:rsid w:val="00AA781E"/>
    <w:rsid w:val="00AA7B28"/>
    <w:rsid w:val="00AA7B77"/>
    <w:rsid w:val="00AA7CE9"/>
    <w:rsid w:val="00AB01EB"/>
    <w:rsid w:val="00AB0489"/>
    <w:rsid w:val="00AB058C"/>
    <w:rsid w:val="00AB060C"/>
    <w:rsid w:val="00AB06A2"/>
    <w:rsid w:val="00AB083C"/>
    <w:rsid w:val="00AB095F"/>
    <w:rsid w:val="00AB09C4"/>
    <w:rsid w:val="00AB09D6"/>
    <w:rsid w:val="00AB0A28"/>
    <w:rsid w:val="00AB0C94"/>
    <w:rsid w:val="00AB1006"/>
    <w:rsid w:val="00AB1017"/>
    <w:rsid w:val="00AB152B"/>
    <w:rsid w:val="00AB1543"/>
    <w:rsid w:val="00AB1837"/>
    <w:rsid w:val="00AB187A"/>
    <w:rsid w:val="00AB1917"/>
    <w:rsid w:val="00AB19C7"/>
    <w:rsid w:val="00AB1B1B"/>
    <w:rsid w:val="00AB1B27"/>
    <w:rsid w:val="00AB1B4C"/>
    <w:rsid w:val="00AB1D33"/>
    <w:rsid w:val="00AB1E9C"/>
    <w:rsid w:val="00AB224F"/>
    <w:rsid w:val="00AB22C1"/>
    <w:rsid w:val="00AB23BC"/>
    <w:rsid w:val="00AB24B3"/>
    <w:rsid w:val="00AB24FC"/>
    <w:rsid w:val="00AB2970"/>
    <w:rsid w:val="00AB2AA6"/>
    <w:rsid w:val="00AB2CE9"/>
    <w:rsid w:val="00AB2D34"/>
    <w:rsid w:val="00AB2F5F"/>
    <w:rsid w:val="00AB351B"/>
    <w:rsid w:val="00AB3B4E"/>
    <w:rsid w:val="00AB3CE7"/>
    <w:rsid w:val="00AB3D01"/>
    <w:rsid w:val="00AB3F51"/>
    <w:rsid w:val="00AB401E"/>
    <w:rsid w:val="00AB40BB"/>
    <w:rsid w:val="00AB4544"/>
    <w:rsid w:val="00AB4A6C"/>
    <w:rsid w:val="00AB4C10"/>
    <w:rsid w:val="00AB4D67"/>
    <w:rsid w:val="00AB50AC"/>
    <w:rsid w:val="00AB514A"/>
    <w:rsid w:val="00AB583C"/>
    <w:rsid w:val="00AB5A7A"/>
    <w:rsid w:val="00AB5A7C"/>
    <w:rsid w:val="00AB5FAD"/>
    <w:rsid w:val="00AB63AF"/>
    <w:rsid w:val="00AB64D8"/>
    <w:rsid w:val="00AB64F9"/>
    <w:rsid w:val="00AB6581"/>
    <w:rsid w:val="00AB6DD9"/>
    <w:rsid w:val="00AB6EB9"/>
    <w:rsid w:val="00AB6EEF"/>
    <w:rsid w:val="00AB7020"/>
    <w:rsid w:val="00AB7307"/>
    <w:rsid w:val="00AB73AF"/>
    <w:rsid w:val="00AB75BF"/>
    <w:rsid w:val="00AB765F"/>
    <w:rsid w:val="00AB7970"/>
    <w:rsid w:val="00AB79C7"/>
    <w:rsid w:val="00AB79FA"/>
    <w:rsid w:val="00AB7AD1"/>
    <w:rsid w:val="00AB7C1A"/>
    <w:rsid w:val="00AB7DCC"/>
    <w:rsid w:val="00AB7F64"/>
    <w:rsid w:val="00AC019C"/>
    <w:rsid w:val="00AC0422"/>
    <w:rsid w:val="00AC0464"/>
    <w:rsid w:val="00AC06B3"/>
    <w:rsid w:val="00AC0860"/>
    <w:rsid w:val="00AC09B5"/>
    <w:rsid w:val="00AC0A95"/>
    <w:rsid w:val="00AC0AB6"/>
    <w:rsid w:val="00AC112F"/>
    <w:rsid w:val="00AC1458"/>
    <w:rsid w:val="00AC14CF"/>
    <w:rsid w:val="00AC15A7"/>
    <w:rsid w:val="00AC1628"/>
    <w:rsid w:val="00AC16DE"/>
    <w:rsid w:val="00AC188F"/>
    <w:rsid w:val="00AC19F8"/>
    <w:rsid w:val="00AC1B96"/>
    <w:rsid w:val="00AC1E04"/>
    <w:rsid w:val="00AC1E12"/>
    <w:rsid w:val="00AC20DB"/>
    <w:rsid w:val="00AC23A3"/>
    <w:rsid w:val="00AC26ED"/>
    <w:rsid w:val="00AC27BD"/>
    <w:rsid w:val="00AC27FC"/>
    <w:rsid w:val="00AC2AC4"/>
    <w:rsid w:val="00AC2B52"/>
    <w:rsid w:val="00AC2D2E"/>
    <w:rsid w:val="00AC3024"/>
    <w:rsid w:val="00AC3366"/>
    <w:rsid w:val="00AC33F1"/>
    <w:rsid w:val="00AC39FB"/>
    <w:rsid w:val="00AC3C1F"/>
    <w:rsid w:val="00AC40A8"/>
    <w:rsid w:val="00AC40EF"/>
    <w:rsid w:val="00AC4204"/>
    <w:rsid w:val="00AC464B"/>
    <w:rsid w:val="00AC4755"/>
    <w:rsid w:val="00AC475C"/>
    <w:rsid w:val="00AC49F9"/>
    <w:rsid w:val="00AC4B6C"/>
    <w:rsid w:val="00AC4FB8"/>
    <w:rsid w:val="00AC4FF5"/>
    <w:rsid w:val="00AC50E3"/>
    <w:rsid w:val="00AC512D"/>
    <w:rsid w:val="00AC566D"/>
    <w:rsid w:val="00AC5673"/>
    <w:rsid w:val="00AC59C7"/>
    <w:rsid w:val="00AC59CF"/>
    <w:rsid w:val="00AC5C92"/>
    <w:rsid w:val="00AC5DB0"/>
    <w:rsid w:val="00AC631E"/>
    <w:rsid w:val="00AC65F5"/>
    <w:rsid w:val="00AC67F2"/>
    <w:rsid w:val="00AC6B3D"/>
    <w:rsid w:val="00AC6E3B"/>
    <w:rsid w:val="00AC7084"/>
    <w:rsid w:val="00AC73BD"/>
    <w:rsid w:val="00AC7428"/>
    <w:rsid w:val="00AC7A3A"/>
    <w:rsid w:val="00AC7C68"/>
    <w:rsid w:val="00AC7CE6"/>
    <w:rsid w:val="00AC7D0B"/>
    <w:rsid w:val="00AC7D1B"/>
    <w:rsid w:val="00AC7D84"/>
    <w:rsid w:val="00AC7F69"/>
    <w:rsid w:val="00AD011B"/>
    <w:rsid w:val="00AD01D0"/>
    <w:rsid w:val="00AD0A30"/>
    <w:rsid w:val="00AD0A4F"/>
    <w:rsid w:val="00AD0A89"/>
    <w:rsid w:val="00AD11FA"/>
    <w:rsid w:val="00AD14A0"/>
    <w:rsid w:val="00AD14A3"/>
    <w:rsid w:val="00AD17F1"/>
    <w:rsid w:val="00AD19D4"/>
    <w:rsid w:val="00AD1ECC"/>
    <w:rsid w:val="00AD1FCF"/>
    <w:rsid w:val="00AD23C9"/>
    <w:rsid w:val="00AD24F2"/>
    <w:rsid w:val="00AD2577"/>
    <w:rsid w:val="00AD2860"/>
    <w:rsid w:val="00AD2A8C"/>
    <w:rsid w:val="00AD2E0C"/>
    <w:rsid w:val="00AD3501"/>
    <w:rsid w:val="00AD3508"/>
    <w:rsid w:val="00AD356B"/>
    <w:rsid w:val="00AD35BC"/>
    <w:rsid w:val="00AD35E6"/>
    <w:rsid w:val="00AD379C"/>
    <w:rsid w:val="00AD37D1"/>
    <w:rsid w:val="00AD384C"/>
    <w:rsid w:val="00AD399B"/>
    <w:rsid w:val="00AD430F"/>
    <w:rsid w:val="00AD4613"/>
    <w:rsid w:val="00AD49AA"/>
    <w:rsid w:val="00AD49CB"/>
    <w:rsid w:val="00AD49D8"/>
    <w:rsid w:val="00AD4B70"/>
    <w:rsid w:val="00AD4BE6"/>
    <w:rsid w:val="00AD4F26"/>
    <w:rsid w:val="00AD51C9"/>
    <w:rsid w:val="00AD52D4"/>
    <w:rsid w:val="00AD5304"/>
    <w:rsid w:val="00AD542F"/>
    <w:rsid w:val="00AD5456"/>
    <w:rsid w:val="00AD55A7"/>
    <w:rsid w:val="00AD577F"/>
    <w:rsid w:val="00AD5CBF"/>
    <w:rsid w:val="00AD5DBD"/>
    <w:rsid w:val="00AD5E64"/>
    <w:rsid w:val="00AD5EC7"/>
    <w:rsid w:val="00AD5F77"/>
    <w:rsid w:val="00AD6017"/>
    <w:rsid w:val="00AD6060"/>
    <w:rsid w:val="00AD616F"/>
    <w:rsid w:val="00AD6383"/>
    <w:rsid w:val="00AD64CD"/>
    <w:rsid w:val="00AD65A7"/>
    <w:rsid w:val="00AD6C34"/>
    <w:rsid w:val="00AD6E58"/>
    <w:rsid w:val="00AD7122"/>
    <w:rsid w:val="00AD72BE"/>
    <w:rsid w:val="00AD74D0"/>
    <w:rsid w:val="00AD7516"/>
    <w:rsid w:val="00AD7592"/>
    <w:rsid w:val="00AD75AF"/>
    <w:rsid w:val="00AD7706"/>
    <w:rsid w:val="00AD7B4F"/>
    <w:rsid w:val="00AD7C31"/>
    <w:rsid w:val="00AD7CCF"/>
    <w:rsid w:val="00AD7D79"/>
    <w:rsid w:val="00AD7F0C"/>
    <w:rsid w:val="00AD7FFD"/>
    <w:rsid w:val="00AE027A"/>
    <w:rsid w:val="00AE0418"/>
    <w:rsid w:val="00AE04CA"/>
    <w:rsid w:val="00AE058A"/>
    <w:rsid w:val="00AE0633"/>
    <w:rsid w:val="00AE0711"/>
    <w:rsid w:val="00AE0AE8"/>
    <w:rsid w:val="00AE0B3E"/>
    <w:rsid w:val="00AE0E1A"/>
    <w:rsid w:val="00AE0EED"/>
    <w:rsid w:val="00AE120C"/>
    <w:rsid w:val="00AE1319"/>
    <w:rsid w:val="00AE1442"/>
    <w:rsid w:val="00AE15B2"/>
    <w:rsid w:val="00AE15E8"/>
    <w:rsid w:val="00AE1A9E"/>
    <w:rsid w:val="00AE1B4C"/>
    <w:rsid w:val="00AE1EAC"/>
    <w:rsid w:val="00AE201B"/>
    <w:rsid w:val="00AE20D9"/>
    <w:rsid w:val="00AE23C5"/>
    <w:rsid w:val="00AE2449"/>
    <w:rsid w:val="00AE251D"/>
    <w:rsid w:val="00AE286E"/>
    <w:rsid w:val="00AE2A06"/>
    <w:rsid w:val="00AE2A68"/>
    <w:rsid w:val="00AE2A88"/>
    <w:rsid w:val="00AE2B3C"/>
    <w:rsid w:val="00AE2C0F"/>
    <w:rsid w:val="00AE3060"/>
    <w:rsid w:val="00AE30F5"/>
    <w:rsid w:val="00AE31C7"/>
    <w:rsid w:val="00AE3203"/>
    <w:rsid w:val="00AE33B6"/>
    <w:rsid w:val="00AE3588"/>
    <w:rsid w:val="00AE36AC"/>
    <w:rsid w:val="00AE3747"/>
    <w:rsid w:val="00AE386E"/>
    <w:rsid w:val="00AE3A5A"/>
    <w:rsid w:val="00AE3AA5"/>
    <w:rsid w:val="00AE3ECE"/>
    <w:rsid w:val="00AE41B9"/>
    <w:rsid w:val="00AE41C4"/>
    <w:rsid w:val="00AE4323"/>
    <w:rsid w:val="00AE433D"/>
    <w:rsid w:val="00AE4405"/>
    <w:rsid w:val="00AE46BF"/>
    <w:rsid w:val="00AE4884"/>
    <w:rsid w:val="00AE48B3"/>
    <w:rsid w:val="00AE496E"/>
    <w:rsid w:val="00AE50CB"/>
    <w:rsid w:val="00AE542C"/>
    <w:rsid w:val="00AE56FE"/>
    <w:rsid w:val="00AE571A"/>
    <w:rsid w:val="00AE5727"/>
    <w:rsid w:val="00AE58D7"/>
    <w:rsid w:val="00AE5A94"/>
    <w:rsid w:val="00AE5E94"/>
    <w:rsid w:val="00AE5F5A"/>
    <w:rsid w:val="00AE5F75"/>
    <w:rsid w:val="00AE61B7"/>
    <w:rsid w:val="00AE6420"/>
    <w:rsid w:val="00AE6557"/>
    <w:rsid w:val="00AE6714"/>
    <w:rsid w:val="00AE6895"/>
    <w:rsid w:val="00AE6C23"/>
    <w:rsid w:val="00AE6D38"/>
    <w:rsid w:val="00AE6DFC"/>
    <w:rsid w:val="00AE7142"/>
    <w:rsid w:val="00AE73DD"/>
    <w:rsid w:val="00AE74C9"/>
    <w:rsid w:val="00AE756B"/>
    <w:rsid w:val="00AE772D"/>
    <w:rsid w:val="00AE7A03"/>
    <w:rsid w:val="00AF025F"/>
    <w:rsid w:val="00AF04E2"/>
    <w:rsid w:val="00AF0511"/>
    <w:rsid w:val="00AF053D"/>
    <w:rsid w:val="00AF06AA"/>
    <w:rsid w:val="00AF0929"/>
    <w:rsid w:val="00AF0B11"/>
    <w:rsid w:val="00AF0B6B"/>
    <w:rsid w:val="00AF0D06"/>
    <w:rsid w:val="00AF0DF9"/>
    <w:rsid w:val="00AF0F39"/>
    <w:rsid w:val="00AF0F6B"/>
    <w:rsid w:val="00AF0F70"/>
    <w:rsid w:val="00AF0FE4"/>
    <w:rsid w:val="00AF1182"/>
    <w:rsid w:val="00AF1688"/>
    <w:rsid w:val="00AF1845"/>
    <w:rsid w:val="00AF1A88"/>
    <w:rsid w:val="00AF1CD9"/>
    <w:rsid w:val="00AF1D0D"/>
    <w:rsid w:val="00AF1F79"/>
    <w:rsid w:val="00AF1F7B"/>
    <w:rsid w:val="00AF21D5"/>
    <w:rsid w:val="00AF220B"/>
    <w:rsid w:val="00AF26C4"/>
    <w:rsid w:val="00AF280A"/>
    <w:rsid w:val="00AF2B6B"/>
    <w:rsid w:val="00AF2CE0"/>
    <w:rsid w:val="00AF306B"/>
    <w:rsid w:val="00AF3737"/>
    <w:rsid w:val="00AF38EA"/>
    <w:rsid w:val="00AF3B59"/>
    <w:rsid w:val="00AF3C4F"/>
    <w:rsid w:val="00AF3DAF"/>
    <w:rsid w:val="00AF3F7E"/>
    <w:rsid w:val="00AF41B1"/>
    <w:rsid w:val="00AF487E"/>
    <w:rsid w:val="00AF4B8A"/>
    <w:rsid w:val="00AF4BE4"/>
    <w:rsid w:val="00AF4C16"/>
    <w:rsid w:val="00AF4DD9"/>
    <w:rsid w:val="00AF5259"/>
    <w:rsid w:val="00AF53E5"/>
    <w:rsid w:val="00AF547F"/>
    <w:rsid w:val="00AF5580"/>
    <w:rsid w:val="00AF5599"/>
    <w:rsid w:val="00AF5761"/>
    <w:rsid w:val="00AF58DD"/>
    <w:rsid w:val="00AF5C77"/>
    <w:rsid w:val="00AF5CD7"/>
    <w:rsid w:val="00AF6214"/>
    <w:rsid w:val="00AF63F2"/>
    <w:rsid w:val="00AF646A"/>
    <w:rsid w:val="00AF6791"/>
    <w:rsid w:val="00AF67F7"/>
    <w:rsid w:val="00AF6839"/>
    <w:rsid w:val="00AF684A"/>
    <w:rsid w:val="00AF68F0"/>
    <w:rsid w:val="00AF69CB"/>
    <w:rsid w:val="00AF6ABF"/>
    <w:rsid w:val="00AF6D8E"/>
    <w:rsid w:val="00AF6FE9"/>
    <w:rsid w:val="00AF7102"/>
    <w:rsid w:val="00AF7146"/>
    <w:rsid w:val="00AF7178"/>
    <w:rsid w:val="00AF71FF"/>
    <w:rsid w:val="00AF779A"/>
    <w:rsid w:val="00AF784A"/>
    <w:rsid w:val="00B00165"/>
    <w:rsid w:val="00B001BD"/>
    <w:rsid w:val="00B00437"/>
    <w:rsid w:val="00B0072B"/>
    <w:rsid w:val="00B0076A"/>
    <w:rsid w:val="00B00805"/>
    <w:rsid w:val="00B00A1B"/>
    <w:rsid w:val="00B00DC9"/>
    <w:rsid w:val="00B00F41"/>
    <w:rsid w:val="00B00F60"/>
    <w:rsid w:val="00B00FAF"/>
    <w:rsid w:val="00B010F2"/>
    <w:rsid w:val="00B0120E"/>
    <w:rsid w:val="00B01437"/>
    <w:rsid w:val="00B016CD"/>
    <w:rsid w:val="00B0180D"/>
    <w:rsid w:val="00B01955"/>
    <w:rsid w:val="00B01BE1"/>
    <w:rsid w:val="00B01D24"/>
    <w:rsid w:val="00B0207D"/>
    <w:rsid w:val="00B02167"/>
    <w:rsid w:val="00B02291"/>
    <w:rsid w:val="00B0230D"/>
    <w:rsid w:val="00B02332"/>
    <w:rsid w:val="00B02518"/>
    <w:rsid w:val="00B025F0"/>
    <w:rsid w:val="00B02944"/>
    <w:rsid w:val="00B02A5E"/>
    <w:rsid w:val="00B02C4F"/>
    <w:rsid w:val="00B02FDD"/>
    <w:rsid w:val="00B030F7"/>
    <w:rsid w:val="00B035FD"/>
    <w:rsid w:val="00B037A1"/>
    <w:rsid w:val="00B038F3"/>
    <w:rsid w:val="00B03A73"/>
    <w:rsid w:val="00B03F79"/>
    <w:rsid w:val="00B04359"/>
    <w:rsid w:val="00B043CA"/>
    <w:rsid w:val="00B04766"/>
    <w:rsid w:val="00B04917"/>
    <w:rsid w:val="00B04D1C"/>
    <w:rsid w:val="00B0507E"/>
    <w:rsid w:val="00B051B3"/>
    <w:rsid w:val="00B0528C"/>
    <w:rsid w:val="00B0529B"/>
    <w:rsid w:val="00B05738"/>
    <w:rsid w:val="00B05A6C"/>
    <w:rsid w:val="00B05CD6"/>
    <w:rsid w:val="00B05E21"/>
    <w:rsid w:val="00B05FD4"/>
    <w:rsid w:val="00B06133"/>
    <w:rsid w:val="00B06154"/>
    <w:rsid w:val="00B06724"/>
    <w:rsid w:val="00B0692F"/>
    <w:rsid w:val="00B0699D"/>
    <w:rsid w:val="00B06ACD"/>
    <w:rsid w:val="00B06CFD"/>
    <w:rsid w:val="00B06F12"/>
    <w:rsid w:val="00B06F7E"/>
    <w:rsid w:val="00B0725B"/>
    <w:rsid w:val="00B07553"/>
    <w:rsid w:val="00B07561"/>
    <w:rsid w:val="00B07679"/>
    <w:rsid w:val="00B07882"/>
    <w:rsid w:val="00B0799C"/>
    <w:rsid w:val="00B07BC5"/>
    <w:rsid w:val="00B07D58"/>
    <w:rsid w:val="00B07D75"/>
    <w:rsid w:val="00B07FEB"/>
    <w:rsid w:val="00B10031"/>
    <w:rsid w:val="00B10167"/>
    <w:rsid w:val="00B102CE"/>
    <w:rsid w:val="00B10316"/>
    <w:rsid w:val="00B10639"/>
    <w:rsid w:val="00B107EA"/>
    <w:rsid w:val="00B1095A"/>
    <w:rsid w:val="00B10A20"/>
    <w:rsid w:val="00B10AC7"/>
    <w:rsid w:val="00B10B4B"/>
    <w:rsid w:val="00B10C64"/>
    <w:rsid w:val="00B1112F"/>
    <w:rsid w:val="00B11174"/>
    <w:rsid w:val="00B1165A"/>
    <w:rsid w:val="00B11664"/>
    <w:rsid w:val="00B117B9"/>
    <w:rsid w:val="00B119C0"/>
    <w:rsid w:val="00B11D82"/>
    <w:rsid w:val="00B11EA0"/>
    <w:rsid w:val="00B11EBD"/>
    <w:rsid w:val="00B11F63"/>
    <w:rsid w:val="00B11FBC"/>
    <w:rsid w:val="00B11FC5"/>
    <w:rsid w:val="00B12180"/>
    <w:rsid w:val="00B12553"/>
    <w:rsid w:val="00B125F1"/>
    <w:rsid w:val="00B12D05"/>
    <w:rsid w:val="00B12E7A"/>
    <w:rsid w:val="00B12EBD"/>
    <w:rsid w:val="00B12EC0"/>
    <w:rsid w:val="00B12EF7"/>
    <w:rsid w:val="00B13017"/>
    <w:rsid w:val="00B13131"/>
    <w:rsid w:val="00B13338"/>
    <w:rsid w:val="00B1337C"/>
    <w:rsid w:val="00B134B6"/>
    <w:rsid w:val="00B13966"/>
    <w:rsid w:val="00B139FA"/>
    <w:rsid w:val="00B13AD3"/>
    <w:rsid w:val="00B13B09"/>
    <w:rsid w:val="00B13C09"/>
    <w:rsid w:val="00B13DAD"/>
    <w:rsid w:val="00B1426A"/>
    <w:rsid w:val="00B143DB"/>
    <w:rsid w:val="00B146F8"/>
    <w:rsid w:val="00B14A32"/>
    <w:rsid w:val="00B14C55"/>
    <w:rsid w:val="00B14F60"/>
    <w:rsid w:val="00B15251"/>
    <w:rsid w:val="00B1542E"/>
    <w:rsid w:val="00B1544E"/>
    <w:rsid w:val="00B15450"/>
    <w:rsid w:val="00B15789"/>
    <w:rsid w:val="00B15B01"/>
    <w:rsid w:val="00B15B6D"/>
    <w:rsid w:val="00B15F5A"/>
    <w:rsid w:val="00B1621A"/>
    <w:rsid w:val="00B162D9"/>
    <w:rsid w:val="00B16488"/>
    <w:rsid w:val="00B16587"/>
    <w:rsid w:val="00B166ED"/>
    <w:rsid w:val="00B16995"/>
    <w:rsid w:val="00B17172"/>
    <w:rsid w:val="00B171C0"/>
    <w:rsid w:val="00B17392"/>
    <w:rsid w:val="00B1747C"/>
    <w:rsid w:val="00B174F8"/>
    <w:rsid w:val="00B17AB9"/>
    <w:rsid w:val="00B17C14"/>
    <w:rsid w:val="00B17FDB"/>
    <w:rsid w:val="00B20042"/>
    <w:rsid w:val="00B2035A"/>
    <w:rsid w:val="00B2042C"/>
    <w:rsid w:val="00B2079B"/>
    <w:rsid w:val="00B207F7"/>
    <w:rsid w:val="00B20E5A"/>
    <w:rsid w:val="00B210D1"/>
    <w:rsid w:val="00B2138A"/>
    <w:rsid w:val="00B21614"/>
    <w:rsid w:val="00B216BD"/>
    <w:rsid w:val="00B21BB1"/>
    <w:rsid w:val="00B21E5D"/>
    <w:rsid w:val="00B21EBB"/>
    <w:rsid w:val="00B220E3"/>
    <w:rsid w:val="00B22250"/>
    <w:rsid w:val="00B22591"/>
    <w:rsid w:val="00B225BF"/>
    <w:rsid w:val="00B225D0"/>
    <w:rsid w:val="00B22F1E"/>
    <w:rsid w:val="00B22FA8"/>
    <w:rsid w:val="00B23044"/>
    <w:rsid w:val="00B23332"/>
    <w:rsid w:val="00B235BA"/>
    <w:rsid w:val="00B235C9"/>
    <w:rsid w:val="00B236BE"/>
    <w:rsid w:val="00B237C5"/>
    <w:rsid w:val="00B237F1"/>
    <w:rsid w:val="00B2396E"/>
    <w:rsid w:val="00B23AF6"/>
    <w:rsid w:val="00B23B6D"/>
    <w:rsid w:val="00B23C77"/>
    <w:rsid w:val="00B23D45"/>
    <w:rsid w:val="00B23E01"/>
    <w:rsid w:val="00B23FD1"/>
    <w:rsid w:val="00B23FF1"/>
    <w:rsid w:val="00B2403C"/>
    <w:rsid w:val="00B2422B"/>
    <w:rsid w:val="00B2435A"/>
    <w:rsid w:val="00B2446A"/>
    <w:rsid w:val="00B245B0"/>
    <w:rsid w:val="00B246C9"/>
    <w:rsid w:val="00B24782"/>
    <w:rsid w:val="00B24819"/>
    <w:rsid w:val="00B249BF"/>
    <w:rsid w:val="00B24D10"/>
    <w:rsid w:val="00B24E23"/>
    <w:rsid w:val="00B24EF6"/>
    <w:rsid w:val="00B24FDC"/>
    <w:rsid w:val="00B25057"/>
    <w:rsid w:val="00B25330"/>
    <w:rsid w:val="00B25334"/>
    <w:rsid w:val="00B254C6"/>
    <w:rsid w:val="00B256E7"/>
    <w:rsid w:val="00B2570C"/>
    <w:rsid w:val="00B257EC"/>
    <w:rsid w:val="00B259DF"/>
    <w:rsid w:val="00B25B19"/>
    <w:rsid w:val="00B25BEF"/>
    <w:rsid w:val="00B25D68"/>
    <w:rsid w:val="00B2601F"/>
    <w:rsid w:val="00B260A3"/>
    <w:rsid w:val="00B26273"/>
    <w:rsid w:val="00B2632E"/>
    <w:rsid w:val="00B264A5"/>
    <w:rsid w:val="00B2657F"/>
    <w:rsid w:val="00B268B7"/>
    <w:rsid w:val="00B26E78"/>
    <w:rsid w:val="00B26FC1"/>
    <w:rsid w:val="00B270F4"/>
    <w:rsid w:val="00B27274"/>
    <w:rsid w:val="00B2777B"/>
    <w:rsid w:val="00B27962"/>
    <w:rsid w:val="00B27A4F"/>
    <w:rsid w:val="00B27CCF"/>
    <w:rsid w:val="00B27EFD"/>
    <w:rsid w:val="00B30120"/>
    <w:rsid w:val="00B30259"/>
    <w:rsid w:val="00B3032F"/>
    <w:rsid w:val="00B303A3"/>
    <w:rsid w:val="00B305AB"/>
    <w:rsid w:val="00B3092B"/>
    <w:rsid w:val="00B30B90"/>
    <w:rsid w:val="00B30BB5"/>
    <w:rsid w:val="00B30D26"/>
    <w:rsid w:val="00B30D73"/>
    <w:rsid w:val="00B30ED2"/>
    <w:rsid w:val="00B30F01"/>
    <w:rsid w:val="00B30FB1"/>
    <w:rsid w:val="00B31208"/>
    <w:rsid w:val="00B3138A"/>
    <w:rsid w:val="00B31436"/>
    <w:rsid w:val="00B3150D"/>
    <w:rsid w:val="00B31536"/>
    <w:rsid w:val="00B31F27"/>
    <w:rsid w:val="00B32199"/>
    <w:rsid w:val="00B321C8"/>
    <w:rsid w:val="00B32229"/>
    <w:rsid w:val="00B3233F"/>
    <w:rsid w:val="00B32419"/>
    <w:rsid w:val="00B32423"/>
    <w:rsid w:val="00B32691"/>
    <w:rsid w:val="00B32AD9"/>
    <w:rsid w:val="00B32B13"/>
    <w:rsid w:val="00B32D48"/>
    <w:rsid w:val="00B32D59"/>
    <w:rsid w:val="00B32E8F"/>
    <w:rsid w:val="00B3337D"/>
    <w:rsid w:val="00B334B8"/>
    <w:rsid w:val="00B3369F"/>
    <w:rsid w:val="00B33879"/>
    <w:rsid w:val="00B33914"/>
    <w:rsid w:val="00B33E3D"/>
    <w:rsid w:val="00B33F1B"/>
    <w:rsid w:val="00B3404C"/>
    <w:rsid w:val="00B344E5"/>
    <w:rsid w:val="00B34605"/>
    <w:rsid w:val="00B346B5"/>
    <w:rsid w:val="00B34790"/>
    <w:rsid w:val="00B3489E"/>
    <w:rsid w:val="00B34A24"/>
    <w:rsid w:val="00B34A9A"/>
    <w:rsid w:val="00B34EC9"/>
    <w:rsid w:val="00B35039"/>
    <w:rsid w:val="00B35150"/>
    <w:rsid w:val="00B35197"/>
    <w:rsid w:val="00B35626"/>
    <w:rsid w:val="00B356A3"/>
    <w:rsid w:val="00B356CF"/>
    <w:rsid w:val="00B356EF"/>
    <w:rsid w:val="00B35730"/>
    <w:rsid w:val="00B35B38"/>
    <w:rsid w:val="00B35CC7"/>
    <w:rsid w:val="00B35DD9"/>
    <w:rsid w:val="00B35DEB"/>
    <w:rsid w:val="00B35E2F"/>
    <w:rsid w:val="00B36293"/>
    <w:rsid w:val="00B36337"/>
    <w:rsid w:val="00B3637D"/>
    <w:rsid w:val="00B36512"/>
    <w:rsid w:val="00B366B9"/>
    <w:rsid w:val="00B367E2"/>
    <w:rsid w:val="00B367E3"/>
    <w:rsid w:val="00B369BC"/>
    <w:rsid w:val="00B36C72"/>
    <w:rsid w:val="00B36E59"/>
    <w:rsid w:val="00B36F00"/>
    <w:rsid w:val="00B36FD3"/>
    <w:rsid w:val="00B37169"/>
    <w:rsid w:val="00B37190"/>
    <w:rsid w:val="00B374A1"/>
    <w:rsid w:val="00B37944"/>
    <w:rsid w:val="00B37ACB"/>
    <w:rsid w:val="00B37C94"/>
    <w:rsid w:val="00B37CBE"/>
    <w:rsid w:val="00B37D42"/>
    <w:rsid w:val="00B37E04"/>
    <w:rsid w:val="00B37FF3"/>
    <w:rsid w:val="00B40764"/>
    <w:rsid w:val="00B409A0"/>
    <w:rsid w:val="00B40B31"/>
    <w:rsid w:val="00B40CA9"/>
    <w:rsid w:val="00B40D5A"/>
    <w:rsid w:val="00B40E91"/>
    <w:rsid w:val="00B40EDF"/>
    <w:rsid w:val="00B40F00"/>
    <w:rsid w:val="00B41053"/>
    <w:rsid w:val="00B412B1"/>
    <w:rsid w:val="00B412FF"/>
    <w:rsid w:val="00B41305"/>
    <w:rsid w:val="00B41382"/>
    <w:rsid w:val="00B4195F"/>
    <w:rsid w:val="00B41D8A"/>
    <w:rsid w:val="00B4220C"/>
    <w:rsid w:val="00B423B1"/>
    <w:rsid w:val="00B42509"/>
    <w:rsid w:val="00B4285A"/>
    <w:rsid w:val="00B42A61"/>
    <w:rsid w:val="00B42AB8"/>
    <w:rsid w:val="00B42C12"/>
    <w:rsid w:val="00B42E48"/>
    <w:rsid w:val="00B42EFA"/>
    <w:rsid w:val="00B42F24"/>
    <w:rsid w:val="00B43091"/>
    <w:rsid w:val="00B430BC"/>
    <w:rsid w:val="00B43186"/>
    <w:rsid w:val="00B432B7"/>
    <w:rsid w:val="00B43370"/>
    <w:rsid w:val="00B4364D"/>
    <w:rsid w:val="00B43679"/>
    <w:rsid w:val="00B43B10"/>
    <w:rsid w:val="00B43EAF"/>
    <w:rsid w:val="00B43FC6"/>
    <w:rsid w:val="00B44112"/>
    <w:rsid w:val="00B446C2"/>
    <w:rsid w:val="00B446DC"/>
    <w:rsid w:val="00B44E55"/>
    <w:rsid w:val="00B44E82"/>
    <w:rsid w:val="00B451D0"/>
    <w:rsid w:val="00B454EA"/>
    <w:rsid w:val="00B45A47"/>
    <w:rsid w:val="00B45B26"/>
    <w:rsid w:val="00B45EB7"/>
    <w:rsid w:val="00B45F42"/>
    <w:rsid w:val="00B45F63"/>
    <w:rsid w:val="00B460D9"/>
    <w:rsid w:val="00B4626D"/>
    <w:rsid w:val="00B46273"/>
    <w:rsid w:val="00B46369"/>
    <w:rsid w:val="00B46472"/>
    <w:rsid w:val="00B4656A"/>
    <w:rsid w:val="00B4690F"/>
    <w:rsid w:val="00B46B9A"/>
    <w:rsid w:val="00B46C00"/>
    <w:rsid w:val="00B46C1B"/>
    <w:rsid w:val="00B46D73"/>
    <w:rsid w:val="00B46DC0"/>
    <w:rsid w:val="00B470ED"/>
    <w:rsid w:val="00B4721E"/>
    <w:rsid w:val="00B47284"/>
    <w:rsid w:val="00B47361"/>
    <w:rsid w:val="00B4745D"/>
    <w:rsid w:val="00B47497"/>
    <w:rsid w:val="00B4783B"/>
    <w:rsid w:val="00B478B3"/>
    <w:rsid w:val="00B47EAD"/>
    <w:rsid w:val="00B47EBB"/>
    <w:rsid w:val="00B5017B"/>
    <w:rsid w:val="00B504EF"/>
    <w:rsid w:val="00B50537"/>
    <w:rsid w:val="00B506D7"/>
    <w:rsid w:val="00B50725"/>
    <w:rsid w:val="00B50F68"/>
    <w:rsid w:val="00B511B8"/>
    <w:rsid w:val="00B5139F"/>
    <w:rsid w:val="00B518B8"/>
    <w:rsid w:val="00B5192E"/>
    <w:rsid w:val="00B51ECD"/>
    <w:rsid w:val="00B51F9B"/>
    <w:rsid w:val="00B5244D"/>
    <w:rsid w:val="00B52654"/>
    <w:rsid w:val="00B5286A"/>
    <w:rsid w:val="00B52888"/>
    <w:rsid w:val="00B528D1"/>
    <w:rsid w:val="00B5291B"/>
    <w:rsid w:val="00B52A27"/>
    <w:rsid w:val="00B52AF7"/>
    <w:rsid w:val="00B53072"/>
    <w:rsid w:val="00B530D2"/>
    <w:rsid w:val="00B530E0"/>
    <w:rsid w:val="00B53100"/>
    <w:rsid w:val="00B53167"/>
    <w:rsid w:val="00B53374"/>
    <w:rsid w:val="00B53493"/>
    <w:rsid w:val="00B53A8C"/>
    <w:rsid w:val="00B53AB8"/>
    <w:rsid w:val="00B53FE2"/>
    <w:rsid w:val="00B545F7"/>
    <w:rsid w:val="00B54654"/>
    <w:rsid w:val="00B5472E"/>
    <w:rsid w:val="00B54BBA"/>
    <w:rsid w:val="00B54D14"/>
    <w:rsid w:val="00B55125"/>
    <w:rsid w:val="00B55178"/>
    <w:rsid w:val="00B55A4D"/>
    <w:rsid w:val="00B55B6E"/>
    <w:rsid w:val="00B55B96"/>
    <w:rsid w:val="00B55C01"/>
    <w:rsid w:val="00B55CAC"/>
    <w:rsid w:val="00B55DEC"/>
    <w:rsid w:val="00B56195"/>
    <w:rsid w:val="00B56284"/>
    <w:rsid w:val="00B5635F"/>
    <w:rsid w:val="00B564F9"/>
    <w:rsid w:val="00B5653D"/>
    <w:rsid w:val="00B5662F"/>
    <w:rsid w:val="00B56CE8"/>
    <w:rsid w:val="00B56D6A"/>
    <w:rsid w:val="00B574C2"/>
    <w:rsid w:val="00B575A6"/>
    <w:rsid w:val="00B578CB"/>
    <w:rsid w:val="00B57C62"/>
    <w:rsid w:val="00B6023D"/>
    <w:rsid w:val="00B6056A"/>
    <w:rsid w:val="00B60902"/>
    <w:rsid w:val="00B61527"/>
    <w:rsid w:val="00B615F1"/>
    <w:rsid w:val="00B61600"/>
    <w:rsid w:val="00B61690"/>
    <w:rsid w:val="00B619D3"/>
    <w:rsid w:val="00B619E3"/>
    <w:rsid w:val="00B61B26"/>
    <w:rsid w:val="00B61D63"/>
    <w:rsid w:val="00B61E32"/>
    <w:rsid w:val="00B61F4A"/>
    <w:rsid w:val="00B622DE"/>
    <w:rsid w:val="00B627D0"/>
    <w:rsid w:val="00B62CC8"/>
    <w:rsid w:val="00B62ED5"/>
    <w:rsid w:val="00B63291"/>
    <w:rsid w:val="00B63460"/>
    <w:rsid w:val="00B63628"/>
    <w:rsid w:val="00B63676"/>
    <w:rsid w:val="00B63758"/>
    <w:rsid w:val="00B63B3A"/>
    <w:rsid w:val="00B63B81"/>
    <w:rsid w:val="00B63C23"/>
    <w:rsid w:val="00B64037"/>
    <w:rsid w:val="00B64571"/>
    <w:rsid w:val="00B64795"/>
    <w:rsid w:val="00B64C11"/>
    <w:rsid w:val="00B64C6C"/>
    <w:rsid w:val="00B64C9B"/>
    <w:rsid w:val="00B64F30"/>
    <w:rsid w:val="00B65147"/>
    <w:rsid w:val="00B65156"/>
    <w:rsid w:val="00B65889"/>
    <w:rsid w:val="00B65B0E"/>
    <w:rsid w:val="00B65B96"/>
    <w:rsid w:val="00B662E8"/>
    <w:rsid w:val="00B6637E"/>
    <w:rsid w:val="00B66490"/>
    <w:rsid w:val="00B6664F"/>
    <w:rsid w:val="00B666C0"/>
    <w:rsid w:val="00B66700"/>
    <w:rsid w:val="00B6690F"/>
    <w:rsid w:val="00B66922"/>
    <w:rsid w:val="00B66C04"/>
    <w:rsid w:val="00B66C37"/>
    <w:rsid w:val="00B67119"/>
    <w:rsid w:val="00B673C4"/>
    <w:rsid w:val="00B675FD"/>
    <w:rsid w:val="00B67608"/>
    <w:rsid w:val="00B67832"/>
    <w:rsid w:val="00B678A7"/>
    <w:rsid w:val="00B6795D"/>
    <w:rsid w:val="00B701C3"/>
    <w:rsid w:val="00B701D9"/>
    <w:rsid w:val="00B70375"/>
    <w:rsid w:val="00B7045B"/>
    <w:rsid w:val="00B70522"/>
    <w:rsid w:val="00B705AC"/>
    <w:rsid w:val="00B70632"/>
    <w:rsid w:val="00B7084F"/>
    <w:rsid w:val="00B7086C"/>
    <w:rsid w:val="00B70895"/>
    <w:rsid w:val="00B7091C"/>
    <w:rsid w:val="00B70C09"/>
    <w:rsid w:val="00B70F1B"/>
    <w:rsid w:val="00B71249"/>
    <w:rsid w:val="00B712D3"/>
    <w:rsid w:val="00B71366"/>
    <w:rsid w:val="00B714A9"/>
    <w:rsid w:val="00B71675"/>
    <w:rsid w:val="00B71703"/>
    <w:rsid w:val="00B718D6"/>
    <w:rsid w:val="00B71AC2"/>
    <w:rsid w:val="00B71B62"/>
    <w:rsid w:val="00B71B97"/>
    <w:rsid w:val="00B71BFF"/>
    <w:rsid w:val="00B71DA8"/>
    <w:rsid w:val="00B71DE2"/>
    <w:rsid w:val="00B71EF1"/>
    <w:rsid w:val="00B72046"/>
    <w:rsid w:val="00B72080"/>
    <w:rsid w:val="00B72129"/>
    <w:rsid w:val="00B721AD"/>
    <w:rsid w:val="00B721CA"/>
    <w:rsid w:val="00B725FA"/>
    <w:rsid w:val="00B7286C"/>
    <w:rsid w:val="00B728A7"/>
    <w:rsid w:val="00B72B0C"/>
    <w:rsid w:val="00B72BD5"/>
    <w:rsid w:val="00B72BE1"/>
    <w:rsid w:val="00B72CAB"/>
    <w:rsid w:val="00B72EFE"/>
    <w:rsid w:val="00B72F95"/>
    <w:rsid w:val="00B731FA"/>
    <w:rsid w:val="00B73287"/>
    <w:rsid w:val="00B734CA"/>
    <w:rsid w:val="00B7359A"/>
    <w:rsid w:val="00B7380D"/>
    <w:rsid w:val="00B73831"/>
    <w:rsid w:val="00B73D74"/>
    <w:rsid w:val="00B73FD5"/>
    <w:rsid w:val="00B7403F"/>
    <w:rsid w:val="00B7438B"/>
    <w:rsid w:val="00B74418"/>
    <w:rsid w:val="00B7467B"/>
    <w:rsid w:val="00B74980"/>
    <w:rsid w:val="00B74B1A"/>
    <w:rsid w:val="00B74C15"/>
    <w:rsid w:val="00B74D1E"/>
    <w:rsid w:val="00B74D3D"/>
    <w:rsid w:val="00B7536D"/>
    <w:rsid w:val="00B7537E"/>
    <w:rsid w:val="00B753FE"/>
    <w:rsid w:val="00B75592"/>
    <w:rsid w:val="00B7574E"/>
    <w:rsid w:val="00B75970"/>
    <w:rsid w:val="00B75BC0"/>
    <w:rsid w:val="00B75D92"/>
    <w:rsid w:val="00B75E81"/>
    <w:rsid w:val="00B75F8C"/>
    <w:rsid w:val="00B76044"/>
    <w:rsid w:val="00B760FB"/>
    <w:rsid w:val="00B7616D"/>
    <w:rsid w:val="00B7636B"/>
    <w:rsid w:val="00B76440"/>
    <w:rsid w:val="00B76484"/>
    <w:rsid w:val="00B76492"/>
    <w:rsid w:val="00B768DD"/>
    <w:rsid w:val="00B769A2"/>
    <w:rsid w:val="00B76A18"/>
    <w:rsid w:val="00B76AAC"/>
    <w:rsid w:val="00B76AB2"/>
    <w:rsid w:val="00B76B45"/>
    <w:rsid w:val="00B76B74"/>
    <w:rsid w:val="00B76C19"/>
    <w:rsid w:val="00B7710D"/>
    <w:rsid w:val="00B772D7"/>
    <w:rsid w:val="00B773E7"/>
    <w:rsid w:val="00B7743A"/>
    <w:rsid w:val="00B77709"/>
    <w:rsid w:val="00B7782A"/>
    <w:rsid w:val="00B7796D"/>
    <w:rsid w:val="00B77B8F"/>
    <w:rsid w:val="00B77D10"/>
    <w:rsid w:val="00B77DE3"/>
    <w:rsid w:val="00B77F22"/>
    <w:rsid w:val="00B802E4"/>
    <w:rsid w:val="00B8048B"/>
    <w:rsid w:val="00B8086F"/>
    <w:rsid w:val="00B80915"/>
    <w:rsid w:val="00B80961"/>
    <w:rsid w:val="00B809A8"/>
    <w:rsid w:val="00B80B83"/>
    <w:rsid w:val="00B80E52"/>
    <w:rsid w:val="00B81166"/>
    <w:rsid w:val="00B81390"/>
    <w:rsid w:val="00B8184B"/>
    <w:rsid w:val="00B81901"/>
    <w:rsid w:val="00B81B0E"/>
    <w:rsid w:val="00B81E9C"/>
    <w:rsid w:val="00B81F45"/>
    <w:rsid w:val="00B81FA5"/>
    <w:rsid w:val="00B8211A"/>
    <w:rsid w:val="00B82171"/>
    <w:rsid w:val="00B822D0"/>
    <w:rsid w:val="00B82376"/>
    <w:rsid w:val="00B8254D"/>
    <w:rsid w:val="00B8269C"/>
    <w:rsid w:val="00B82758"/>
    <w:rsid w:val="00B829B5"/>
    <w:rsid w:val="00B82B37"/>
    <w:rsid w:val="00B83158"/>
    <w:rsid w:val="00B83221"/>
    <w:rsid w:val="00B83300"/>
    <w:rsid w:val="00B833DF"/>
    <w:rsid w:val="00B833E5"/>
    <w:rsid w:val="00B8344A"/>
    <w:rsid w:val="00B83909"/>
    <w:rsid w:val="00B83A17"/>
    <w:rsid w:val="00B83DC6"/>
    <w:rsid w:val="00B840E5"/>
    <w:rsid w:val="00B84159"/>
    <w:rsid w:val="00B842B9"/>
    <w:rsid w:val="00B844F8"/>
    <w:rsid w:val="00B845FF"/>
    <w:rsid w:val="00B84614"/>
    <w:rsid w:val="00B847B3"/>
    <w:rsid w:val="00B84832"/>
    <w:rsid w:val="00B84949"/>
    <w:rsid w:val="00B849BC"/>
    <w:rsid w:val="00B84C0B"/>
    <w:rsid w:val="00B84D23"/>
    <w:rsid w:val="00B84EB4"/>
    <w:rsid w:val="00B85015"/>
    <w:rsid w:val="00B853D1"/>
    <w:rsid w:val="00B8560C"/>
    <w:rsid w:val="00B857BA"/>
    <w:rsid w:val="00B85952"/>
    <w:rsid w:val="00B85AD6"/>
    <w:rsid w:val="00B85B2A"/>
    <w:rsid w:val="00B85DC1"/>
    <w:rsid w:val="00B8635B"/>
    <w:rsid w:val="00B86389"/>
    <w:rsid w:val="00B863A0"/>
    <w:rsid w:val="00B866E2"/>
    <w:rsid w:val="00B8689E"/>
    <w:rsid w:val="00B86973"/>
    <w:rsid w:val="00B86F98"/>
    <w:rsid w:val="00B8702A"/>
    <w:rsid w:val="00B8704E"/>
    <w:rsid w:val="00B870C6"/>
    <w:rsid w:val="00B87330"/>
    <w:rsid w:val="00B87738"/>
    <w:rsid w:val="00B879DE"/>
    <w:rsid w:val="00B87CFA"/>
    <w:rsid w:val="00B90199"/>
    <w:rsid w:val="00B90585"/>
    <w:rsid w:val="00B906AE"/>
    <w:rsid w:val="00B90795"/>
    <w:rsid w:val="00B90AA8"/>
    <w:rsid w:val="00B90B2D"/>
    <w:rsid w:val="00B90C6C"/>
    <w:rsid w:val="00B90E81"/>
    <w:rsid w:val="00B90EF7"/>
    <w:rsid w:val="00B9152F"/>
    <w:rsid w:val="00B918FA"/>
    <w:rsid w:val="00B91C6F"/>
    <w:rsid w:val="00B92071"/>
    <w:rsid w:val="00B921E0"/>
    <w:rsid w:val="00B9241D"/>
    <w:rsid w:val="00B924DF"/>
    <w:rsid w:val="00B92600"/>
    <w:rsid w:val="00B92637"/>
    <w:rsid w:val="00B92750"/>
    <w:rsid w:val="00B928AF"/>
    <w:rsid w:val="00B928D8"/>
    <w:rsid w:val="00B9294B"/>
    <w:rsid w:val="00B92A15"/>
    <w:rsid w:val="00B92B2A"/>
    <w:rsid w:val="00B92C9F"/>
    <w:rsid w:val="00B92F46"/>
    <w:rsid w:val="00B92FF2"/>
    <w:rsid w:val="00B93152"/>
    <w:rsid w:val="00B93307"/>
    <w:rsid w:val="00B936F9"/>
    <w:rsid w:val="00B937F9"/>
    <w:rsid w:val="00B939F6"/>
    <w:rsid w:val="00B93CCD"/>
    <w:rsid w:val="00B94867"/>
    <w:rsid w:val="00B94A94"/>
    <w:rsid w:val="00B94C1C"/>
    <w:rsid w:val="00B94E4D"/>
    <w:rsid w:val="00B94FEC"/>
    <w:rsid w:val="00B950EE"/>
    <w:rsid w:val="00B9534E"/>
    <w:rsid w:val="00B95415"/>
    <w:rsid w:val="00B954B4"/>
    <w:rsid w:val="00B95567"/>
    <w:rsid w:val="00B955AB"/>
    <w:rsid w:val="00B9565A"/>
    <w:rsid w:val="00B95840"/>
    <w:rsid w:val="00B95D0C"/>
    <w:rsid w:val="00B95DFC"/>
    <w:rsid w:val="00B95E50"/>
    <w:rsid w:val="00B960C7"/>
    <w:rsid w:val="00B96110"/>
    <w:rsid w:val="00B96141"/>
    <w:rsid w:val="00B96184"/>
    <w:rsid w:val="00B966BD"/>
    <w:rsid w:val="00B96D76"/>
    <w:rsid w:val="00B96E2F"/>
    <w:rsid w:val="00B9724F"/>
    <w:rsid w:val="00B973A1"/>
    <w:rsid w:val="00B97478"/>
    <w:rsid w:val="00B97823"/>
    <w:rsid w:val="00B97AF7"/>
    <w:rsid w:val="00B97C1D"/>
    <w:rsid w:val="00B97C6D"/>
    <w:rsid w:val="00B97CE8"/>
    <w:rsid w:val="00B97D35"/>
    <w:rsid w:val="00B97DA4"/>
    <w:rsid w:val="00B97E08"/>
    <w:rsid w:val="00B97F1C"/>
    <w:rsid w:val="00BA01AB"/>
    <w:rsid w:val="00BA025B"/>
    <w:rsid w:val="00BA05E1"/>
    <w:rsid w:val="00BA08A4"/>
    <w:rsid w:val="00BA0A85"/>
    <w:rsid w:val="00BA0B1A"/>
    <w:rsid w:val="00BA0B3D"/>
    <w:rsid w:val="00BA0E6C"/>
    <w:rsid w:val="00BA10F8"/>
    <w:rsid w:val="00BA1259"/>
    <w:rsid w:val="00BA18DA"/>
    <w:rsid w:val="00BA19C5"/>
    <w:rsid w:val="00BA1AEF"/>
    <w:rsid w:val="00BA1BD9"/>
    <w:rsid w:val="00BA1C3F"/>
    <w:rsid w:val="00BA208A"/>
    <w:rsid w:val="00BA20AA"/>
    <w:rsid w:val="00BA2240"/>
    <w:rsid w:val="00BA22D4"/>
    <w:rsid w:val="00BA23A5"/>
    <w:rsid w:val="00BA2442"/>
    <w:rsid w:val="00BA24AB"/>
    <w:rsid w:val="00BA2729"/>
    <w:rsid w:val="00BA29B9"/>
    <w:rsid w:val="00BA2A0D"/>
    <w:rsid w:val="00BA2A86"/>
    <w:rsid w:val="00BA2F98"/>
    <w:rsid w:val="00BA2F9E"/>
    <w:rsid w:val="00BA2FC7"/>
    <w:rsid w:val="00BA3285"/>
    <w:rsid w:val="00BA3306"/>
    <w:rsid w:val="00BA330B"/>
    <w:rsid w:val="00BA36A6"/>
    <w:rsid w:val="00BA3C8D"/>
    <w:rsid w:val="00BA3D14"/>
    <w:rsid w:val="00BA3D46"/>
    <w:rsid w:val="00BA3D70"/>
    <w:rsid w:val="00BA3F11"/>
    <w:rsid w:val="00BA402D"/>
    <w:rsid w:val="00BA4357"/>
    <w:rsid w:val="00BA43FC"/>
    <w:rsid w:val="00BA49B1"/>
    <w:rsid w:val="00BA49C9"/>
    <w:rsid w:val="00BA4B45"/>
    <w:rsid w:val="00BA4B9F"/>
    <w:rsid w:val="00BA4C12"/>
    <w:rsid w:val="00BA4C3D"/>
    <w:rsid w:val="00BA4CCE"/>
    <w:rsid w:val="00BA4F34"/>
    <w:rsid w:val="00BA5406"/>
    <w:rsid w:val="00BA543C"/>
    <w:rsid w:val="00BA5556"/>
    <w:rsid w:val="00BA5574"/>
    <w:rsid w:val="00BA571A"/>
    <w:rsid w:val="00BA5724"/>
    <w:rsid w:val="00BA5E9F"/>
    <w:rsid w:val="00BA5F6F"/>
    <w:rsid w:val="00BA610E"/>
    <w:rsid w:val="00BA623A"/>
    <w:rsid w:val="00BA63E0"/>
    <w:rsid w:val="00BA641B"/>
    <w:rsid w:val="00BA6500"/>
    <w:rsid w:val="00BA6520"/>
    <w:rsid w:val="00BA6588"/>
    <w:rsid w:val="00BA6DCA"/>
    <w:rsid w:val="00BA6F57"/>
    <w:rsid w:val="00BA721C"/>
    <w:rsid w:val="00BA73EE"/>
    <w:rsid w:val="00BA7463"/>
    <w:rsid w:val="00BA74A6"/>
    <w:rsid w:val="00BA759D"/>
    <w:rsid w:val="00BA770C"/>
    <w:rsid w:val="00BA79F3"/>
    <w:rsid w:val="00BA7B52"/>
    <w:rsid w:val="00BA7BB0"/>
    <w:rsid w:val="00BA7D6A"/>
    <w:rsid w:val="00BA7F88"/>
    <w:rsid w:val="00BB0069"/>
    <w:rsid w:val="00BB0537"/>
    <w:rsid w:val="00BB0623"/>
    <w:rsid w:val="00BB06B5"/>
    <w:rsid w:val="00BB06EE"/>
    <w:rsid w:val="00BB0C4F"/>
    <w:rsid w:val="00BB0E85"/>
    <w:rsid w:val="00BB12D9"/>
    <w:rsid w:val="00BB133C"/>
    <w:rsid w:val="00BB13F6"/>
    <w:rsid w:val="00BB14FC"/>
    <w:rsid w:val="00BB15B5"/>
    <w:rsid w:val="00BB1755"/>
    <w:rsid w:val="00BB19A4"/>
    <w:rsid w:val="00BB1A29"/>
    <w:rsid w:val="00BB1E55"/>
    <w:rsid w:val="00BB1FE0"/>
    <w:rsid w:val="00BB2068"/>
    <w:rsid w:val="00BB2173"/>
    <w:rsid w:val="00BB2329"/>
    <w:rsid w:val="00BB28A3"/>
    <w:rsid w:val="00BB29A6"/>
    <w:rsid w:val="00BB2B29"/>
    <w:rsid w:val="00BB3110"/>
    <w:rsid w:val="00BB31FA"/>
    <w:rsid w:val="00BB3536"/>
    <w:rsid w:val="00BB371A"/>
    <w:rsid w:val="00BB3832"/>
    <w:rsid w:val="00BB39DC"/>
    <w:rsid w:val="00BB3B23"/>
    <w:rsid w:val="00BB42A2"/>
    <w:rsid w:val="00BB42D7"/>
    <w:rsid w:val="00BB431C"/>
    <w:rsid w:val="00BB4341"/>
    <w:rsid w:val="00BB451D"/>
    <w:rsid w:val="00BB46DA"/>
    <w:rsid w:val="00BB48C8"/>
    <w:rsid w:val="00BB4C2B"/>
    <w:rsid w:val="00BB4D3C"/>
    <w:rsid w:val="00BB4DBA"/>
    <w:rsid w:val="00BB4E75"/>
    <w:rsid w:val="00BB4F4C"/>
    <w:rsid w:val="00BB4FE6"/>
    <w:rsid w:val="00BB54A6"/>
    <w:rsid w:val="00BB5762"/>
    <w:rsid w:val="00BB5A3A"/>
    <w:rsid w:val="00BB5CD1"/>
    <w:rsid w:val="00BB5FF9"/>
    <w:rsid w:val="00BB61AD"/>
    <w:rsid w:val="00BB64A4"/>
    <w:rsid w:val="00BB665C"/>
    <w:rsid w:val="00BB6683"/>
    <w:rsid w:val="00BB6875"/>
    <w:rsid w:val="00BB68B0"/>
    <w:rsid w:val="00BB690B"/>
    <w:rsid w:val="00BB6A42"/>
    <w:rsid w:val="00BB6E3F"/>
    <w:rsid w:val="00BB6FEE"/>
    <w:rsid w:val="00BB73AF"/>
    <w:rsid w:val="00BB7444"/>
    <w:rsid w:val="00BB7554"/>
    <w:rsid w:val="00BB7645"/>
    <w:rsid w:val="00BB7657"/>
    <w:rsid w:val="00BB76BC"/>
    <w:rsid w:val="00BB7842"/>
    <w:rsid w:val="00BB78DB"/>
    <w:rsid w:val="00BB7B36"/>
    <w:rsid w:val="00BB7D37"/>
    <w:rsid w:val="00BB7FEB"/>
    <w:rsid w:val="00BC0033"/>
    <w:rsid w:val="00BC016B"/>
    <w:rsid w:val="00BC02B3"/>
    <w:rsid w:val="00BC04F5"/>
    <w:rsid w:val="00BC065E"/>
    <w:rsid w:val="00BC072B"/>
    <w:rsid w:val="00BC081C"/>
    <w:rsid w:val="00BC0907"/>
    <w:rsid w:val="00BC0A15"/>
    <w:rsid w:val="00BC0A5F"/>
    <w:rsid w:val="00BC0AD2"/>
    <w:rsid w:val="00BC0E10"/>
    <w:rsid w:val="00BC0F42"/>
    <w:rsid w:val="00BC1106"/>
    <w:rsid w:val="00BC12FA"/>
    <w:rsid w:val="00BC1414"/>
    <w:rsid w:val="00BC1792"/>
    <w:rsid w:val="00BC17BD"/>
    <w:rsid w:val="00BC18AA"/>
    <w:rsid w:val="00BC1984"/>
    <w:rsid w:val="00BC19B1"/>
    <w:rsid w:val="00BC1C8D"/>
    <w:rsid w:val="00BC1CAF"/>
    <w:rsid w:val="00BC1D4A"/>
    <w:rsid w:val="00BC1ECD"/>
    <w:rsid w:val="00BC26CF"/>
    <w:rsid w:val="00BC2848"/>
    <w:rsid w:val="00BC28D4"/>
    <w:rsid w:val="00BC29F8"/>
    <w:rsid w:val="00BC2B8C"/>
    <w:rsid w:val="00BC2D4B"/>
    <w:rsid w:val="00BC2F41"/>
    <w:rsid w:val="00BC2F73"/>
    <w:rsid w:val="00BC2FC3"/>
    <w:rsid w:val="00BC311E"/>
    <w:rsid w:val="00BC32B8"/>
    <w:rsid w:val="00BC33CD"/>
    <w:rsid w:val="00BC3676"/>
    <w:rsid w:val="00BC3791"/>
    <w:rsid w:val="00BC3CE4"/>
    <w:rsid w:val="00BC3F71"/>
    <w:rsid w:val="00BC3F80"/>
    <w:rsid w:val="00BC40DA"/>
    <w:rsid w:val="00BC4292"/>
    <w:rsid w:val="00BC46CA"/>
    <w:rsid w:val="00BC4B58"/>
    <w:rsid w:val="00BC4BB2"/>
    <w:rsid w:val="00BC4DEB"/>
    <w:rsid w:val="00BC5267"/>
    <w:rsid w:val="00BC553C"/>
    <w:rsid w:val="00BC58AE"/>
    <w:rsid w:val="00BC58FD"/>
    <w:rsid w:val="00BC5965"/>
    <w:rsid w:val="00BC5A15"/>
    <w:rsid w:val="00BC5ACF"/>
    <w:rsid w:val="00BC5BD7"/>
    <w:rsid w:val="00BC6004"/>
    <w:rsid w:val="00BC60DF"/>
    <w:rsid w:val="00BC612E"/>
    <w:rsid w:val="00BC62EB"/>
    <w:rsid w:val="00BC63F3"/>
    <w:rsid w:val="00BC6622"/>
    <w:rsid w:val="00BC666E"/>
    <w:rsid w:val="00BC66D6"/>
    <w:rsid w:val="00BC6A42"/>
    <w:rsid w:val="00BC6C91"/>
    <w:rsid w:val="00BC6D4A"/>
    <w:rsid w:val="00BC6E34"/>
    <w:rsid w:val="00BC6E51"/>
    <w:rsid w:val="00BC6EDE"/>
    <w:rsid w:val="00BC7567"/>
    <w:rsid w:val="00BC7C98"/>
    <w:rsid w:val="00BC7D4D"/>
    <w:rsid w:val="00BC7E17"/>
    <w:rsid w:val="00BD019F"/>
    <w:rsid w:val="00BD01F5"/>
    <w:rsid w:val="00BD0363"/>
    <w:rsid w:val="00BD03BC"/>
    <w:rsid w:val="00BD03EC"/>
    <w:rsid w:val="00BD07F1"/>
    <w:rsid w:val="00BD0B14"/>
    <w:rsid w:val="00BD0CA8"/>
    <w:rsid w:val="00BD0D1E"/>
    <w:rsid w:val="00BD11DE"/>
    <w:rsid w:val="00BD1365"/>
    <w:rsid w:val="00BD14DC"/>
    <w:rsid w:val="00BD1540"/>
    <w:rsid w:val="00BD16E7"/>
    <w:rsid w:val="00BD179F"/>
    <w:rsid w:val="00BD18DD"/>
    <w:rsid w:val="00BD1B3A"/>
    <w:rsid w:val="00BD1BF1"/>
    <w:rsid w:val="00BD1D13"/>
    <w:rsid w:val="00BD1E37"/>
    <w:rsid w:val="00BD1FEE"/>
    <w:rsid w:val="00BD2004"/>
    <w:rsid w:val="00BD2356"/>
    <w:rsid w:val="00BD2537"/>
    <w:rsid w:val="00BD2785"/>
    <w:rsid w:val="00BD2834"/>
    <w:rsid w:val="00BD2935"/>
    <w:rsid w:val="00BD2E42"/>
    <w:rsid w:val="00BD317A"/>
    <w:rsid w:val="00BD33CC"/>
    <w:rsid w:val="00BD3AF4"/>
    <w:rsid w:val="00BD3C45"/>
    <w:rsid w:val="00BD3C58"/>
    <w:rsid w:val="00BD3D28"/>
    <w:rsid w:val="00BD3DAE"/>
    <w:rsid w:val="00BD41EB"/>
    <w:rsid w:val="00BD420D"/>
    <w:rsid w:val="00BD421E"/>
    <w:rsid w:val="00BD43C4"/>
    <w:rsid w:val="00BD4517"/>
    <w:rsid w:val="00BD45B4"/>
    <w:rsid w:val="00BD4651"/>
    <w:rsid w:val="00BD467F"/>
    <w:rsid w:val="00BD494D"/>
    <w:rsid w:val="00BD49D3"/>
    <w:rsid w:val="00BD5127"/>
    <w:rsid w:val="00BD5514"/>
    <w:rsid w:val="00BD589C"/>
    <w:rsid w:val="00BD590A"/>
    <w:rsid w:val="00BD5A8F"/>
    <w:rsid w:val="00BD5A9E"/>
    <w:rsid w:val="00BD5BD4"/>
    <w:rsid w:val="00BD5D25"/>
    <w:rsid w:val="00BD5D76"/>
    <w:rsid w:val="00BD5D7D"/>
    <w:rsid w:val="00BD5D85"/>
    <w:rsid w:val="00BD5E50"/>
    <w:rsid w:val="00BD6162"/>
    <w:rsid w:val="00BD625F"/>
    <w:rsid w:val="00BD63D9"/>
    <w:rsid w:val="00BD655C"/>
    <w:rsid w:val="00BD66A3"/>
    <w:rsid w:val="00BD66B1"/>
    <w:rsid w:val="00BD686D"/>
    <w:rsid w:val="00BD691F"/>
    <w:rsid w:val="00BD69AE"/>
    <w:rsid w:val="00BD6A7F"/>
    <w:rsid w:val="00BD6A92"/>
    <w:rsid w:val="00BD6AC0"/>
    <w:rsid w:val="00BD6AFE"/>
    <w:rsid w:val="00BD6B2A"/>
    <w:rsid w:val="00BD6BC0"/>
    <w:rsid w:val="00BD6D8E"/>
    <w:rsid w:val="00BD6EE9"/>
    <w:rsid w:val="00BD6F8A"/>
    <w:rsid w:val="00BD705B"/>
    <w:rsid w:val="00BD7414"/>
    <w:rsid w:val="00BD7989"/>
    <w:rsid w:val="00BD79AD"/>
    <w:rsid w:val="00BD7C32"/>
    <w:rsid w:val="00BD7D56"/>
    <w:rsid w:val="00BE004C"/>
    <w:rsid w:val="00BE0105"/>
    <w:rsid w:val="00BE03AB"/>
    <w:rsid w:val="00BE05EA"/>
    <w:rsid w:val="00BE07C5"/>
    <w:rsid w:val="00BE085C"/>
    <w:rsid w:val="00BE0B11"/>
    <w:rsid w:val="00BE0C01"/>
    <w:rsid w:val="00BE0C18"/>
    <w:rsid w:val="00BE0D83"/>
    <w:rsid w:val="00BE0E0F"/>
    <w:rsid w:val="00BE1575"/>
    <w:rsid w:val="00BE1766"/>
    <w:rsid w:val="00BE1893"/>
    <w:rsid w:val="00BE1E58"/>
    <w:rsid w:val="00BE1F60"/>
    <w:rsid w:val="00BE20F0"/>
    <w:rsid w:val="00BE2341"/>
    <w:rsid w:val="00BE23B5"/>
    <w:rsid w:val="00BE26F1"/>
    <w:rsid w:val="00BE281C"/>
    <w:rsid w:val="00BE2A7A"/>
    <w:rsid w:val="00BE2E3F"/>
    <w:rsid w:val="00BE2E88"/>
    <w:rsid w:val="00BE310A"/>
    <w:rsid w:val="00BE32A0"/>
    <w:rsid w:val="00BE3412"/>
    <w:rsid w:val="00BE36A4"/>
    <w:rsid w:val="00BE379E"/>
    <w:rsid w:val="00BE37BC"/>
    <w:rsid w:val="00BE37E9"/>
    <w:rsid w:val="00BE3832"/>
    <w:rsid w:val="00BE3CAA"/>
    <w:rsid w:val="00BE3D49"/>
    <w:rsid w:val="00BE3D87"/>
    <w:rsid w:val="00BE3E5F"/>
    <w:rsid w:val="00BE3F60"/>
    <w:rsid w:val="00BE40D9"/>
    <w:rsid w:val="00BE41AC"/>
    <w:rsid w:val="00BE41D7"/>
    <w:rsid w:val="00BE41F1"/>
    <w:rsid w:val="00BE43CE"/>
    <w:rsid w:val="00BE45BA"/>
    <w:rsid w:val="00BE466A"/>
    <w:rsid w:val="00BE46C4"/>
    <w:rsid w:val="00BE477E"/>
    <w:rsid w:val="00BE493F"/>
    <w:rsid w:val="00BE49A5"/>
    <w:rsid w:val="00BE49AC"/>
    <w:rsid w:val="00BE539B"/>
    <w:rsid w:val="00BE583A"/>
    <w:rsid w:val="00BE5B14"/>
    <w:rsid w:val="00BE5EDA"/>
    <w:rsid w:val="00BE6048"/>
    <w:rsid w:val="00BE60CD"/>
    <w:rsid w:val="00BE63DB"/>
    <w:rsid w:val="00BE66FC"/>
    <w:rsid w:val="00BE6858"/>
    <w:rsid w:val="00BE69DE"/>
    <w:rsid w:val="00BE706E"/>
    <w:rsid w:val="00BE7098"/>
    <w:rsid w:val="00BE7169"/>
    <w:rsid w:val="00BE7214"/>
    <w:rsid w:val="00BE72F5"/>
    <w:rsid w:val="00BE7465"/>
    <w:rsid w:val="00BE7483"/>
    <w:rsid w:val="00BE77DD"/>
    <w:rsid w:val="00BE7887"/>
    <w:rsid w:val="00BE78C0"/>
    <w:rsid w:val="00BE79CD"/>
    <w:rsid w:val="00BE7B86"/>
    <w:rsid w:val="00BE7BC0"/>
    <w:rsid w:val="00BE7C78"/>
    <w:rsid w:val="00BE7DDD"/>
    <w:rsid w:val="00BE7E1B"/>
    <w:rsid w:val="00BE7EF1"/>
    <w:rsid w:val="00BF000B"/>
    <w:rsid w:val="00BF03DD"/>
    <w:rsid w:val="00BF03FC"/>
    <w:rsid w:val="00BF05E1"/>
    <w:rsid w:val="00BF0871"/>
    <w:rsid w:val="00BF08B7"/>
    <w:rsid w:val="00BF08F1"/>
    <w:rsid w:val="00BF0B87"/>
    <w:rsid w:val="00BF0D63"/>
    <w:rsid w:val="00BF1039"/>
    <w:rsid w:val="00BF10F5"/>
    <w:rsid w:val="00BF1258"/>
    <w:rsid w:val="00BF12A5"/>
    <w:rsid w:val="00BF14ED"/>
    <w:rsid w:val="00BF165E"/>
    <w:rsid w:val="00BF1842"/>
    <w:rsid w:val="00BF18AB"/>
    <w:rsid w:val="00BF1AB8"/>
    <w:rsid w:val="00BF1C68"/>
    <w:rsid w:val="00BF1DBB"/>
    <w:rsid w:val="00BF1EFE"/>
    <w:rsid w:val="00BF1F00"/>
    <w:rsid w:val="00BF1F33"/>
    <w:rsid w:val="00BF1FEF"/>
    <w:rsid w:val="00BF2038"/>
    <w:rsid w:val="00BF229F"/>
    <w:rsid w:val="00BF23F2"/>
    <w:rsid w:val="00BF251F"/>
    <w:rsid w:val="00BF2821"/>
    <w:rsid w:val="00BF297F"/>
    <w:rsid w:val="00BF2A5E"/>
    <w:rsid w:val="00BF2AAD"/>
    <w:rsid w:val="00BF2B99"/>
    <w:rsid w:val="00BF2FF5"/>
    <w:rsid w:val="00BF346F"/>
    <w:rsid w:val="00BF37E6"/>
    <w:rsid w:val="00BF3968"/>
    <w:rsid w:val="00BF3A1A"/>
    <w:rsid w:val="00BF3AA5"/>
    <w:rsid w:val="00BF3AF4"/>
    <w:rsid w:val="00BF3C84"/>
    <w:rsid w:val="00BF3F1E"/>
    <w:rsid w:val="00BF4047"/>
    <w:rsid w:val="00BF41D4"/>
    <w:rsid w:val="00BF4325"/>
    <w:rsid w:val="00BF4546"/>
    <w:rsid w:val="00BF45EE"/>
    <w:rsid w:val="00BF4696"/>
    <w:rsid w:val="00BF4A65"/>
    <w:rsid w:val="00BF4F25"/>
    <w:rsid w:val="00BF518B"/>
    <w:rsid w:val="00BF5365"/>
    <w:rsid w:val="00BF550F"/>
    <w:rsid w:val="00BF565B"/>
    <w:rsid w:val="00BF5A7E"/>
    <w:rsid w:val="00BF5F27"/>
    <w:rsid w:val="00BF60A9"/>
    <w:rsid w:val="00BF6197"/>
    <w:rsid w:val="00BF6226"/>
    <w:rsid w:val="00BF633D"/>
    <w:rsid w:val="00BF641D"/>
    <w:rsid w:val="00BF68DC"/>
    <w:rsid w:val="00BF6AFE"/>
    <w:rsid w:val="00BF6D62"/>
    <w:rsid w:val="00BF6DD3"/>
    <w:rsid w:val="00BF6FAB"/>
    <w:rsid w:val="00BF7104"/>
    <w:rsid w:val="00BF72EC"/>
    <w:rsid w:val="00BF7435"/>
    <w:rsid w:val="00BF7555"/>
    <w:rsid w:val="00BF7A17"/>
    <w:rsid w:val="00BF7BB6"/>
    <w:rsid w:val="00BF7C5F"/>
    <w:rsid w:val="00BF7C84"/>
    <w:rsid w:val="00BF7C93"/>
    <w:rsid w:val="00BF7E30"/>
    <w:rsid w:val="00C0028A"/>
    <w:rsid w:val="00C0051A"/>
    <w:rsid w:val="00C0079D"/>
    <w:rsid w:val="00C00829"/>
    <w:rsid w:val="00C00900"/>
    <w:rsid w:val="00C009DE"/>
    <w:rsid w:val="00C00D6D"/>
    <w:rsid w:val="00C00DF8"/>
    <w:rsid w:val="00C01174"/>
    <w:rsid w:val="00C013D6"/>
    <w:rsid w:val="00C013FC"/>
    <w:rsid w:val="00C0146C"/>
    <w:rsid w:val="00C01563"/>
    <w:rsid w:val="00C016C6"/>
    <w:rsid w:val="00C0184E"/>
    <w:rsid w:val="00C01978"/>
    <w:rsid w:val="00C01D80"/>
    <w:rsid w:val="00C01DF3"/>
    <w:rsid w:val="00C01F61"/>
    <w:rsid w:val="00C01FF4"/>
    <w:rsid w:val="00C02243"/>
    <w:rsid w:val="00C023ED"/>
    <w:rsid w:val="00C02593"/>
    <w:rsid w:val="00C025B2"/>
    <w:rsid w:val="00C02757"/>
    <w:rsid w:val="00C027D1"/>
    <w:rsid w:val="00C02B61"/>
    <w:rsid w:val="00C02D66"/>
    <w:rsid w:val="00C03034"/>
    <w:rsid w:val="00C03086"/>
    <w:rsid w:val="00C0314F"/>
    <w:rsid w:val="00C031FA"/>
    <w:rsid w:val="00C03438"/>
    <w:rsid w:val="00C034A6"/>
    <w:rsid w:val="00C03540"/>
    <w:rsid w:val="00C03AA9"/>
    <w:rsid w:val="00C03BDA"/>
    <w:rsid w:val="00C03C2C"/>
    <w:rsid w:val="00C03C6F"/>
    <w:rsid w:val="00C0408D"/>
    <w:rsid w:val="00C042DD"/>
    <w:rsid w:val="00C0444B"/>
    <w:rsid w:val="00C04744"/>
    <w:rsid w:val="00C04852"/>
    <w:rsid w:val="00C049D2"/>
    <w:rsid w:val="00C04A0D"/>
    <w:rsid w:val="00C04E39"/>
    <w:rsid w:val="00C04E72"/>
    <w:rsid w:val="00C04E98"/>
    <w:rsid w:val="00C04EA1"/>
    <w:rsid w:val="00C04F72"/>
    <w:rsid w:val="00C05031"/>
    <w:rsid w:val="00C05204"/>
    <w:rsid w:val="00C053BC"/>
    <w:rsid w:val="00C055DC"/>
    <w:rsid w:val="00C05674"/>
    <w:rsid w:val="00C05685"/>
    <w:rsid w:val="00C058E5"/>
    <w:rsid w:val="00C059D8"/>
    <w:rsid w:val="00C05AA2"/>
    <w:rsid w:val="00C05EB4"/>
    <w:rsid w:val="00C06026"/>
    <w:rsid w:val="00C062CF"/>
    <w:rsid w:val="00C06459"/>
    <w:rsid w:val="00C0672F"/>
    <w:rsid w:val="00C06795"/>
    <w:rsid w:val="00C0709D"/>
    <w:rsid w:val="00C070D0"/>
    <w:rsid w:val="00C070F9"/>
    <w:rsid w:val="00C07417"/>
    <w:rsid w:val="00C07440"/>
    <w:rsid w:val="00C074B9"/>
    <w:rsid w:val="00C074E4"/>
    <w:rsid w:val="00C077AA"/>
    <w:rsid w:val="00C07BBA"/>
    <w:rsid w:val="00C07C9E"/>
    <w:rsid w:val="00C07CDB"/>
    <w:rsid w:val="00C07D44"/>
    <w:rsid w:val="00C07E15"/>
    <w:rsid w:val="00C102C5"/>
    <w:rsid w:val="00C10407"/>
    <w:rsid w:val="00C10552"/>
    <w:rsid w:val="00C10B20"/>
    <w:rsid w:val="00C10B79"/>
    <w:rsid w:val="00C10D97"/>
    <w:rsid w:val="00C113C8"/>
    <w:rsid w:val="00C11480"/>
    <w:rsid w:val="00C11550"/>
    <w:rsid w:val="00C115A3"/>
    <w:rsid w:val="00C115AB"/>
    <w:rsid w:val="00C115F0"/>
    <w:rsid w:val="00C1164C"/>
    <w:rsid w:val="00C1165B"/>
    <w:rsid w:val="00C11763"/>
    <w:rsid w:val="00C1180D"/>
    <w:rsid w:val="00C11888"/>
    <w:rsid w:val="00C11A01"/>
    <w:rsid w:val="00C11A8D"/>
    <w:rsid w:val="00C11B83"/>
    <w:rsid w:val="00C11B92"/>
    <w:rsid w:val="00C11CD3"/>
    <w:rsid w:val="00C11D95"/>
    <w:rsid w:val="00C11DFD"/>
    <w:rsid w:val="00C120C0"/>
    <w:rsid w:val="00C122E2"/>
    <w:rsid w:val="00C124B3"/>
    <w:rsid w:val="00C12617"/>
    <w:rsid w:val="00C12619"/>
    <w:rsid w:val="00C1294E"/>
    <w:rsid w:val="00C12A3A"/>
    <w:rsid w:val="00C12C9F"/>
    <w:rsid w:val="00C12F69"/>
    <w:rsid w:val="00C12FEB"/>
    <w:rsid w:val="00C13251"/>
    <w:rsid w:val="00C13559"/>
    <w:rsid w:val="00C1355C"/>
    <w:rsid w:val="00C13758"/>
    <w:rsid w:val="00C137BF"/>
    <w:rsid w:val="00C13881"/>
    <w:rsid w:val="00C13998"/>
    <w:rsid w:val="00C14352"/>
    <w:rsid w:val="00C146EC"/>
    <w:rsid w:val="00C14AB8"/>
    <w:rsid w:val="00C14C84"/>
    <w:rsid w:val="00C15166"/>
    <w:rsid w:val="00C151EA"/>
    <w:rsid w:val="00C15239"/>
    <w:rsid w:val="00C15254"/>
    <w:rsid w:val="00C15695"/>
    <w:rsid w:val="00C15A49"/>
    <w:rsid w:val="00C15B2F"/>
    <w:rsid w:val="00C15BF7"/>
    <w:rsid w:val="00C15EDC"/>
    <w:rsid w:val="00C15FD3"/>
    <w:rsid w:val="00C161FB"/>
    <w:rsid w:val="00C1640D"/>
    <w:rsid w:val="00C164A4"/>
    <w:rsid w:val="00C166F0"/>
    <w:rsid w:val="00C16892"/>
    <w:rsid w:val="00C169D8"/>
    <w:rsid w:val="00C16A75"/>
    <w:rsid w:val="00C16AB0"/>
    <w:rsid w:val="00C16ACC"/>
    <w:rsid w:val="00C16C45"/>
    <w:rsid w:val="00C16DD1"/>
    <w:rsid w:val="00C16E3B"/>
    <w:rsid w:val="00C1704C"/>
    <w:rsid w:val="00C17105"/>
    <w:rsid w:val="00C1747A"/>
    <w:rsid w:val="00C17579"/>
    <w:rsid w:val="00C17761"/>
    <w:rsid w:val="00C17979"/>
    <w:rsid w:val="00C17A7C"/>
    <w:rsid w:val="00C17C12"/>
    <w:rsid w:val="00C202EF"/>
    <w:rsid w:val="00C2062A"/>
    <w:rsid w:val="00C206EA"/>
    <w:rsid w:val="00C20775"/>
    <w:rsid w:val="00C208EC"/>
    <w:rsid w:val="00C20A0A"/>
    <w:rsid w:val="00C20C18"/>
    <w:rsid w:val="00C20D4D"/>
    <w:rsid w:val="00C20F19"/>
    <w:rsid w:val="00C214E0"/>
    <w:rsid w:val="00C2162A"/>
    <w:rsid w:val="00C2167C"/>
    <w:rsid w:val="00C218AA"/>
    <w:rsid w:val="00C21B71"/>
    <w:rsid w:val="00C22038"/>
    <w:rsid w:val="00C2205A"/>
    <w:rsid w:val="00C221BF"/>
    <w:rsid w:val="00C221E3"/>
    <w:rsid w:val="00C22317"/>
    <w:rsid w:val="00C224F1"/>
    <w:rsid w:val="00C2252D"/>
    <w:rsid w:val="00C225B2"/>
    <w:rsid w:val="00C22730"/>
    <w:rsid w:val="00C22AA1"/>
    <w:rsid w:val="00C22B2B"/>
    <w:rsid w:val="00C22CB2"/>
    <w:rsid w:val="00C22DD9"/>
    <w:rsid w:val="00C22F47"/>
    <w:rsid w:val="00C2307D"/>
    <w:rsid w:val="00C2342F"/>
    <w:rsid w:val="00C2370B"/>
    <w:rsid w:val="00C238E4"/>
    <w:rsid w:val="00C23A39"/>
    <w:rsid w:val="00C23A41"/>
    <w:rsid w:val="00C23B8B"/>
    <w:rsid w:val="00C23CB5"/>
    <w:rsid w:val="00C23F0D"/>
    <w:rsid w:val="00C23F4D"/>
    <w:rsid w:val="00C23FEA"/>
    <w:rsid w:val="00C241B9"/>
    <w:rsid w:val="00C2441F"/>
    <w:rsid w:val="00C24591"/>
    <w:rsid w:val="00C24C00"/>
    <w:rsid w:val="00C24C30"/>
    <w:rsid w:val="00C24C3E"/>
    <w:rsid w:val="00C24DB8"/>
    <w:rsid w:val="00C25101"/>
    <w:rsid w:val="00C2524F"/>
    <w:rsid w:val="00C2547A"/>
    <w:rsid w:val="00C25764"/>
    <w:rsid w:val="00C25958"/>
    <w:rsid w:val="00C259DC"/>
    <w:rsid w:val="00C25B78"/>
    <w:rsid w:val="00C25C1E"/>
    <w:rsid w:val="00C25F75"/>
    <w:rsid w:val="00C25F92"/>
    <w:rsid w:val="00C262DC"/>
    <w:rsid w:val="00C2640F"/>
    <w:rsid w:val="00C264F7"/>
    <w:rsid w:val="00C26722"/>
    <w:rsid w:val="00C268CF"/>
    <w:rsid w:val="00C26957"/>
    <w:rsid w:val="00C26A7A"/>
    <w:rsid w:val="00C26BB5"/>
    <w:rsid w:val="00C26E8E"/>
    <w:rsid w:val="00C26F11"/>
    <w:rsid w:val="00C27100"/>
    <w:rsid w:val="00C27130"/>
    <w:rsid w:val="00C2742F"/>
    <w:rsid w:val="00C27433"/>
    <w:rsid w:val="00C274A1"/>
    <w:rsid w:val="00C27D90"/>
    <w:rsid w:val="00C30291"/>
    <w:rsid w:val="00C302F9"/>
    <w:rsid w:val="00C305C6"/>
    <w:rsid w:val="00C3085D"/>
    <w:rsid w:val="00C30BBC"/>
    <w:rsid w:val="00C30D55"/>
    <w:rsid w:val="00C30E85"/>
    <w:rsid w:val="00C312B8"/>
    <w:rsid w:val="00C314D8"/>
    <w:rsid w:val="00C315D7"/>
    <w:rsid w:val="00C31601"/>
    <w:rsid w:val="00C317F3"/>
    <w:rsid w:val="00C318D7"/>
    <w:rsid w:val="00C31989"/>
    <w:rsid w:val="00C319A7"/>
    <w:rsid w:val="00C31C6D"/>
    <w:rsid w:val="00C32100"/>
    <w:rsid w:val="00C32157"/>
    <w:rsid w:val="00C32195"/>
    <w:rsid w:val="00C321DB"/>
    <w:rsid w:val="00C32393"/>
    <w:rsid w:val="00C324BD"/>
    <w:rsid w:val="00C3256B"/>
    <w:rsid w:val="00C325CF"/>
    <w:rsid w:val="00C3263F"/>
    <w:rsid w:val="00C326A9"/>
    <w:rsid w:val="00C32ABA"/>
    <w:rsid w:val="00C32B96"/>
    <w:rsid w:val="00C32CA8"/>
    <w:rsid w:val="00C32CBE"/>
    <w:rsid w:val="00C32ECC"/>
    <w:rsid w:val="00C330CC"/>
    <w:rsid w:val="00C3340F"/>
    <w:rsid w:val="00C33429"/>
    <w:rsid w:val="00C33815"/>
    <w:rsid w:val="00C339CC"/>
    <w:rsid w:val="00C33C09"/>
    <w:rsid w:val="00C33CB7"/>
    <w:rsid w:val="00C33DAD"/>
    <w:rsid w:val="00C33E4C"/>
    <w:rsid w:val="00C33E9B"/>
    <w:rsid w:val="00C33F37"/>
    <w:rsid w:val="00C33FD2"/>
    <w:rsid w:val="00C341E1"/>
    <w:rsid w:val="00C343FB"/>
    <w:rsid w:val="00C345FE"/>
    <w:rsid w:val="00C347BE"/>
    <w:rsid w:val="00C34921"/>
    <w:rsid w:val="00C349C2"/>
    <w:rsid w:val="00C349FD"/>
    <w:rsid w:val="00C34ABE"/>
    <w:rsid w:val="00C34AFA"/>
    <w:rsid w:val="00C34B8C"/>
    <w:rsid w:val="00C34BB2"/>
    <w:rsid w:val="00C34D6A"/>
    <w:rsid w:val="00C34F22"/>
    <w:rsid w:val="00C352CA"/>
    <w:rsid w:val="00C3534F"/>
    <w:rsid w:val="00C353C8"/>
    <w:rsid w:val="00C355F3"/>
    <w:rsid w:val="00C359B2"/>
    <w:rsid w:val="00C35AD0"/>
    <w:rsid w:val="00C35B20"/>
    <w:rsid w:val="00C35BFF"/>
    <w:rsid w:val="00C35C12"/>
    <w:rsid w:val="00C35C27"/>
    <w:rsid w:val="00C35C5C"/>
    <w:rsid w:val="00C35FEE"/>
    <w:rsid w:val="00C36089"/>
    <w:rsid w:val="00C3613F"/>
    <w:rsid w:val="00C361F4"/>
    <w:rsid w:val="00C363C7"/>
    <w:rsid w:val="00C3648E"/>
    <w:rsid w:val="00C36512"/>
    <w:rsid w:val="00C366B5"/>
    <w:rsid w:val="00C3675A"/>
    <w:rsid w:val="00C36FAE"/>
    <w:rsid w:val="00C3703D"/>
    <w:rsid w:val="00C374B4"/>
    <w:rsid w:val="00C374C3"/>
    <w:rsid w:val="00C375A9"/>
    <w:rsid w:val="00C37DF5"/>
    <w:rsid w:val="00C407F4"/>
    <w:rsid w:val="00C408C7"/>
    <w:rsid w:val="00C409BE"/>
    <w:rsid w:val="00C40C1F"/>
    <w:rsid w:val="00C40CA4"/>
    <w:rsid w:val="00C40FE6"/>
    <w:rsid w:val="00C4184A"/>
    <w:rsid w:val="00C4187A"/>
    <w:rsid w:val="00C418D8"/>
    <w:rsid w:val="00C41950"/>
    <w:rsid w:val="00C41B0B"/>
    <w:rsid w:val="00C41C09"/>
    <w:rsid w:val="00C41C2F"/>
    <w:rsid w:val="00C41D32"/>
    <w:rsid w:val="00C42230"/>
    <w:rsid w:val="00C422FE"/>
    <w:rsid w:val="00C42422"/>
    <w:rsid w:val="00C425E4"/>
    <w:rsid w:val="00C42729"/>
    <w:rsid w:val="00C4284A"/>
    <w:rsid w:val="00C42D3F"/>
    <w:rsid w:val="00C42E4B"/>
    <w:rsid w:val="00C42EA5"/>
    <w:rsid w:val="00C42F0A"/>
    <w:rsid w:val="00C43021"/>
    <w:rsid w:val="00C43091"/>
    <w:rsid w:val="00C43127"/>
    <w:rsid w:val="00C433F7"/>
    <w:rsid w:val="00C4366D"/>
    <w:rsid w:val="00C4372E"/>
    <w:rsid w:val="00C438CF"/>
    <w:rsid w:val="00C43A2C"/>
    <w:rsid w:val="00C44048"/>
    <w:rsid w:val="00C44077"/>
    <w:rsid w:val="00C441D2"/>
    <w:rsid w:val="00C442CD"/>
    <w:rsid w:val="00C44466"/>
    <w:rsid w:val="00C4452C"/>
    <w:rsid w:val="00C44548"/>
    <w:rsid w:val="00C445D0"/>
    <w:rsid w:val="00C44847"/>
    <w:rsid w:val="00C448BE"/>
    <w:rsid w:val="00C44A12"/>
    <w:rsid w:val="00C44C37"/>
    <w:rsid w:val="00C44D91"/>
    <w:rsid w:val="00C44E8C"/>
    <w:rsid w:val="00C45610"/>
    <w:rsid w:val="00C458CB"/>
    <w:rsid w:val="00C45A65"/>
    <w:rsid w:val="00C45BFA"/>
    <w:rsid w:val="00C45C2F"/>
    <w:rsid w:val="00C461A0"/>
    <w:rsid w:val="00C4627D"/>
    <w:rsid w:val="00C465B5"/>
    <w:rsid w:val="00C466A8"/>
    <w:rsid w:val="00C468A9"/>
    <w:rsid w:val="00C46AE5"/>
    <w:rsid w:val="00C46CB6"/>
    <w:rsid w:val="00C46F06"/>
    <w:rsid w:val="00C47216"/>
    <w:rsid w:val="00C474A5"/>
    <w:rsid w:val="00C47556"/>
    <w:rsid w:val="00C47654"/>
    <w:rsid w:val="00C476AB"/>
    <w:rsid w:val="00C47843"/>
    <w:rsid w:val="00C47973"/>
    <w:rsid w:val="00C47B51"/>
    <w:rsid w:val="00C47CF8"/>
    <w:rsid w:val="00C47E34"/>
    <w:rsid w:val="00C47E70"/>
    <w:rsid w:val="00C47F29"/>
    <w:rsid w:val="00C50031"/>
    <w:rsid w:val="00C50129"/>
    <w:rsid w:val="00C504E0"/>
    <w:rsid w:val="00C506D6"/>
    <w:rsid w:val="00C50E71"/>
    <w:rsid w:val="00C51090"/>
    <w:rsid w:val="00C5138B"/>
    <w:rsid w:val="00C5138D"/>
    <w:rsid w:val="00C516E2"/>
    <w:rsid w:val="00C517BC"/>
    <w:rsid w:val="00C51862"/>
    <w:rsid w:val="00C51883"/>
    <w:rsid w:val="00C518F9"/>
    <w:rsid w:val="00C51EB3"/>
    <w:rsid w:val="00C51EC0"/>
    <w:rsid w:val="00C51FE7"/>
    <w:rsid w:val="00C520A4"/>
    <w:rsid w:val="00C52256"/>
    <w:rsid w:val="00C52360"/>
    <w:rsid w:val="00C5236E"/>
    <w:rsid w:val="00C5265A"/>
    <w:rsid w:val="00C52869"/>
    <w:rsid w:val="00C52974"/>
    <w:rsid w:val="00C52ACD"/>
    <w:rsid w:val="00C52BE0"/>
    <w:rsid w:val="00C52D2D"/>
    <w:rsid w:val="00C52DC5"/>
    <w:rsid w:val="00C52DFE"/>
    <w:rsid w:val="00C52F96"/>
    <w:rsid w:val="00C52FBA"/>
    <w:rsid w:val="00C530EC"/>
    <w:rsid w:val="00C53343"/>
    <w:rsid w:val="00C53453"/>
    <w:rsid w:val="00C535FC"/>
    <w:rsid w:val="00C53614"/>
    <w:rsid w:val="00C53855"/>
    <w:rsid w:val="00C538F7"/>
    <w:rsid w:val="00C539EE"/>
    <w:rsid w:val="00C53C94"/>
    <w:rsid w:val="00C53EF7"/>
    <w:rsid w:val="00C5451D"/>
    <w:rsid w:val="00C546BE"/>
    <w:rsid w:val="00C548D3"/>
    <w:rsid w:val="00C54C3D"/>
    <w:rsid w:val="00C54DEA"/>
    <w:rsid w:val="00C54E5A"/>
    <w:rsid w:val="00C54EF0"/>
    <w:rsid w:val="00C54F9C"/>
    <w:rsid w:val="00C554B0"/>
    <w:rsid w:val="00C55AAD"/>
    <w:rsid w:val="00C55EDE"/>
    <w:rsid w:val="00C55F26"/>
    <w:rsid w:val="00C56093"/>
    <w:rsid w:val="00C5610A"/>
    <w:rsid w:val="00C56680"/>
    <w:rsid w:val="00C56720"/>
    <w:rsid w:val="00C56794"/>
    <w:rsid w:val="00C568EB"/>
    <w:rsid w:val="00C56D4D"/>
    <w:rsid w:val="00C571C3"/>
    <w:rsid w:val="00C57207"/>
    <w:rsid w:val="00C5731A"/>
    <w:rsid w:val="00C573B4"/>
    <w:rsid w:val="00C575C8"/>
    <w:rsid w:val="00C575DB"/>
    <w:rsid w:val="00C57E4D"/>
    <w:rsid w:val="00C6027B"/>
    <w:rsid w:val="00C60288"/>
    <w:rsid w:val="00C607D5"/>
    <w:rsid w:val="00C60848"/>
    <w:rsid w:val="00C608DD"/>
    <w:rsid w:val="00C60BD5"/>
    <w:rsid w:val="00C60CF6"/>
    <w:rsid w:val="00C60D47"/>
    <w:rsid w:val="00C60D82"/>
    <w:rsid w:val="00C60D8B"/>
    <w:rsid w:val="00C60FA3"/>
    <w:rsid w:val="00C60FFC"/>
    <w:rsid w:val="00C61496"/>
    <w:rsid w:val="00C6157C"/>
    <w:rsid w:val="00C616BD"/>
    <w:rsid w:val="00C616D4"/>
    <w:rsid w:val="00C617DA"/>
    <w:rsid w:val="00C61B30"/>
    <w:rsid w:val="00C61BD5"/>
    <w:rsid w:val="00C61D1D"/>
    <w:rsid w:val="00C61E9C"/>
    <w:rsid w:val="00C62000"/>
    <w:rsid w:val="00C6208A"/>
    <w:rsid w:val="00C621B3"/>
    <w:rsid w:val="00C621C7"/>
    <w:rsid w:val="00C62259"/>
    <w:rsid w:val="00C622A3"/>
    <w:rsid w:val="00C622E4"/>
    <w:rsid w:val="00C626E2"/>
    <w:rsid w:val="00C626ED"/>
    <w:rsid w:val="00C6285F"/>
    <w:rsid w:val="00C628C8"/>
    <w:rsid w:val="00C62989"/>
    <w:rsid w:val="00C62A69"/>
    <w:rsid w:val="00C62C40"/>
    <w:rsid w:val="00C631A4"/>
    <w:rsid w:val="00C633D3"/>
    <w:rsid w:val="00C63446"/>
    <w:rsid w:val="00C634B3"/>
    <w:rsid w:val="00C63782"/>
    <w:rsid w:val="00C63972"/>
    <w:rsid w:val="00C63D83"/>
    <w:rsid w:val="00C63DD2"/>
    <w:rsid w:val="00C63F53"/>
    <w:rsid w:val="00C63F67"/>
    <w:rsid w:val="00C6400C"/>
    <w:rsid w:val="00C64236"/>
    <w:rsid w:val="00C64313"/>
    <w:rsid w:val="00C644C4"/>
    <w:rsid w:val="00C6499E"/>
    <w:rsid w:val="00C649AD"/>
    <w:rsid w:val="00C649DC"/>
    <w:rsid w:val="00C64A31"/>
    <w:rsid w:val="00C64F9D"/>
    <w:rsid w:val="00C651D2"/>
    <w:rsid w:val="00C6528A"/>
    <w:rsid w:val="00C652B3"/>
    <w:rsid w:val="00C652CD"/>
    <w:rsid w:val="00C65659"/>
    <w:rsid w:val="00C65769"/>
    <w:rsid w:val="00C658B7"/>
    <w:rsid w:val="00C65ABA"/>
    <w:rsid w:val="00C65E3B"/>
    <w:rsid w:val="00C65E59"/>
    <w:rsid w:val="00C65FD2"/>
    <w:rsid w:val="00C66080"/>
    <w:rsid w:val="00C6609F"/>
    <w:rsid w:val="00C6618B"/>
    <w:rsid w:val="00C661CD"/>
    <w:rsid w:val="00C66279"/>
    <w:rsid w:val="00C66913"/>
    <w:rsid w:val="00C66A85"/>
    <w:rsid w:val="00C66BFF"/>
    <w:rsid w:val="00C66D3B"/>
    <w:rsid w:val="00C67394"/>
    <w:rsid w:val="00C673F8"/>
    <w:rsid w:val="00C6747B"/>
    <w:rsid w:val="00C6768D"/>
    <w:rsid w:val="00C6787B"/>
    <w:rsid w:val="00C67AB0"/>
    <w:rsid w:val="00C67D13"/>
    <w:rsid w:val="00C67E7D"/>
    <w:rsid w:val="00C702F4"/>
    <w:rsid w:val="00C70982"/>
    <w:rsid w:val="00C70D51"/>
    <w:rsid w:val="00C7165E"/>
    <w:rsid w:val="00C718AD"/>
    <w:rsid w:val="00C71A5D"/>
    <w:rsid w:val="00C71A95"/>
    <w:rsid w:val="00C71ACE"/>
    <w:rsid w:val="00C71CDC"/>
    <w:rsid w:val="00C721CC"/>
    <w:rsid w:val="00C72243"/>
    <w:rsid w:val="00C7226A"/>
    <w:rsid w:val="00C727EE"/>
    <w:rsid w:val="00C72828"/>
    <w:rsid w:val="00C729FC"/>
    <w:rsid w:val="00C72A90"/>
    <w:rsid w:val="00C72ACA"/>
    <w:rsid w:val="00C72AEB"/>
    <w:rsid w:val="00C72E31"/>
    <w:rsid w:val="00C73073"/>
    <w:rsid w:val="00C7315A"/>
    <w:rsid w:val="00C73340"/>
    <w:rsid w:val="00C7347B"/>
    <w:rsid w:val="00C735D8"/>
    <w:rsid w:val="00C735F9"/>
    <w:rsid w:val="00C736E7"/>
    <w:rsid w:val="00C73C0D"/>
    <w:rsid w:val="00C73C3D"/>
    <w:rsid w:val="00C73E25"/>
    <w:rsid w:val="00C74007"/>
    <w:rsid w:val="00C742C3"/>
    <w:rsid w:val="00C7443A"/>
    <w:rsid w:val="00C744BA"/>
    <w:rsid w:val="00C74591"/>
    <w:rsid w:val="00C7499F"/>
    <w:rsid w:val="00C749CF"/>
    <w:rsid w:val="00C74F63"/>
    <w:rsid w:val="00C74F83"/>
    <w:rsid w:val="00C7519E"/>
    <w:rsid w:val="00C75214"/>
    <w:rsid w:val="00C754A6"/>
    <w:rsid w:val="00C75926"/>
    <w:rsid w:val="00C75FB4"/>
    <w:rsid w:val="00C7614B"/>
    <w:rsid w:val="00C761B1"/>
    <w:rsid w:val="00C76576"/>
    <w:rsid w:val="00C76685"/>
    <w:rsid w:val="00C7678C"/>
    <w:rsid w:val="00C76947"/>
    <w:rsid w:val="00C76B19"/>
    <w:rsid w:val="00C76BDA"/>
    <w:rsid w:val="00C76FCA"/>
    <w:rsid w:val="00C77013"/>
    <w:rsid w:val="00C77111"/>
    <w:rsid w:val="00C77300"/>
    <w:rsid w:val="00C77A3D"/>
    <w:rsid w:val="00C77BF4"/>
    <w:rsid w:val="00C77C20"/>
    <w:rsid w:val="00C77CB3"/>
    <w:rsid w:val="00C77CC9"/>
    <w:rsid w:val="00C80028"/>
    <w:rsid w:val="00C802DE"/>
    <w:rsid w:val="00C802F3"/>
    <w:rsid w:val="00C80649"/>
    <w:rsid w:val="00C80946"/>
    <w:rsid w:val="00C80AF1"/>
    <w:rsid w:val="00C80CB1"/>
    <w:rsid w:val="00C8112F"/>
    <w:rsid w:val="00C8144B"/>
    <w:rsid w:val="00C8158F"/>
    <w:rsid w:val="00C81A12"/>
    <w:rsid w:val="00C81A9F"/>
    <w:rsid w:val="00C81BBC"/>
    <w:rsid w:val="00C81D85"/>
    <w:rsid w:val="00C81EC0"/>
    <w:rsid w:val="00C81F5B"/>
    <w:rsid w:val="00C820E4"/>
    <w:rsid w:val="00C82261"/>
    <w:rsid w:val="00C82303"/>
    <w:rsid w:val="00C82364"/>
    <w:rsid w:val="00C82370"/>
    <w:rsid w:val="00C8244C"/>
    <w:rsid w:val="00C824E4"/>
    <w:rsid w:val="00C8296F"/>
    <w:rsid w:val="00C829BD"/>
    <w:rsid w:val="00C82A24"/>
    <w:rsid w:val="00C82F09"/>
    <w:rsid w:val="00C82F0F"/>
    <w:rsid w:val="00C82F9D"/>
    <w:rsid w:val="00C83627"/>
    <w:rsid w:val="00C8369D"/>
    <w:rsid w:val="00C837AD"/>
    <w:rsid w:val="00C838B5"/>
    <w:rsid w:val="00C838E4"/>
    <w:rsid w:val="00C83E2C"/>
    <w:rsid w:val="00C83E4C"/>
    <w:rsid w:val="00C83FEF"/>
    <w:rsid w:val="00C8401D"/>
    <w:rsid w:val="00C84196"/>
    <w:rsid w:val="00C844AB"/>
    <w:rsid w:val="00C846BE"/>
    <w:rsid w:val="00C84755"/>
    <w:rsid w:val="00C84942"/>
    <w:rsid w:val="00C84AA2"/>
    <w:rsid w:val="00C84C02"/>
    <w:rsid w:val="00C84D07"/>
    <w:rsid w:val="00C84D8A"/>
    <w:rsid w:val="00C84DB9"/>
    <w:rsid w:val="00C84EA6"/>
    <w:rsid w:val="00C84F18"/>
    <w:rsid w:val="00C84F81"/>
    <w:rsid w:val="00C84FC2"/>
    <w:rsid w:val="00C85050"/>
    <w:rsid w:val="00C85075"/>
    <w:rsid w:val="00C853F1"/>
    <w:rsid w:val="00C85458"/>
    <w:rsid w:val="00C8567D"/>
    <w:rsid w:val="00C8571B"/>
    <w:rsid w:val="00C8589F"/>
    <w:rsid w:val="00C85A96"/>
    <w:rsid w:val="00C85ABC"/>
    <w:rsid w:val="00C863D9"/>
    <w:rsid w:val="00C8684A"/>
    <w:rsid w:val="00C86A91"/>
    <w:rsid w:val="00C86B32"/>
    <w:rsid w:val="00C86F44"/>
    <w:rsid w:val="00C8702D"/>
    <w:rsid w:val="00C870E4"/>
    <w:rsid w:val="00C87120"/>
    <w:rsid w:val="00C87256"/>
    <w:rsid w:val="00C87325"/>
    <w:rsid w:val="00C8740F"/>
    <w:rsid w:val="00C87BFC"/>
    <w:rsid w:val="00C87C7D"/>
    <w:rsid w:val="00C87CEF"/>
    <w:rsid w:val="00C87F5E"/>
    <w:rsid w:val="00C90144"/>
    <w:rsid w:val="00C902BF"/>
    <w:rsid w:val="00C90387"/>
    <w:rsid w:val="00C903B4"/>
    <w:rsid w:val="00C9053A"/>
    <w:rsid w:val="00C905A4"/>
    <w:rsid w:val="00C9074D"/>
    <w:rsid w:val="00C908FC"/>
    <w:rsid w:val="00C909C2"/>
    <w:rsid w:val="00C90AE1"/>
    <w:rsid w:val="00C90B79"/>
    <w:rsid w:val="00C90BC3"/>
    <w:rsid w:val="00C90D78"/>
    <w:rsid w:val="00C90DD9"/>
    <w:rsid w:val="00C91439"/>
    <w:rsid w:val="00C91485"/>
    <w:rsid w:val="00C91604"/>
    <w:rsid w:val="00C9161F"/>
    <w:rsid w:val="00C91704"/>
    <w:rsid w:val="00C918A6"/>
    <w:rsid w:val="00C91B33"/>
    <w:rsid w:val="00C91F78"/>
    <w:rsid w:val="00C92052"/>
    <w:rsid w:val="00C920A1"/>
    <w:rsid w:val="00C9222E"/>
    <w:rsid w:val="00C924AE"/>
    <w:rsid w:val="00C92511"/>
    <w:rsid w:val="00C925F9"/>
    <w:rsid w:val="00C928F0"/>
    <w:rsid w:val="00C92B21"/>
    <w:rsid w:val="00C92B40"/>
    <w:rsid w:val="00C92BD3"/>
    <w:rsid w:val="00C92D88"/>
    <w:rsid w:val="00C92E9B"/>
    <w:rsid w:val="00C92FA2"/>
    <w:rsid w:val="00C931C1"/>
    <w:rsid w:val="00C931DE"/>
    <w:rsid w:val="00C9342D"/>
    <w:rsid w:val="00C934DC"/>
    <w:rsid w:val="00C936E7"/>
    <w:rsid w:val="00C93787"/>
    <w:rsid w:val="00C93901"/>
    <w:rsid w:val="00C93A3B"/>
    <w:rsid w:val="00C93A76"/>
    <w:rsid w:val="00C93D93"/>
    <w:rsid w:val="00C93EE4"/>
    <w:rsid w:val="00C94003"/>
    <w:rsid w:val="00C9413D"/>
    <w:rsid w:val="00C9416A"/>
    <w:rsid w:val="00C94454"/>
    <w:rsid w:val="00C9449F"/>
    <w:rsid w:val="00C94574"/>
    <w:rsid w:val="00C945B7"/>
    <w:rsid w:val="00C945D7"/>
    <w:rsid w:val="00C94638"/>
    <w:rsid w:val="00C946D9"/>
    <w:rsid w:val="00C94788"/>
    <w:rsid w:val="00C94A6A"/>
    <w:rsid w:val="00C94BA0"/>
    <w:rsid w:val="00C94C06"/>
    <w:rsid w:val="00C9512D"/>
    <w:rsid w:val="00C95919"/>
    <w:rsid w:val="00C9594D"/>
    <w:rsid w:val="00C960CF"/>
    <w:rsid w:val="00C963DE"/>
    <w:rsid w:val="00C96426"/>
    <w:rsid w:val="00C966C4"/>
    <w:rsid w:val="00C966F2"/>
    <w:rsid w:val="00C96793"/>
    <w:rsid w:val="00C96985"/>
    <w:rsid w:val="00C96AB2"/>
    <w:rsid w:val="00C96AF8"/>
    <w:rsid w:val="00C96B93"/>
    <w:rsid w:val="00C970DA"/>
    <w:rsid w:val="00C97252"/>
    <w:rsid w:val="00C97292"/>
    <w:rsid w:val="00C972D0"/>
    <w:rsid w:val="00C974C4"/>
    <w:rsid w:val="00C975BB"/>
    <w:rsid w:val="00C97663"/>
    <w:rsid w:val="00C97803"/>
    <w:rsid w:val="00C97AC6"/>
    <w:rsid w:val="00CA0069"/>
    <w:rsid w:val="00CA00EF"/>
    <w:rsid w:val="00CA00F8"/>
    <w:rsid w:val="00CA0310"/>
    <w:rsid w:val="00CA06E7"/>
    <w:rsid w:val="00CA0A38"/>
    <w:rsid w:val="00CA0A49"/>
    <w:rsid w:val="00CA0A69"/>
    <w:rsid w:val="00CA0BAE"/>
    <w:rsid w:val="00CA0C26"/>
    <w:rsid w:val="00CA0E07"/>
    <w:rsid w:val="00CA0FBC"/>
    <w:rsid w:val="00CA0FD2"/>
    <w:rsid w:val="00CA10E8"/>
    <w:rsid w:val="00CA11C4"/>
    <w:rsid w:val="00CA1280"/>
    <w:rsid w:val="00CA1412"/>
    <w:rsid w:val="00CA141B"/>
    <w:rsid w:val="00CA1493"/>
    <w:rsid w:val="00CA15D6"/>
    <w:rsid w:val="00CA16DB"/>
    <w:rsid w:val="00CA1A36"/>
    <w:rsid w:val="00CA1B64"/>
    <w:rsid w:val="00CA1C47"/>
    <w:rsid w:val="00CA1CC6"/>
    <w:rsid w:val="00CA20AA"/>
    <w:rsid w:val="00CA2336"/>
    <w:rsid w:val="00CA2904"/>
    <w:rsid w:val="00CA2947"/>
    <w:rsid w:val="00CA2A7D"/>
    <w:rsid w:val="00CA2ABB"/>
    <w:rsid w:val="00CA2AC8"/>
    <w:rsid w:val="00CA2CFF"/>
    <w:rsid w:val="00CA2D5D"/>
    <w:rsid w:val="00CA2EAB"/>
    <w:rsid w:val="00CA2EDF"/>
    <w:rsid w:val="00CA2F0D"/>
    <w:rsid w:val="00CA302D"/>
    <w:rsid w:val="00CA316A"/>
    <w:rsid w:val="00CA3340"/>
    <w:rsid w:val="00CA33F8"/>
    <w:rsid w:val="00CA36A6"/>
    <w:rsid w:val="00CA3888"/>
    <w:rsid w:val="00CA3B67"/>
    <w:rsid w:val="00CA3C0D"/>
    <w:rsid w:val="00CA3CA6"/>
    <w:rsid w:val="00CA41B5"/>
    <w:rsid w:val="00CA41B9"/>
    <w:rsid w:val="00CA4392"/>
    <w:rsid w:val="00CA4433"/>
    <w:rsid w:val="00CA45A8"/>
    <w:rsid w:val="00CA4889"/>
    <w:rsid w:val="00CA4957"/>
    <w:rsid w:val="00CA4A51"/>
    <w:rsid w:val="00CA4B36"/>
    <w:rsid w:val="00CA4CFC"/>
    <w:rsid w:val="00CA4F51"/>
    <w:rsid w:val="00CA54C5"/>
    <w:rsid w:val="00CA558B"/>
    <w:rsid w:val="00CA5776"/>
    <w:rsid w:val="00CA58DB"/>
    <w:rsid w:val="00CA5A05"/>
    <w:rsid w:val="00CA5B45"/>
    <w:rsid w:val="00CA5DFA"/>
    <w:rsid w:val="00CA620D"/>
    <w:rsid w:val="00CA63CB"/>
    <w:rsid w:val="00CA677B"/>
    <w:rsid w:val="00CA6865"/>
    <w:rsid w:val="00CA69AC"/>
    <w:rsid w:val="00CA6C75"/>
    <w:rsid w:val="00CA6DBF"/>
    <w:rsid w:val="00CA705B"/>
    <w:rsid w:val="00CA757E"/>
    <w:rsid w:val="00CA75B3"/>
    <w:rsid w:val="00CA7875"/>
    <w:rsid w:val="00CA7884"/>
    <w:rsid w:val="00CA7B66"/>
    <w:rsid w:val="00CA7DC9"/>
    <w:rsid w:val="00CB07A8"/>
    <w:rsid w:val="00CB0927"/>
    <w:rsid w:val="00CB0ADC"/>
    <w:rsid w:val="00CB0CF7"/>
    <w:rsid w:val="00CB0E63"/>
    <w:rsid w:val="00CB0F74"/>
    <w:rsid w:val="00CB102A"/>
    <w:rsid w:val="00CB1A61"/>
    <w:rsid w:val="00CB1A7C"/>
    <w:rsid w:val="00CB1B0F"/>
    <w:rsid w:val="00CB1BFE"/>
    <w:rsid w:val="00CB1C98"/>
    <w:rsid w:val="00CB1EF7"/>
    <w:rsid w:val="00CB1F59"/>
    <w:rsid w:val="00CB1FD1"/>
    <w:rsid w:val="00CB2072"/>
    <w:rsid w:val="00CB20C5"/>
    <w:rsid w:val="00CB2111"/>
    <w:rsid w:val="00CB2300"/>
    <w:rsid w:val="00CB258E"/>
    <w:rsid w:val="00CB28DF"/>
    <w:rsid w:val="00CB2D2F"/>
    <w:rsid w:val="00CB2E49"/>
    <w:rsid w:val="00CB3700"/>
    <w:rsid w:val="00CB3C25"/>
    <w:rsid w:val="00CB3FEF"/>
    <w:rsid w:val="00CB4057"/>
    <w:rsid w:val="00CB4168"/>
    <w:rsid w:val="00CB459D"/>
    <w:rsid w:val="00CB4658"/>
    <w:rsid w:val="00CB469A"/>
    <w:rsid w:val="00CB47DB"/>
    <w:rsid w:val="00CB483D"/>
    <w:rsid w:val="00CB4A7C"/>
    <w:rsid w:val="00CB4D41"/>
    <w:rsid w:val="00CB4E93"/>
    <w:rsid w:val="00CB4FFC"/>
    <w:rsid w:val="00CB5046"/>
    <w:rsid w:val="00CB5171"/>
    <w:rsid w:val="00CB5308"/>
    <w:rsid w:val="00CB5389"/>
    <w:rsid w:val="00CB53B7"/>
    <w:rsid w:val="00CB5524"/>
    <w:rsid w:val="00CB60BF"/>
    <w:rsid w:val="00CB65EE"/>
    <w:rsid w:val="00CB688A"/>
    <w:rsid w:val="00CB6A4D"/>
    <w:rsid w:val="00CB7039"/>
    <w:rsid w:val="00CB72C4"/>
    <w:rsid w:val="00CB74C5"/>
    <w:rsid w:val="00CB75DA"/>
    <w:rsid w:val="00CB776F"/>
    <w:rsid w:val="00CB7B7B"/>
    <w:rsid w:val="00CB7BBD"/>
    <w:rsid w:val="00CB7C0A"/>
    <w:rsid w:val="00CB7C92"/>
    <w:rsid w:val="00CB7C96"/>
    <w:rsid w:val="00CB7D4D"/>
    <w:rsid w:val="00CB7D54"/>
    <w:rsid w:val="00CB7EB9"/>
    <w:rsid w:val="00CB7FF1"/>
    <w:rsid w:val="00CC00BC"/>
    <w:rsid w:val="00CC021A"/>
    <w:rsid w:val="00CC041F"/>
    <w:rsid w:val="00CC044E"/>
    <w:rsid w:val="00CC0467"/>
    <w:rsid w:val="00CC0490"/>
    <w:rsid w:val="00CC059D"/>
    <w:rsid w:val="00CC084B"/>
    <w:rsid w:val="00CC0950"/>
    <w:rsid w:val="00CC0B3B"/>
    <w:rsid w:val="00CC0E47"/>
    <w:rsid w:val="00CC10E1"/>
    <w:rsid w:val="00CC198E"/>
    <w:rsid w:val="00CC1A1C"/>
    <w:rsid w:val="00CC1E44"/>
    <w:rsid w:val="00CC1F23"/>
    <w:rsid w:val="00CC1FDD"/>
    <w:rsid w:val="00CC223E"/>
    <w:rsid w:val="00CC2546"/>
    <w:rsid w:val="00CC26DD"/>
    <w:rsid w:val="00CC2BA9"/>
    <w:rsid w:val="00CC2EF2"/>
    <w:rsid w:val="00CC2F1D"/>
    <w:rsid w:val="00CC2FC7"/>
    <w:rsid w:val="00CC342B"/>
    <w:rsid w:val="00CC3498"/>
    <w:rsid w:val="00CC3543"/>
    <w:rsid w:val="00CC357B"/>
    <w:rsid w:val="00CC37A9"/>
    <w:rsid w:val="00CC37B3"/>
    <w:rsid w:val="00CC3994"/>
    <w:rsid w:val="00CC39AB"/>
    <w:rsid w:val="00CC3A7A"/>
    <w:rsid w:val="00CC3F13"/>
    <w:rsid w:val="00CC431B"/>
    <w:rsid w:val="00CC449F"/>
    <w:rsid w:val="00CC450F"/>
    <w:rsid w:val="00CC46AD"/>
    <w:rsid w:val="00CC4729"/>
    <w:rsid w:val="00CC4AE1"/>
    <w:rsid w:val="00CC5378"/>
    <w:rsid w:val="00CC537A"/>
    <w:rsid w:val="00CC5414"/>
    <w:rsid w:val="00CC541D"/>
    <w:rsid w:val="00CC545F"/>
    <w:rsid w:val="00CC5835"/>
    <w:rsid w:val="00CC5B2A"/>
    <w:rsid w:val="00CC5CB1"/>
    <w:rsid w:val="00CC5CB5"/>
    <w:rsid w:val="00CC6345"/>
    <w:rsid w:val="00CC6AEE"/>
    <w:rsid w:val="00CC6FB2"/>
    <w:rsid w:val="00CC7020"/>
    <w:rsid w:val="00CC722B"/>
    <w:rsid w:val="00CC785B"/>
    <w:rsid w:val="00CC79A7"/>
    <w:rsid w:val="00CC79F2"/>
    <w:rsid w:val="00CC7A0F"/>
    <w:rsid w:val="00CC7CDF"/>
    <w:rsid w:val="00CD01BD"/>
    <w:rsid w:val="00CD02D9"/>
    <w:rsid w:val="00CD0392"/>
    <w:rsid w:val="00CD05B2"/>
    <w:rsid w:val="00CD05ED"/>
    <w:rsid w:val="00CD0747"/>
    <w:rsid w:val="00CD1273"/>
    <w:rsid w:val="00CD12E3"/>
    <w:rsid w:val="00CD16A1"/>
    <w:rsid w:val="00CD1BB2"/>
    <w:rsid w:val="00CD1F6E"/>
    <w:rsid w:val="00CD2006"/>
    <w:rsid w:val="00CD2751"/>
    <w:rsid w:val="00CD27F0"/>
    <w:rsid w:val="00CD28C6"/>
    <w:rsid w:val="00CD293E"/>
    <w:rsid w:val="00CD2A3B"/>
    <w:rsid w:val="00CD32BF"/>
    <w:rsid w:val="00CD33E7"/>
    <w:rsid w:val="00CD34A9"/>
    <w:rsid w:val="00CD3700"/>
    <w:rsid w:val="00CD37C9"/>
    <w:rsid w:val="00CD3803"/>
    <w:rsid w:val="00CD3934"/>
    <w:rsid w:val="00CD3A55"/>
    <w:rsid w:val="00CD423D"/>
    <w:rsid w:val="00CD42D9"/>
    <w:rsid w:val="00CD4316"/>
    <w:rsid w:val="00CD43F1"/>
    <w:rsid w:val="00CD4483"/>
    <w:rsid w:val="00CD473B"/>
    <w:rsid w:val="00CD4841"/>
    <w:rsid w:val="00CD48EC"/>
    <w:rsid w:val="00CD48FC"/>
    <w:rsid w:val="00CD4925"/>
    <w:rsid w:val="00CD4A8D"/>
    <w:rsid w:val="00CD4AE9"/>
    <w:rsid w:val="00CD4EC2"/>
    <w:rsid w:val="00CD4F3E"/>
    <w:rsid w:val="00CD4FF7"/>
    <w:rsid w:val="00CD50DB"/>
    <w:rsid w:val="00CD51C6"/>
    <w:rsid w:val="00CD52E5"/>
    <w:rsid w:val="00CD55D6"/>
    <w:rsid w:val="00CD564B"/>
    <w:rsid w:val="00CD567C"/>
    <w:rsid w:val="00CD569F"/>
    <w:rsid w:val="00CD5BEE"/>
    <w:rsid w:val="00CD5D9A"/>
    <w:rsid w:val="00CD5E17"/>
    <w:rsid w:val="00CD6327"/>
    <w:rsid w:val="00CD639E"/>
    <w:rsid w:val="00CD6498"/>
    <w:rsid w:val="00CD6680"/>
    <w:rsid w:val="00CD67EF"/>
    <w:rsid w:val="00CD6B8A"/>
    <w:rsid w:val="00CD6CA4"/>
    <w:rsid w:val="00CD7038"/>
    <w:rsid w:val="00CD7184"/>
    <w:rsid w:val="00CD739C"/>
    <w:rsid w:val="00CD73D0"/>
    <w:rsid w:val="00CD7445"/>
    <w:rsid w:val="00CD760F"/>
    <w:rsid w:val="00CD76AE"/>
    <w:rsid w:val="00CD7719"/>
    <w:rsid w:val="00CD78EA"/>
    <w:rsid w:val="00CD795E"/>
    <w:rsid w:val="00CD7A48"/>
    <w:rsid w:val="00CD7B34"/>
    <w:rsid w:val="00CD7CD8"/>
    <w:rsid w:val="00CD7DDD"/>
    <w:rsid w:val="00CD7E1F"/>
    <w:rsid w:val="00CE018B"/>
    <w:rsid w:val="00CE0323"/>
    <w:rsid w:val="00CE0333"/>
    <w:rsid w:val="00CE03B7"/>
    <w:rsid w:val="00CE03F5"/>
    <w:rsid w:val="00CE0837"/>
    <w:rsid w:val="00CE0ACF"/>
    <w:rsid w:val="00CE0BFA"/>
    <w:rsid w:val="00CE0C79"/>
    <w:rsid w:val="00CE0F6C"/>
    <w:rsid w:val="00CE119E"/>
    <w:rsid w:val="00CE1345"/>
    <w:rsid w:val="00CE13FC"/>
    <w:rsid w:val="00CE1A02"/>
    <w:rsid w:val="00CE1D19"/>
    <w:rsid w:val="00CE1D9E"/>
    <w:rsid w:val="00CE1FFD"/>
    <w:rsid w:val="00CE2063"/>
    <w:rsid w:val="00CE25A6"/>
    <w:rsid w:val="00CE2784"/>
    <w:rsid w:val="00CE288C"/>
    <w:rsid w:val="00CE2AA0"/>
    <w:rsid w:val="00CE2B78"/>
    <w:rsid w:val="00CE2B98"/>
    <w:rsid w:val="00CE2D59"/>
    <w:rsid w:val="00CE2D72"/>
    <w:rsid w:val="00CE2D80"/>
    <w:rsid w:val="00CE2EE8"/>
    <w:rsid w:val="00CE3064"/>
    <w:rsid w:val="00CE353B"/>
    <w:rsid w:val="00CE3661"/>
    <w:rsid w:val="00CE37BB"/>
    <w:rsid w:val="00CE3824"/>
    <w:rsid w:val="00CE3B08"/>
    <w:rsid w:val="00CE3B50"/>
    <w:rsid w:val="00CE3F76"/>
    <w:rsid w:val="00CE3F8D"/>
    <w:rsid w:val="00CE3F9F"/>
    <w:rsid w:val="00CE40DE"/>
    <w:rsid w:val="00CE411C"/>
    <w:rsid w:val="00CE458C"/>
    <w:rsid w:val="00CE4842"/>
    <w:rsid w:val="00CE4885"/>
    <w:rsid w:val="00CE48A9"/>
    <w:rsid w:val="00CE4969"/>
    <w:rsid w:val="00CE49D4"/>
    <w:rsid w:val="00CE4CF1"/>
    <w:rsid w:val="00CE4DA8"/>
    <w:rsid w:val="00CE4F5B"/>
    <w:rsid w:val="00CE5197"/>
    <w:rsid w:val="00CE5471"/>
    <w:rsid w:val="00CE55E4"/>
    <w:rsid w:val="00CE57BE"/>
    <w:rsid w:val="00CE581D"/>
    <w:rsid w:val="00CE5848"/>
    <w:rsid w:val="00CE5892"/>
    <w:rsid w:val="00CE58BE"/>
    <w:rsid w:val="00CE5B13"/>
    <w:rsid w:val="00CE5B5D"/>
    <w:rsid w:val="00CE5C5F"/>
    <w:rsid w:val="00CE5E4D"/>
    <w:rsid w:val="00CE6024"/>
    <w:rsid w:val="00CE60F7"/>
    <w:rsid w:val="00CE623A"/>
    <w:rsid w:val="00CE65B3"/>
    <w:rsid w:val="00CE6968"/>
    <w:rsid w:val="00CE6B79"/>
    <w:rsid w:val="00CE6BD0"/>
    <w:rsid w:val="00CE702B"/>
    <w:rsid w:val="00CE702F"/>
    <w:rsid w:val="00CE718D"/>
    <w:rsid w:val="00CE74A3"/>
    <w:rsid w:val="00CE7649"/>
    <w:rsid w:val="00CE78F8"/>
    <w:rsid w:val="00CE7A3F"/>
    <w:rsid w:val="00CE7D1D"/>
    <w:rsid w:val="00CF02C7"/>
    <w:rsid w:val="00CF03B2"/>
    <w:rsid w:val="00CF0436"/>
    <w:rsid w:val="00CF04C2"/>
    <w:rsid w:val="00CF05BC"/>
    <w:rsid w:val="00CF062F"/>
    <w:rsid w:val="00CF064F"/>
    <w:rsid w:val="00CF07B5"/>
    <w:rsid w:val="00CF0A2C"/>
    <w:rsid w:val="00CF0AFE"/>
    <w:rsid w:val="00CF0CF8"/>
    <w:rsid w:val="00CF0D26"/>
    <w:rsid w:val="00CF10D1"/>
    <w:rsid w:val="00CF1305"/>
    <w:rsid w:val="00CF13C7"/>
    <w:rsid w:val="00CF1402"/>
    <w:rsid w:val="00CF148F"/>
    <w:rsid w:val="00CF18A0"/>
    <w:rsid w:val="00CF1971"/>
    <w:rsid w:val="00CF19C1"/>
    <w:rsid w:val="00CF1B0C"/>
    <w:rsid w:val="00CF1F5B"/>
    <w:rsid w:val="00CF2008"/>
    <w:rsid w:val="00CF201D"/>
    <w:rsid w:val="00CF2260"/>
    <w:rsid w:val="00CF2330"/>
    <w:rsid w:val="00CF239B"/>
    <w:rsid w:val="00CF2410"/>
    <w:rsid w:val="00CF2B45"/>
    <w:rsid w:val="00CF2B76"/>
    <w:rsid w:val="00CF2C83"/>
    <w:rsid w:val="00CF2D01"/>
    <w:rsid w:val="00CF30BB"/>
    <w:rsid w:val="00CF3194"/>
    <w:rsid w:val="00CF3565"/>
    <w:rsid w:val="00CF3BC9"/>
    <w:rsid w:val="00CF3C57"/>
    <w:rsid w:val="00CF3CD7"/>
    <w:rsid w:val="00CF3CDC"/>
    <w:rsid w:val="00CF3D6E"/>
    <w:rsid w:val="00CF3F27"/>
    <w:rsid w:val="00CF3FD0"/>
    <w:rsid w:val="00CF3FFC"/>
    <w:rsid w:val="00CF407C"/>
    <w:rsid w:val="00CF4240"/>
    <w:rsid w:val="00CF437B"/>
    <w:rsid w:val="00CF45DC"/>
    <w:rsid w:val="00CF4748"/>
    <w:rsid w:val="00CF47A2"/>
    <w:rsid w:val="00CF53D8"/>
    <w:rsid w:val="00CF54A8"/>
    <w:rsid w:val="00CF5641"/>
    <w:rsid w:val="00CF56DC"/>
    <w:rsid w:val="00CF574C"/>
    <w:rsid w:val="00CF5831"/>
    <w:rsid w:val="00CF5947"/>
    <w:rsid w:val="00CF5A59"/>
    <w:rsid w:val="00CF5BD5"/>
    <w:rsid w:val="00CF5CF3"/>
    <w:rsid w:val="00CF5CF8"/>
    <w:rsid w:val="00CF60C3"/>
    <w:rsid w:val="00CF61D9"/>
    <w:rsid w:val="00CF63AF"/>
    <w:rsid w:val="00CF65D9"/>
    <w:rsid w:val="00CF6CBF"/>
    <w:rsid w:val="00CF6CD6"/>
    <w:rsid w:val="00CF6CDD"/>
    <w:rsid w:val="00CF6DB2"/>
    <w:rsid w:val="00CF7006"/>
    <w:rsid w:val="00CF7028"/>
    <w:rsid w:val="00CF7062"/>
    <w:rsid w:val="00CF7288"/>
    <w:rsid w:val="00CF735F"/>
    <w:rsid w:val="00CF73D4"/>
    <w:rsid w:val="00CF74F0"/>
    <w:rsid w:val="00CF7952"/>
    <w:rsid w:val="00CF7A86"/>
    <w:rsid w:val="00CF7D2D"/>
    <w:rsid w:val="00CF7D42"/>
    <w:rsid w:val="00CF7DCB"/>
    <w:rsid w:val="00CF7EC7"/>
    <w:rsid w:val="00CF7F04"/>
    <w:rsid w:val="00CF7FE1"/>
    <w:rsid w:val="00D002E9"/>
    <w:rsid w:val="00D002ED"/>
    <w:rsid w:val="00D005D1"/>
    <w:rsid w:val="00D0062C"/>
    <w:rsid w:val="00D0073E"/>
    <w:rsid w:val="00D00DB0"/>
    <w:rsid w:val="00D0103D"/>
    <w:rsid w:val="00D013B1"/>
    <w:rsid w:val="00D0183B"/>
    <w:rsid w:val="00D018E6"/>
    <w:rsid w:val="00D0192B"/>
    <w:rsid w:val="00D0194F"/>
    <w:rsid w:val="00D01ACE"/>
    <w:rsid w:val="00D01B33"/>
    <w:rsid w:val="00D01DFC"/>
    <w:rsid w:val="00D02231"/>
    <w:rsid w:val="00D023E5"/>
    <w:rsid w:val="00D0248E"/>
    <w:rsid w:val="00D024AD"/>
    <w:rsid w:val="00D026F7"/>
    <w:rsid w:val="00D027F1"/>
    <w:rsid w:val="00D0286F"/>
    <w:rsid w:val="00D02CC1"/>
    <w:rsid w:val="00D02E0D"/>
    <w:rsid w:val="00D02F1A"/>
    <w:rsid w:val="00D02F9E"/>
    <w:rsid w:val="00D02FAA"/>
    <w:rsid w:val="00D031BF"/>
    <w:rsid w:val="00D03347"/>
    <w:rsid w:val="00D034DD"/>
    <w:rsid w:val="00D036C3"/>
    <w:rsid w:val="00D03D48"/>
    <w:rsid w:val="00D03EEC"/>
    <w:rsid w:val="00D03F34"/>
    <w:rsid w:val="00D04360"/>
    <w:rsid w:val="00D044DD"/>
    <w:rsid w:val="00D045B5"/>
    <w:rsid w:val="00D047B2"/>
    <w:rsid w:val="00D0483D"/>
    <w:rsid w:val="00D04875"/>
    <w:rsid w:val="00D04952"/>
    <w:rsid w:val="00D04E02"/>
    <w:rsid w:val="00D0569F"/>
    <w:rsid w:val="00D05712"/>
    <w:rsid w:val="00D057E0"/>
    <w:rsid w:val="00D05965"/>
    <w:rsid w:val="00D0596B"/>
    <w:rsid w:val="00D059B2"/>
    <w:rsid w:val="00D05B61"/>
    <w:rsid w:val="00D05BB9"/>
    <w:rsid w:val="00D064A3"/>
    <w:rsid w:val="00D06567"/>
    <w:rsid w:val="00D06726"/>
    <w:rsid w:val="00D06950"/>
    <w:rsid w:val="00D06A16"/>
    <w:rsid w:val="00D06AAE"/>
    <w:rsid w:val="00D06B04"/>
    <w:rsid w:val="00D06BAF"/>
    <w:rsid w:val="00D06CD0"/>
    <w:rsid w:val="00D06D02"/>
    <w:rsid w:val="00D07047"/>
    <w:rsid w:val="00D072CE"/>
    <w:rsid w:val="00D07511"/>
    <w:rsid w:val="00D07706"/>
    <w:rsid w:val="00D0786D"/>
    <w:rsid w:val="00D07A4D"/>
    <w:rsid w:val="00D07D0D"/>
    <w:rsid w:val="00D07D4D"/>
    <w:rsid w:val="00D07E81"/>
    <w:rsid w:val="00D10055"/>
    <w:rsid w:val="00D103F0"/>
    <w:rsid w:val="00D10451"/>
    <w:rsid w:val="00D105D2"/>
    <w:rsid w:val="00D1078F"/>
    <w:rsid w:val="00D10835"/>
    <w:rsid w:val="00D10969"/>
    <w:rsid w:val="00D10B9A"/>
    <w:rsid w:val="00D10E60"/>
    <w:rsid w:val="00D11469"/>
    <w:rsid w:val="00D115A1"/>
    <w:rsid w:val="00D119EE"/>
    <w:rsid w:val="00D11A28"/>
    <w:rsid w:val="00D11C37"/>
    <w:rsid w:val="00D12098"/>
    <w:rsid w:val="00D12287"/>
    <w:rsid w:val="00D1249F"/>
    <w:rsid w:val="00D12550"/>
    <w:rsid w:val="00D12AA1"/>
    <w:rsid w:val="00D12CD2"/>
    <w:rsid w:val="00D12D1E"/>
    <w:rsid w:val="00D1301E"/>
    <w:rsid w:val="00D1302D"/>
    <w:rsid w:val="00D13190"/>
    <w:rsid w:val="00D1336F"/>
    <w:rsid w:val="00D13452"/>
    <w:rsid w:val="00D13630"/>
    <w:rsid w:val="00D136A4"/>
    <w:rsid w:val="00D1382E"/>
    <w:rsid w:val="00D1388C"/>
    <w:rsid w:val="00D13CE3"/>
    <w:rsid w:val="00D13D0D"/>
    <w:rsid w:val="00D13E39"/>
    <w:rsid w:val="00D13F35"/>
    <w:rsid w:val="00D13FB9"/>
    <w:rsid w:val="00D13FF1"/>
    <w:rsid w:val="00D14304"/>
    <w:rsid w:val="00D14522"/>
    <w:rsid w:val="00D14577"/>
    <w:rsid w:val="00D1466D"/>
    <w:rsid w:val="00D14884"/>
    <w:rsid w:val="00D14A47"/>
    <w:rsid w:val="00D14A60"/>
    <w:rsid w:val="00D14AEB"/>
    <w:rsid w:val="00D14D23"/>
    <w:rsid w:val="00D1510C"/>
    <w:rsid w:val="00D151D3"/>
    <w:rsid w:val="00D1524D"/>
    <w:rsid w:val="00D15276"/>
    <w:rsid w:val="00D1541F"/>
    <w:rsid w:val="00D154C7"/>
    <w:rsid w:val="00D1561D"/>
    <w:rsid w:val="00D15755"/>
    <w:rsid w:val="00D15A72"/>
    <w:rsid w:val="00D15C92"/>
    <w:rsid w:val="00D15D8B"/>
    <w:rsid w:val="00D15F34"/>
    <w:rsid w:val="00D160D2"/>
    <w:rsid w:val="00D1619E"/>
    <w:rsid w:val="00D163CA"/>
    <w:rsid w:val="00D16842"/>
    <w:rsid w:val="00D16B12"/>
    <w:rsid w:val="00D16B4B"/>
    <w:rsid w:val="00D16E49"/>
    <w:rsid w:val="00D17025"/>
    <w:rsid w:val="00D17398"/>
    <w:rsid w:val="00D1785B"/>
    <w:rsid w:val="00D17984"/>
    <w:rsid w:val="00D17C6C"/>
    <w:rsid w:val="00D17C84"/>
    <w:rsid w:val="00D17D0C"/>
    <w:rsid w:val="00D17EE7"/>
    <w:rsid w:val="00D20055"/>
    <w:rsid w:val="00D20063"/>
    <w:rsid w:val="00D2027F"/>
    <w:rsid w:val="00D207F0"/>
    <w:rsid w:val="00D20884"/>
    <w:rsid w:val="00D2088D"/>
    <w:rsid w:val="00D20923"/>
    <w:rsid w:val="00D209BE"/>
    <w:rsid w:val="00D209D5"/>
    <w:rsid w:val="00D20ADC"/>
    <w:rsid w:val="00D20AF0"/>
    <w:rsid w:val="00D20BF3"/>
    <w:rsid w:val="00D20DEB"/>
    <w:rsid w:val="00D20E61"/>
    <w:rsid w:val="00D2108D"/>
    <w:rsid w:val="00D21285"/>
    <w:rsid w:val="00D2139A"/>
    <w:rsid w:val="00D2182C"/>
    <w:rsid w:val="00D21865"/>
    <w:rsid w:val="00D218CC"/>
    <w:rsid w:val="00D21956"/>
    <w:rsid w:val="00D21BD6"/>
    <w:rsid w:val="00D21DD1"/>
    <w:rsid w:val="00D21FF6"/>
    <w:rsid w:val="00D222CC"/>
    <w:rsid w:val="00D22350"/>
    <w:rsid w:val="00D22402"/>
    <w:rsid w:val="00D22681"/>
    <w:rsid w:val="00D2272E"/>
    <w:rsid w:val="00D227F6"/>
    <w:rsid w:val="00D2280F"/>
    <w:rsid w:val="00D22812"/>
    <w:rsid w:val="00D22BD9"/>
    <w:rsid w:val="00D22CE1"/>
    <w:rsid w:val="00D22D85"/>
    <w:rsid w:val="00D22F07"/>
    <w:rsid w:val="00D22F94"/>
    <w:rsid w:val="00D23203"/>
    <w:rsid w:val="00D23207"/>
    <w:rsid w:val="00D23268"/>
    <w:rsid w:val="00D232DF"/>
    <w:rsid w:val="00D23334"/>
    <w:rsid w:val="00D23396"/>
    <w:rsid w:val="00D233DF"/>
    <w:rsid w:val="00D2345E"/>
    <w:rsid w:val="00D235A1"/>
    <w:rsid w:val="00D2369C"/>
    <w:rsid w:val="00D238A8"/>
    <w:rsid w:val="00D238B8"/>
    <w:rsid w:val="00D238E1"/>
    <w:rsid w:val="00D2391D"/>
    <w:rsid w:val="00D23A29"/>
    <w:rsid w:val="00D23ADA"/>
    <w:rsid w:val="00D23CBB"/>
    <w:rsid w:val="00D23CCB"/>
    <w:rsid w:val="00D23D8D"/>
    <w:rsid w:val="00D23E3C"/>
    <w:rsid w:val="00D242F1"/>
    <w:rsid w:val="00D244C2"/>
    <w:rsid w:val="00D245CC"/>
    <w:rsid w:val="00D24633"/>
    <w:rsid w:val="00D2498E"/>
    <w:rsid w:val="00D24A04"/>
    <w:rsid w:val="00D24AEB"/>
    <w:rsid w:val="00D24B19"/>
    <w:rsid w:val="00D24B46"/>
    <w:rsid w:val="00D24B82"/>
    <w:rsid w:val="00D24D4B"/>
    <w:rsid w:val="00D24DAD"/>
    <w:rsid w:val="00D24E6D"/>
    <w:rsid w:val="00D24F45"/>
    <w:rsid w:val="00D2509C"/>
    <w:rsid w:val="00D253C2"/>
    <w:rsid w:val="00D255C1"/>
    <w:rsid w:val="00D25806"/>
    <w:rsid w:val="00D25816"/>
    <w:rsid w:val="00D25916"/>
    <w:rsid w:val="00D25A4C"/>
    <w:rsid w:val="00D25C9B"/>
    <w:rsid w:val="00D25EC1"/>
    <w:rsid w:val="00D25FA8"/>
    <w:rsid w:val="00D26135"/>
    <w:rsid w:val="00D261D3"/>
    <w:rsid w:val="00D262B9"/>
    <w:rsid w:val="00D263C3"/>
    <w:rsid w:val="00D2663B"/>
    <w:rsid w:val="00D2664D"/>
    <w:rsid w:val="00D26986"/>
    <w:rsid w:val="00D26BD2"/>
    <w:rsid w:val="00D26C80"/>
    <w:rsid w:val="00D26D97"/>
    <w:rsid w:val="00D26EFB"/>
    <w:rsid w:val="00D272AA"/>
    <w:rsid w:val="00D274AE"/>
    <w:rsid w:val="00D27548"/>
    <w:rsid w:val="00D277A8"/>
    <w:rsid w:val="00D279D9"/>
    <w:rsid w:val="00D27FB1"/>
    <w:rsid w:val="00D27FE3"/>
    <w:rsid w:val="00D27FE5"/>
    <w:rsid w:val="00D302AB"/>
    <w:rsid w:val="00D3050F"/>
    <w:rsid w:val="00D3080B"/>
    <w:rsid w:val="00D308B5"/>
    <w:rsid w:val="00D3090C"/>
    <w:rsid w:val="00D30971"/>
    <w:rsid w:val="00D30AA5"/>
    <w:rsid w:val="00D30ADB"/>
    <w:rsid w:val="00D30DDB"/>
    <w:rsid w:val="00D30DE5"/>
    <w:rsid w:val="00D31186"/>
    <w:rsid w:val="00D31233"/>
    <w:rsid w:val="00D313EF"/>
    <w:rsid w:val="00D31645"/>
    <w:rsid w:val="00D3167B"/>
    <w:rsid w:val="00D3172A"/>
    <w:rsid w:val="00D31753"/>
    <w:rsid w:val="00D31777"/>
    <w:rsid w:val="00D31798"/>
    <w:rsid w:val="00D3196C"/>
    <w:rsid w:val="00D319EE"/>
    <w:rsid w:val="00D31A9E"/>
    <w:rsid w:val="00D31AEA"/>
    <w:rsid w:val="00D31B83"/>
    <w:rsid w:val="00D31BA5"/>
    <w:rsid w:val="00D31C59"/>
    <w:rsid w:val="00D323B1"/>
    <w:rsid w:val="00D323DD"/>
    <w:rsid w:val="00D325CD"/>
    <w:rsid w:val="00D32705"/>
    <w:rsid w:val="00D32803"/>
    <w:rsid w:val="00D32962"/>
    <w:rsid w:val="00D329E6"/>
    <w:rsid w:val="00D32AA6"/>
    <w:rsid w:val="00D32BF9"/>
    <w:rsid w:val="00D32D07"/>
    <w:rsid w:val="00D32DB1"/>
    <w:rsid w:val="00D32F7B"/>
    <w:rsid w:val="00D33089"/>
    <w:rsid w:val="00D3319F"/>
    <w:rsid w:val="00D331C4"/>
    <w:rsid w:val="00D331C9"/>
    <w:rsid w:val="00D33436"/>
    <w:rsid w:val="00D334E0"/>
    <w:rsid w:val="00D33654"/>
    <w:rsid w:val="00D33709"/>
    <w:rsid w:val="00D33958"/>
    <w:rsid w:val="00D3395A"/>
    <w:rsid w:val="00D33A12"/>
    <w:rsid w:val="00D33BB7"/>
    <w:rsid w:val="00D33D24"/>
    <w:rsid w:val="00D33DFE"/>
    <w:rsid w:val="00D340C0"/>
    <w:rsid w:val="00D34133"/>
    <w:rsid w:val="00D34198"/>
    <w:rsid w:val="00D3429A"/>
    <w:rsid w:val="00D34394"/>
    <w:rsid w:val="00D34588"/>
    <w:rsid w:val="00D345B5"/>
    <w:rsid w:val="00D348CE"/>
    <w:rsid w:val="00D34DFF"/>
    <w:rsid w:val="00D3512D"/>
    <w:rsid w:val="00D3519D"/>
    <w:rsid w:val="00D351A2"/>
    <w:rsid w:val="00D35413"/>
    <w:rsid w:val="00D354D4"/>
    <w:rsid w:val="00D35A25"/>
    <w:rsid w:val="00D35CBE"/>
    <w:rsid w:val="00D35EA5"/>
    <w:rsid w:val="00D35F03"/>
    <w:rsid w:val="00D35F29"/>
    <w:rsid w:val="00D3610A"/>
    <w:rsid w:val="00D3648E"/>
    <w:rsid w:val="00D36540"/>
    <w:rsid w:val="00D3675E"/>
    <w:rsid w:val="00D367DD"/>
    <w:rsid w:val="00D3696A"/>
    <w:rsid w:val="00D369EA"/>
    <w:rsid w:val="00D36A6C"/>
    <w:rsid w:val="00D36B92"/>
    <w:rsid w:val="00D36C54"/>
    <w:rsid w:val="00D36DAD"/>
    <w:rsid w:val="00D37142"/>
    <w:rsid w:val="00D372EA"/>
    <w:rsid w:val="00D3740D"/>
    <w:rsid w:val="00D375C3"/>
    <w:rsid w:val="00D378B6"/>
    <w:rsid w:val="00D378FF"/>
    <w:rsid w:val="00D37972"/>
    <w:rsid w:val="00D379B9"/>
    <w:rsid w:val="00D37CCA"/>
    <w:rsid w:val="00D37EFB"/>
    <w:rsid w:val="00D400FF"/>
    <w:rsid w:val="00D40573"/>
    <w:rsid w:val="00D405AB"/>
    <w:rsid w:val="00D4079D"/>
    <w:rsid w:val="00D407A6"/>
    <w:rsid w:val="00D40896"/>
    <w:rsid w:val="00D41201"/>
    <w:rsid w:val="00D413B3"/>
    <w:rsid w:val="00D413D4"/>
    <w:rsid w:val="00D41534"/>
    <w:rsid w:val="00D4155D"/>
    <w:rsid w:val="00D4155F"/>
    <w:rsid w:val="00D41616"/>
    <w:rsid w:val="00D4161C"/>
    <w:rsid w:val="00D4177A"/>
    <w:rsid w:val="00D419FA"/>
    <w:rsid w:val="00D41ABC"/>
    <w:rsid w:val="00D41B7E"/>
    <w:rsid w:val="00D42251"/>
    <w:rsid w:val="00D4234B"/>
    <w:rsid w:val="00D4239F"/>
    <w:rsid w:val="00D427E9"/>
    <w:rsid w:val="00D4297C"/>
    <w:rsid w:val="00D42C60"/>
    <w:rsid w:val="00D42CE3"/>
    <w:rsid w:val="00D43035"/>
    <w:rsid w:val="00D43172"/>
    <w:rsid w:val="00D43683"/>
    <w:rsid w:val="00D436B6"/>
    <w:rsid w:val="00D43740"/>
    <w:rsid w:val="00D43819"/>
    <w:rsid w:val="00D43AF8"/>
    <w:rsid w:val="00D43D0D"/>
    <w:rsid w:val="00D43DD0"/>
    <w:rsid w:val="00D43E50"/>
    <w:rsid w:val="00D43F6E"/>
    <w:rsid w:val="00D440E0"/>
    <w:rsid w:val="00D4415A"/>
    <w:rsid w:val="00D441B9"/>
    <w:rsid w:val="00D44335"/>
    <w:rsid w:val="00D44462"/>
    <w:rsid w:val="00D4491A"/>
    <w:rsid w:val="00D44AE9"/>
    <w:rsid w:val="00D44D2E"/>
    <w:rsid w:val="00D44F9D"/>
    <w:rsid w:val="00D44FF6"/>
    <w:rsid w:val="00D45159"/>
    <w:rsid w:val="00D451FC"/>
    <w:rsid w:val="00D45404"/>
    <w:rsid w:val="00D45491"/>
    <w:rsid w:val="00D458D0"/>
    <w:rsid w:val="00D45E19"/>
    <w:rsid w:val="00D45FD3"/>
    <w:rsid w:val="00D4605B"/>
    <w:rsid w:val="00D4632A"/>
    <w:rsid w:val="00D46816"/>
    <w:rsid w:val="00D4697A"/>
    <w:rsid w:val="00D46A1E"/>
    <w:rsid w:val="00D46ABF"/>
    <w:rsid w:val="00D46B6E"/>
    <w:rsid w:val="00D46CA3"/>
    <w:rsid w:val="00D46E18"/>
    <w:rsid w:val="00D46E3D"/>
    <w:rsid w:val="00D47013"/>
    <w:rsid w:val="00D4745C"/>
    <w:rsid w:val="00D4758F"/>
    <w:rsid w:val="00D47613"/>
    <w:rsid w:val="00D4765C"/>
    <w:rsid w:val="00D479ED"/>
    <w:rsid w:val="00D47A66"/>
    <w:rsid w:val="00D47C48"/>
    <w:rsid w:val="00D502A0"/>
    <w:rsid w:val="00D5030A"/>
    <w:rsid w:val="00D50E41"/>
    <w:rsid w:val="00D50F47"/>
    <w:rsid w:val="00D5117A"/>
    <w:rsid w:val="00D5132D"/>
    <w:rsid w:val="00D516EF"/>
    <w:rsid w:val="00D51965"/>
    <w:rsid w:val="00D51C5F"/>
    <w:rsid w:val="00D51D64"/>
    <w:rsid w:val="00D51FD8"/>
    <w:rsid w:val="00D520BB"/>
    <w:rsid w:val="00D52167"/>
    <w:rsid w:val="00D522E5"/>
    <w:rsid w:val="00D5238F"/>
    <w:rsid w:val="00D5239C"/>
    <w:rsid w:val="00D523D2"/>
    <w:rsid w:val="00D525DF"/>
    <w:rsid w:val="00D528B8"/>
    <w:rsid w:val="00D5291D"/>
    <w:rsid w:val="00D52AB4"/>
    <w:rsid w:val="00D532AC"/>
    <w:rsid w:val="00D532D7"/>
    <w:rsid w:val="00D53439"/>
    <w:rsid w:val="00D5348D"/>
    <w:rsid w:val="00D534E8"/>
    <w:rsid w:val="00D5370C"/>
    <w:rsid w:val="00D53A8A"/>
    <w:rsid w:val="00D53ED3"/>
    <w:rsid w:val="00D53F67"/>
    <w:rsid w:val="00D53F99"/>
    <w:rsid w:val="00D53FCF"/>
    <w:rsid w:val="00D54331"/>
    <w:rsid w:val="00D543B9"/>
    <w:rsid w:val="00D54B60"/>
    <w:rsid w:val="00D54D0C"/>
    <w:rsid w:val="00D55080"/>
    <w:rsid w:val="00D553A5"/>
    <w:rsid w:val="00D553A9"/>
    <w:rsid w:val="00D55622"/>
    <w:rsid w:val="00D558BA"/>
    <w:rsid w:val="00D55D68"/>
    <w:rsid w:val="00D55E0F"/>
    <w:rsid w:val="00D55EDD"/>
    <w:rsid w:val="00D563B5"/>
    <w:rsid w:val="00D56540"/>
    <w:rsid w:val="00D5654C"/>
    <w:rsid w:val="00D565CE"/>
    <w:rsid w:val="00D567A0"/>
    <w:rsid w:val="00D5696C"/>
    <w:rsid w:val="00D5715C"/>
    <w:rsid w:val="00D571FA"/>
    <w:rsid w:val="00D57662"/>
    <w:rsid w:val="00D57702"/>
    <w:rsid w:val="00D57772"/>
    <w:rsid w:val="00D579FE"/>
    <w:rsid w:val="00D57C6E"/>
    <w:rsid w:val="00D57C79"/>
    <w:rsid w:val="00D57CF5"/>
    <w:rsid w:val="00D57E3F"/>
    <w:rsid w:val="00D57FEA"/>
    <w:rsid w:val="00D603FB"/>
    <w:rsid w:val="00D6060D"/>
    <w:rsid w:val="00D60728"/>
    <w:rsid w:val="00D60BEB"/>
    <w:rsid w:val="00D60F8D"/>
    <w:rsid w:val="00D61074"/>
    <w:rsid w:val="00D611A1"/>
    <w:rsid w:val="00D611F6"/>
    <w:rsid w:val="00D6153C"/>
    <w:rsid w:val="00D6190A"/>
    <w:rsid w:val="00D61D9C"/>
    <w:rsid w:val="00D61ED3"/>
    <w:rsid w:val="00D61EF3"/>
    <w:rsid w:val="00D61F15"/>
    <w:rsid w:val="00D61F32"/>
    <w:rsid w:val="00D61FF0"/>
    <w:rsid w:val="00D62000"/>
    <w:rsid w:val="00D6225C"/>
    <w:rsid w:val="00D6235D"/>
    <w:rsid w:val="00D6236E"/>
    <w:rsid w:val="00D6249D"/>
    <w:rsid w:val="00D625F2"/>
    <w:rsid w:val="00D62601"/>
    <w:rsid w:val="00D626C9"/>
    <w:rsid w:val="00D6288D"/>
    <w:rsid w:val="00D62A1D"/>
    <w:rsid w:val="00D62A84"/>
    <w:rsid w:val="00D62D27"/>
    <w:rsid w:val="00D62E76"/>
    <w:rsid w:val="00D630DD"/>
    <w:rsid w:val="00D6350D"/>
    <w:rsid w:val="00D635DB"/>
    <w:rsid w:val="00D637DD"/>
    <w:rsid w:val="00D63A4C"/>
    <w:rsid w:val="00D63C48"/>
    <w:rsid w:val="00D63D3E"/>
    <w:rsid w:val="00D63E3D"/>
    <w:rsid w:val="00D63EC4"/>
    <w:rsid w:val="00D64157"/>
    <w:rsid w:val="00D64259"/>
    <w:rsid w:val="00D64289"/>
    <w:rsid w:val="00D64668"/>
    <w:rsid w:val="00D64954"/>
    <w:rsid w:val="00D64C44"/>
    <w:rsid w:val="00D64CAA"/>
    <w:rsid w:val="00D64F53"/>
    <w:rsid w:val="00D65103"/>
    <w:rsid w:val="00D65178"/>
    <w:rsid w:val="00D651B8"/>
    <w:rsid w:val="00D65397"/>
    <w:rsid w:val="00D6550A"/>
    <w:rsid w:val="00D6564D"/>
    <w:rsid w:val="00D65829"/>
    <w:rsid w:val="00D6587B"/>
    <w:rsid w:val="00D65DA0"/>
    <w:rsid w:val="00D65F46"/>
    <w:rsid w:val="00D65FD5"/>
    <w:rsid w:val="00D661B3"/>
    <w:rsid w:val="00D6622A"/>
    <w:rsid w:val="00D66246"/>
    <w:rsid w:val="00D6667B"/>
    <w:rsid w:val="00D667F2"/>
    <w:rsid w:val="00D669BE"/>
    <w:rsid w:val="00D669F4"/>
    <w:rsid w:val="00D66A2E"/>
    <w:rsid w:val="00D66A33"/>
    <w:rsid w:val="00D66A7E"/>
    <w:rsid w:val="00D66BE0"/>
    <w:rsid w:val="00D66CDB"/>
    <w:rsid w:val="00D66DC0"/>
    <w:rsid w:val="00D66E31"/>
    <w:rsid w:val="00D66F2D"/>
    <w:rsid w:val="00D66FAD"/>
    <w:rsid w:val="00D67019"/>
    <w:rsid w:val="00D67306"/>
    <w:rsid w:val="00D67642"/>
    <w:rsid w:val="00D67A07"/>
    <w:rsid w:val="00D67D01"/>
    <w:rsid w:val="00D67EFC"/>
    <w:rsid w:val="00D67FB2"/>
    <w:rsid w:val="00D67FB9"/>
    <w:rsid w:val="00D7003D"/>
    <w:rsid w:val="00D702B6"/>
    <w:rsid w:val="00D70497"/>
    <w:rsid w:val="00D705CC"/>
    <w:rsid w:val="00D70836"/>
    <w:rsid w:val="00D70DD2"/>
    <w:rsid w:val="00D70EBF"/>
    <w:rsid w:val="00D70F24"/>
    <w:rsid w:val="00D710E5"/>
    <w:rsid w:val="00D71180"/>
    <w:rsid w:val="00D71194"/>
    <w:rsid w:val="00D71256"/>
    <w:rsid w:val="00D71400"/>
    <w:rsid w:val="00D715C4"/>
    <w:rsid w:val="00D7174E"/>
    <w:rsid w:val="00D718F9"/>
    <w:rsid w:val="00D71E7B"/>
    <w:rsid w:val="00D71F81"/>
    <w:rsid w:val="00D72001"/>
    <w:rsid w:val="00D72094"/>
    <w:rsid w:val="00D72197"/>
    <w:rsid w:val="00D72265"/>
    <w:rsid w:val="00D72271"/>
    <w:rsid w:val="00D72383"/>
    <w:rsid w:val="00D727F1"/>
    <w:rsid w:val="00D7296B"/>
    <w:rsid w:val="00D72BC7"/>
    <w:rsid w:val="00D72D49"/>
    <w:rsid w:val="00D72D6F"/>
    <w:rsid w:val="00D73459"/>
    <w:rsid w:val="00D7378E"/>
    <w:rsid w:val="00D73940"/>
    <w:rsid w:val="00D73CF1"/>
    <w:rsid w:val="00D74076"/>
    <w:rsid w:val="00D7410C"/>
    <w:rsid w:val="00D74217"/>
    <w:rsid w:val="00D74299"/>
    <w:rsid w:val="00D74475"/>
    <w:rsid w:val="00D745AC"/>
    <w:rsid w:val="00D7482E"/>
    <w:rsid w:val="00D74A49"/>
    <w:rsid w:val="00D74D7E"/>
    <w:rsid w:val="00D74E68"/>
    <w:rsid w:val="00D75395"/>
    <w:rsid w:val="00D753BC"/>
    <w:rsid w:val="00D75643"/>
    <w:rsid w:val="00D75680"/>
    <w:rsid w:val="00D75891"/>
    <w:rsid w:val="00D760A1"/>
    <w:rsid w:val="00D7650B"/>
    <w:rsid w:val="00D766C1"/>
    <w:rsid w:val="00D767F6"/>
    <w:rsid w:val="00D769EC"/>
    <w:rsid w:val="00D76A7D"/>
    <w:rsid w:val="00D76B1A"/>
    <w:rsid w:val="00D76CB6"/>
    <w:rsid w:val="00D76E96"/>
    <w:rsid w:val="00D772AF"/>
    <w:rsid w:val="00D77304"/>
    <w:rsid w:val="00D774D1"/>
    <w:rsid w:val="00D777DC"/>
    <w:rsid w:val="00D77B52"/>
    <w:rsid w:val="00D80315"/>
    <w:rsid w:val="00D804C2"/>
    <w:rsid w:val="00D806DE"/>
    <w:rsid w:val="00D80805"/>
    <w:rsid w:val="00D809A7"/>
    <w:rsid w:val="00D80D34"/>
    <w:rsid w:val="00D80DD9"/>
    <w:rsid w:val="00D80DF0"/>
    <w:rsid w:val="00D817E9"/>
    <w:rsid w:val="00D818F3"/>
    <w:rsid w:val="00D819A1"/>
    <w:rsid w:val="00D81B85"/>
    <w:rsid w:val="00D82101"/>
    <w:rsid w:val="00D82116"/>
    <w:rsid w:val="00D8229D"/>
    <w:rsid w:val="00D824F8"/>
    <w:rsid w:val="00D82A1B"/>
    <w:rsid w:val="00D82A4F"/>
    <w:rsid w:val="00D82AA8"/>
    <w:rsid w:val="00D82D12"/>
    <w:rsid w:val="00D83165"/>
    <w:rsid w:val="00D831E3"/>
    <w:rsid w:val="00D8320B"/>
    <w:rsid w:val="00D83633"/>
    <w:rsid w:val="00D8366C"/>
    <w:rsid w:val="00D837A1"/>
    <w:rsid w:val="00D83CE3"/>
    <w:rsid w:val="00D841A2"/>
    <w:rsid w:val="00D843FC"/>
    <w:rsid w:val="00D84417"/>
    <w:rsid w:val="00D8441F"/>
    <w:rsid w:val="00D84521"/>
    <w:rsid w:val="00D84B6C"/>
    <w:rsid w:val="00D84C2B"/>
    <w:rsid w:val="00D84CD6"/>
    <w:rsid w:val="00D84E54"/>
    <w:rsid w:val="00D851D3"/>
    <w:rsid w:val="00D8532C"/>
    <w:rsid w:val="00D85359"/>
    <w:rsid w:val="00D854A8"/>
    <w:rsid w:val="00D85571"/>
    <w:rsid w:val="00D8572A"/>
    <w:rsid w:val="00D857B9"/>
    <w:rsid w:val="00D860FB"/>
    <w:rsid w:val="00D8623B"/>
    <w:rsid w:val="00D863A5"/>
    <w:rsid w:val="00D863E0"/>
    <w:rsid w:val="00D86575"/>
    <w:rsid w:val="00D86AA0"/>
    <w:rsid w:val="00D86CA4"/>
    <w:rsid w:val="00D87030"/>
    <w:rsid w:val="00D87424"/>
    <w:rsid w:val="00D87452"/>
    <w:rsid w:val="00D87533"/>
    <w:rsid w:val="00D87EAD"/>
    <w:rsid w:val="00D903DC"/>
    <w:rsid w:val="00D904C6"/>
    <w:rsid w:val="00D90586"/>
    <w:rsid w:val="00D905D0"/>
    <w:rsid w:val="00D905DA"/>
    <w:rsid w:val="00D90642"/>
    <w:rsid w:val="00D90673"/>
    <w:rsid w:val="00D90D1F"/>
    <w:rsid w:val="00D90DB1"/>
    <w:rsid w:val="00D90DC8"/>
    <w:rsid w:val="00D90E78"/>
    <w:rsid w:val="00D910B2"/>
    <w:rsid w:val="00D9116F"/>
    <w:rsid w:val="00D91291"/>
    <w:rsid w:val="00D912B3"/>
    <w:rsid w:val="00D9149D"/>
    <w:rsid w:val="00D91743"/>
    <w:rsid w:val="00D91848"/>
    <w:rsid w:val="00D91C77"/>
    <w:rsid w:val="00D91C82"/>
    <w:rsid w:val="00D91CF0"/>
    <w:rsid w:val="00D91F4D"/>
    <w:rsid w:val="00D92228"/>
    <w:rsid w:val="00D926F8"/>
    <w:rsid w:val="00D928FB"/>
    <w:rsid w:val="00D9291E"/>
    <w:rsid w:val="00D92B79"/>
    <w:rsid w:val="00D92D18"/>
    <w:rsid w:val="00D93262"/>
    <w:rsid w:val="00D933A7"/>
    <w:rsid w:val="00D934B7"/>
    <w:rsid w:val="00D9350D"/>
    <w:rsid w:val="00D936FB"/>
    <w:rsid w:val="00D93937"/>
    <w:rsid w:val="00D93A8C"/>
    <w:rsid w:val="00D93D75"/>
    <w:rsid w:val="00D93E0D"/>
    <w:rsid w:val="00D93E6C"/>
    <w:rsid w:val="00D93F45"/>
    <w:rsid w:val="00D940CA"/>
    <w:rsid w:val="00D9423B"/>
    <w:rsid w:val="00D944CB"/>
    <w:rsid w:val="00D94AD5"/>
    <w:rsid w:val="00D94AF3"/>
    <w:rsid w:val="00D952F2"/>
    <w:rsid w:val="00D95394"/>
    <w:rsid w:val="00D9596C"/>
    <w:rsid w:val="00D95C8F"/>
    <w:rsid w:val="00D95CB5"/>
    <w:rsid w:val="00D96919"/>
    <w:rsid w:val="00D96DD6"/>
    <w:rsid w:val="00D96E75"/>
    <w:rsid w:val="00D970E7"/>
    <w:rsid w:val="00D970E8"/>
    <w:rsid w:val="00D971EB"/>
    <w:rsid w:val="00D972D0"/>
    <w:rsid w:val="00D975FF"/>
    <w:rsid w:val="00D9767A"/>
    <w:rsid w:val="00D97831"/>
    <w:rsid w:val="00D97B60"/>
    <w:rsid w:val="00DA0006"/>
    <w:rsid w:val="00DA01E5"/>
    <w:rsid w:val="00DA032B"/>
    <w:rsid w:val="00DA0456"/>
    <w:rsid w:val="00DA05A4"/>
    <w:rsid w:val="00DA09D7"/>
    <w:rsid w:val="00DA0B3E"/>
    <w:rsid w:val="00DA0BFE"/>
    <w:rsid w:val="00DA0D3C"/>
    <w:rsid w:val="00DA103A"/>
    <w:rsid w:val="00DA1261"/>
    <w:rsid w:val="00DA142B"/>
    <w:rsid w:val="00DA14B5"/>
    <w:rsid w:val="00DA1881"/>
    <w:rsid w:val="00DA1889"/>
    <w:rsid w:val="00DA1A5E"/>
    <w:rsid w:val="00DA1CD6"/>
    <w:rsid w:val="00DA1D55"/>
    <w:rsid w:val="00DA1DE8"/>
    <w:rsid w:val="00DA1E41"/>
    <w:rsid w:val="00DA1E9F"/>
    <w:rsid w:val="00DA2023"/>
    <w:rsid w:val="00DA22C4"/>
    <w:rsid w:val="00DA23AB"/>
    <w:rsid w:val="00DA245C"/>
    <w:rsid w:val="00DA25AF"/>
    <w:rsid w:val="00DA25FD"/>
    <w:rsid w:val="00DA2634"/>
    <w:rsid w:val="00DA27AE"/>
    <w:rsid w:val="00DA2BD8"/>
    <w:rsid w:val="00DA2BD9"/>
    <w:rsid w:val="00DA2D58"/>
    <w:rsid w:val="00DA3238"/>
    <w:rsid w:val="00DA3399"/>
    <w:rsid w:val="00DA3443"/>
    <w:rsid w:val="00DA3575"/>
    <w:rsid w:val="00DA39B4"/>
    <w:rsid w:val="00DA3E19"/>
    <w:rsid w:val="00DA3F99"/>
    <w:rsid w:val="00DA42D8"/>
    <w:rsid w:val="00DA42FB"/>
    <w:rsid w:val="00DA44B2"/>
    <w:rsid w:val="00DA4536"/>
    <w:rsid w:val="00DA45C2"/>
    <w:rsid w:val="00DA48EB"/>
    <w:rsid w:val="00DA4A02"/>
    <w:rsid w:val="00DA4B32"/>
    <w:rsid w:val="00DA4B37"/>
    <w:rsid w:val="00DA513C"/>
    <w:rsid w:val="00DA5191"/>
    <w:rsid w:val="00DA55BB"/>
    <w:rsid w:val="00DA56F7"/>
    <w:rsid w:val="00DA573B"/>
    <w:rsid w:val="00DA583B"/>
    <w:rsid w:val="00DA59E8"/>
    <w:rsid w:val="00DA603B"/>
    <w:rsid w:val="00DA6047"/>
    <w:rsid w:val="00DA616E"/>
    <w:rsid w:val="00DA618F"/>
    <w:rsid w:val="00DA62F4"/>
    <w:rsid w:val="00DA6382"/>
    <w:rsid w:val="00DA6403"/>
    <w:rsid w:val="00DA64CC"/>
    <w:rsid w:val="00DA6574"/>
    <w:rsid w:val="00DA6868"/>
    <w:rsid w:val="00DA6B5C"/>
    <w:rsid w:val="00DA6BE9"/>
    <w:rsid w:val="00DA6CE6"/>
    <w:rsid w:val="00DA6F78"/>
    <w:rsid w:val="00DA72D4"/>
    <w:rsid w:val="00DA72E6"/>
    <w:rsid w:val="00DA73EE"/>
    <w:rsid w:val="00DA75C0"/>
    <w:rsid w:val="00DA76C0"/>
    <w:rsid w:val="00DA78D2"/>
    <w:rsid w:val="00DA79BC"/>
    <w:rsid w:val="00DA7A76"/>
    <w:rsid w:val="00DA7ABF"/>
    <w:rsid w:val="00DB00DD"/>
    <w:rsid w:val="00DB04F8"/>
    <w:rsid w:val="00DB0621"/>
    <w:rsid w:val="00DB06A3"/>
    <w:rsid w:val="00DB0739"/>
    <w:rsid w:val="00DB07CD"/>
    <w:rsid w:val="00DB07E0"/>
    <w:rsid w:val="00DB0C23"/>
    <w:rsid w:val="00DB0E9F"/>
    <w:rsid w:val="00DB10D3"/>
    <w:rsid w:val="00DB1193"/>
    <w:rsid w:val="00DB1777"/>
    <w:rsid w:val="00DB17D1"/>
    <w:rsid w:val="00DB17FE"/>
    <w:rsid w:val="00DB19DF"/>
    <w:rsid w:val="00DB1A1C"/>
    <w:rsid w:val="00DB1D2B"/>
    <w:rsid w:val="00DB1D7E"/>
    <w:rsid w:val="00DB1F02"/>
    <w:rsid w:val="00DB20BD"/>
    <w:rsid w:val="00DB26B6"/>
    <w:rsid w:val="00DB26DE"/>
    <w:rsid w:val="00DB276F"/>
    <w:rsid w:val="00DB2988"/>
    <w:rsid w:val="00DB2C73"/>
    <w:rsid w:val="00DB2D61"/>
    <w:rsid w:val="00DB2E2A"/>
    <w:rsid w:val="00DB2F9E"/>
    <w:rsid w:val="00DB311F"/>
    <w:rsid w:val="00DB3253"/>
    <w:rsid w:val="00DB355E"/>
    <w:rsid w:val="00DB3627"/>
    <w:rsid w:val="00DB373A"/>
    <w:rsid w:val="00DB38F7"/>
    <w:rsid w:val="00DB3B5B"/>
    <w:rsid w:val="00DB3C15"/>
    <w:rsid w:val="00DB3D91"/>
    <w:rsid w:val="00DB3FC5"/>
    <w:rsid w:val="00DB42AC"/>
    <w:rsid w:val="00DB47C4"/>
    <w:rsid w:val="00DB48F4"/>
    <w:rsid w:val="00DB4F70"/>
    <w:rsid w:val="00DB516E"/>
    <w:rsid w:val="00DB51DA"/>
    <w:rsid w:val="00DB5306"/>
    <w:rsid w:val="00DB577B"/>
    <w:rsid w:val="00DB5829"/>
    <w:rsid w:val="00DB582D"/>
    <w:rsid w:val="00DB59DE"/>
    <w:rsid w:val="00DB5A18"/>
    <w:rsid w:val="00DB5AA8"/>
    <w:rsid w:val="00DB5B96"/>
    <w:rsid w:val="00DB5B9C"/>
    <w:rsid w:val="00DB5E1D"/>
    <w:rsid w:val="00DB5E98"/>
    <w:rsid w:val="00DB5EFC"/>
    <w:rsid w:val="00DB600A"/>
    <w:rsid w:val="00DB6160"/>
    <w:rsid w:val="00DB63C7"/>
    <w:rsid w:val="00DB64BA"/>
    <w:rsid w:val="00DB68C3"/>
    <w:rsid w:val="00DB692C"/>
    <w:rsid w:val="00DB6A40"/>
    <w:rsid w:val="00DB6BC1"/>
    <w:rsid w:val="00DB6DED"/>
    <w:rsid w:val="00DB6E54"/>
    <w:rsid w:val="00DB6EC2"/>
    <w:rsid w:val="00DB70C7"/>
    <w:rsid w:val="00DB71E9"/>
    <w:rsid w:val="00DB73B1"/>
    <w:rsid w:val="00DB742D"/>
    <w:rsid w:val="00DB7692"/>
    <w:rsid w:val="00DB7712"/>
    <w:rsid w:val="00DB7902"/>
    <w:rsid w:val="00DB7CDD"/>
    <w:rsid w:val="00DB7F14"/>
    <w:rsid w:val="00DB7F65"/>
    <w:rsid w:val="00DC0128"/>
    <w:rsid w:val="00DC075C"/>
    <w:rsid w:val="00DC09BB"/>
    <w:rsid w:val="00DC0BEA"/>
    <w:rsid w:val="00DC0D1C"/>
    <w:rsid w:val="00DC0D55"/>
    <w:rsid w:val="00DC0F86"/>
    <w:rsid w:val="00DC1094"/>
    <w:rsid w:val="00DC15C7"/>
    <w:rsid w:val="00DC1681"/>
    <w:rsid w:val="00DC1743"/>
    <w:rsid w:val="00DC18A7"/>
    <w:rsid w:val="00DC18CC"/>
    <w:rsid w:val="00DC1929"/>
    <w:rsid w:val="00DC2143"/>
    <w:rsid w:val="00DC2145"/>
    <w:rsid w:val="00DC2148"/>
    <w:rsid w:val="00DC26A9"/>
    <w:rsid w:val="00DC273B"/>
    <w:rsid w:val="00DC2964"/>
    <w:rsid w:val="00DC2A45"/>
    <w:rsid w:val="00DC3056"/>
    <w:rsid w:val="00DC3761"/>
    <w:rsid w:val="00DC3FB6"/>
    <w:rsid w:val="00DC470D"/>
    <w:rsid w:val="00DC4AD9"/>
    <w:rsid w:val="00DC4CC9"/>
    <w:rsid w:val="00DC4D17"/>
    <w:rsid w:val="00DC4E79"/>
    <w:rsid w:val="00DC4FA8"/>
    <w:rsid w:val="00DC4FE9"/>
    <w:rsid w:val="00DC51F2"/>
    <w:rsid w:val="00DC5262"/>
    <w:rsid w:val="00DC5672"/>
    <w:rsid w:val="00DC5A03"/>
    <w:rsid w:val="00DC5BBD"/>
    <w:rsid w:val="00DC5DB0"/>
    <w:rsid w:val="00DC5DF5"/>
    <w:rsid w:val="00DC5E9B"/>
    <w:rsid w:val="00DC633F"/>
    <w:rsid w:val="00DC6394"/>
    <w:rsid w:val="00DC64FA"/>
    <w:rsid w:val="00DC6524"/>
    <w:rsid w:val="00DC652C"/>
    <w:rsid w:val="00DC6713"/>
    <w:rsid w:val="00DC67F8"/>
    <w:rsid w:val="00DC6946"/>
    <w:rsid w:val="00DC69DC"/>
    <w:rsid w:val="00DC6A5B"/>
    <w:rsid w:val="00DC6E26"/>
    <w:rsid w:val="00DC6F32"/>
    <w:rsid w:val="00DC708B"/>
    <w:rsid w:val="00DC71D3"/>
    <w:rsid w:val="00DC74C2"/>
    <w:rsid w:val="00DC75F7"/>
    <w:rsid w:val="00DC7746"/>
    <w:rsid w:val="00DC77C0"/>
    <w:rsid w:val="00DC7AE0"/>
    <w:rsid w:val="00DC7E01"/>
    <w:rsid w:val="00DD0079"/>
    <w:rsid w:val="00DD0179"/>
    <w:rsid w:val="00DD02E7"/>
    <w:rsid w:val="00DD0395"/>
    <w:rsid w:val="00DD0651"/>
    <w:rsid w:val="00DD074F"/>
    <w:rsid w:val="00DD0AF1"/>
    <w:rsid w:val="00DD0B55"/>
    <w:rsid w:val="00DD0EC4"/>
    <w:rsid w:val="00DD0EF6"/>
    <w:rsid w:val="00DD0F7F"/>
    <w:rsid w:val="00DD1130"/>
    <w:rsid w:val="00DD1146"/>
    <w:rsid w:val="00DD147E"/>
    <w:rsid w:val="00DD18EF"/>
    <w:rsid w:val="00DD1B83"/>
    <w:rsid w:val="00DD1C9D"/>
    <w:rsid w:val="00DD21A6"/>
    <w:rsid w:val="00DD225C"/>
    <w:rsid w:val="00DD2365"/>
    <w:rsid w:val="00DD2409"/>
    <w:rsid w:val="00DD2514"/>
    <w:rsid w:val="00DD252D"/>
    <w:rsid w:val="00DD25E5"/>
    <w:rsid w:val="00DD25F6"/>
    <w:rsid w:val="00DD262A"/>
    <w:rsid w:val="00DD28A7"/>
    <w:rsid w:val="00DD29E6"/>
    <w:rsid w:val="00DD2B33"/>
    <w:rsid w:val="00DD2BFD"/>
    <w:rsid w:val="00DD2E82"/>
    <w:rsid w:val="00DD2F9A"/>
    <w:rsid w:val="00DD3049"/>
    <w:rsid w:val="00DD30CC"/>
    <w:rsid w:val="00DD3634"/>
    <w:rsid w:val="00DD373C"/>
    <w:rsid w:val="00DD37FE"/>
    <w:rsid w:val="00DD386E"/>
    <w:rsid w:val="00DD396C"/>
    <w:rsid w:val="00DD398C"/>
    <w:rsid w:val="00DD39AD"/>
    <w:rsid w:val="00DD3CC8"/>
    <w:rsid w:val="00DD3D34"/>
    <w:rsid w:val="00DD3DCC"/>
    <w:rsid w:val="00DD4254"/>
    <w:rsid w:val="00DD436D"/>
    <w:rsid w:val="00DD45E7"/>
    <w:rsid w:val="00DD470D"/>
    <w:rsid w:val="00DD48DD"/>
    <w:rsid w:val="00DD4AB8"/>
    <w:rsid w:val="00DD507A"/>
    <w:rsid w:val="00DD509A"/>
    <w:rsid w:val="00DD56FA"/>
    <w:rsid w:val="00DD5714"/>
    <w:rsid w:val="00DD5845"/>
    <w:rsid w:val="00DD58F9"/>
    <w:rsid w:val="00DD5CED"/>
    <w:rsid w:val="00DD5E8C"/>
    <w:rsid w:val="00DD5EB8"/>
    <w:rsid w:val="00DD5F22"/>
    <w:rsid w:val="00DD6003"/>
    <w:rsid w:val="00DD61AC"/>
    <w:rsid w:val="00DD624A"/>
    <w:rsid w:val="00DD63A2"/>
    <w:rsid w:val="00DD676D"/>
    <w:rsid w:val="00DD6873"/>
    <w:rsid w:val="00DD6941"/>
    <w:rsid w:val="00DD6B80"/>
    <w:rsid w:val="00DD6F59"/>
    <w:rsid w:val="00DD722E"/>
    <w:rsid w:val="00DD725E"/>
    <w:rsid w:val="00DD756A"/>
    <w:rsid w:val="00DD77D6"/>
    <w:rsid w:val="00DD7812"/>
    <w:rsid w:val="00DD792B"/>
    <w:rsid w:val="00DD7BDC"/>
    <w:rsid w:val="00DE0682"/>
    <w:rsid w:val="00DE0AF7"/>
    <w:rsid w:val="00DE0DD5"/>
    <w:rsid w:val="00DE0EE8"/>
    <w:rsid w:val="00DE0EEF"/>
    <w:rsid w:val="00DE130C"/>
    <w:rsid w:val="00DE132C"/>
    <w:rsid w:val="00DE13B0"/>
    <w:rsid w:val="00DE16D0"/>
    <w:rsid w:val="00DE1795"/>
    <w:rsid w:val="00DE19BE"/>
    <w:rsid w:val="00DE1E10"/>
    <w:rsid w:val="00DE1F24"/>
    <w:rsid w:val="00DE1F52"/>
    <w:rsid w:val="00DE20EE"/>
    <w:rsid w:val="00DE21A6"/>
    <w:rsid w:val="00DE22A7"/>
    <w:rsid w:val="00DE2465"/>
    <w:rsid w:val="00DE2684"/>
    <w:rsid w:val="00DE2C3C"/>
    <w:rsid w:val="00DE2D13"/>
    <w:rsid w:val="00DE2D69"/>
    <w:rsid w:val="00DE2DB7"/>
    <w:rsid w:val="00DE2DD8"/>
    <w:rsid w:val="00DE2F95"/>
    <w:rsid w:val="00DE30E2"/>
    <w:rsid w:val="00DE3158"/>
    <w:rsid w:val="00DE31C8"/>
    <w:rsid w:val="00DE3211"/>
    <w:rsid w:val="00DE334E"/>
    <w:rsid w:val="00DE3469"/>
    <w:rsid w:val="00DE3742"/>
    <w:rsid w:val="00DE3760"/>
    <w:rsid w:val="00DE37A7"/>
    <w:rsid w:val="00DE3977"/>
    <w:rsid w:val="00DE3A9A"/>
    <w:rsid w:val="00DE3B98"/>
    <w:rsid w:val="00DE3BB2"/>
    <w:rsid w:val="00DE3D40"/>
    <w:rsid w:val="00DE3EE8"/>
    <w:rsid w:val="00DE3FE9"/>
    <w:rsid w:val="00DE40D5"/>
    <w:rsid w:val="00DE41D1"/>
    <w:rsid w:val="00DE474F"/>
    <w:rsid w:val="00DE4775"/>
    <w:rsid w:val="00DE478D"/>
    <w:rsid w:val="00DE47F7"/>
    <w:rsid w:val="00DE48AA"/>
    <w:rsid w:val="00DE49B0"/>
    <w:rsid w:val="00DE49D7"/>
    <w:rsid w:val="00DE5191"/>
    <w:rsid w:val="00DE51F5"/>
    <w:rsid w:val="00DE5400"/>
    <w:rsid w:val="00DE543F"/>
    <w:rsid w:val="00DE55FD"/>
    <w:rsid w:val="00DE586D"/>
    <w:rsid w:val="00DE597B"/>
    <w:rsid w:val="00DE5F2F"/>
    <w:rsid w:val="00DE6032"/>
    <w:rsid w:val="00DE60B1"/>
    <w:rsid w:val="00DE6394"/>
    <w:rsid w:val="00DE6421"/>
    <w:rsid w:val="00DE6434"/>
    <w:rsid w:val="00DE65C4"/>
    <w:rsid w:val="00DE67AB"/>
    <w:rsid w:val="00DE6866"/>
    <w:rsid w:val="00DE68DA"/>
    <w:rsid w:val="00DE6DD0"/>
    <w:rsid w:val="00DE7028"/>
    <w:rsid w:val="00DE706B"/>
    <w:rsid w:val="00DE71B5"/>
    <w:rsid w:val="00DE7208"/>
    <w:rsid w:val="00DE7240"/>
    <w:rsid w:val="00DE73DA"/>
    <w:rsid w:val="00DE74A7"/>
    <w:rsid w:val="00DE7556"/>
    <w:rsid w:val="00DE7764"/>
    <w:rsid w:val="00DE792E"/>
    <w:rsid w:val="00DE79FF"/>
    <w:rsid w:val="00DE7A0E"/>
    <w:rsid w:val="00DE7B30"/>
    <w:rsid w:val="00DF0057"/>
    <w:rsid w:val="00DF013D"/>
    <w:rsid w:val="00DF03E8"/>
    <w:rsid w:val="00DF0449"/>
    <w:rsid w:val="00DF05D4"/>
    <w:rsid w:val="00DF0624"/>
    <w:rsid w:val="00DF0689"/>
    <w:rsid w:val="00DF09D9"/>
    <w:rsid w:val="00DF0B07"/>
    <w:rsid w:val="00DF0CC9"/>
    <w:rsid w:val="00DF0D9E"/>
    <w:rsid w:val="00DF0E3A"/>
    <w:rsid w:val="00DF0F10"/>
    <w:rsid w:val="00DF10AD"/>
    <w:rsid w:val="00DF10F7"/>
    <w:rsid w:val="00DF1201"/>
    <w:rsid w:val="00DF12E0"/>
    <w:rsid w:val="00DF16C0"/>
    <w:rsid w:val="00DF182F"/>
    <w:rsid w:val="00DF1A90"/>
    <w:rsid w:val="00DF1C20"/>
    <w:rsid w:val="00DF1E0C"/>
    <w:rsid w:val="00DF20B8"/>
    <w:rsid w:val="00DF20FB"/>
    <w:rsid w:val="00DF21CC"/>
    <w:rsid w:val="00DF2284"/>
    <w:rsid w:val="00DF2535"/>
    <w:rsid w:val="00DF26D4"/>
    <w:rsid w:val="00DF2A66"/>
    <w:rsid w:val="00DF2CA2"/>
    <w:rsid w:val="00DF2CAE"/>
    <w:rsid w:val="00DF2D1A"/>
    <w:rsid w:val="00DF2D46"/>
    <w:rsid w:val="00DF2F40"/>
    <w:rsid w:val="00DF3021"/>
    <w:rsid w:val="00DF33A1"/>
    <w:rsid w:val="00DF3A05"/>
    <w:rsid w:val="00DF3A1D"/>
    <w:rsid w:val="00DF3A42"/>
    <w:rsid w:val="00DF3A4C"/>
    <w:rsid w:val="00DF3A7C"/>
    <w:rsid w:val="00DF3B71"/>
    <w:rsid w:val="00DF3FFB"/>
    <w:rsid w:val="00DF40FE"/>
    <w:rsid w:val="00DF45CE"/>
    <w:rsid w:val="00DF48E2"/>
    <w:rsid w:val="00DF4B70"/>
    <w:rsid w:val="00DF4BE8"/>
    <w:rsid w:val="00DF4EBE"/>
    <w:rsid w:val="00DF4F8B"/>
    <w:rsid w:val="00DF5058"/>
    <w:rsid w:val="00DF5263"/>
    <w:rsid w:val="00DF52E5"/>
    <w:rsid w:val="00DF548B"/>
    <w:rsid w:val="00DF56CD"/>
    <w:rsid w:val="00DF5894"/>
    <w:rsid w:val="00DF5A02"/>
    <w:rsid w:val="00DF5B16"/>
    <w:rsid w:val="00DF5F7A"/>
    <w:rsid w:val="00DF6285"/>
    <w:rsid w:val="00DF6720"/>
    <w:rsid w:val="00DF6740"/>
    <w:rsid w:val="00DF69F2"/>
    <w:rsid w:val="00DF6BA6"/>
    <w:rsid w:val="00DF6BBC"/>
    <w:rsid w:val="00DF6CE0"/>
    <w:rsid w:val="00DF6EA0"/>
    <w:rsid w:val="00DF70CC"/>
    <w:rsid w:val="00DF771A"/>
    <w:rsid w:val="00DF78F2"/>
    <w:rsid w:val="00DF7902"/>
    <w:rsid w:val="00DF7996"/>
    <w:rsid w:val="00DF7C9D"/>
    <w:rsid w:val="00DF7CAF"/>
    <w:rsid w:val="00DF7FF9"/>
    <w:rsid w:val="00E0009E"/>
    <w:rsid w:val="00E004C8"/>
    <w:rsid w:val="00E0068D"/>
    <w:rsid w:val="00E00A7A"/>
    <w:rsid w:val="00E00E88"/>
    <w:rsid w:val="00E00EC4"/>
    <w:rsid w:val="00E0119B"/>
    <w:rsid w:val="00E0120A"/>
    <w:rsid w:val="00E01465"/>
    <w:rsid w:val="00E01505"/>
    <w:rsid w:val="00E0162C"/>
    <w:rsid w:val="00E01738"/>
    <w:rsid w:val="00E01886"/>
    <w:rsid w:val="00E019B4"/>
    <w:rsid w:val="00E01A9D"/>
    <w:rsid w:val="00E01BAC"/>
    <w:rsid w:val="00E01CAC"/>
    <w:rsid w:val="00E01D22"/>
    <w:rsid w:val="00E02152"/>
    <w:rsid w:val="00E022C8"/>
    <w:rsid w:val="00E022CA"/>
    <w:rsid w:val="00E02586"/>
    <w:rsid w:val="00E02833"/>
    <w:rsid w:val="00E02836"/>
    <w:rsid w:val="00E029DE"/>
    <w:rsid w:val="00E02A74"/>
    <w:rsid w:val="00E02A91"/>
    <w:rsid w:val="00E02B2A"/>
    <w:rsid w:val="00E0302D"/>
    <w:rsid w:val="00E03059"/>
    <w:rsid w:val="00E0313C"/>
    <w:rsid w:val="00E0316D"/>
    <w:rsid w:val="00E031B3"/>
    <w:rsid w:val="00E0363C"/>
    <w:rsid w:val="00E03ABA"/>
    <w:rsid w:val="00E03C98"/>
    <w:rsid w:val="00E03DC4"/>
    <w:rsid w:val="00E03FC1"/>
    <w:rsid w:val="00E041E4"/>
    <w:rsid w:val="00E042AC"/>
    <w:rsid w:val="00E04594"/>
    <w:rsid w:val="00E04606"/>
    <w:rsid w:val="00E0471E"/>
    <w:rsid w:val="00E04BD6"/>
    <w:rsid w:val="00E04CC6"/>
    <w:rsid w:val="00E05038"/>
    <w:rsid w:val="00E052EB"/>
    <w:rsid w:val="00E05444"/>
    <w:rsid w:val="00E0550C"/>
    <w:rsid w:val="00E055AD"/>
    <w:rsid w:val="00E0579F"/>
    <w:rsid w:val="00E05B32"/>
    <w:rsid w:val="00E05DE7"/>
    <w:rsid w:val="00E05EA8"/>
    <w:rsid w:val="00E05FBC"/>
    <w:rsid w:val="00E0603F"/>
    <w:rsid w:val="00E0623B"/>
    <w:rsid w:val="00E062CF"/>
    <w:rsid w:val="00E0656A"/>
    <w:rsid w:val="00E066E6"/>
    <w:rsid w:val="00E068E5"/>
    <w:rsid w:val="00E06B56"/>
    <w:rsid w:val="00E06C1C"/>
    <w:rsid w:val="00E06D14"/>
    <w:rsid w:val="00E0744F"/>
    <w:rsid w:val="00E0746F"/>
    <w:rsid w:val="00E0789B"/>
    <w:rsid w:val="00E07D2E"/>
    <w:rsid w:val="00E07E24"/>
    <w:rsid w:val="00E07F5B"/>
    <w:rsid w:val="00E101AD"/>
    <w:rsid w:val="00E10543"/>
    <w:rsid w:val="00E1054D"/>
    <w:rsid w:val="00E1066C"/>
    <w:rsid w:val="00E10841"/>
    <w:rsid w:val="00E10A48"/>
    <w:rsid w:val="00E10A67"/>
    <w:rsid w:val="00E10B7D"/>
    <w:rsid w:val="00E10D04"/>
    <w:rsid w:val="00E10DB4"/>
    <w:rsid w:val="00E10FDA"/>
    <w:rsid w:val="00E1106A"/>
    <w:rsid w:val="00E111D4"/>
    <w:rsid w:val="00E11643"/>
    <w:rsid w:val="00E11A1B"/>
    <w:rsid w:val="00E11AC7"/>
    <w:rsid w:val="00E11C92"/>
    <w:rsid w:val="00E11CEC"/>
    <w:rsid w:val="00E1201F"/>
    <w:rsid w:val="00E12097"/>
    <w:rsid w:val="00E1241A"/>
    <w:rsid w:val="00E12483"/>
    <w:rsid w:val="00E127F5"/>
    <w:rsid w:val="00E12B12"/>
    <w:rsid w:val="00E12BD1"/>
    <w:rsid w:val="00E12D77"/>
    <w:rsid w:val="00E12DFE"/>
    <w:rsid w:val="00E12E6A"/>
    <w:rsid w:val="00E134A6"/>
    <w:rsid w:val="00E1357E"/>
    <w:rsid w:val="00E13604"/>
    <w:rsid w:val="00E13812"/>
    <w:rsid w:val="00E138FB"/>
    <w:rsid w:val="00E13BE3"/>
    <w:rsid w:val="00E13BEC"/>
    <w:rsid w:val="00E1415C"/>
    <w:rsid w:val="00E145F1"/>
    <w:rsid w:val="00E147EC"/>
    <w:rsid w:val="00E14846"/>
    <w:rsid w:val="00E14B1B"/>
    <w:rsid w:val="00E14C10"/>
    <w:rsid w:val="00E14DC8"/>
    <w:rsid w:val="00E15033"/>
    <w:rsid w:val="00E1512B"/>
    <w:rsid w:val="00E152E7"/>
    <w:rsid w:val="00E1579A"/>
    <w:rsid w:val="00E15830"/>
    <w:rsid w:val="00E15B04"/>
    <w:rsid w:val="00E15BA4"/>
    <w:rsid w:val="00E15EFD"/>
    <w:rsid w:val="00E16407"/>
    <w:rsid w:val="00E165C5"/>
    <w:rsid w:val="00E165D2"/>
    <w:rsid w:val="00E168EE"/>
    <w:rsid w:val="00E169E4"/>
    <w:rsid w:val="00E16A53"/>
    <w:rsid w:val="00E16D14"/>
    <w:rsid w:val="00E16DDC"/>
    <w:rsid w:val="00E16E2B"/>
    <w:rsid w:val="00E1709A"/>
    <w:rsid w:val="00E170F9"/>
    <w:rsid w:val="00E17130"/>
    <w:rsid w:val="00E1746B"/>
    <w:rsid w:val="00E17D7B"/>
    <w:rsid w:val="00E17FB7"/>
    <w:rsid w:val="00E17FC0"/>
    <w:rsid w:val="00E20079"/>
    <w:rsid w:val="00E200E6"/>
    <w:rsid w:val="00E201B9"/>
    <w:rsid w:val="00E20266"/>
    <w:rsid w:val="00E20334"/>
    <w:rsid w:val="00E20705"/>
    <w:rsid w:val="00E207D8"/>
    <w:rsid w:val="00E208C8"/>
    <w:rsid w:val="00E20AE2"/>
    <w:rsid w:val="00E20D2D"/>
    <w:rsid w:val="00E2118F"/>
    <w:rsid w:val="00E211F1"/>
    <w:rsid w:val="00E212F4"/>
    <w:rsid w:val="00E21303"/>
    <w:rsid w:val="00E216ED"/>
    <w:rsid w:val="00E21A0A"/>
    <w:rsid w:val="00E21B4E"/>
    <w:rsid w:val="00E21B69"/>
    <w:rsid w:val="00E2204D"/>
    <w:rsid w:val="00E2258F"/>
    <w:rsid w:val="00E2267B"/>
    <w:rsid w:val="00E227EA"/>
    <w:rsid w:val="00E22A5B"/>
    <w:rsid w:val="00E22CE8"/>
    <w:rsid w:val="00E22D14"/>
    <w:rsid w:val="00E22E86"/>
    <w:rsid w:val="00E230B3"/>
    <w:rsid w:val="00E2312E"/>
    <w:rsid w:val="00E23247"/>
    <w:rsid w:val="00E23349"/>
    <w:rsid w:val="00E23426"/>
    <w:rsid w:val="00E234E6"/>
    <w:rsid w:val="00E23519"/>
    <w:rsid w:val="00E23660"/>
    <w:rsid w:val="00E236E3"/>
    <w:rsid w:val="00E2371D"/>
    <w:rsid w:val="00E2385D"/>
    <w:rsid w:val="00E23A04"/>
    <w:rsid w:val="00E23B0F"/>
    <w:rsid w:val="00E23C52"/>
    <w:rsid w:val="00E240E7"/>
    <w:rsid w:val="00E24311"/>
    <w:rsid w:val="00E243B8"/>
    <w:rsid w:val="00E24778"/>
    <w:rsid w:val="00E2483C"/>
    <w:rsid w:val="00E2486C"/>
    <w:rsid w:val="00E24B19"/>
    <w:rsid w:val="00E24DA3"/>
    <w:rsid w:val="00E24F12"/>
    <w:rsid w:val="00E250D6"/>
    <w:rsid w:val="00E25541"/>
    <w:rsid w:val="00E258B4"/>
    <w:rsid w:val="00E258CE"/>
    <w:rsid w:val="00E25E25"/>
    <w:rsid w:val="00E25E93"/>
    <w:rsid w:val="00E26081"/>
    <w:rsid w:val="00E264A6"/>
    <w:rsid w:val="00E26539"/>
    <w:rsid w:val="00E265B2"/>
    <w:rsid w:val="00E2694A"/>
    <w:rsid w:val="00E26964"/>
    <w:rsid w:val="00E26C30"/>
    <w:rsid w:val="00E26F8E"/>
    <w:rsid w:val="00E27059"/>
    <w:rsid w:val="00E270A0"/>
    <w:rsid w:val="00E271FA"/>
    <w:rsid w:val="00E272DA"/>
    <w:rsid w:val="00E27521"/>
    <w:rsid w:val="00E2761D"/>
    <w:rsid w:val="00E27711"/>
    <w:rsid w:val="00E27759"/>
    <w:rsid w:val="00E2789B"/>
    <w:rsid w:val="00E27BA1"/>
    <w:rsid w:val="00E27C0E"/>
    <w:rsid w:val="00E27C3F"/>
    <w:rsid w:val="00E27F58"/>
    <w:rsid w:val="00E27FB1"/>
    <w:rsid w:val="00E30164"/>
    <w:rsid w:val="00E30310"/>
    <w:rsid w:val="00E30674"/>
    <w:rsid w:val="00E30BB8"/>
    <w:rsid w:val="00E30F02"/>
    <w:rsid w:val="00E31132"/>
    <w:rsid w:val="00E31326"/>
    <w:rsid w:val="00E31443"/>
    <w:rsid w:val="00E31509"/>
    <w:rsid w:val="00E317A3"/>
    <w:rsid w:val="00E31A1E"/>
    <w:rsid w:val="00E31B9C"/>
    <w:rsid w:val="00E31C1F"/>
    <w:rsid w:val="00E31C65"/>
    <w:rsid w:val="00E31D0C"/>
    <w:rsid w:val="00E31D30"/>
    <w:rsid w:val="00E31DC1"/>
    <w:rsid w:val="00E31E9E"/>
    <w:rsid w:val="00E32213"/>
    <w:rsid w:val="00E32406"/>
    <w:rsid w:val="00E324ED"/>
    <w:rsid w:val="00E32545"/>
    <w:rsid w:val="00E327D0"/>
    <w:rsid w:val="00E32A46"/>
    <w:rsid w:val="00E32A50"/>
    <w:rsid w:val="00E32B36"/>
    <w:rsid w:val="00E32C18"/>
    <w:rsid w:val="00E32DEC"/>
    <w:rsid w:val="00E334B7"/>
    <w:rsid w:val="00E3352A"/>
    <w:rsid w:val="00E33601"/>
    <w:rsid w:val="00E33648"/>
    <w:rsid w:val="00E3367F"/>
    <w:rsid w:val="00E33756"/>
    <w:rsid w:val="00E33B18"/>
    <w:rsid w:val="00E33CAB"/>
    <w:rsid w:val="00E33CB3"/>
    <w:rsid w:val="00E34484"/>
    <w:rsid w:val="00E34940"/>
    <w:rsid w:val="00E34C59"/>
    <w:rsid w:val="00E34D73"/>
    <w:rsid w:val="00E34F8E"/>
    <w:rsid w:val="00E34FDA"/>
    <w:rsid w:val="00E3502E"/>
    <w:rsid w:val="00E35411"/>
    <w:rsid w:val="00E35BAD"/>
    <w:rsid w:val="00E35BCE"/>
    <w:rsid w:val="00E35E95"/>
    <w:rsid w:val="00E35F75"/>
    <w:rsid w:val="00E36077"/>
    <w:rsid w:val="00E36373"/>
    <w:rsid w:val="00E366D0"/>
    <w:rsid w:val="00E36B1F"/>
    <w:rsid w:val="00E36E5F"/>
    <w:rsid w:val="00E370D2"/>
    <w:rsid w:val="00E3711F"/>
    <w:rsid w:val="00E3729E"/>
    <w:rsid w:val="00E37424"/>
    <w:rsid w:val="00E375FE"/>
    <w:rsid w:val="00E37684"/>
    <w:rsid w:val="00E3772E"/>
    <w:rsid w:val="00E37939"/>
    <w:rsid w:val="00E37C73"/>
    <w:rsid w:val="00E37FA6"/>
    <w:rsid w:val="00E400AC"/>
    <w:rsid w:val="00E40111"/>
    <w:rsid w:val="00E40134"/>
    <w:rsid w:val="00E40352"/>
    <w:rsid w:val="00E40541"/>
    <w:rsid w:val="00E40576"/>
    <w:rsid w:val="00E4066F"/>
    <w:rsid w:val="00E407AE"/>
    <w:rsid w:val="00E4094D"/>
    <w:rsid w:val="00E40956"/>
    <w:rsid w:val="00E40C66"/>
    <w:rsid w:val="00E40E41"/>
    <w:rsid w:val="00E41054"/>
    <w:rsid w:val="00E410E0"/>
    <w:rsid w:val="00E411E9"/>
    <w:rsid w:val="00E41451"/>
    <w:rsid w:val="00E414B4"/>
    <w:rsid w:val="00E41548"/>
    <w:rsid w:val="00E415B7"/>
    <w:rsid w:val="00E417B4"/>
    <w:rsid w:val="00E41C1B"/>
    <w:rsid w:val="00E41DB0"/>
    <w:rsid w:val="00E4246A"/>
    <w:rsid w:val="00E425F2"/>
    <w:rsid w:val="00E42826"/>
    <w:rsid w:val="00E42859"/>
    <w:rsid w:val="00E42C0B"/>
    <w:rsid w:val="00E42E4D"/>
    <w:rsid w:val="00E4324F"/>
    <w:rsid w:val="00E43622"/>
    <w:rsid w:val="00E4368C"/>
    <w:rsid w:val="00E437C3"/>
    <w:rsid w:val="00E43ACD"/>
    <w:rsid w:val="00E43E65"/>
    <w:rsid w:val="00E43FB1"/>
    <w:rsid w:val="00E44172"/>
    <w:rsid w:val="00E442F6"/>
    <w:rsid w:val="00E4444F"/>
    <w:rsid w:val="00E44552"/>
    <w:rsid w:val="00E445AE"/>
    <w:rsid w:val="00E446DE"/>
    <w:rsid w:val="00E448A5"/>
    <w:rsid w:val="00E44A64"/>
    <w:rsid w:val="00E44B9C"/>
    <w:rsid w:val="00E44C0B"/>
    <w:rsid w:val="00E44C94"/>
    <w:rsid w:val="00E44F3E"/>
    <w:rsid w:val="00E45178"/>
    <w:rsid w:val="00E45180"/>
    <w:rsid w:val="00E4528B"/>
    <w:rsid w:val="00E452AC"/>
    <w:rsid w:val="00E45305"/>
    <w:rsid w:val="00E453EA"/>
    <w:rsid w:val="00E45E7E"/>
    <w:rsid w:val="00E46020"/>
    <w:rsid w:val="00E46092"/>
    <w:rsid w:val="00E4623A"/>
    <w:rsid w:val="00E46486"/>
    <w:rsid w:val="00E46671"/>
    <w:rsid w:val="00E46AC9"/>
    <w:rsid w:val="00E46C50"/>
    <w:rsid w:val="00E470A2"/>
    <w:rsid w:val="00E47216"/>
    <w:rsid w:val="00E47771"/>
    <w:rsid w:val="00E47911"/>
    <w:rsid w:val="00E47B30"/>
    <w:rsid w:val="00E47C94"/>
    <w:rsid w:val="00E47D2E"/>
    <w:rsid w:val="00E47FCB"/>
    <w:rsid w:val="00E5006B"/>
    <w:rsid w:val="00E50146"/>
    <w:rsid w:val="00E501C1"/>
    <w:rsid w:val="00E502C4"/>
    <w:rsid w:val="00E502FA"/>
    <w:rsid w:val="00E5054F"/>
    <w:rsid w:val="00E5097C"/>
    <w:rsid w:val="00E50C3D"/>
    <w:rsid w:val="00E50C50"/>
    <w:rsid w:val="00E50CFF"/>
    <w:rsid w:val="00E50DEB"/>
    <w:rsid w:val="00E511D8"/>
    <w:rsid w:val="00E51357"/>
    <w:rsid w:val="00E513B9"/>
    <w:rsid w:val="00E513CB"/>
    <w:rsid w:val="00E5173E"/>
    <w:rsid w:val="00E518EC"/>
    <w:rsid w:val="00E51A5B"/>
    <w:rsid w:val="00E51BF6"/>
    <w:rsid w:val="00E51DA2"/>
    <w:rsid w:val="00E51F20"/>
    <w:rsid w:val="00E51FE6"/>
    <w:rsid w:val="00E52190"/>
    <w:rsid w:val="00E5269D"/>
    <w:rsid w:val="00E52AF3"/>
    <w:rsid w:val="00E52BD4"/>
    <w:rsid w:val="00E52CD2"/>
    <w:rsid w:val="00E52EA3"/>
    <w:rsid w:val="00E53407"/>
    <w:rsid w:val="00E536CD"/>
    <w:rsid w:val="00E53BA3"/>
    <w:rsid w:val="00E53CC4"/>
    <w:rsid w:val="00E53DB6"/>
    <w:rsid w:val="00E53DF1"/>
    <w:rsid w:val="00E53E47"/>
    <w:rsid w:val="00E5465C"/>
    <w:rsid w:val="00E547FD"/>
    <w:rsid w:val="00E5480D"/>
    <w:rsid w:val="00E5487A"/>
    <w:rsid w:val="00E54930"/>
    <w:rsid w:val="00E54ACA"/>
    <w:rsid w:val="00E54AEC"/>
    <w:rsid w:val="00E54B24"/>
    <w:rsid w:val="00E54E9C"/>
    <w:rsid w:val="00E54FB3"/>
    <w:rsid w:val="00E54FF5"/>
    <w:rsid w:val="00E55220"/>
    <w:rsid w:val="00E55354"/>
    <w:rsid w:val="00E5542C"/>
    <w:rsid w:val="00E55904"/>
    <w:rsid w:val="00E55B64"/>
    <w:rsid w:val="00E55BD1"/>
    <w:rsid w:val="00E55E06"/>
    <w:rsid w:val="00E55E72"/>
    <w:rsid w:val="00E55EBF"/>
    <w:rsid w:val="00E55F97"/>
    <w:rsid w:val="00E562EC"/>
    <w:rsid w:val="00E566AA"/>
    <w:rsid w:val="00E569BD"/>
    <w:rsid w:val="00E569D5"/>
    <w:rsid w:val="00E56DFE"/>
    <w:rsid w:val="00E57332"/>
    <w:rsid w:val="00E57521"/>
    <w:rsid w:val="00E5778D"/>
    <w:rsid w:val="00E579BF"/>
    <w:rsid w:val="00E57A65"/>
    <w:rsid w:val="00E57BB7"/>
    <w:rsid w:val="00E57D9B"/>
    <w:rsid w:val="00E60005"/>
    <w:rsid w:val="00E6010E"/>
    <w:rsid w:val="00E6034E"/>
    <w:rsid w:val="00E60616"/>
    <w:rsid w:val="00E608E8"/>
    <w:rsid w:val="00E60C20"/>
    <w:rsid w:val="00E60D99"/>
    <w:rsid w:val="00E60E17"/>
    <w:rsid w:val="00E60F6A"/>
    <w:rsid w:val="00E60F6E"/>
    <w:rsid w:val="00E6157A"/>
    <w:rsid w:val="00E61D4C"/>
    <w:rsid w:val="00E61EB5"/>
    <w:rsid w:val="00E61EBA"/>
    <w:rsid w:val="00E61F81"/>
    <w:rsid w:val="00E62053"/>
    <w:rsid w:val="00E624D6"/>
    <w:rsid w:val="00E62681"/>
    <w:rsid w:val="00E628DC"/>
    <w:rsid w:val="00E62AAA"/>
    <w:rsid w:val="00E62E82"/>
    <w:rsid w:val="00E633E3"/>
    <w:rsid w:val="00E6346D"/>
    <w:rsid w:val="00E634B8"/>
    <w:rsid w:val="00E636B4"/>
    <w:rsid w:val="00E636C2"/>
    <w:rsid w:val="00E63980"/>
    <w:rsid w:val="00E63A66"/>
    <w:rsid w:val="00E63D68"/>
    <w:rsid w:val="00E63FFF"/>
    <w:rsid w:val="00E64002"/>
    <w:rsid w:val="00E641BD"/>
    <w:rsid w:val="00E642B4"/>
    <w:rsid w:val="00E6440A"/>
    <w:rsid w:val="00E649FD"/>
    <w:rsid w:val="00E64B2C"/>
    <w:rsid w:val="00E64BEF"/>
    <w:rsid w:val="00E64D96"/>
    <w:rsid w:val="00E64DC0"/>
    <w:rsid w:val="00E64F70"/>
    <w:rsid w:val="00E64FB7"/>
    <w:rsid w:val="00E6540A"/>
    <w:rsid w:val="00E65679"/>
    <w:rsid w:val="00E657EA"/>
    <w:rsid w:val="00E65945"/>
    <w:rsid w:val="00E65A57"/>
    <w:rsid w:val="00E65BC6"/>
    <w:rsid w:val="00E65F29"/>
    <w:rsid w:val="00E66331"/>
    <w:rsid w:val="00E66614"/>
    <w:rsid w:val="00E66777"/>
    <w:rsid w:val="00E66924"/>
    <w:rsid w:val="00E66AE7"/>
    <w:rsid w:val="00E66D4D"/>
    <w:rsid w:val="00E67178"/>
    <w:rsid w:val="00E671C0"/>
    <w:rsid w:val="00E6727C"/>
    <w:rsid w:val="00E6757B"/>
    <w:rsid w:val="00E67695"/>
    <w:rsid w:val="00E676DA"/>
    <w:rsid w:val="00E67813"/>
    <w:rsid w:val="00E67B73"/>
    <w:rsid w:val="00E67C79"/>
    <w:rsid w:val="00E67CB6"/>
    <w:rsid w:val="00E7006D"/>
    <w:rsid w:val="00E701BE"/>
    <w:rsid w:val="00E70200"/>
    <w:rsid w:val="00E7023A"/>
    <w:rsid w:val="00E702C8"/>
    <w:rsid w:val="00E705D7"/>
    <w:rsid w:val="00E70682"/>
    <w:rsid w:val="00E70A1B"/>
    <w:rsid w:val="00E70A62"/>
    <w:rsid w:val="00E70BA6"/>
    <w:rsid w:val="00E7176C"/>
    <w:rsid w:val="00E71814"/>
    <w:rsid w:val="00E7190D"/>
    <w:rsid w:val="00E71973"/>
    <w:rsid w:val="00E7199D"/>
    <w:rsid w:val="00E71AC4"/>
    <w:rsid w:val="00E71B71"/>
    <w:rsid w:val="00E71CEB"/>
    <w:rsid w:val="00E71EEC"/>
    <w:rsid w:val="00E71FC7"/>
    <w:rsid w:val="00E7204B"/>
    <w:rsid w:val="00E72099"/>
    <w:rsid w:val="00E72223"/>
    <w:rsid w:val="00E723B5"/>
    <w:rsid w:val="00E72B31"/>
    <w:rsid w:val="00E72CEE"/>
    <w:rsid w:val="00E72F50"/>
    <w:rsid w:val="00E73051"/>
    <w:rsid w:val="00E73121"/>
    <w:rsid w:val="00E732AA"/>
    <w:rsid w:val="00E73799"/>
    <w:rsid w:val="00E7382A"/>
    <w:rsid w:val="00E73873"/>
    <w:rsid w:val="00E7398B"/>
    <w:rsid w:val="00E73C7E"/>
    <w:rsid w:val="00E73CB9"/>
    <w:rsid w:val="00E73DE7"/>
    <w:rsid w:val="00E73E0D"/>
    <w:rsid w:val="00E74000"/>
    <w:rsid w:val="00E7402B"/>
    <w:rsid w:val="00E74100"/>
    <w:rsid w:val="00E74154"/>
    <w:rsid w:val="00E741D3"/>
    <w:rsid w:val="00E742CC"/>
    <w:rsid w:val="00E74668"/>
    <w:rsid w:val="00E7466D"/>
    <w:rsid w:val="00E74CB4"/>
    <w:rsid w:val="00E75029"/>
    <w:rsid w:val="00E75099"/>
    <w:rsid w:val="00E75325"/>
    <w:rsid w:val="00E75488"/>
    <w:rsid w:val="00E7576C"/>
    <w:rsid w:val="00E75849"/>
    <w:rsid w:val="00E75905"/>
    <w:rsid w:val="00E7592A"/>
    <w:rsid w:val="00E75A2F"/>
    <w:rsid w:val="00E75B6A"/>
    <w:rsid w:val="00E75CBB"/>
    <w:rsid w:val="00E766D6"/>
    <w:rsid w:val="00E767D1"/>
    <w:rsid w:val="00E769CF"/>
    <w:rsid w:val="00E76A41"/>
    <w:rsid w:val="00E76A6E"/>
    <w:rsid w:val="00E76A74"/>
    <w:rsid w:val="00E76B65"/>
    <w:rsid w:val="00E76D90"/>
    <w:rsid w:val="00E76EA3"/>
    <w:rsid w:val="00E76F9A"/>
    <w:rsid w:val="00E76FD0"/>
    <w:rsid w:val="00E777BB"/>
    <w:rsid w:val="00E77CF1"/>
    <w:rsid w:val="00E77F7F"/>
    <w:rsid w:val="00E80035"/>
    <w:rsid w:val="00E80366"/>
    <w:rsid w:val="00E80851"/>
    <w:rsid w:val="00E80A6E"/>
    <w:rsid w:val="00E80FC8"/>
    <w:rsid w:val="00E8109D"/>
    <w:rsid w:val="00E813AD"/>
    <w:rsid w:val="00E817B0"/>
    <w:rsid w:val="00E81D0C"/>
    <w:rsid w:val="00E81D64"/>
    <w:rsid w:val="00E81E55"/>
    <w:rsid w:val="00E82116"/>
    <w:rsid w:val="00E821DB"/>
    <w:rsid w:val="00E82223"/>
    <w:rsid w:val="00E8238B"/>
    <w:rsid w:val="00E823AC"/>
    <w:rsid w:val="00E823AF"/>
    <w:rsid w:val="00E824D7"/>
    <w:rsid w:val="00E824EF"/>
    <w:rsid w:val="00E8269B"/>
    <w:rsid w:val="00E8277C"/>
    <w:rsid w:val="00E827B4"/>
    <w:rsid w:val="00E82897"/>
    <w:rsid w:val="00E828A1"/>
    <w:rsid w:val="00E82BC9"/>
    <w:rsid w:val="00E82FAA"/>
    <w:rsid w:val="00E8310D"/>
    <w:rsid w:val="00E83B57"/>
    <w:rsid w:val="00E83E25"/>
    <w:rsid w:val="00E83EE7"/>
    <w:rsid w:val="00E84464"/>
    <w:rsid w:val="00E844EB"/>
    <w:rsid w:val="00E848E0"/>
    <w:rsid w:val="00E849FB"/>
    <w:rsid w:val="00E84BD2"/>
    <w:rsid w:val="00E84F7B"/>
    <w:rsid w:val="00E85082"/>
    <w:rsid w:val="00E85359"/>
    <w:rsid w:val="00E853CB"/>
    <w:rsid w:val="00E854AC"/>
    <w:rsid w:val="00E85548"/>
    <w:rsid w:val="00E85755"/>
    <w:rsid w:val="00E85860"/>
    <w:rsid w:val="00E85953"/>
    <w:rsid w:val="00E85A3D"/>
    <w:rsid w:val="00E85A76"/>
    <w:rsid w:val="00E85AB6"/>
    <w:rsid w:val="00E85D33"/>
    <w:rsid w:val="00E85E20"/>
    <w:rsid w:val="00E85FA6"/>
    <w:rsid w:val="00E86046"/>
    <w:rsid w:val="00E86107"/>
    <w:rsid w:val="00E86151"/>
    <w:rsid w:val="00E862AC"/>
    <w:rsid w:val="00E8632C"/>
    <w:rsid w:val="00E8644F"/>
    <w:rsid w:val="00E8672F"/>
    <w:rsid w:val="00E868A0"/>
    <w:rsid w:val="00E86B04"/>
    <w:rsid w:val="00E86B33"/>
    <w:rsid w:val="00E86F8D"/>
    <w:rsid w:val="00E871B0"/>
    <w:rsid w:val="00E872DB"/>
    <w:rsid w:val="00E87368"/>
    <w:rsid w:val="00E87434"/>
    <w:rsid w:val="00E87B65"/>
    <w:rsid w:val="00E87CF0"/>
    <w:rsid w:val="00E9048E"/>
    <w:rsid w:val="00E9062F"/>
    <w:rsid w:val="00E90687"/>
    <w:rsid w:val="00E908AB"/>
    <w:rsid w:val="00E90B70"/>
    <w:rsid w:val="00E90DAF"/>
    <w:rsid w:val="00E90E60"/>
    <w:rsid w:val="00E90F5A"/>
    <w:rsid w:val="00E90F93"/>
    <w:rsid w:val="00E9108E"/>
    <w:rsid w:val="00E91114"/>
    <w:rsid w:val="00E9135C"/>
    <w:rsid w:val="00E913A1"/>
    <w:rsid w:val="00E913A9"/>
    <w:rsid w:val="00E913B4"/>
    <w:rsid w:val="00E91525"/>
    <w:rsid w:val="00E91561"/>
    <w:rsid w:val="00E91612"/>
    <w:rsid w:val="00E91836"/>
    <w:rsid w:val="00E91980"/>
    <w:rsid w:val="00E919E2"/>
    <w:rsid w:val="00E91B31"/>
    <w:rsid w:val="00E91C2A"/>
    <w:rsid w:val="00E91C50"/>
    <w:rsid w:val="00E91D5D"/>
    <w:rsid w:val="00E91DDB"/>
    <w:rsid w:val="00E92229"/>
    <w:rsid w:val="00E923B5"/>
    <w:rsid w:val="00E923FE"/>
    <w:rsid w:val="00E92947"/>
    <w:rsid w:val="00E9296A"/>
    <w:rsid w:val="00E92B30"/>
    <w:rsid w:val="00E92C0F"/>
    <w:rsid w:val="00E92D21"/>
    <w:rsid w:val="00E92EAB"/>
    <w:rsid w:val="00E93094"/>
    <w:rsid w:val="00E930FA"/>
    <w:rsid w:val="00E93202"/>
    <w:rsid w:val="00E936A0"/>
    <w:rsid w:val="00E937B0"/>
    <w:rsid w:val="00E937D0"/>
    <w:rsid w:val="00E93CB9"/>
    <w:rsid w:val="00E93CBA"/>
    <w:rsid w:val="00E93DCB"/>
    <w:rsid w:val="00E93EE3"/>
    <w:rsid w:val="00E93FB9"/>
    <w:rsid w:val="00E94067"/>
    <w:rsid w:val="00E94391"/>
    <w:rsid w:val="00E943F4"/>
    <w:rsid w:val="00E94507"/>
    <w:rsid w:val="00E9478F"/>
    <w:rsid w:val="00E94BBA"/>
    <w:rsid w:val="00E94C12"/>
    <w:rsid w:val="00E94C25"/>
    <w:rsid w:val="00E94D84"/>
    <w:rsid w:val="00E94E58"/>
    <w:rsid w:val="00E94E9A"/>
    <w:rsid w:val="00E94FB7"/>
    <w:rsid w:val="00E95082"/>
    <w:rsid w:val="00E952F7"/>
    <w:rsid w:val="00E957BC"/>
    <w:rsid w:val="00E9586A"/>
    <w:rsid w:val="00E95906"/>
    <w:rsid w:val="00E95960"/>
    <w:rsid w:val="00E95C01"/>
    <w:rsid w:val="00E95CB1"/>
    <w:rsid w:val="00E95CBE"/>
    <w:rsid w:val="00E95E43"/>
    <w:rsid w:val="00E95EE8"/>
    <w:rsid w:val="00E9646D"/>
    <w:rsid w:val="00E96563"/>
    <w:rsid w:val="00E966E1"/>
    <w:rsid w:val="00E96A5F"/>
    <w:rsid w:val="00E96AEF"/>
    <w:rsid w:val="00E9715E"/>
    <w:rsid w:val="00E97246"/>
    <w:rsid w:val="00E97248"/>
    <w:rsid w:val="00E972CF"/>
    <w:rsid w:val="00E97303"/>
    <w:rsid w:val="00E975D4"/>
    <w:rsid w:val="00E975D5"/>
    <w:rsid w:val="00E976B1"/>
    <w:rsid w:val="00E976D0"/>
    <w:rsid w:val="00E976DF"/>
    <w:rsid w:val="00E97A9C"/>
    <w:rsid w:val="00E97ABB"/>
    <w:rsid w:val="00E97C4D"/>
    <w:rsid w:val="00E97D19"/>
    <w:rsid w:val="00E97D42"/>
    <w:rsid w:val="00E97E23"/>
    <w:rsid w:val="00E97E64"/>
    <w:rsid w:val="00E97ED6"/>
    <w:rsid w:val="00EA01AF"/>
    <w:rsid w:val="00EA027C"/>
    <w:rsid w:val="00EA0A69"/>
    <w:rsid w:val="00EA0C0C"/>
    <w:rsid w:val="00EA0CE8"/>
    <w:rsid w:val="00EA0D94"/>
    <w:rsid w:val="00EA0F34"/>
    <w:rsid w:val="00EA0F60"/>
    <w:rsid w:val="00EA0F77"/>
    <w:rsid w:val="00EA1109"/>
    <w:rsid w:val="00EA12A6"/>
    <w:rsid w:val="00EA1417"/>
    <w:rsid w:val="00EA1493"/>
    <w:rsid w:val="00EA1B29"/>
    <w:rsid w:val="00EA1C71"/>
    <w:rsid w:val="00EA2189"/>
    <w:rsid w:val="00EA22E6"/>
    <w:rsid w:val="00EA2601"/>
    <w:rsid w:val="00EA26CC"/>
    <w:rsid w:val="00EA2709"/>
    <w:rsid w:val="00EA2712"/>
    <w:rsid w:val="00EA27F8"/>
    <w:rsid w:val="00EA2A37"/>
    <w:rsid w:val="00EA2B07"/>
    <w:rsid w:val="00EA2B0E"/>
    <w:rsid w:val="00EA2C3B"/>
    <w:rsid w:val="00EA2EA2"/>
    <w:rsid w:val="00EA344A"/>
    <w:rsid w:val="00EA38CD"/>
    <w:rsid w:val="00EA3EF7"/>
    <w:rsid w:val="00EA3FEC"/>
    <w:rsid w:val="00EA40E0"/>
    <w:rsid w:val="00EA421B"/>
    <w:rsid w:val="00EA4497"/>
    <w:rsid w:val="00EA4590"/>
    <w:rsid w:val="00EA476B"/>
    <w:rsid w:val="00EA4872"/>
    <w:rsid w:val="00EA48E9"/>
    <w:rsid w:val="00EA4CAB"/>
    <w:rsid w:val="00EA4D1E"/>
    <w:rsid w:val="00EA5354"/>
    <w:rsid w:val="00EA5446"/>
    <w:rsid w:val="00EA5474"/>
    <w:rsid w:val="00EA54F6"/>
    <w:rsid w:val="00EA5552"/>
    <w:rsid w:val="00EA562C"/>
    <w:rsid w:val="00EA56C2"/>
    <w:rsid w:val="00EA56D7"/>
    <w:rsid w:val="00EA581C"/>
    <w:rsid w:val="00EA5B67"/>
    <w:rsid w:val="00EA5DDB"/>
    <w:rsid w:val="00EA5E49"/>
    <w:rsid w:val="00EA5E77"/>
    <w:rsid w:val="00EA5FDF"/>
    <w:rsid w:val="00EA6014"/>
    <w:rsid w:val="00EA6499"/>
    <w:rsid w:val="00EA64AF"/>
    <w:rsid w:val="00EA64C7"/>
    <w:rsid w:val="00EA655D"/>
    <w:rsid w:val="00EA658E"/>
    <w:rsid w:val="00EA66E6"/>
    <w:rsid w:val="00EA6DCE"/>
    <w:rsid w:val="00EA6F38"/>
    <w:rsid w:val="00EA701D"/>
    <w:rsid w:val="00EA7743"/>
    <w:rsid w:val="00EA7837"/>
    <w:rsid w:val="00EA793B"/>
    <w:rsid w:val="00EA7950"/>
    <w:rsid w:val="00EA7C10"/>
    <w:rsid w:val="00EB002B"/>
    <w:rsid w:val="00EB0090"/>
    <w:rsid w:val="00EB0153"/>
    <w:rsid w:val="00EB02A1"/>
    <w:rsid w:val="00EB0343"/>
    <w:rsid w:val="00EB05F0"/>
    <w:rsid w:val="00EB0F08"/>
    <w:rsid w:val="00EB0FF5"/>
    <w:rsid w:val="00EB10BD"/>
    <w:rsid w:val="00EB10E2"/>
    <w:rsid w:val="00EB13C6"/>
    <w:rsid w:val="00EB1412"/>
    <w:rsid w:val="00EB1787"/>
    <w:rsid w:val="00EB1800"/>
    <w:rsid w:val="00EB1A7D"/>
    <w:rsid w:val="00EB1A7F"/>
    <w:rsid w:val="00EB1DE7"/>
    <w:rsid w:val="00EB1E37"/>
    <w:rsid w:val="00EB235E"/>
    <w:rsid w:val="00EB2720"/>
    <w:rsid w:val="00EB27D3"/>
    <w:rsid w:val="00EB295A"/>
    <w:rsid w:val="00EB2C86"/>
    <w:rsid w:val="00EB2E05"/>
    <w:rsid w:val="00EB3085"/>
    <w:rsid w:val="00EB3288"/>
    <w:rsid w:val="00EB33AF"/>
    <w:rsid w:val="00EB360C"/>
    <w:rsid w:val="00EB37E7"/>
    <w:rsid w:val="00EB3998"/>
    <w:rsid w:val="00EB399D"/>
    <w:rsid w:val="00EB3A96"/>
    <w:rsid w:val="00EB3CA5"/>
    <w:rsid w:val="00EB426B"/>
    <w:rsid w:val="00EB4588"/>
    <w:rsid w:val="00EB4617"/>
    <w:rsid w:val="00EB477D"/>
    <w:rsid w:val="00EB47B0"/>
    <w:rsid w:val="00EB48BB"/>
    <w:rsid w:val="00EB4A3C"/>
    <w:rsid w:val="00EB4A8C"/>
    <w:rsid w:val="00EB4B1C"/>
    <w:rsid w:val="00EB4C87"/>
    <w:rsid w:val="00EB4CCB"/>
    <w:rsid w:val="00EB4E02"/>
    <w:rsid w:val="00EB4F36"/>
    <w:rsid w:val="00EB4F9F"/>
    <w:rsid w:val="00EB5242"/>
    <w:rsid w:val="00EB53C2"/>
    <w:rsid w:val="00EB5416"/>
    <w:rsid w:val="00EB5630"/>
    <w:rsid w:val="00EB5736"/>
    <w:rsid w:val="00EB58D6"/>
    <w:rsid w:val="00EB5BCD"/>
    <w:rsid w:val="00EB5E6D"/>
    <w:rsid w:val="00EB6287"/>
    <w:rsid w:val="00EB652A"/>
    <w:rsid w:val="00EB65C7"/>
    <w:rsid w:val="00EB65EA"/>
    <w:rsid w:val="00EB6BCE"/>
    <w:rsid w:val="00EB6D85"/>
    <w:rsid w:val="00EB70A1"/>
    <w:rsid w:val="00EB71D9"/>
    <w:rsid w:val="00EB74B7"/>
    <w:rsid w:val="00EB7574"/>
    <w:rsid w:val="00EB795A"/>
    <w:rsid w:val="00EB7BCE"/>
    <w:rsid w:val="00EB7C46"/>
    <w:rsid w:val="00EB7ED5"/>
    <w:rsid w:val="00EB7FB7"/>
    <w:rsid w:val="00EC037A"/>
    <w:rsid w:val="00EC05E6"/>
    <w:rsid w:val="00EC0638"/>
    <w:rsid w:val="00EC084F"/>
    <w:rsid w:val="00EC09F6"/>
    <w:rsid w:val="00EC0A74"/>
    <w:rsid w:val="00EC0C10"/>
    <w:rsid w:val="00EC0C21"/>
    <w:rsid w:val="00EC0C3B"/>
    <w:rsid w:val="00EC0CB8"/>
    <w:rsid w:val="00EC0CE0"/>
    <w:rsid w:val="00EC0E48"/>
    <w:rsid w:val="00EC0E51"/>
    <w:rsid w:val="00EC0EBD"/>
    <w:rsid w:val="00EC1293"/>
    <w:rsid w:val="00EC157C"/>
    <w:rsid w:val="00EC168D"/>
    <w:rsid w:val="00EC17F5"/>
    <w:rsid w:val="00EC1A8B"/>
    <w:rsid w:val="00EC2021"/>
    <w:rsid w:val="00EC22C0"/>
    <w:rsid w:val="00EC2331"/>
    <w:rsid w:val="00EC2842"/>
    <w:rsid w:val="00EC2907"/>
    <w:rsid w:val="00EC2948"/>
    <w:rsid w:val="00EC2C67"/>
    <w:rsid w:val="00EC2D0E"/>
    <w:rsid w:val="00EC2EAE"/>
    <w:rsid w:val="00EC300D"/>
    <w:rsid w:val="00EC30E5"/>
    <w:rsid w:val="00EC3242"/>
    <w:rsid w:val="00EC32A5"/>
    <w:rsid w:val="00EC332A"/>
    <w:rsid w:val="00EC341B"/>
    <w:rsid w:val="00EC34DF"/>
    <w:rsid w:val="00EC3651"/>
    <w:rsid w:val="00EC368C"/>
    <w:rsid w:val="00EC3796"/>
    <w:rsid w:val="00EC38A0"/>
    <w:rsid w:val="00EC3B5A"/>
    <w:rsid w:val="00EC3D5B"/>
    <w:rsid w:val="00EC3D8A"/>
    <w:rsid w:val="00EC3F26"/>
    <w:rsid w:val="00EC401A"/>
    <w:rsid w:val="00EC4758"/>
    <w:rsid w:val="00EC4858"/>
    <w:rsid w:val="00EC48E1"/>
    <w:rsid w:val="00EC4A33"/>
    <w:rsid w:val="00EC4CF8"/>
    <w:rsid w:val="00EC4F00"/>
    <w:rsid w:val="00EC50EA"/>
    <w:rsid w:val="00EC5111"/>
    <w:rsid w:val="00EC53AA"/>
    <w:rsid w:val="00EC5481"/>
    <w:rsid w:val="00EC57D3"/>
    <w:rsid w:val="00EC5E19"/>
    <w:rsid w:val="00EC5E5B"/>
    <w:rsid w:val="00EC5EB6"/>
    <w:rsid w:val="00EC5F91"/>
    <w:rsid w:val="00EC6109"/>
    <w:rsid w:val="00EC6427"/>
    <w:rsid w:val="00EC6741"/>
    <w:rsid w:val="00EC67D1"/>
    <w:rsid w:val="00EC6CF9"/>
    <w:rsid w:val="00EC6E8E"/>
    <w:rsid w:val="00EC7052"/>
    <w:rsid w:val="00EC71AF"/>
    <w:rsid w:val="00EC757B"/>
    <w:rsid w:val="00EC757D"/>
    <w:rsid w:val="00EC76B8"/>
    <w:rsid w:val="00EC785B"/>
    <w:rsid w:val="00EC7BF5"/>
    <w:rsid w:val="00EC7C78"/>
    <w:rsid w:val="00EC7DA0"/>
    <w:rsid w:val="00EC7E7E"/>
    <w:rsid w:val="00ED0614"/>
    <w:rsid w:val="00ED06CE"/>
    <w:rsid w:val="00ED0A23"/>
    <w:rsid w:val="00ED0B31"/>
    <w:rsid w:val="00ED0C66"/>
    <w:rsid w:val="00ED0E65"/>
    <w:rsid w:val="00ED0ED9"/>
    <w:rsid w:val="00ED0EF9"/>
    <w:rsid w:val="00ED0FE5"/>
    <w:rsid w:val="00ED13BF"/>
    <w:rsid w:val="00ED13F4"/>
    <w:rsid w:val="00ED14C6"/>
    <w:rsid w:val="00ED155D"/>
    <w:rsid w:val="00ED15E2"/>
    <w:rsid w:val="00ED190A"/>
    <w:rsid w:val="00ED1C9C"/>
    <w:rsid w:val="00ED1DCE"/>
    <w:rsid w:val="00ED205E"/>
    <w:rsid w:val="00ED209B"/>
    <w:rsid w:val="00ED238B"/>
    <w:rsid w:val="00ED2396"/>
    <w:rsid w:val="00ED2560"/>
    <w:rsid w:val="00ED2611"/>
    <w:rsid w:val="00ED2727"/>
    <w:rsid w:val="00ED2802"/>
    <w:rsid w:val="00ED2822"/>
    <w:rsid w:val="00ED29A2"/>
    <w:rsid w:val="00ED3177"/>
    <w:rsid w:val="00ED32B5"/>
    <w:rsid w:val="00ED38DC"/>
    <w:rsid w:val="00ED39B5"/>
    <w:rsid w:val="00ED3A0D"/>
    <w:rsid w:val="00ED3A15"/>
    <w:rsid w:val="00ED3C40"/>
    <w:rsid w:val="00ED3C80"/>
    <w:rsid w:val="00ED3D3B"/>
    <w:rsid w:val="00ED3EF9"/>
    <w:rsid w:val="00ED40DF"/>
    <w:rsid w:val="00ED472B"/>
    <w:rsid w:val="00ED47E7"/>
    <w:rsid w:val="00ED4A23"/>
    <w:rsid w:val="00ED4A5D"/>
    <w:rsid w:val="00ED4D48"/>
    <w:rsid w:val="00ED5042"/>
    <w:rsid w:val="00ED50F3"/>
    <w:rsid w:val="00ED53EA"/>
    <w:rsid w:val="00ED53FF"/>
    <w:rsid w:val="00ED5716"/>
    <w:rsid w:val="00ED573E"/>
    <w:rsid w:val="00ED598B"/>
    <w:rsid w:val="00ED5AE8"/>
    <w:rsid w:val="00ED5B2D"/>
    <w:rsid w:val="00ED5BB3"/>
    <w:rsid w:val="00ED5BDD"/>
    <w:rsid w:val="00ED5BEA"/>
    <w:rsid w:val="00ED5BFC"/>
    <w:rsid w:val="00ED5D27"/>
    <w:rsid w:val="00ED5E58"/>
    <w:rsid w:val="00ED6114"/>
    <w:rsid w:val="00ED630B"/>
    <w:rsid w:val="00ED63DC"/>
    <w:rsid w:val="00ED641E"/>
    <w:rsid w:val="00ED64FB"/>
    <w:rsid w:val="00ED6547"/>
    <w:rsid w:val="00ED6695"/>
    <w:rsid w:val="00ED67F5"/>
    <w:rsid w:val="00ED6997"/>
    <w:rsid w:val="00ED69D2"/>
    <w:rsid w:val="00ED6BC7"/>
    <w:rsid w:val="00ED6E81"/>
    <w:rsid w:val="00ED7429"/>
    <w:rsid w:val="00ED7509"/>
    <w:rsid w:val="00ED75BF"/>
    <w:rsid w:val="00ED7997"/>
    <w:rsid w:val="00ED7BFF"/>
    <w:rsid w:val="00EE0171"/>
    <w:rsid w:val="00EE035A"/>
    <w:rsid w:val="00EE036B"/>
    <w:rsid w:val="00EE04BC"/>
    <w:rsid w:val="00EE0534"/>
    <w:rsid w:val="00EE06C5"/>
    <w:rsid w:val="00EE098C"/>
    <w:rsid w:val="00EE0B28"/>
    <w:rsid w:val="00EE0F96"/>
    <w:rsid w:val="00EE11D2"/>
    <w:rsid w:val="00EE1206"/>
    <w:rsid w:val="00EE1256"/>
    <w:rsid w:val="00EE12AE"/>
    <w:rsid w:val="00EE14C0"/>
    <w:rsid w:val="00EE180F"/>
    <w:rsid w:val="00EE1814"/>
    <w:rsid w:val="00EE1868"/>
    <w:rsid w:val="00EE1BEE"/>
    <w:rsid w:val="00EE1DAE"/>
    <w:rsid w:val="00EE20AD"/>
    <w:rsid w:val="00EE21DC"/>
    <w:rsid w:val="00EE2236"/>
    <w:rsid w:val="00EE2310"/>
    <w:rsid w:val="00EE2852"/>
    <w:rsid w:val="00EE2C32"/>
    <w:rsid w:val="00EE2CB6"/>
    <w:rsid w:val="00EE2CE4"/>
    <w:rsid w:val="00EE2D56"/>
    <w:rsid w:val="00EE2D8C"/>
    <w:rsid w:val="00EE337C"/>
    <w:rsid w:val="00EE366D"/>
    <w:rsid w:val="00EE373A"/>
    <w:rsid w:val="00EE3C15"/>
    <w:rsid w:val="00EE3D81"/>
    <w:rsid w:val="00EE3F14"/>
    <w:rsid w:val="00EE40C1"/>
    <w:rsid w:val="00EE4575"/>
    <w:rsid w:val="00EE4718"/>
    <w:rsid w:val="00EE49F0"/>
    <w:rsid w:val="00EE49FA"/>
    <w:rsid w:val="00EE4A08"/>
    <w:rsid w:val="00EE4B36"/>
    <w:rsid w:val="00EE4C78"/>
    <w:rsid w:val="00EE4CC8"/>
    <w:rsid w:val="00EE4CCB"/>
    <w:rsid w:val="00EE5014"/>
    <w:rsid w:val="00EE53F4"/>
    <w:rsid w:val="00EE5674"/>
    <w:rsid w:val="00EE5696"/>
    <w:rsid w:val="00EE585E"/>
    <w:rsid w:val="00EE5A3D"/>
    <w:rsid w:val="00EE65C0"/>
    <w:rsid w:val="00EE65F2"/>
    <w:rsid w:val="00EE6A99"/>
    <w:rsid w:val="00EE6A9B"/>
    <w:rsid w:val="00EE6B34"/>
    <w:rsid w:val="00EE6C6A"/>
    <w:rsid w:val="00EE6E6F"/>
    <w:rsid w:val="00EE6EF7"/>
    <w:rsid w:val="00EE7208"/>
    <w:rsid w:val="00EE7279"/>
    <w:rsid w:val="00EE7491"/>
    <w:rsid w:val="00EE7736"/>
    <w:rsid w:val="00EE77A4"/>
    <w:rsid w:val="00EE7860"/>
    <w:rsid w:val="00EE7A77"/>
    <w:rsid w:val="00EE7FE9"/>
    <w:rsid w:val="00EF07C2"/>
    <w:rsid w:val="00EF0B98"/>
    <w:rsid w:val="00EF0C27"/>
    <w:rsid w:val="00EF0C2F"/>
    <w:rsid w:val="00EF0D3A"/>
    <w:rsid w:val="00EF11BD"/>
    <w:rsid w:val="00EF12A3"/>
    <w:rsid w:val="00EF13C8"/>
    <w:rsid w:val="00EF13DD"/>
    <w:rsid w:val="00EF153C"/>
    <w:rsid w:val="00EF181B"/>
    <w:rsid w:val="00EF189E"/>
    <w:rsid w:val="00EF18B7"/>
    <w:rsid w:val="00EF1A5A"/>
    <w:rsid w:val="00EF1CB9"/>
    <w:rsid w:val="00EF2269"/>
    <w:rsid w:val="00EF26C1"/>
    <w:rsid w:val="00EF2907"/>
    <w:rsid w:val="00EF2AEE"/>
    <w:rsid w:val="00EF2B15"/>
    <w:rsid w:val="00EF2C73"/>
    <w:rsid w:val="00EF2E38"/>
    <w:rsid w:val="00EF30EF"/>
    <w:rsid w:val="00EF3179"/>
    <w:rsid w:val="00EF3278"/>
    <w:rsid w:val="00EF34F7"/>
    <w:rsid w:val="00EF36FB"/>
    <w:rsid w:val="00EF3794"/>
    <w:rsid w:val="00EF399E"/>
    <w:rsid w:val="00EF3AE8"/>
    <w:rsid w:val="00EF3B51"/>
    <w:rsid w:val="00EF3E8B"/>
    <w:rsid w:val="00EF3F79"/>
    <w:rsid w:val="00EF3FF7"/>
    <w:rsid w:val="00EF4153"/>
    <w:rsid w:val="00EF4178"/>
    <w:rsid w:val="00EF437D"/>
    <w:rsid w:val="00EF47EE"/>
    <w:rsid w:val="00EF4C2D"/>
    <w:rsid w:val="00EF4C90"/>
    <w:rsid w:val="00EF4EC7"/>
    <w:rsid w:val="00EF507A"/>
    <w:rsid w:val="00EF50F2"/>
    <w:rsid w:val="00EF50FC"/>
    <w:rsid w:val="00EF5106"/>
    <w:rsid w:val="00EF51B0"/>
    <w:rsid w:val="00EF5255"/>
    <w:rsid w:val="00EF5390"/>
    <w:rsid w:val="00EF5530"/>
    <w:rsid w:val="00EF559D"/>
    <w:rsid w:val="00EF583D"/>
    <w:rsid w:val="00EF5B40"/>
    <w:rsid w:val="00EF5B97"/>
    <w:rsid w:val="00EF5FED"/>
    <w:rsid w:val="00EF6147"/>
    <w:rsid w:val="00EF6190"/>
    <w:rsid w:val="00EF6265"/>
    <w:rsid w:val="00EF6287"/>
    <w:rsid w:val="00EF6326"/>
    <w:rsid w:val="00EF648D"/>
    <w:rsid w:val="00EF6714"/>
    <w:rsid w:val="00EF6730"/>
    <w:rsid w:val="00EF67E2"/>
    <w:rsid w:val="00EF6865"/>
    <w:rsid w:val="00EF6B4F"/>
    <w:rsid w:val="00EF6DAA"/>
    <w:rsid w:val="00EF7265"/>
    <w:rsid w:val="00EF7305"/>
    <w:rsid w:val="00EF75DD"/>
    <w:rsid w:val="00EF78D7"/>
    <w:rsid w:val="00EF7BB3"/>
    <w:rsid w:val="00EF7CEE"/>
    <w:rsid w:val="00EF7CF0"/>
    <w:rsid w:val="00F00041"/>
    <w:rsid w:val="00F00332"/>
    <w:rsid w:val="00F00544"/>
    <w:rsid w:val="00F00630"/>
    <w:rsid w:val="00F00674"/>
    <w:rsid w:val="00F00678"/>
    <w:rsid w:val="00F00737"/>
    <w:rsid w:val="00F0085C"/>
    <w:rsid w:val="00F008E4"/>
    <w:rsid w:val="00F009FA"/>
    <w:rsid w:val="00F00DCF"/>
    <w:rsid w:val="00F00E19"/>
    <w:rsid w:val="00F01024"/>
    <w:rsid w:val="00F010D0"/>
    <w:rsid w:val="00F0152D"/>
    <w:rsid w:val="00F01534"/>
    <w:rsid w:val="00F01723"/>
    <w:rsid w:val="00F01777"/>
    <w:rsid w:val="00F01804"/>
    <w:rsid w:val="00F01889"/>
    <w:rsid w:val="00F018D0"/>
    <w:rsid w:val="00F019ED"/>
    <w:rsid w:val="00F01A84"/>
    <w:rsid w:val="00F01AA6"/>
    <w:rsid w:val="00F01ABB"/>
    <w:rsid w:val="00F01AF6"/>
    <w:rsid w:val="00F01CB6"/>
    <w:rsid w:val="00F021D2"/>
    <w:rsid w:val="00F02225"/>
    <w:rsid w:val="00F02353"/>
    <w:rsid w:val="00F0262B"/>
    <w:rsid w:val="00F02867"/>
    <w:rsid w:val="00F02910"/>
    <w:rsid w:val="00F02979"/>
    <w:rsid w:val="00F029F5"/>
    <w:rsid w:val="00F02B9B"/>
    <w:rsid w:val="00F02D1F"/>
    <w:rsid w:val="00F02D8B"/>
    <w:rsid w:val="00F02D9B"/>
    <w:rsid w:val="00F02E1E"/>
    <w:rsid w:val="00F02FEA"/>
    <w:rsid w:val="00F030B7"/>
    <w:rsid w:val="00F030E2"/>
    <w:rsid w:val="00F03166"/>
    <w:rsid w:val="00F03399"/>
    <w:rsid w:val="00F03425"/>
    <w:rsid w:val="00F0360A"/>
    <w:rsid w:val="00F036B0"/>
    <w:rsid w:val="00F03C20"/>
    <w:rsid w:val="00F04170"/>
    <w:rsid w:val="00F0459C"/>
    <w:rsid w:val="00F048F9"/>
    <w:rsid w:val="00F049EC"/>
    <w:rsid w:val="00F04A4A"/>
    <w:rsid w:val="00F04F1F"/>
    <w:rsid w:val="00F052DF"/>
    <w:rsid w:val="00F0542E"/>
    <w:rsid w:val="00F05537"/>
    <w:rsid w:val="00F0567A"/>
    <w:rsid w:val="00F056E2"/>
    <w:rsid w:val="00F05C9A"/>
    <w:rsid w:val="00F05D30"/>
    <w:rsid w:val="00F05FCA"/>
    <w:rsid w:val="00F06088"/>
    <w:rsid w:val="00F0645B"/>
    <w:rsid w:val="00F06562"/>
    <w:rsid w:val="00F067CE"/>
    <w:rsid w:val="00F06835"/>
    <w:rsid w:val="00F06925"/>
    <w:rsid w:val="00F069AA"/>
    <w:rsid w:val="00F06AC3"/>
    <w:rsid w:val="00F06ED9"/>
    <w:rsid w:val="00F06F67"/>
    <w:rsid w:val="00F06FE2"/>
    <w:rsid w:val="00F07337"/>
    <w:rsid w:val="00F0733A"/>
    <w:rsid w:val="00F07441"/>
    <w:rsid w:val="00F07450"/>
    <w:rsid w:val="00F07557"/>
    <w:rsid w:val="00F07631"/>
    <w:rsid w:val="00F076C5"/>
    <w:rsid w:val="00F077F1"/>
    <w:rsid w:val="00F078B7"/>
    <w:rsid w:val="00F07936"/>
    <w:rsid w:val="00F07ABC"/>
    <w:rsid w:val="00F07D68"/>
    <w:rsid w:val="00F11159"/>
    <w:rsid w:val="00F1131A"/>
    <w:rsid w:val="00F1136E"/>
    <w:rsid w:val="00F11683"/>
    <w:rsid w:val="00F116A1"/>
    <w:rsid w:val="00F1173B"/>
    <w:rsid w:val="00F11801"/>
    <w:rsid w:val="00F11804"/>
    <w:rsid w:val="00F11ED2"/>
    <w:rsid w:val="00F11EEE"/>
    <w:rsid w:val="00F12121"/>
    <w:rsid w:val="00F12358"/>
    <w:rsid w:val="00F1292B"/>
    <w:rsid w:val="00F12ABF"/>
    <w:rsid w:val="00F12C26"/>
    <w:rsid w:val="00F12D6A"/>
    <w:rsid w:val="00F12E76"/>
    <w:rsid w:val="00F12ED0"/>
    <w:rsid w:val="00F1314D"/>
    <w:rsid w:val="00F13613"/>
    <w:rsid w:val="00F137EB"/>
    <w:rsid w:val="00F1396B"/>
    <w:rsid w:val="00F13AE2"/>
    <w:rsid w:val="00F13AF8"/>
    <w:rsid w:val="00F13C90"/>
    <w:rsid w:val="00F13CFE"/>
    <w:rsid w:val="00F13D2F"/>
    <w:rsid w:val="00F13E0E"/>
    <w:rsid w:val="00F13E53"/>
    <w:rsid w:val="00F13EE0"/>
    <w:rsid w:val="00F13FFE"/>
    <w:rsid w:val="00F14327"/>
    <w:rsid w:val="00F143C6"/>
    <w:rsid w:val="00F145A6"/>
    <w:rsid w:val="00F14EB8"/>
    <w:rsid w:val="00F1510B"/>
    <w:rsid w:val="00F1546C"/>
    <w:rsid w:val="00F15699"/>
    <w:rsid w:val="00F158A3"/>
    <w:rsid w:val="00F15A89"/>
    <w:rsid w:val="00F15DDE"/>
    <w:rsid w:val="00F1626D"/>
    <w:rsid w:val="00F163CE"/>
    <w:rsid w:val="00F16507"/>
    <w:rsid w:val="00F16853"/>
    <w:rsid w:val="00F168F6"/>
    <w:rsid w:val="00F16C88"/>
    <w:rsid w:val="00F16CDE"/>
    <w:rsid w:val="00F16F54"/>
    <w:rsid w:val="00F17236"/>
    <w:rsid w:val="00F1745A"/>
    <w:rsid w:val="00F1759B"/>
    <w:rsid w:val="00F1762B"/>
    <w:rsid w:val="00F176B8"/>
    <w:rsid w:val="00F1777E"/>
    <w:rsid w:val="00F17A3F"/>
    <w:rsid w:val="00F17C98"/>
    <w:rsid w:val="00F17E1E"/>
    <w:rsid w:val="00F20068"/>
    <w:rsid w:val="00F2057E"/>
    <w:rsid w:val="00F20906"/>
    <w:rsid w:val="00F20A42"/>
    <w:rsid w:val="00F20BA2"/>
    <w:rsid w:val="00F21043"/>
    <w:rsid w:val="00F210BF"/>
    <w:rsid w:val="00F213B0"/>
    <w:rsid w:val="00F2146F"/>
    <w:rsid w:val="00F21597"/>
    <w:rsid w:val="00F21708"/>
    <w:rsid w:val="00F21790"/>
    <w:rsid w:val="00F21A33"/>
    <w:rsid w:val="00F21DEA"/>
    <w:rsid w:val="00F2201E"/>
    <w:rsid w:val="00F22060"/>
    <w:rsid w:val="00F221A1"/>
    <w:rsid w:val="00F221E3"/>
    <w:rsid w:val="00F22256"/>
    <w:rsid w:val="00F223C3"/>
    <w:rsid w:val="00F226A1"/>
    <w:rsid w:val="00F227B4"/>
    <w:rsid w:val="00F229E8"/>
    <w:rsid w:val="00F22C87"/>
    <w:rsid w:val="00F22F21"/>
    <w:rsid w:val="00F22F32"/>
    <w:rsid w:val="00F22F6B"/>
    <w:rsid w:val="00F2309F"/>
    <w:rsid w:val="00F2311D"/>
    <w:rsid w:val="00F233C2"/>
    <w:rsid w:val="00F2363C"/>
    <w:rsid w:val="00F239DF"/>
    <w:rsid w:val="00F23B37"/>
    <w:rsid w:val="00F23BB5"/>
    <w:rsid w:val="00F23C06"/>
    <w:rsid w:val="00F23E3B"/>
    <w:rsid w:val="00F23F81"/>
    <w:rsid w:val="00F24185"/>
    <w:rsid w:val="00F2418D"/>
    <w:rsid w:val="00F247C0"/>
    <w:rsid w:val="00F24849"/>
    <w:rsid w:val="00F249EF"/>
    <w:rsid w:val="00F24A7C"/>
    <w:rsid w:val="00F24B89"/>
    <w:rsid w:val="00F24C76"/>
    <w:rsid w:val="00F24E72"/>
    <w:rsid w:val="00F25249"/>
    <w:rsid w:val="00F25670"/>
    <w:rsid w:val="00F256B0"/>
    <w:rsid w:val="00F259D9"/>
    <w:rsid w:val="00F25A79"/>
    <w:rsid w:val="00F25C0C"/>
    <w:rsid w:val="00F25E58"/>
    <w:rsid w:val="00F25EA8"/>
    <w:rsid w:val="00F25ECB"/>
    <w:rsid w:val="00F25F21"/>
    <w:rsid w:val="00F26024"/>
    <w:rsid w:val="00F261AC"/>
    <w:rsid w:val="00F26262"/>
    <w:rsid w:val="00F265C5"/>
    <w:rsid w:val="00F26827"/>
    <w:rsid w:val="00F269FF"/>
    <w:rsid w:val="00F26B4B"/>
    <w:rsid w:val="00F26C74"/>
    <w:rsid w:val="00F26DFE"/>
    <w:rsid w:val="00F26E20"/>
    <w:rsid w:val="00F26EAD"/>
    <w:rsid w:val="00F26F6C"/>
    <w:rsid w:val="00F2706C"/>
    <w:rsid w:val="00F27157"/>
    <w:rsid w:val="00F27649"/>
    <w:rsid w:val="00F27688"/>
    <w:rsid w:val="00F27740"/>
    <w:rsid w:val="00F27947"/>
    <w:rsid w:val="00F27A1D"/>
    <w:rsid w:val="00F27AAA"/>
    <w:rsid w:val="00F27D64"/>
    <w:rsid w:val="00F27F53"/>
    <w:rsid w:val="00F27F83"/>
    <w:rsid w:val="00F27FE3"/>
    <w:rsid w:val="00F3000F"/>
    <w:rsid w:val="00F30020"/>
    <w:rsid w:val="00F3003E"/>
    <w:rsid w:val="00F30084"/>
    <w:rsid w:val="00F301D3"/>
    <w:rsid w:val="00F30372"/>
    <w:rsid w:val="00F30425"/>
    <w:rsid w:val="00F305A6"/>
    <w:rsid w:val="00F30842"/>
    <w:rsid w:val="00F3094A"/>
    <w:rsid w:val="00F30AD2"/>
    <w:rsid w:val="00F30E91"/>
    <w:rsid w:val="00F30F69"/>
    <w:rsid w:val="00F31215"/>
    <w:rsid w:val="00F3138D"/>
    <w:rsid w:val="00F3146C"/>
    <w:rsid w:val="00F314D9"/>
    <w:rsid w:val="00F3172E"/>
    <w:rsid w:val="00F3173D"/>
    <w:rsid w:val="00F3174D"/>
    <w:rsid w:val="00F31994"/>
    <w:rsid w:val="00F31C44"/>
    <w:rsid w:val="00F31FEB"/>
    <w:rsid w:val="00F322CC"/>
    <w:rsid w:val="00F3230E"/>
    <w:rsid w:val="00F323AE"/>
    <w:rsid w:val="00F32420"/>
    <w:rsid w:val="00F3248E"/>
    <w:rsid w:val="00F324CB"/>
    <w:rsid w:val="00F325A4"/>
    <w:rsid w:val="00F325DF"/>
    <w:rsid w:val="00F32694"/>
    <w:rsid w:val="00F327E7"/>
    <w:rsid w:val="00F32814"/>
    <w:rsid w:val="00F3289A"/>
    <w:rsid w:val="00F32A2B"/>
    <w:rsid w:val="00F32A64"/>
    <w:rsid w:val="00F32B14"/>
    <w:rsid w:val="00F32C74"/>
    <w:rsid w:val="00F32D08"/>
    <w:rsid w:val="00F32F30"/>
    <w:rsid w:val="00F33142"/>
    <w:rsid w:val="00F33580"/>
    <w:rsid w:val="00F339C1"/>
    <w:rsid w:val="00F33B86"/>
    <w:rsid w:val="00F33FA6"/>
    <w:rsid w:val="00F340DD"/>
    <w:rsid w:val="00F343EA"/>
    <w:rsid w:val="00F34917"/>
    <w:rsid w:val="00F3494A"/>
    <w:rsid w:val="00F34D8E"/>
    <w:rsid w:val="00F34DF3"/>
    <w:rsid w:val="00F34F44"/>
    <w:rsid w:val="00F3519E"/>
    <w:rsid w:val="00F35575"/>
    <w:rsid w:val="00F355CF"/>
    <w:rsid w:val="00F35BE2"/>
    <w:rsid w:val="00F36230"/>
    <w:rsid w:val="00F36331"/>
    <w:rsid w:val="00F3637B"/>
    <w:rsid w:val="00F36737"/>
    <w:rsid w:val="00F36987"/>
    <w:rsid w:val="00F36BA3"/>
    <w:rsid w:val="00F36C01"/>
    <w:rsid w:val="00F36D97"/>
    <w:rsid w:val="00F36E54"/>
    <w:rsid w:val="00F3703C"/>
    <w:rsid w:val="00F37070"/>
    <w:rsid w:val="00F3707D"/>
    <w:rsid w:val="00F3715E"/>
    <w:rsid w:val="00F373CF"/>
    <w:rsid w:val="00F374F8"/>
    <w:rsid w:val="00F37561"/>
    <w:rsid w:val="00F37864"/>
    <w:rsid w:val="00F37935"/>
    <w:rsid w:val="00F37953"/>
    <w:rsid w:val="00F379A6"/>
    <w:rsid w:val="00F379EC"/>
    <w:rsid w:val="00F37A01"/>
    <w:rsid w:val="00F37AB9"/>
    <w:rsid w:val="00F37BE4"/>
    <w:rsid w:val="00F37E3D"/>
    <w:rsid w:val="00F40043"/>
    <w:rsid w:val="00F400FE"/>
    <w:rsid w:val="00F402DA"/>
    <w:rsid w:val="00F402ED"/>
    <w:rsid w:val="00F403E4"/>
    <w:rsid w:val="00F404A3"/>
    <w:rsid w:val="00F4054F"/>
    <w:rsid w:val="00F40684"/>
    <w:rsid w:val="00F4081F"/>
    <w:rsid w:val="00F4087A"/>
    <w:rsid w:val="00F40901"/>
    <w:rsid w:val="00F40AA7"/>
    <w:rsid w:val="00F40CE9"/>
    <w:rsid w:val="00F40E4F"/>
    <w:rsid w:val="00F41009"/>
    <w:rsid w:val="00F41121"/>
    <w:rsid w:val="00F41134"/>
    <w:rsid w:val="00F4123E"/>
    <w:rsid w:val="00F415E0"/>
    <w:rsid w:val="00F41644"/>
    <w:rsid w:val="00F4166C"/>
    <w:rsid w:val="00F417F1"/>
    <w:rsid w:val="00F41865"/>
    <w:rsid w:val="00F41A2B"/>
    <w:rsid w:val="00F41CFE"/>
    <w:rsid w:val="00F42095"/>
    <w:rsid w:val="00F42301"/>
    <w:rsid w:val="00F42439"/>
    <w:rsid w:val="00F42650"/>
    <w:rsid w:val="00F42681"/>
    <w:rsid w:val="00F426E7"/>
    <w:rsid w:val="00F42732"/>
    <w:rsid w:val="00F427D8"/>
    <w:rsid w:val="00F428F2"/>
    <w:rsid w:val="00F42965"/>
    <w:rsid w:val="00F42A97"/>
    <w:rsid w:val="00F42B48"/>
    <w:rsid w:val="00F42BF2"/>
    <w:rsid w:val="00F42CDB"/>
    <w:rsid w:val="00F432FC"/>
    <w:rsid w:val="00F43413"/>
    <w:rsid w:val="00F4357A"/>
    <w:rsid w:val="00F43846"/>
    <w:rsid w:val="00F43BB3"/>
    <w:rsid w:val="00F43D25"/>
    <w:rsid w:val="00F43E97"/>
    <w:rsid w:val="00F43EA3"/>
    <w:rsid w:val="00F43EEA"/>
    <w:rsid w:val="00F4417A"/>
    <w:rsid w:val="00F443DF"/>
    <w:rsid w:val="00F4445A"/>
    <w:rsid w:val="00F445BA"/>
    <w:rsid w:val="00F44650"/>
    <w:rsid w:val="00F4465F"/>
    <w:rsid w:val="00F44857"/>
    <w:rsid w:val="00F44970"/>
    <w:rsid w:val="00F44B46"/>
    <w:rsid w:val="00F44DA3"/>
    <w:rsid w:val="00F44EF9"/>
    <w:rsid w:val="00F44F4C"/>
    <w:rsid w:val="00F44F96"/>
    <w:rsid w:val="00F4522E"/>
    <w:rsid w:val="00F45244"/>
    <w:rsid w:val="00F453B1"/>
    <w:rsid w:val="00F4561B"/>
    <w:rsid w:val="00F4572C"/>
    <w:rsid w:val="00F4577C"/>
    <w:rsid w:val="00F459FF"/>
    <w:rsid w:val="00F45C13"/>
    <w:rsid w:val="00F45D88"/>
    <w:rsid w:val="00F45E09"/>
    <w:rsid w:val="00F45F55"/>
    <w:rsid w:val="00F46025"/>
    <w:rsid w:val="00F460AE"/>
    <w:rsid w:val="00F46127"/>
    <w:rsid w:val="00F461C9"/>
    <w:rsid w:val="00F465DE"/>
    <w:rsid w:val="00F465ED"/>
    <w:rsid w:val="00F4664E"/>
    <w:rsid w:val="00F468A4"/>
    <w:rsid w:val="00F4691D"/>
    <w:rsid w:val="00F4699F"/>
    <w:rsid w:val="00F46D83"/>
    <w:rsid w:val="00F46DCC"/>
    <w:rsid w:val="00F46FCD"/>
    <w:rsid w:val="00F4704C"/>
    <w:rsid w:val="00F47078"/>
    <w:rsid w:val="00F4708C"/>
    <w:rsid w:val="00F47094"/>
    <w:rsid w:val="00F47419"/>
    <w:rsid w:val="00F474C4"/>
    <w:rsid w:val="00F477FF"/>
    <w:rsid w:val="00F478EB"/>
    <w:rsid w:val="00F47E07"/>
    <w:rsid w:val="00F47E21"/>
    <w:rsid w:val="00F5031F"/>
    <w:rsid w:val="00F504E2"/>
    <w:rsid w:val="00F504F7"/>
    <w:rsid w:val="00F5070F"/>
    <w:rsid w:val="00F50767"/>
    <w:rsid w:val="00F50BEB"/>
    <w:rsid w:val="00F50E3E"/>
    <w:rsid w:val="00F50FA5"/>
    <w:rsid w:val="00F511B7"/>
    <w:rsid w:val="00F512F7"/>
    <w:rsid w:val="00F51645"/>
    <w:rsid w:val="00F5175A"/>
    <w:rsid w:val="00F518A8"/>
    <w:rsid w:val="00F51933"/>
    <w:rsid w:val="00F51DD4"/>
    <w:rsid w:val="00F52247"/>
    <w:rsid w:val="00F52380"/>
    <w:rsid w:val="00F52512"/>
    <w:rsid w:val="00F5261B"/>
    <w:rsid w:val="00F5281B"/>
    <w:rsid w:val="00F5289B"/>
    <w:rsid w:val="00F528E8"/>
    <w:rsid w:val="00F52ABB"/>
    <w:rsid w:val="00F52B4A"/>
    <w:rsid w:val="00F52C9E"/>
    <w:rsid w:val="00F52FAD"/>
    <w:rsid w:val="00F53126"/>
    <w:rsid w:val="00F532FD"/>
    <w:rsid w:val="00F53482"/>
    <w:rsid w:val="00F53647"/>
    <w:rsid w:val="00F53650"/>
    <w:rsid w:val="00F538AB"/>
    <w:rsid w:val="00F53940"/>
    <w:rsid w:val="00F53A91"/>
    <w:rsid w:val="00F53BEC"/>
    <w:rsid w:val="00F53C2E"/>
    <w:rsid w:val="00F53CD8"/>
    <w:rsid w:val="00F53E9E"/>
    <w:rsid w:val="00F5401A"/>
    <w:rsid w:val="00F5425D"/>
    <w:rsid w:val="00F54E0F"/>
    <w:rsid w:val="00F54F8B"/>
    <w:rsid w:val="00F5523D"/>
    <w:rsid w:val="00F5572E"/>
    <w:rsid w:val="00F5576D"/>
    <w:rsid w:val="00F55B69"/>
    <w:rsid w:val="00F55B83"/>
    <w:rsid w:val="00F55EB6"/>
    <w:rsid w:val="00F55FCF"/>
    <w:rsid w:val="00F560FD"/>
    <w:rsid w:val="00F56314"/>
    <w:rsid w:val="00F5632D"/>
    <w:rsid w:val="00F56643"/>
    <w:rsid w:val="00F56728"/>
    <w:rsid w:val="00F568F9"/>
    <w:rsid w:val="00F56914"/>
    <w:rsid w:val="00F56B27"/>
    <w:rsid w:val="00F56BC1"/>
    <w:rsid w:val="00F56EDE"/>
    <w:rsid w:val="00F573E3"/>
    <w:rsid w:val="00F57586"/>
    <w:rsid w:val="00F57664"/>
    <w:rsid w:val="00F5767C"/>
    <w:rsid w:val="00F57706"/>
    <w:rsid w:val="00F577AA"/>
    <w:rsid w:val="00F57B8F"/>
    <w:rsid w:val="00F57BBF"/>
    <w:rsid w:val="00F603D1"/>
    <w:rsid w:val="00F60532"/>
    <w:rsid w:val="00F60965"/>
    <w:rsid w:val="00F60BF8"/>
    <w:rsid w:val="00F60E5A"/>
    <w:rsid w:val="00F60FB6"/>
    <w:rsid w:val="00F6113F"/>
    <w:rsid w:val="00F613DD"/>
    <w:rsid w:val="00F6165C"/>
    <w:rsid w:val="00F61762"/>
    <w:rsid w:val="00F6177B"/>
    <w:rsid w:val="00F619C3"/>
    <w:rsid w:val="00F61A07"/>
    <w:rsid w:val="00F61BD1"/>
    <w:rsid w:val="00F61BE5"/>
    <w:rsid w:val="00F61C91"/>
    <w:rsid w:val="00F61E38"/>
    <w:rsid w:val="00F625B4"/>
    <w:rsid w:val="00F625F2"/>
    <w:rsid w:val="00F6263D"/>
    <w:rsid w:val="00F62A73"/>
    <w:rsid w:val="00F62B5C"/>
    <w:rsid w:val="00F62C67"/>
    <w:rsid w:val="00F62D9C"/>
    <w:rsid w:val="00F630C9"/>
    <w:rsid w:val="00F63176"/>
    <w:rsid w:val="00F631E6"/>
    <w:rsid w:val="00F634BA"/>
    <w:rsid w:val="00F636D6"/>
    <w:rsid w:val="00F6371D"/>
    <w:rsid w:val="00F63745"/>
    <w:rsid w:val="00F63F3B"/>
    <w:rsid w:val="00F63F88"/>
    <w:rsid w:val="00F6403C"/>
    <w:rsid w:val="00F64180"/>
    <w:rsid w:val="00F641FE"/>
    <w:rsid w:val="00F64320"/>
    <w:rsid w:val="00F643E9"/>
    <w:rsid w:val="00F6449C"/>
    <w:rsid w:val="00F645C9"/>
    <w:rsid w:val="00F64760"/>
    <w:rsid w:val="00F649A4"/>
    <w:rsid w:val="00F64DA3"/>
    <w:rsid w:val="00F64F20"/>
    <w:rsid w:val="00F64F34"/>
    <w:rsid w:val="00F64F60"/>
    <w:rsid w:val="00F6506A"/>
    <w:rsid w:val="00F65113"/>
    <w:rsid w:val="00F6536F"/>
    <w:rsid w:val="00F6558F"/>
    <w:rsid w:val="00F655EA"/>
    <w:rsid w:val="00F65725"/>
    <w:rsid w:val="00F65969"/>
    <w:rsid w:val="00F65B8B"/>
    <w:rsid w:val="00F65BF7"/>
    <w:rsid w:val="00F65C80"/>
    <w:rsid w:val="00F65C93"/>
    <w:rsid w:val="00F65E76"/>
    <w:rsid w:val="00F66120"/>
    <w:rsid w:val="00F663F9"/>
    <w:rsid w:val="00F6653C"/>
    <w:rsid w:val="00F665C2"/>
    <w:rsid w:val="00F6673E"/>
    <w:rsid w:val="00F66777"/>
    <w:rsid w:val="00F668DB"/>
    <w:rsid w:val="00F6697C"/>
    <w:rsid w:val="00F66AFC"/>
    <w:rsid w:val="00F66C1C"/>
    <w:rsid w:val="00F66DAC"/>
    <w:rsid w:val="00F66EC3"/>
    <w:rsid w:val="00F67024"/>
    <w:rsid w:val="00F67391"/>
    <w:rsid w:val="00F673B7"/>
    <w:rsid w:val="00F674E4"/>
    <w:rsid w:val="00F67654"/>
    <w:rsid w:val="00F676B5"/>
    <w:rsid w:val="00F678F5"/>
    <w:rsid w:val="00F67DE3"/>
    <w:rsid w:val="00F70ADA"/>
    <w:rsid w:val="00F70C30"/>
    <w:rsid w:val="00F70EBF"/>
    <w:rsid w:val="00F70FAB"/>
    <w:rsid w:val="00F7103B"/>
    <w:rsid w:val="00F714B5"/>
    <w:rsid w:val="00F718EC"/>
    <w:rsid w:val="00F7196A"/>
    <w:rsid w:val="00F71B1B"/>
    <w:rsid w:val="00F7204A"/>
    <w:rsid w:val="00F72078"/>
    <w:rsid w:val="00F72319"/>
    <w:rsid w:val="00F7245C"/>
    <w:rsid w:val="00F726C2"/>
    <w:rsid w:val="00F726FA"/>
    <w:rsid w:val="00F72808"/>
    <w:rsid w:val="00F72A1A"/>
    <w:rsid w:val="00F72B42"/>
    <w:rsid w:val="00F72BB2"/>
    <w:rsid w:val="00F72BF2"/>
    <w:rsid w:val="00F72D6B"/>
    <w:rsid w:val="00F72DFF"/>
    <w:rsid w:val="00F72EB2"/>
    <w:rsid w:val="00F72F68"/>
    <w:rsid w:val="00F730C9"/>
    <w:rsid w:val="00F733F3"/>
    <w:rsid w:val="00F734B6"/>
    <w:rsid w:val="00F73594"/>
    <w:rsid w:val="00F73719"/>
    <w:rsid w:val="00F73A39"/>
    <w:rsid w:val="00F73E47"/>
    <w:rsid w:val="00F74138"/>
    <w:rsid w:val="00F741B2"/>
    <w:rsid w:val="00F741DC"/>
    <w:rsid w:val="00F74258"/>
    <w:rsid w:val="00F74342"/>
    <w:rsid w:val="00F7438D"/>
    <w:rsid w:val="00F743AE"/>
    <w:rsid w:val="00F7460A"/>
    <w:rsid w:val="00F749B9"/>
    <w:rsid w:val="00F749F1"/>
    <w:rsid w:val="00F74BAD"/>
    <w:rsid w:val="00F74D4A"/>
    <w:rsid w:val="00F74D4B"/>
    <w:rsid w:val="00F750D8"/>
    <w:rsid w:val="00F75388"/>
    <w:rsid w:val="00F7553E"/>
    <w:rsid w:val="00F75624"/>
    <w:rsid w:val="00F75703"/>
    <w:rsid w:val="00F75874"/>
    <w:rsid w:val="00F758E9"/>
    <w:rsid w:val="00F758FF"/>
    <w:rsid w:val="00F75914"/>
    <w:rsid w:val="00F759C8"/>
    <w:rsid w:val="00F75BA7"/>
    <w:rsid w:val="00F75BFB"/>
    <w:rsid w:val="00F75D3A"/>
    <w:rsid w:val="00F76707"/>
    <w:rsid w:val="00F76C26"/>
    <w:rsid w:val="00F76CE1"/>
    <w:rsid w:val="00F7703A"/>
    <w:rsid w:val="00F77580"/>
    <w:rsid w:val="00F77680"/>
    <w:rsid w:val="00F77805"/>
    <w:rsid w:val="00F779D1"/>
    <w:rsid w:val="00F77C02"/>
    <w:rsid w:val="00F77C92"/>
    <w:rsid w:val="00F77FE4"/>
    <w:rsid w:val="00F80036"/>
    <w:rsid w:val="00F80139"/>
    <w:rsid w:val="00F80199"/>
    <w:rsid w:val="00F802B0"/>
    <w:rsid w:val="00F803A0"/>
    <w:rsid w:val="00F80447"/>
    <w:rsid w:val="00F80B4E"/>
    <w:rsid w:val="00F80D74"/>
    <w:rsid w:val="00F80D96"/>
    <w:rsid w:val="00F81033"/>
    <w:rsid w:val="00F81202"/>
    <w:rsid w:val="00F8129B"/>
    <w:rsid w:val="00F812BF"/>
    <w:rsid w:val="00F81395"/>
    <w:rsid w:val="00F8199C"/>
    <w:rsid w:val="00F82242"/>
    <w:rsid w:val="00F8224B"/>
    <w:rsid w:val="00F823C4"/>
    <w:rsid w:val="00F825B5"/>
    <w:rsid w:val="00F82A15"/>
    <w:rsid w:val="00F82D5D"/>
    <w:rsid w:val="00F82EA5"/>
    <w:rsid w:val="00F82F70"/>
    <w:rsid w:val="00F82F84"/>
    <w:rsid w:val="00F83114"/>
    <w:rsid w:val="00F8318C"/>
    <w:rsid w:val="00F8325D"/>
    <w:rsid w:val="00F83459"/>
    <w:rsid w:val="00F834D3"/>
    <w:rsid w:val="00F8361E"/>
    <w:rsid w:val="00F8370C"/>
    <w:rsid w:val="00F83898"/>
    <w:rsid w:val="00F83957"/>
    <w:rsid w:val="00F8398F"/>
    <w:rsid w:val="00F83BC6"/>
    <w:rsid w:val="00F83CD2"/>
    <w:rsid w:val="00F841CA"/>
    <w:rsid w:val="00F84280"/>
    <w:rsid w:val="00F8437E"/>
    <w:rsid w:val="00F84982"/>
    <w:rsid w:val="00F84D27"/>
    <w:rsid w:val="00F84E7D"/>
    <w:rsid w:val="00F85053"/>
    <w:rsid w:val="00F8528C"/>
    <w:rsid w:val="00F8554C"/>
    <w:rsid w:val="00F85764"/>
    <w:rsid w:val="00F85813"/>
    <w:rsid w:val="00F85B4C"/>
    <w:rsid w:val="00F85D75"/>
    <w:rsid w:val="00F85E82"/>
    <w:rsid w:val="00F85F2C"/>
    <w:rsid w:val="00F85F3F"/>
    <w:rsid w:val="00F860A8"/>
    <w:rsid w:val="00F861FB"/>
    <w:rsid w:val="00F86A08"/>
    <w:rsid w:val="00F86ABD"/>
    <w:rsid w:val="00F86CC8"/>
    <w:rsid w:val="00F86EAF"/>
    <w:rsid w:val="00F86F6C"/>
    <w:rsid w:val="00F87025"/>
    <w:rsid w:val="00F8747A"/>
    <w:rsid w:val="00F875FF"/>
    <w:rsid w:val="00F8773E"/>
    <w:rsid w:val="00F8777C"/>
    <w:rsid w:val="00F878A8"/>
    <w:rsid w:val="00F879C1"/>
    <w:rsid w:val="00F87BA1"/>
    <w:rsid w:val="00F87BB6"/>
    <w:rsid w:val="00F87C31"/>
    <w:rsid w:val="00F87EAB"/>
    <w:rsid w:val="00F87F3F"/>
    <w:rsid w:val="00F90167"/>
    <w:rsid w:val="00F9024A"/>
    <w:rsid w:val="00F902B7"/>
    <w:rsid w:val="00F904D7"/>
    <w:rsid w:val="00F905C6"/>
    <w:rsid w:val="00F90661"/>
    <w:rsid w:val="00F90727"/>
    <w:rsid w:val="00F907E1"/>
    <w:rsid w:val="00F90AD3"/>
    <w:rsid w:val="00F913EB"/>
    <w:rsid w:val="00F9140C"/>
    <w:rsid w:val="00F91823"/>
    <w:rsid w:val="00F91AB7"/>
    <w:rsid w:val="00F91C8F"/>
    <w:rsid w:val="00F91CB5"/>
    <w:rsid w:val="00F91FBA"/>
    <w:rsid w:val="00F9212E"/>
    <w:rsid w:val="00F9220E"/>
    <w:rsid w:val="00F92307"/>
    <w:rsid w:val="00F92394"/>
    <w:rsid w:val="00F923A1"/>
    <w:rsid w:val="00F92570"/>
    <w:rsid w:val="00F926EF"/>
    <w:rsid w:val="00F926F0"/>
    <w:rsid w:val="00F927A4"/>
    <w:rsid w:val="00F92BBB"/>
    <w:rsid w:val="00F92D5B"/>
    <w:rsid w:val="00F92F34"/>
    <w:rsid w:val="00F92F7C"/>
    <w:rsid w:val="00F92FBF"/>
    <w:rsid w:val="00F9302C"/>
    <w:rsid w:val="00F93480"/>
    <w:rsid w:val="00F93588"/>
    <w:rsid w:val="00F935BB"/>
    <w:rsid w:val="00F93653"/>
    <w:rsid w:val="00F936C8"/>
    <w:rsid w:val="00F9372F"/>
    <w:rsid w:val="00F938ED"/>
    <w:rsid w:val="00F939DC"/>
    <w:rsid w:val="00F93A71"/>
    <w:rsid w:val="00F940DD"/>
    <w:rsid w:val="00F941F2"/>
    <w:rsid w:val="00F94346"/>
    <w:rsid w:val="00F9445F"/>
    <w:rsid w:val="00F94AEA"/>
    <w:rsid w:val="00F94D0B"/>
    <w:rsid w:val="00F94D8F"/>
    <w:rsid w:val="00F94DDE"/>
    <w:rsid w:val="00F94F07"/>
    <w:rsid w:val="00F94F29"/>
    <w:rsid w:val="00F95582"/>
    <w:rsid w:val="00F95767"/>
    <w:rsid w:val="00F95EF6"/>
    <w:rsid w:val="00F95F0A"/>
    <w:rsid w:val="00F96040"/>
    <w:rsid w:val="00F961DB"/>
    <w:rsid w:val="00F961EC"/>
    <w:rsid w:val="00F9635E"/>
    <w:rsid w:val="00F963EB"/>
    <w:rsid w:val="00F96609"/>
    <w:rsid w:val="00F968B9"/>
    <w:rsid w:val="00F969A2"/>
    <w:rsid w:val="00F96A38"/>
    <w:rsid w:val="00F96DCF"/>
    <w:rsid w:val="00F96E21"/>
    <w:rsid w:val="00F96E97"/>
    <w:rsid w:val="00F970B9"/>
    <w:rsid w:val="00F97128"/>
    <w:rsid w:val="00F9713E"/>
    <w:rsid w:val="00F97412"/>
    <w:rsid w:val="00F9746D"/>
    <w:rsid w:val="00F97810"/>
    <w:rsid w:val="00F9786F"/>
    <w:rsid w:val="00F97B09"/>
    <w:rsid w:val="00FA0142"/>
    <w:rsid w:val="00FA0256"/>
    <w:rsid w:val="00FA029D"/>
    <w:rsid w:val="00FA0329"/>
    <w:rsid w:val="00FA033F"/>
    <w:rsid w:val="00FA04C5"/>
    <w:rsid w:val="00FA054D"/>
    <w:rsid w:val="00FA08C9"/>
    <w:rsid w:val="00FA0962"/>
    <w:rsid w:val="00FA0A38"/>
    <w:rsid w:val="00FA0E6D"/>
    <w:rsid w:val="00FA11A0"/>
    <w:rsid w:val="00FA1252"/>
    <w:rsid w:val="00FA15F2"/>
    <w:rsid w:val="00FA1757"/>
    <w:rsid w:val="00FA17BE"/>
    <w:rsid w:val="00FA18C3"/>
    <w:rsid w:val="00FA1A77"/>
    <w:rsid w:val="00FA1AD4"/>
    <w:rsid w:val="00FA1D29"/>
    <w:rsid w:val="00FA2518"/>
    <w:rsid w:val="00FA27B6"/>
    <w:rsid w:val="00FA2909"/>
    <w:rsid w:val="00FA2B46"/>
    <w:rsid w:val="00FA2B5C"/>
    <w:rsid w:val="00FA2BA5"/>
    <w:rsid w:val="00FA2DC1"/>
    <w:rsid w:val="00FA2E10"/>
    <w:rsid w:val="00FA2F84"/>
    <w:rsid w:val="00FA328B"/>
    <w:rsid w:val="00FA3683"/>
    <w:rsid w:val="00FA3738"/>
    <w:rsid w:val="00FA39F2"/>
    <w:rsid w:val="00FA3D22"/>
    <w:rsid w:val="00FA3D35"/>
    <w:rsid w:val="00FA3F14"/>
    <w:rsid w:val="00FA3F3C"/>
    <w:rsid w:val="00FA4211"/>
    <w:rsid w:val="00FA45DF"/>
    <w:rsid w:val="00FA48C9"/>
    <w:rsid w:val="00FA4A5C"/>
    <w:rsid w:val="00FA4C29"/>
    <w:rsid w:val="00FA4C9D"/>
    <w:rsid w:val="00FA4EB4"/>
    <w:rsid w:val="00FA4EE4"/>
    <w:rsid w:val="00FA4F72"/>
    <w:rsid w:val="00FA50E6"/>
    <w:rsid w:val="00FA50FC"/>
    <w:rsid w:val="00FA5162"/>
    <w:rsid w:val="00FA5201"/>
    <w:rsid w:val="00FA5504"/>
    <w:rsid w:val="00FA55DF"/>
    <w:rsid w:val="00FA5805"/>
    <w:rsid w:val="00FA593E"/>
    <w:rsid w:val="00FA5C4A"/>
    <w:rsid w:val="00FA5EA8"/>
    <w:rsid w:val="00FA5F66"/>
    <w:rsid w:val="00FA61DC"/>
    <w:rsid w:val="00FA649F"/>
    <w:rsid w:val="00FA6729"/>
    <w:rsid w:val="00FA67DC"/>
    <w:rsid w:val="00FA6820"/>
    <w:rsid w:val="00FA69F0"/>
    <w:rsid w:val="00FA6B7E"/>
    <w:rsid w:val="00FA6C6B"/>
    <w:rsid w:val="00FA6C71"/>
    <w:rsid w:val="00FA6E73"/>
    <w:rsid w:val="00FA6F8A"/>
    <w:rsid w:val="00FA7199"/>
    <w:rsid w:val="00FA7261"/>
    <w:rsid w:val="00FA73D1"/>
    <w:rsid w:val="00FA7505"/>
    <w:rsid w:val="00FA7560"/>
    <w:rsid w:val="00FA793E"/>
    <w:rsid w:val="00FA79BA"/>
    <w:rsid w:val="00FA7AE1"/>
    <w:rsid w:val="00FA7C4E"/>
    <w:rsid w:val="00FA7E04"/>
    <w:rsid w:val="00FA7EAC"/>
    <w:rsid w:val="00FB0146"/>
    <w:rsid w:val="00FB02AA"/>
    <w:rsid w:val="00FB061F"/>
    <w:rsid w:val="00FB066B"/>
    <w:rsid w:val="00FB097B"/>
    <w:rsid w:val="00FB0AD6"/>
    <w:rsid w:val="00FB0B66"/>
    <w:rsid w:val="00FB0CFD"/>
    <w:rsid w:val="00FB0D14"/>
    <w:rsid w:val="00FB0EC9"/>
    <w:rsid w:val="00FB1158"/>
    <w:rsid w:val="00FB136F"/>
    <w:rsid w:val="00FB1760"/>
    <w:rsid w:val="00FB1A00"/>
    <w:rsid w:val="00FB1A64"/>
    <w:rsid w:val="00FB1A67"/>
    <w:rsid w:val="00FB1BBA"/>
    <w:rsid w:val="00FB1E35"/>
    <w:rsid w:val="00FB20EA"/>
    <w:rsid w:val="00FB21DD"/>
    <w:rsid w:val="00FB246E"/>
    <w:rsid w:val="00FB2B75"/>
    <w:rsid w:val="00FB2BE3"/>
    <w:rsid w:val="00FB2C2E"/>
    <w:rsid w:val="00FB2FE8"/>
    <w:rsid w:val="00FB2FFE"/>
    <w:rsid w:val="00FB33A1"/>
    <w:rsid w:val="00FB34A9"/>
    <w:rsid w:val="00FB34D3"/>
    <w:rsid w:val="00FB3613"/>
    <w:rsid w:val="00FB3DEA"/>
    <w:rsid w:val="00FB4060"/>
    <w:rsid w:val="00FB4064"/>
    <w:rsid w:val="00FB40A9"/>
    <w:rsid w:val="00FB40BB"/>
    <w:rsid w:val="00FB41D4"/>
    <w:rsid w:val="00FB4291"/>
    <w:rsid w:val="00FB429C"/>
    <w:rsid w:val="00FB434E"/>
    <w:rsid w:val="00FB43A6"/>
    <w:rsid w:val="00FB4415"/>
    <w:rsid w:val="00FB466C"/>
    <w:rsid w:val="00FB495B"/>
    <w:rsid w:val="00FB4AB9"/>
    <w:rsid w:val="00FB4CE3"/>
    <w:rsid w:val="00FB4D16"/>
    <w:rsid w:val="00FB4DD2"/>
    <w:rsid w:val="00FB5048"/>
    <w:rsid w:val="00FB5124"/>
    <w:rsid w:val="00FB51F5"/>
    <w:rsid w:val="00FB535C"/>
    <w:rsid w:val="00FB57DB"/>
    <w:rsid w:val="00FB5B6C"/>
    <w:rsid w:val="00FB5E15"/>
    <w:rsid w:val="00FB5F70"/>
    <w:rsid w:val="00FB5F8B"/>
    <w:rsid w:val="00FB62CA"/>
    <w:rsid w:val="00FB6313"/>
    <w:rsid w:val="00FB6526"/>
    <w:rsid w:val="00FB6669"/>
    <w:rsid w:val="00FB6DF8"/>
    <w:rsid w:val="00FB6F94"/>
    <w:rsid w:val="00FB71BD"/>
    <w:rsid w:val="00FB7398"/>
    <w:rsid w:val="00FB769D"/>
    <w:rsid w:val="00FB77DC"/>
    <w:rsid w:val="00FB7864"/>
    <w:rsid w:val="00FB78C6"/>
    <w:rsid w:val="00FB7C46"/>
    <w:rsid w:val="00FC06E3"/>
    <w:rsid w:val="00FC07C7"/>
    <w:rsid w:val="00FC085C"/>
    <w:rsid w:val="00FC0CB9"/>
    <w:rsid w:val="00FC0D7B"/>
    <w:rsid w:val="00FC0F84"/>
    <w:rsid w:val="00FC10DA"/>
    <w:rsid w:val="00FC16BB"/>
    <w:rsid w:val="00FC18E2"/>
    <w:rsid w:val="00FC18F1"/>
    <w:rsid w:val="00FC191F"/>
    <w:rsid w:val="00FC1BE5"/>
    <w:rsid w:val="00FC1C9C"/>
    <w:rsid w:val="00FC1E04"/>
    <w:rsid w:val="00FC1FD4"/>
    <w:rsid w:val="00FC215A"/>
    <w:rsid w:val="00FC221E"/>
    <w:rsid w:val="00FC22AB"/>
    <w:rsid w:val="00FC23C5"/>
    <w:rsid w:val="00FC272E"/>
    <w:rsid w:val="00FC285C"/>
    <w:rsid w:val="00FC28FE"/>
    <w:rsid w:val="00FC294A"/>
    <w:rsid w:val="00FC2B4E"/>
    <w:rsid w:val="00FC2B72"/>
    <w:rsid w:val="00FC2F66"/>
    <w:rsid w:val="00FC2F96"/>
    <w:rsid w:val="00FC2FF4"/>
    <w:rsid w:val="00FC3048"/>
    <w:rsid w:val="00FC30F3"/>
    <w:rsid w:val="00FC3142"/>
    <w:rsid w:val="00FC329C"/>
    <w:rsid w:val="00FC32CD"/>
    <w:rsid w:val="00FC33C3"/>
    <w:rsid w:val="00FC35A9"/>
    <w:rsid w:val="00FC38A4"/>
    <w:rsid w:val="00FC396C"/>
    <w:rsid w:val="00FC39C1"/>
    <w:rsid w:val="00FC3A9A"/>
    <w:rsid w:val="00FC3D64"/>
    <w:rsid w:val="00FC3D89"/>
    <w:rsid w:val="00FC3F42"/>
    <w:rsid w:val="00FC41A6"/>
    <w:rsid w:val="00FC42F9"/>
    <w:rsid w:val="00FC449F"/>
    <w:rsid w:val="00FC48E9"/>
    <w:rsid w:val="00FC4D28"/>
    <w:rsid w:val="00FC4DBD"/>
    <w:rsid w:val="00FC4DE2"/>
    <w:rsid w:val="00FC4F19"/>
    <w:rsid w:val="00FC594B"/>
    <w:rsid w:val="00FC5C53"/>
    <w:rsid w:val="00FC6368"/>
    <w:rsid w:val="00FC6407"/>
    <w:rsid w:val="00FC659E"/>
    <w:rsid w:val="00FC66D5"/>
    <w:rsid w:val="00FC6914"/>
    <w:rsid w:val="00FC6AED"/>
    <w:rsid w:val="00FC6C06"/>
    <w:rsid w:val="00FC6DD7"/>
    <w:rsid w:val="00FC6E47"/>
    <w:rsid w:val="00FC6EEC"/>
    <w:rsid w:val="00FC6FF3"/>
    <w:rsid w:val="00FC7316"/>
    <w:rsid w:val="00FC761F"/>
    <w:rsid w:val="00FC7759"/>
    <w:rsid w:val="00FC7992"/>
    <w:rsid w:val="00FC7999"/>
    <w:rsid w:val="00FC7A8B"/>
    <w:rsid w:val="00FC7DDB"/>
    <w:rsid w:val="00FC7EF4"/>
    <w:rsid w:val="00FD0143"/>
    <w:rsid w:val="00FD0261"/>
    <w:rsid w:val="00FD02C8"/>
    <w:rsid w:val="00FD03EF"/>
    <w:rsid w:val="00FD0742"/>
    <w:rsid w:val="00FD07C6"/>
    <w:rsid w:val="00FD0B55"/>
    <w:rsid w:val="00FD0C15"/>
    <w:rsid w:val="00FD0DA5"/>
    <w:rsid w:val="00FD1088"/>
    <w:rsid w:val="00FD1237"/>
    <w:rsid w:val="00FD1257"/>
    <w:rsid w:val="00FD130A"/>
    <w:rsid w:val="00FD131D"/>
    <w:rsid w:val="00FD15ED"/>
    <w:rsid w:val="00FD1A6F"/>
    <w:rsid w:val="00FD1A73"/>
    <w:rsid w:val="00FD1BAD"/>
    <w:rsid w:val="00FD1BEC"/>
    <w:rsid w:val="00FD1D49"/>
    <w:rsid w:val="00FD1E18"/>
    <w:rsid w:val="00FD22A8"/>
    <w:rsid w:val="00FD2394"/>
    <w:rsid w:val="00FD240B"/>
    <w:rsid w:val="00FD24AB"/>
    <w:rsid w:val="00FD27B5"/>
    <w:rsid w:val="00FD2DAA"/>
    <w:rsid w:val="00FD2E2F"/>
    <w:rsid w:val="00FD2E62"/>
    <w:rsid w:val="00FD2F05"/>
    <w:rsid w:val="00FD2F38"/>
    <w:rsid w:val="00FD2F75"/>
    <w:rsid w:val="00FD3089"/>
    <w:rsid w:val="00FD34DA"/>
    <w:rsid w:val="00FD3571"/>
    <w:rsid w:val="00FD36A2"/>
    <w:rsid w:val="00FD371D"/>
    <w:rsid w:val="00FD3755"/>
    <w:rsid w:val="00FD387B"/>
    <w:rsid w:val="00FD38C6"/>
    <w:rsid w:val="00FD3ABB"/>
    <w:rsid w:val="00FD3BCB"/>
    <w:rsid w:val="00FD3C1A"/>
    <w:rsid w:val="00FD3E4A"/>
    <w:rsid w:val="00FD40C2"/>
    <w:rsid w:val="00FD40FC"/>
    <w:rsid w:val="00FD4211"/>
    <w:rsid w:val="00FD432A"/>
    <w:rsid w:val="00FD4835"/>
    <w:rsid w:val="00FD4A4D"/>
    <w:rsid w:val="00FD4CAB"/>
    <w:rsid w:val="00FD50EE"/>
    <w:rsid w:val="00FD5193"/>
    <w:rsid w:val="00FD51A0"/>
    <w:rsid w:val="00FD5420"/>
    <w:rsid w:val="00FD5535"/>
    <w:rsid w:val="00FD5690"/>
    <w:rsid w:val="00FD5726"/>
    <w:rsid w:val="00FD5759"/>
    <w:rsid w:val="00FD5D20"/>
    <w:rsid w:val="00FD5ECF"/>
    <w:rsid w:val="00FD5EE4"/>
    <w:rsid w:val="00FD5FAA"/>
    <w:rsid w:val="00FD6B0E"/>
    <w:rsid w:val="00FD6D82"/>
    <w:rsid w:val="00FD75B2"/>
    <w:rsid w:val="00FD76AF"/>
    <w:rsid w:val="00FD7780"/>
    <w:rsid w:val="00FD7841"/>
    <w:rsid w:val="00FD785B"/>
    <w:rsid w:val="00FD7A34"/>
    <w:rsid w:val="00FD7A82"/>
    <w:rsid w:val="00FE0192"/>
    <w:rsid w:val="00FE03AB"/>
    <w:rsid w:val="00FE046D"/>
    <w:rsid w:val="00FE049F"/>
    <w:rsid w:val="00FE0C13"/>
    <w:rsid w:val="00FE0C5E"/>
    <w:rsid w:val="00FE0DBE"/>
    <w:rsid w:val="00FE0DD0"/>
    <w:rsid w:val="00FE0E6C"/>
    <w:rsid w:val="00FE0FD0"/>
    <w:rsid w:val="00FE104B"/>
    <w:rsid w:val="00FE11ED"/>
    <w:rsid w:val="00FE1363"/>
    <w:rsid w:val="00FE1377"/>
    <w:rsid w:val="00FE13A3"/>
    <w:rsid w:val="00FE143B"/>
    <w:rsid w:val="00FE1912"/>
    <w:rsid w:val="00FE1AC9"/>
    <w:rsid w:val="00FE1B08"/>
    <w:rsid w:val="00FE1C2A"/>
    <w:rsid w:val="00FE1C6E"/>
    <w:rsid w:val="00FE1E5C"/>
    <w:rsid w:val="00FE1F6D"/>
    <w:rsid w:val="00FE1FF9"/>
    <w:rsid w:val="00FE2431"/>
    <w:rsid w:val="00FE2807"/>
    <w:rsid w:val="00FE2C17"/>
    <w:rsid w:val="00FE2CD5"/>
    <w:rsid w:val="00FE304A"/>
    <w:rsid w:val="00FE3292"/>
    <w:rsid w:val="00FE3504"/>
    <w:rsid w:val="00FE39A6"/>
    <w:rsid w:val="00FE39D2"/>
    <w:rsid w:val="00FE3CD9"/>
    <w:rsid w:val="00FE3CDE"/>
    <w:rsid w:val="00FE3D9A"/>
    <w:rsid w:val="00FE4437"/>
    <w:rsid w:val="00FE450F"/>
    <w:rsid w:val="00FE47AC"/>
    <w:rsid w:val="00FE48CE"/>
    <w:rsid w:val="00FE48D9"/>
    <w:rsid w:val="00FE4B26"/>
    <w:rsid w:val="00FE4C58"/>
    <w:rsid w:val="00FE4D0B"/>
    <w:rsid w:val="00FE4D5F"/>
    <w:rsid w:val="00FE5013"/>
    <w:rsid w:val="00FE52B6"/>
    <w:rsid w:val="00FE54F6"/>
    <w:rsid w:val="00FE59D9"/>
    <w:rsid w:val="00FE59E5"/>
    <w:rsid w:val="00FE60D7"/>
    <w:rsid w:val="00FE62C3"/>
    <w:rsid w:val="00FE6746"/>
    <w:rsid w:val="00FE6794"/>
    <w:rsid w:val="00FE692F"/>
    <w:rsid w:val="00FE6AF3"/>
    <w:rsid w:val="00FE6F33"/>
    <w:rsid w:val="00FE6F92"/>
    <w:rsid w:val="00FE71CA"/>
    <w:rsid w:val="00FE72ED"/>
    <w:rsid w:val="00FE7302"/>
    <w:rsid w:val="00FE7696"/>
    <w:rsid w:val="00FE770C"/>
    <w:rsid w:val="00FE77F4"/>
    <w:rsid w:val="00FE797E"/>
    <w:rsid w:val="00FE7A23"/>
    <w:rsid w:val="00FE7C26"/>
    <w:rsid w:val="00FE7DF8"/>
    <w:rsid w:val="00FE7ED5"/>
    <w:rsid w:val="00FE7EE9"/>
    <w:rsid w:val="00FF001B"/>
    <w:rsid w:val="00FF0091"/>
    <w:rsid w:val="00FF0159"/>
    <w:rsid w:val="00FF0434"/>
    <w:rsid w:val="00FF060A"/>
    <w:rsid w:val="00FF0896"/>
    <w:rsid w:val="00FF09B5"/>
    <w:rsid w:val="00FF0A6A"/>
    <w:rsid w:val="00FF0B31"/>
    <w:rsid w:val="00FF0E65"/>
    <w:rsid w:val="00FF0FA0"/>
    <w:rsid w:val="00FF11B6"/>
    <w:rsid w:val="00FF1266"/>
    <w:rsid w:val="00FF1269"/>
    <w:rsid w:val="00FF1346"/>
    <w:rsid w:val="00FF15E5"/>
    <w:rsid w:val="00FF1802"/>
    <w:rsid w:val="00FF1D80"/>
    <w:rsid w:val="00FF1EA8"/>
    <w:rsid w:val="00FF1F6A"/>
    <w:rsid w:val="00FF20F9"/>
    <w:rsid w:val="00FF2158"/>
    <w:rsid w:val="00FF21D1"/>
    <w:rsid w:val="00FF2293"/>
    <w:rsid w:val="00FF22E0"/>
    <w:rsid w:val="00FF2550"/>
    <w:rsid w:val="00FF27A2"/>
    <w:rsid w:val="00FF2814"/>
    <w:rsid w:val="00FF2893"/>
    <w:rsid w:val="00FF2944"/>
    <w:rsid w:val="00FF2A71"/>
    <w:rsid w:val="00FF2AF7"/>
    <w:rsid w:val="00FF2C2A"/>
    <w:rsid w:val="00FF2D43"/>
    <w:rsid w:val="00FF2D71"/>
    <w:rsid w:val="00FF318E"/>
    <w:rsid w:val="00FF321A"/>
    <w:rsid w:val="00FF3436"/>
    <w:rsid w:val="00FF3516"/>
    <w:rsid w:val="00FF3592"/>
    <w:rsid w:val="00FF36BB"/>
    <w:rsid w:val="00FF36E7"/>
    <w:rsid w:val="00FF3947"/>
    <w:rsid w:val="00FF39D4"/>
    <w:rsid w:val="00FF39F1"/>
    <w:rsid w:val="00FF3A51"/>
    <w:rsid w:val="00FF3D71"/>
    <w:rsid w:val="00FF3DBA"/>
    <w:rsid w:val="00FF3FE0"/>
    <w:rsid w:val="00FF3FF6"/>
    <w:rsid w:val="00FF4320"/>
    <w:rsid w:val="00FF4334"/>
    <w:rsid w:val="00FF4396"/>
    <w:rsid w:val="00FF4644"/>
    <w:rsid w:val="00FF496A"/>
    <w:rsid w:val="00FF4BF8"/>
    <w:rsid w:val="00FF4C0A"/>
    <w:rsid w:val="00FF4E01"/>
    <w:rsid w:val="00FF4E14"/>
    <w:rsid w:val="00FF5072"/>
    <w:rsid w:val="00FF5128"/>
    <w:rsid w:val="00FF513E"/>
    <w:rsid w:val="00FF5288"/>
    <w:rsid w:val="00FF5299"/>
    <w:rsid w:val="00FF52CC"/>
    <w:rsid w:val="00FF55AA"/>
    <w:rsid w:val="00FF5644"/>
    <w:rsid w:val="00FF57B8"/>
    <w:rsid w:val="00FF57ED"/>
    <w:rsid w:val="00FF5A37"/>
    <w:rsid w:val="00FF6029"/>
    <w:rsid w:val="00FF610D"/>
    <w:rsid w:val="00FF614F"/>
    <w:rsid w:val="00FF615E"/>
    <w:rsid w:val="00FF62BF"/>
    <w:rsid w:val="00FF6473"/>
    <w:rsid w:val="00FF67BE"/>
    <w:rsid w:val="00FF6845"/>
    <w:rsid w:val="00FF6AD8"/>
    <w:rsid w:val="00FF6CED"/>
    <w:rsid w:val="00FF6DD7"/>
    <w:rsid w:val="00FF6DF9"/>
    <w:rsid w:val="00FF6F8B"/>
    <w:rsid w:val="00FF70A2"/>
    <w:rsid w:val="00FF7246"/>
    <w:rsid w:val="00FF72A5"/>
    <w:rsid w:val="00FF72D9"/>
    <w:rsid w:val="00FF7320"/>
    <w:rsid w:val="00FF73FD"/>
    <w:rsid w:val="00FF7408"/>
    <w:rsid w:val="00FF75C0"/>
    <w:rsid w:val="00FF775C"/>
    <w:rsid w:val="00FF79EC"/>
    <w:rsid w:val="01047BB6"/>
    <w:rsid w:val="01350EA6"/>
    <w:rsid w:val="0140CDF8"/>
    <w:rsid w:val="01481300"/>
    <w:rsid w:val="016C0B22"/>
    <w:rsid w:val="017B8738"/>
    <w:rsid w:val="01B5DB97"/>
    <w:rsid w:val="01B6EDA0"/>
    <w:rsid w:val="01B79DF8"/>
    <w:rsid w:val="01D8340D"/>
    <w:rsid w:val="01F4BCF8"/>
    <w:rsid w:val="020691F6"/>
    <w:rsid w:val="021D3AA9"/>
    <w:rsid w:val="022A8F48"/>
    <w:rsid w:val="02317F32"/>
    <w:rsid w:val="0237EEAC"/>
    <w:rsid w:val="02443E0B"/>
    <w:rsid w:val="0245B79A"/>
    <w:rsid w:val="024CD99B"/>
    <w:rsid w:val="0261E07E"/>
    <w:rsid w:val="027199B0"/>
    <w:rsid w:val="028C8ECC"/>
    <w:rsid w:val="0298DE5B"/>
    <w:rsid w:val="029BDFF9"/>
    <w:rsid w:val="02C39E6F"/>
    <w:rsid w:val="02C4DC5A"/>
    <w:rsid w:val="02DCB76C"/>
    <w:rsid w:val="0313E88E"/>
    <w:rsid w:val="03169A25"/>
    <w:rsid w:val="0319C995"/>
    <w:rsid w:val="033B87F9"/>
    <w:rsid w:val="036EC340"/>
    <w:rsid w:val="039544DA"/>
    <w:rsid w:val="039D1F04"/>
    <w:rsid w:val="03A57F7B"/>
    <w:rsid w:val="03CB816C"/>
    <w:rsid w:val="03E42CB6"/>
    <w:rsid w:val="03FBB0D6"/>
    <w:rsid w:val="04007E3A"/>
    <w:rsid w:val="040188B5"/>
    <w:rsid w:val="041F0118"/>
    <w:rsid w:val="0432D1BA"/>
    <w:rsid w:val="043D4783"/>
    <w:rsid w:val="0445C020"/>
    <w:rsid w:val="044E8D98"/>
    <w:rsid w:val="046B2FBA"/>
    <w:rsid w:val="0473AED3"/>
    <w:rsid w:val="04868BF9"/>
    <w:rsid w:val="048A1444"/>
    <w:rsid w:val="049DEC97"/>
    <w:rsid w:val="04A474CA"/>
    <w:rsid w:val="04D37745"/>
    <w:rsid w:val="05245A07"/>
    <w:rsid w:val="0526AE8F"/>
    <w:rsid w:val="05272690"/>
    <w:rsid w:val="05983968"/>
    <w:rsid w:val="059CCFFC"/>
    <w:rsid w:val="05A58F40"/>
    <w:rsid w:val="05C5DFFC"/>
    <w:rsid w:val="05CB2BD6"/>
    <w:rsid w:val="05CF88A4"/>
    <w:rsid w:val="05DD5C9A"/>
    <w:rsid w:val="05FA65F9"/>
    <w:rsid w:val="0630D3BD"/>
    <w:rsid w:val="063F125B"/>
    <w:rsid w:val="06496D86"/>
    <w:rsid w:val="064F7565"/>
    <w:rsid w:val="0674FC1A"/>
    <w:rsid w:val="06813F42"/>
    <w:rsid w:val="06822ED0"/>
    <w:rsid w:val="06BF73FE"/>
    <w:rsid w:val="06C0C358"/>
    <w:rsid w:val="06DCDCFE"/>
    <w:rsid w:val="06E3CE6F"/>
    <w:rsid w:val="06F27002"/>
    <w:rsid w:val="0708257D"/>
    <w:rsid w:val="070CAA3A"/>
    <w:rsid w:val="071F3A99"/>
    <w:rsid w:val="0745C236"/>
    <w:rsid w:val="077CBB38"/>
    <w:rsid w:val="078941B1"/>
    <w:rsid w:val="079BCEB1"/>
    <w:rsid w:val="079F6E57"/>
    <w:rsid w:val="07AAA720"/>
    <w:rsid w:val="07B3B129"/>
    <w:rsid w:val="07C57FB4"/>
    <w:rsid w:val="07C7BEED"/>
    <w:rsid w:val="07CC899B"/>
    <w:rsid w:val="07D6376B"/>
    <w:rsid w:val="0834E78E"/>
    <w:rsid w:val="083ADFE3"/>
    <w:rsid w:val="08634CFD"/>
    <w:rsid w:val="08854A3A"/>
    <w:rsid w:val="088B4B50"/>
    <w:rsid w:val="0893D38C"/>
    <w:rsid w:val="089D400A"/>
    <w:rsid w:val="08C44107"/>
    <w:rsid w:val="08E4DAF2"/>
    <w:rsid w:val="09188EFE"/>
    <w:rsid w:val="09234648"/>
    <w:rsid w:val="09273479"/>
    <w:rsid w:val="0946231F"/>
    <w:rsid w:val="0949375C"/>
    <w:rsid w:val="0968831F"/>
    <w:rsid w:val="0974FD4E"/>
    <w:rsid w:val="0988AE5E"/>
    <w:rsid w:val="09AC698F"/>
    <w:rsid w:val="09BE76E5"/>
    <w:rsid w:val="09D46440"/>
    <w:rsid w:val="09D92E62"/>
    <w:rsid w:val="09E81548"/>
    <w:rsid w:val="09F002ED"/>
    <w:rsid w:val="09FCA42B"/>
    <w:rsid w:val="09FEDF46"/>
    <w:rsid w:val="0A2DCC4B"/>
    <w:rsid w:val="0A52B047"/>
    <w:rsid w:val="0A71D289"/>
    <w:rsid w:val="0A8FC79C"/>
    <w:rsid w:val="0A905561"/>
    <w:rsid w:val="0A9A7692"/>
    <w:rsid w:val="0AA29B25"/>
    <w:rsid w:val="0AC7EE42"/>
    <w:rsid w:val="0AE155A1"/>
    <w:rsid w:val="0AF2FBDA"/>
    <w:rsid w:val="0AF53983"/>
    <w:rsid w:val="0B05E869"/>
    <w:rsid w:val="0B06B281"/>
    <w:rsid w:val="0B2B3B05"/>
    <w:rsid w:val="0B87828D"/>
    <w:rsid w:val="0B8CFA19"/>
    <w:rsid w:val="0B9A60DF"/>
    <w:rsid w:val="0BB147B2"/>
    <w:rsid w:val="0BBA9945"/>
    <w:rsid w:val="0BC5E30A"/>
    <w:rsid w:val="0BD65964"/>
    <w:rsid w:val="0C05A16B"/>
    <w:rsid w:val="0C4D74A3"/>
    <w:rsid w:val="0C52B60A"/>
    <w:rsid w:val="0C52B856"/>
    <w:rsid w:val="0C8D97D2"/>
    <w:rsid w:val="0C949CA5"/>
    <w:rsid w:val="0CBD457F"/>
    <w:rsid w:val="0CC3AB66"/>
    <w:rsid w:val="0CCFCF4B"/>
    <w:rsid w:val="0CD12C85"/>
    <w:rsid w:val="0CFE6B16"/>
    <w:rsid w:val="0D034B39"/>
    <w:rsid w:val="0D03C712"/>
    <w:rsid w:val="0D1D8559"/>
    <w:rsid w:val="0D4D8802"/>
    <w:rsid w:val="0D51F911"/>
    <w:rsid w:val="0D586FE8"/>
    <w:rsid w:val="0D722D7F"/>
    <w:rsid w:val="0D739B2A"/>
    <w:rsid w:val="0D74BA79"/>
    <w:rsid w:val="0D844B25"/>
    <w:rsid w:val="0D882676"/>
    <w:rsid w:val="0DAED939"/>
    <w:rsid w:val="0DC0A3BB"/>
    <w:rsid w:val="0DC5471E"/>
    <w:rsid w:val="0DF8F1B4"/>
    <w:rsid w:val="0DFB2CF3"/>
    <w:rsid w:val="0E0DCEC5"/>
    <w:rsid w:val="0E1AC690"/>
    <w:rsid w:val="0E33B5D3"/>
    <w:rsid w:val="0E3DBB7B"/>
    <w:rsid w:val="0E740A3F"/>
    <w:rsid w:val="0E815A92"/>
    <w:rsid w:val="0E911050"/>
    <w:rsid w:val="0E9923B3"/>
    <w:rsid w:val="0EAB7EFE"/>
    <w:rsid w:val="0EAF1450"/>
    <w:rsid w:val="0EBC5F1F"/>
    <w:rsid w:val="0EC56B0D"/>
    <w:rsid w:val="0F1057A8"/>
    <w:rsid w:val="0F26120D"/>
    <w:rsid w:val="0F295112"/>
    <w:rsid w:val="0F33161B"/>
    <w:rsid w:val="0F3FBE40"/>
    <w:rsid w:val="0F4E1AA4"/>
    <w:rsid w:val="0F7108B5"/>
    <w:rsid w:val="0F718A3C"/>
    <w:rsid w:val="0FA0D664"/>
    <w:rsid w:val="0FB701EF"/>
    <w:rsid w:val="0FC349D9"/>
    <w:rsid w:val="0FC9123C"/>
    <w:rsid w:val="0FD9510A"/>
    <w:rsid w:val="0FD96BAB"/>
    <w:rsid w:val="0FDAB3F8"/>
    <w:rsid w:val="0FDE4F8D"/>
    <w:rsid w:val="0FE4A368"/>
    <w:rsid w:val="0FE7499F"/>
    <w:rsid w:val="0FF88CA3"/>
    <w:rsid w:val="0FF94945"/>
    <w:rsid w:val="0FFDBCDA"/>
    <w:rsid w:val="10033476"/>
    <w:rsid w:val="10662191"/>
    <w:rsid w:val="1071961B"/>
    <w:rsid w:val="1072DD87"/>
    <w:rsid w:val="10812078"/>
    <w:rsid w:val="1098484C"/>
    <w:rsid w:val="10D00C15"/>
    <w:rsid w:val="10E97451"/>
    <w:rsid w:val="10F93D9D"/>
    <w:rsid w:val="1126449A"/>
    <w:rsid w:val="11339A6A"/>
    <w:rsid w:val="11370414"/>
    <w:rsid w:val="113DBA88"/>
    <w:rsid w:val="113E3097"/>
    <w:rsid w:val="1143E91F"/>
    <w:rsid w:val="1168286B"/>
    <w:rsid w:val="11743DBE"/>
    <w:rsid w:val="1176A5E3"/>
    <w:rsid w:val="11989D8B"/>
    <w:rsid w:val="11A2472E"/>
    <w:rsid w:val="11A59AFB"/>
    <w:rsid w:val="11C1DCDE"/>
    <w:rsid w:val="11D4224C"/>
    <w:rsid w:val="11D6AB95"/>
    <w:rsid w:val="11E051C5"/>
    <w:rsid w:val="12074B07"/>
    <w:rsid w:val="12211695"/>
    <w:rsid w:val="123168B6"/>
    <w:rsid w:val="12327F8B"/>
    <w:rsid w:val="1248A1A3"/>
    <w:rsid w:val="1258F964"/>
    <w:rsid w:val="12768B9A"/>
    <w:rsid w:val="128328B8"/>
    <w:rsid w:val="1285DC3E"/>
    <w:rsid w:val="12BFABD9"/>
    <w:rsid w:val="131D04F3"/>
    <w:rsid w:val="1334F524"/>
    <w:rsid w:val="133A182E"/>
    <w:rsid w:val="135F7906"/>
    <w:rsid w:val="136C8C91"/>
    <w:rsid w:val="13B00183"/>
    <w:rsid w:val="13BBB253"/>
    <w:rsid w:val="13C60A91"/>
    <w:rsid w:val="13CD2869"/>
    <w:rsid w:val="13DC12AA"/>
    <w:rsid w:val="13DF19AA"/>
    <w:rsid w:val="13EFEF5F"/>
    <w:rsid w:val="13F18774"/>
    <w:rsid w:val="13F6EEB5"/>
    <w:rsid w:val="141F288A"/>
    <w:rsid w:val="142A38FF"/>
    <w:rsid w:val="1439AD02"/>
    <w:rsid w:val="146987A5"/>
    <w:rsid w:val="1475ED5F"/>
    <w:rsid w:val="148E7511"/>
    <w:rsid w:val="1495B1EF"/>
    <w:rsid w:val="149747FD"/>
    <w:rsid w:val="14BA9D26"/>
    <w:rsid w:val="14DB275B"/>
    <w:rsid w:val="151EC40D"/>
    <w:rsid w:val="1528C4D1"/>
    <w:rsid w:val="1533367D"/>
    <w:rsid w:val="15371F20"/>
    <w:rsid w:val="153DFE4D"/>
    <w:rsid w:val="15552019"/>
    <w:rsid w:val="1566AB6F"/>
    <w:rsid w:val="1568BE9F"/>
    <w:rsid w:val="1580A14D"/>
    <w:rsid w:val="15990CAA"/>
    <w:rsid w:val="159AA84C"/>
    <w:rsid w:val="159DBA4A"/>
    <w:rsid w:val="15A429AD"/>
    <w:rsid w:val="15DD0062"/>
    <w:rsid w:val="15F38ED3"/>
    <w:rsid w:val="15FDCCB9"/>
    <w:rsid w:val="160C3518"/>
    <w:rsid w:val="1625AD38"/>
    <w:rsid w:val="162D3FC3"/>
    <w:rsid w:val="1631CB75"/>
    <w:rsid w:val="16322491"/>
    <w:rsid w:val="16550621"/>
    <w:rsid w:val="165733C3"/>
    <w:rsid w:val="1665F5FF"/>
    <w:rsid w:val="16848E39"/>
    <w:rsid w:val="16A55ABB"/>
    <w:rsid w:val="16B77319"/>
    <w:rsid w:val="16C108E5"/>
    <w:rsid w:val="16C37116"/>
    <w:rsid w:val="1706672F"/>
    <w:rsid w:val="170C21A2"/>
    <w:rsid w:val="1712A506"/>
    <w:rsid w:val="1712B0B0"/>
    <w:rsid w:val="1717EF7F"/>
    <w:rsid w:val="1720D69B"/>
    <w:rsid w:val="172A388C"/>
    <w:rsid w:val="17365A7D"/>
    <w:rsid w:val="1744419F"/>
    <w:rsid w:val="174938E9"/>
    <w:rsid w:val="1754A485"/>
    <w:rsid w:val="178BDE42"/>
    <w:rsid w:val="17B5C6F6"/>
    <w:rsid w:val="17BA9BCB"/>
    <w:rsid w:val="17C84991"/>
    <w:rsid w:val="17CA1EA8"/>
    <w:rsid w:val="17D128B8"/>
    <w:rsid w:val="17D3B3BB"/>
    <w:rsid w:val="17D75EF5"/>
    <w:rsid w:val="17DCEBD3"/>
    <w:rsid w:val="180B8EEE"/>
    <w:rsid w:val="18174A8A"/>
    <w:rsid w:val="182E3ED7"/>
    <w:rsid w:val="18448BCA"/>
    <w:rsid w:val="18554BE0"/>
    <w:rsid w:val="186E081A"/>
    <w:rsid w:val="188105B0"/>
    <w:rsid w:val="1893774C"/>
    <w:rsid w:val="18A7A28C"/>
    <w:rsid w:val="18ADF931"/>
    <w:rsid w:val="18C67D36"/>
    <w:rsid w:val="18CFA2A8"/>
    <w:rsid w:val="18D36EC4"/>
    <w:rsid w:val="18F2E2E7"/>
    <w:rsid w:val="1907B763"/>
    <w:rsid w:val="190E15F6"/>
    <w:rsid w:val="190FE730"/>
    <w:rsid w:val="191E2433"/>
    <w:rsid w:val="19239364"/>
    <w:rsid w:val="19381801"/>
    <w:rsid w:val="19568032"/>
    <w:rsid w:val="195C47F1"/>
    <w:rsid w:val="199174AD"/>
    <w:rsid w:val="19A113F4"/>
    <w:rsid w:val="19A36B70"/>
    <w:rsid w:val="19A83DCA"/>
    <w:rsid w:val="19AB5468"/>
    <w:rsid w:val="19CF104B"/>
    <w:rsid w:val="1A034B81"/>
    <w:rsid w:val="1A03E2F5"/>
    <w:rsid w:val="1A2EFA63"/>
    <w:rsid w:val="1A330579"/>
    <w:rsid w:val="1A62DF5F"/>
    <w:rsid w:val="1A6BD931"/>
    <w:rsid w:val="1A6D155A"/>
    <w:rsid w:val="1A9B47CE"/>
    <w:rsid w:val="1A9CA4DD"/>
    <w:rsid w:val="1AADAC5B"/>
    <w:rsid w:val="1AB9D5B9"/>
    <w:rsid w:val="1AE1A389"/>
    <w:rsid w:val="1AE920D0"/>
    <w:rsid w:val="1AEB8C8F"/>
    <w:rsid w:val="1AFDB4A9"/>
    <w:rsid w:val="1B079102"/>
    <w:rsid w:val="1B088D11"/>
    <w:rsid w:val="1B0FAB49"/>
    <w:rsid w:val="1B157810"/>
    <w:rsid w:val="1B23BD23"/>
    <w:rsid w:val="1B516B96"/>
    <w:rsid w:val="1B8BF818"/>
    <w:rsid w:val="1BB836A7"/>
    <w:rsid w:val="1BC058AA"/>
    <w:rsid w:val="1BF33484"/>
    <w:rsid w:val="1BF3DD6E"/>
    <w:rsid w:val="1C08D43E"/>
    <w:rsid w:val="1C35F304"/>
    <w:rsid w:val="1C4E6ED8"/>
    <w:rsid w:val="1C668B28"/>
    <w:rsid w:val="1C774CE0"/>
    <w:rsid w:val="1C7B3CE9"/>
    <w:rsid w:val="1C8149B0"/>
    <w:rsid w:val="1C9E3AED"/>
    <w:rsid w:val="1CAD02C4"/>
    <w:rsid w:val="1CB0DEF2"/>
    <w:rsid w:val="1CB972DD"/>
    <w:rsid w:val="1CC92CC5"/>
    <w:rsid w:val="1CCC0F95"/>
    <w:rsid w:val="1CCCE152"/>
    <w:rsid w:val="1CD07120"/>
    <w:rsid w:val="1CDBF135"/>
    <w:rsid w:val="1CE09567"/>
    <w:rsid w:val="1CE0F731"/>
    <w:rsid w:val="1D419AF3"/>
    <w:rsid w:val="1D478DE1"/>
    <w:rsid w:val="1D57883B"/>
    <w:rsid w:val="1D6FCB37"/>
    <w:rsid w:val="1D760063"/>
    <w:rsid w:val="1D7D05FB"/>
    <w:rsid w:val="1D8CC9AF"/>
    <w:rsid w:val="1DBD65DC"/>
    <w:rsid w:val="1DC2821C"/>
    <w:rsid w:val="1DE0A9BA"/>
    <w:rsid w:val="1DE62C17"/>
    <w:rsid w:val="1DE7AC23"/>
    <w:rsid w:val="1E061BB4"/>
    <w:rsid w:val="1E0E482D"/>
    <w:rsid w:val="1E181434"/>
    <w:rsid w:val="1E1D5DFD"/>
    <w:rsid w:val="1E47B629"/>
    <w:rsid w:val="1E48DF1B"/>
    <w:rsid w:val="1E49B0A2"/>
    <w:rsid w:val="1E531243"/>
    <w:rsid w:val="1E57DEF6"/>
    <w:rsid w:val="1E6F3A37"/>
    <w:rsid w:val="1E8120C9"/>
    <w:rsid w:val="1EBBBC11"/>
    <w:rsid w:val="1ECF7EC2"/>
    <w:rsid w:val="1ED25496"/>
    <w:rsid w:val="1EE73154"/>
    <w:rsid w:val="1EE87E68"/>
    <w:rsid w:val="1EF1700F"/>
    <w:rsid w:val="1F231929"/>
    <w:rsid w:val="1F261F9C"/>
    <w:rsid w:val="1F31BE5E"/>
    <w:rsid w:val="1F3B0AB1"/>
    <w:rsid w:val="1F6837A1"/>
    <w:rsid w:val="1F6AB46F"/>
    <w:rsid w:val="1F73BD5F"/>
    <w:rsid w:val="1F7F875D"/>
    <w:rsid w:val="1F969FF5"/>
    <w:rsid w:val="1FAA64C0"/>
    <w:rsid w:val="1FB7158D"/>
    <w:rsid w:val="1FC3FB61"/>
    <w:rsid w:val="1FEAA4CA"/>
    <w:rsid w:val="205A8BAF"/>
    <w:rsid w:val="20684C00"/>
    <w:rsid w:val="206F3924"/>
    <w:rsid w:val="20766E22"/>
    <w:rsid w:val="208781F8"/>
    <w:rsid w:val="20968697"/>
    <w:rsid w:val="20AE9124"/>
    <w:rsid w:val="20B41D8A"/>
    <w:rsid w:val="20D84470"/>
    <w:rsid w:val="20EC2C45"/>
    <w:rsid w:val="20FA5CF6"/>
    <w:rsid w:val="20FA7AC4"/>
    <w:rsid w:val="210B6DF2"/>
    <w:rsid w:val="210D72C3"/>
    <w:rsid w:val="21179CC5"/>
    <w:rsid w:val="211B1E95"/>
    <w:rsid w:val="212AEE19"/>
    <w:rsid w:val="212BB73C"/>
    <w:rsid w:val="212C1356"/>
    <w:rsid w:val="2145ACB3"/>
    <w:rsid w:val="215322E6"/>
    <w:rsid w:val="2164B384"/>
    <w:rsid w:val="21694432"/>
    <w:rsid w:val="216C2474"/>
    <w:rsid w:val="2179E27A"/>
    <w:rsid w:val="21AA2E9D"/>
    <w:rsid w:val="21B98B42"/>
    <w:rsid w:val="21C1D576"/>
    <w:rsid w:val="21D13E11"/>
    <w:rsid w:val="21EFEBC8"/>
    <w:rsid w:val="2204D172"/>
    <w:rsid w:val="225189C9"/>
    <w:rsid w:val="2289291E"/>
    <w:rsid w:val="22B82CE1"/>
    <w:rsid w:val="22BF2373"/>
    <w:rsid w:val="22C3B31B"/>
    <w:rsid w:val="22D36D65"/>
    <w:rsid w:val="22ECEECF"/>
    <w:rsid w:val="22F6DAC1"/>
    <w:rsid w:val="23050F11"/>
    <w:rsid w:val="2307F19F"/>
    <w:rsid w:val="232AC55E"/>
    <w:rsid w:val="23403844"/>
    <w:rsid w:val="235AAB4F"/>
    <w:rsid w:val="2363F0B3"/>
    <w:rsid w:val="2365F237"/>
    <w:rsid w:val="2384F273"/>
    <w:rsid w:val="239A4F89"/>
    <w:rsid w:val="23AA8CBD"/>
    <w:rsid w:val="23AEB50C"/>
    <w:rsid w:val="23C73946"/>
    <w:rsid w:val="23D75E25"/>
    <w:rsid w:val="23D7C46C"/>
    <w:rsid w:val="23DF1513"/>
    <w:rsid w:val="23E86F46"/>
    <w:rsid w:val="23E8AAC9"/>
    <w:rsid w:val="2404924E"/>
    <w:rsid w:val="241212CA"/>
    <w:rsid w:val="2441C6D9"/>
    <w:rsid w:val="24571A83"/>
    <w:rsid w:val="245D18C0"/>
    <w:rsid w:val="247D6DB7"/>
    <w:rsid w:val="247EF00B"/>
    <w:rsid w:val="24A8F240"/>
    <w:rsid w:val="24BD587E"/>
    <w:rsid w:val="24C4A6DD"/>
    <w:rsid w:val="24DD8F83"/>
    <w:rsid w:val="24E62DC1"/>
    <w:rsid w:val="24EF3132"/>
    <w:rsid w:val="25468A98"/>
    <w:rsid w:val="254D9BA4"/>
    <w:rsid w:val="2556CE36"/>
    <w:rsid w:val="255D5284"/>
    <w:rsid w:val="256B7A50"/>
    <w:rsid w:val="257CFB1F"/>
    <w:rsid w:val="257D535A"/>
    <w:rsid w:val="2589EC21"/>
    <w:rsid w:val="25A79FE9"/>
    <w:rsid w:val="25AE0F95"/>
    <w:rsid w:val="25B52461"/>
    <w:rsid w:val="25DC6DDE"/>
    <w:rsid w:val="25E1DBE0"/>
    <w:rsid w:val="261CCF9E"/>
    <w:rsid w:val="261D2860"/>
    <w:rsid w:val="264FB4BF"/>
    <w:rsid w:val="26516526"/>
    <w:rsid w:val="265BCE22"/>
    <w:rsid w:val="268EF7DD"/>
    <w:rsid w:val="2694A773"/>
    <w:rsid w:val="26AE9883"/>
    <w:rsid w:val="26AEFE7F"/>
    <w:rsid w:val="26BD46C7"/>
    <w:rsid w:val="26C33AAF"/>
    <w:rsid w:val="26CFABE7"/>
    <w:rsid w:val="26D2A725"/>
    <w:rsid w:val="26DEAE4D"/>
    <w:rsid w:val="26E80BF9"/>
    <w:rsid w:val="26EB7799"/>
    <w:rsid w:val="270FB4BC"/>
    <w:rsid w:val="27170903"/>
    <w:rsid w:val="273F1CCB"/>
    <w:rsid w:val="2752F0BB"/>
    <w:rsid w:val="277AEC9A"/>
    <w:rsid w:val="277D5A9D"/>
    <w:rsid w:val="27865034"/>
    <w:rsid w:val="27922DEF"/>
    <w:rsid w:val="2799676C"/>
    <w:rsid w:val="27A1C29C"/>
    <w:rsid w:val="27A843AC"/>
    <w:rsid w:val="27BAD4FD"/>
    <w:rsid w:val="27C2F2D5"/>
    <w:rsid w:val="27C56C5B"/>
    <w:rsid w:val="27EE1AA9"/>
    <w:rsid w:val="27FF8FD5"/>
    <w:rsid w:val="28052E4F"/>
    <w:rsid w:val="28116B5B"/>
    <w:rsid w:val="2851F7B7"/>
    <w:rsid w:val="286C38A6"/>
    <w:rsid w:val="2881574B"/>
    <w:rsid w:val="289B3C4A"/>
    <w:rsid w:val="289CC421"/>
    <w:rsid w:val="28A13AA3"/>
    <w:rsid w:val="28A3D778"/>
    <w:rsid w:val="28A676DA"/>
    <w:rsid w:val="28A9F0C0"/>
    <w:rsid w:val="28BEFA09"/>
    <w:rsid w:val="28E78CC0"/>
    <w:rsid w:val="28E836A3"/>
    <w:rsid w:val="28EFA933"/>
    <w:rsid w:val="291D4F85"/>
    <w:rsid w:val="29223A4C"/>
    <w:rsid w:val="293AFD16"/>
    <w:rsid w:val="293F790A"/>
    <w:rsid w:val="29452BBC"/>
    <w:rsid w:val="29606E95"/>
    <w:rsid w:val="2965585F"/>
    <w:rsid w:val="2973DBA4"/>
    <w:rsid w:val="2984832A"/>
    <w:rsid w:val="29AB0D7F"/>
    <w:rsid w:val="29B0C7AA"/>
    <w:rsid w:val="29BD54B2"/>
    <w:rsid w:val="29C71E20"/>
    <w:rsid w:val="29DB3A71"/>
    <w:rsid w:val="29FD265D"/>
    <w:rsid w:val="2A2AA8FE"/>
    <w:rsid w:val="2A2ED73F"/>
    <w:rsid w:val="2A3A79DF"/>
    <w:rsid w:val="2A5E453D"/>
    <w:rsid w:val="2A624213"/>
    <w:rsid w:val="2A662BCC"/>
    <w:rsid w:val="2A6D523F"/>
    <w:rsid w:val="2A7857B3"/>
    <w:rsid w:val="2AAD09E9"/>
    <w:rsid w:val="2AAF3CFD"/>
    <w:rsid w:val="2AB6046A"/>
    <w:rsid w:val="2ABAEEB3"/>
    <w:rsid w:val="2AF70BEF"/>
    <w:rsid w:val="2B03279E"/>
    <w:rsid w:val="2B0A16F8"/>
    <w:rsid w:val="2B37517C"/>
    <w:rsid w:val="2B39947B"/>
    <w:rsid w:val="2B516653"/>
    <w:rsid w:val="2B556E63"/>
    <w:rsid w:val="2B58CF79"/>
    <w:rsid w:val="2B6D2D1B"/>
    <w:rsid w:val="2B776862"/>
    <w:rsid w:val="2BBDC71D"/>
    <w:rsid w:val="2BC3506E"/>
    <w:rsid w:val="2BCEFCEA"/>
    <w:rsid w:val="2BF0013F"/>
    <w:rsid w:val="2C0F7B69"/>
    <w:rsid w:val="2C101AF8"/>
    <w:rsid w:val="2C21A03B"/>
    <w:rsid w:val="2C2879DB"/>
    <w:rsid w:val="2C38B4F2"/>
    <w:rsid w:val="2C4AAA46"/>
    <w:rsid w:val="2C4ACEAB"/>
    <w:rsid w:val="2C5B217E"/>
    <w:rsid w:val="2C889CA4"/>
    <w:rsid w:val="2C973C4D"/>
    <w:rsid w:val="2CB8695E"/>
    <w:rsid w:val="2CC59D8F"/>
    <w:rsid w:val="2CCFB3CC"/>
    <w:rsid w:val="2CD271E6"/>
    <w:rsid w:val="2CDB99E3"/>
    <w:rsid w:val="2CE1AFAF"/>
    <w:rsid w:val="2CE97188"/>
    <w:rsid w:val="2CF9D8CB"/>
    <w:rsid w:val="2D0F662E"/>
    <w:rsid w:val="2D1E70AC"/>
    <w:rsid w:val="2D1E9E8A"/>
    <w:rsid w:val="2D2CEA1C"/>
    <w:rsid w:val="2D34748A"/>
    <w:rsid w:val="2D36D28E"/>
    <w:rsid w:val="2D40519E"/>
    <w:rsid w:val="2D6B768B"/>
    <w:rsid w:val="2D79BCB0"/>
    <w:rsid w:val="2D9232E1"/>
    <w:rsid w:val="2D937440"/>
    <w:rsid w:val="2D988BE5"/>
    <w:rsid w:val="2D9C7535"/>
    <w:rsid w:val="2D9E81A5"/>
    <w:rsid w:val="2DABEE6E"/>
    <w:rsid w:val="2DBC44B8"/>
    <w:rsid w:val="2DC46220"/>
    <w:rsid w:val="2DDD746B"/>
    <w:rsid w:val="2E03AA15"/>
    <w:rsid w:val="2E176073"/>
    <w:rsid w:val="2E179399"/>
    <w:rsid w:val="2E2022BF"/>
    <w:rsid w:val="2E3AE515"/>
    <w:rsid w:val="2E4328FC"/>
    <w:rsid w:val="2E572DFC"/>
    <w:rsid w:val="2E7E5FF1"/>
    <w:rsid w:val="2E825984"/>
    <w:rsid w:val="2E886C19"/>
    <w:rsid w:val="2EB27FA7"/>
    <w:rsid w:val="2EB97A4A"/>
    <w:rsid w:val="2ED52C21"/>
    <w:rsid w:val="2EE265AF"/>
    <w:rsid w:val="2F065C9E"/>
    <w:rsid w:val="2F5CA2D6"/>
    <w:rsid w:val="2F68DD49"/>
    <w:rsid w:val="2F6CA352"/>
    <w:rsid w:val="2F986545"/>
    <w:rsid w:val="2F98F3A9"/>
    <w:rsid w:val="2FBB10E1"/>
    <w:rsid w:val="2FBB3B0F"/>
    <w:rsid w:val="2FD2B6B8"/>
    <w:rsid w:val="2FE0627A"/>
    <w:rsid w:val="3025529B"/>
    <w:rsid w:val="30324881"/>
    <w:rsid w:val="303BF0BF"/>
    <w:rsid w:val="3041FB66"/>
    <w:rsid w:val="3043D69E"/>
    <w:rsid w:val="306F4DFD"/>
    <w:rsid w:val="30A01079"/>
    <w:rsid w:val="30C7F5D8"/>
    <w:rsid w:val="30E49512"/>
    <w:rsid w:val="30FAB441"/>
    <w:rsid w:val="30FFBBC8"/>
    <w:rsid w:val="310A30C9"/>
    <w:rsid w:val="31114585"/>
    <w:rsid w:val="312DA927"/>
    <w:rsid w:val="31363287"/>
    <w:rsid w:val="31391119"/>
    <w:rsid w:val="315B83D0"/>
    <w:rsid w:val="3169F908"/>
    <w:rsid w:val="316F4C40"/>
    <w:rsid w:val="3172FD21"/>
    <w:rsid w:val="3188DC15"/>
    <w:rsid w:val="318D8C0E"/>
    <w:rsid w:val="31DB96BA"/>
    <w:rsid w:val="31F3B0B9"/>
    <w:rsid w:val="32018250"/>
    <w:rsid w:val="32168BF2"/>
    <w:rsid w:val="322EC56F"/>
    <w:rsid w:val="3230AFD6"/>
    <w:rsid w:val="324B726A"/>
    <w:rsid w:val="3261A2BA"/>
    <w:rsid w:val="326FC13A"/>
    <w:rsid w:val="32A77C2E"/>
    <w:rsid w:val="32AC2F55"/>
    <w:rsid w:val="32C0FD87"/>
    <w:rsid w:val="33196DC0"/>
    <w:rsid w:val="33356135"/>
    <w:rsid w:val="333CA5E6"/>
    <w:rsid w:val="333EE70E"/>
    <w:rsid w:val="334782C4"/>
    <w:rsid w:val="334AF32E"/>
    <w:rsid w:val="334D656A"/>
    <w:rsid w:val="33A89279"/>
    <w:rsid w:val="33B0153E"/>
    <w:rsid w:val="33D54C34"/>
    <w:rsid w:val="33E1A0C6"/>
    <w:rsid w:val="33E8D201"/>
    <w:rsid w:val="34070CF4"/>
    <w:rsid w:val="3428F2E7"/>
    <w:rsid w:val="34296D89"/>
    <w:rsid w:val="343A17BA"/>
    <w:rsid w:val="34700AA0"/>
    <w:rsid w:val="34AB537E"/>
    <w:rsid w:val="34B37A28"/>
    <w:rsid w:val="34B49920"/>
    <w:rsid w:val="34B8F844"/>
    <w:rsid w:val="34D1E2BB"/>
    <w:rsid w:val="34D307DE"/>
    <w:rsid w:val="34DD795E"/>
    <w:rsid w:val="34F4F428"/>
    <w:rsid w:val="34F6CBBB"/>
    <w:rsid w:val="34FDB394"/>
    <w:rsid w:val="34FFB0A5"/>
    <w:rsid w:val="350A29B8"/>
    <w:rsid w:val="3517D6E5"/>
    <w:rsid w:val="351DC07E"/>
    <w:rsid w:val="352D56D5"/>
    <w:rsid w:val="3532C1FE"/>
    <w:rsid w:val="353A63FA"/>
    <w:rsid w:val="3544DC4F"/>
    <w:rsid w:val="3555577F"/>
    <w:rsid w:val="355C1C79"/>
    <w:rsid w:val="357BA224"/>
    <w:rsid w:val="3590AA99"/>
    <w:rsid w:val="35A0AB1F"/>
    <w:rsid w:val="35B72AC8"/>
    <w:rsid w:val="35DBDFCE"/>
    <w:rsid w:val="35E5D629"/>
    <w:rsid w:val="3600777C"/>
    <w:rsid w:val="3615DDC8"/>
    <w:rsid w:val="3647D24F"/>
    <w:rsid w:val="365D4AC8"/>
    <w:rsid w:val="366C7213"/>
    <w:rsid w:val="368586CC"/>
    <w:rsid w:val="36986D9D"/>
    <w:rsid w:val="36999BD7"/>
    <w:rsid w:val="36B321EE"/>
    <w:rsid w:val="36C79C67"/>
    <w:rsid w:val="36E3A4E4"/>
    <w:rsid w:val="36E6181C"/>
    <w:rsid w:val="36E69163"/>
    <w:rsid w:val="3705F68D"/>
    <w:rsid w:val="370D1D75"/>
    <w:rsid w:val="371B2EA2"/>
    <w:rsid w:val="37287F44"/>
    <w:rsid w:val="372B178A"/>
    <w:rsid w:val="3735FEF5"/>
    <w:rsid w:val="373D7C52"/>
    <w:rsid w:val="3742ABDC"/>
    <w:rsid w:val="374A51BD"/>
    <w:rsid w:val="37515C23"/>
    <w:rsid w:val="3753F4F4"/>
    <w:rsid w:val="375C3DC9"/>
    <w:rsid w:val="3760FB93"/>
    <w:rsid w:val="3762B605"/>
    <w:rsid w:val="3765D9F0"/>
    <w:rsid w:val="377590D6"/>
    <w:rsid w:val="37ACD2BD"/>
    <w:rsid w:val="37D1B3D0"/>
    <w:rsid w:val="37DE538B"/>
    <w:rsid w:val="37DFDAD1"/>
    <w:rsid w:val="37E97B96"/>
    <w:rsid w:val="37F1CB28"/>
    <w:rsid w:val="38012841"/>
    <w:rsid w:val="38082EAC"/>
    <w:rsid w:val="381AA7FF"/>
    <w:rsid w:val="3824F01E"/>
    <w:rsid w:val="3832E629"/>
    <w:rsid w:val="38743128"/>
    <w:rsid w:val="3880717F"/>
    <w:rsid w:val="3889A4C2"/>
    <w:rsid w:val="3897C83E"/>
    <w:rsid w:val="38C957F9"/>
    <w:rsid w:val="38CA811F"/>
    <w:rsid w:val="38CB13DB"/>
    <w:rsid w:val="38DF0968"/>
    <w:rsid w:val="38ED1B06"/>
    <w:rsid w:val="39046032"/>
    <w:rsid w:val="3926030E"/>
    <w:rsid w:val="39293D17"/>
    <w:rsid w:val="392A5D81"/>
    <w:rsid w:val="3947EAD4"/>
    <w:rsid w:val="394886BF"/>
    <w:rsid w:val="3959857C"/>
    <w:rsid w:val="396C408E"/>
    <w:rsid w:val="396CAF16"/>
    <w:rsid w:val="39BB8C33"/>
    <w:rsid w:val="39D692CE"/>
    <w:rsid w:val="39DC3990"/>
    <w:rsid w:val="39E33A9A"/>
    <w:rsid w:val="39EAA744"/>
    <w:rsid w:val="3A0959CB"/>
    <w:rsid w:val="3A0FAFE0"/>
    <w:rsid w:val="3A184C19"/>
    <w:rsid w:val="3A1C327D"/>
    <w:rsid w:val="3A29B171"/>
    <w:rsid w:val="3A2DE8B9"/>
    <w:rsid w:val="3A41EC3D"/>
    <w:rsid w:val="3A56FCDD"/>
    <w:rsid w:val="3A65A37C"/>
    <w:rsid w:val="3A7FDDF9"/>
    <w:rsid w:val="3A91DFAB"/>
    <w:rsid w:val="3A977AB1"/>
    <w:rsid w:val="3A99D5F1"/>
    <w:rsid w:val="3AA733A8"/>
    <w:rsid w:val="3AB7D4C7"/>
    <w:rsid w:val="3ABB36DF"/>
    <w:rsid w:val="3ADFC47C"/>
    <w:rsid w:val="3B19B04D"/>
    <w:rsid w:val="3B3A4E11"/>
    <w:rsid w:val="3B44C88D"/>
    <w:rsid w:val="3B4ED61D"/>
    <w:rsid w:val="3B541285"/>
    <w:rsid w:val="3B551F4B"/>
    <w:rsid w:val="3B73D004"/>
    <w:rsid w:val="3B7D0771"/>
    <w:rsid w:val="3B8A69FA"/>
    <w:rsid w:val="3B91CE43"/>
    <w:rsid w:val="3BBB7682"/>
    <w:rsid w:val="3BC25AEE"/>
    <w:rsid w:val="3BC50CDC"/>
    <w:rsid w:val="3C08E0EE"/>
    <w:rsid w:val="3C286A34"/>
    <w:rsid w:val="3C2E510C"/>
    <w:rsid w:val="3C30E9A7"/>
    <w:rsid w:val="3C418C1B"/>
    <w:rsid w:val="3C618510"/>
    <w:rsid w:val="3C73EE43"/>
    <w:rsid w:val="3C7776CA"/>
    <w:rsid w:val="3C783B86"/>
    <w:rsid w:val="3C7D2B09"/>
    <w:rsid w:val="3C866597"/>
    <w:rsid w:val="3C9568C5"/>
    <w:rsid w:val="3C98C9E8"/>
    <w:rsid w:val="3CB88961"/>
    <w:rsid w:val="3CD5AAB9"/>
    <w:rsid w:val="3CFDCACC"/>
    <w:rsid w:val="3D18EB55"/>
    <w:rsid w:val="3D422111"/>
    <w:rsid w:val="3D4600E2"/>
    <w:rsid w:val="3D5A37C2"/>
    <w:rsid w:val="3D5B800C"/>
    <w:rsid w:val="3D78BCAF"/>
    <w:rsid w:val="3D9420CE"/>
    <w:rsid w:val="3D9B28F2"/>
    <w:rsid w:val="3DA850F7"/>
    <w:rsid w:val="3DBA3FFD"/>
    <w:rsid w:val="3DCC9A14"/>
    <w:rsid w:val="3DF8C28D"/>
    <w:rsid w:val="3E0F75C7"/>
    <w:rsid w:val="3E34930B"/>
    <w:rsid w:val="3E42FF34"/>
    <w:rsid w:val="3E553EB0"/>
    <w:rsid w:val="3E896C81"/>
    <w:rsid w:val="3E8F20C6"/>
    <w:rsid w:val="3E91A6D5"/>
    <w:rsid w:val="3E95360F"/>
    <w:rsid w:val="3E95FE9E"/>
    <w:rsid w:val="3E9622B6"/>
    <w:rsid w:val="3EA06134"/>
    <w:rsid w:val="3EB954DC"/>
    <w:rsid w:val="3EBAA5FB"/>
    <w:rsid w:val="3EE4F369"/>
    <w:rsid w:val="3EEB2B3F"/>
    <w:rsid w:val="3EECEF40"/>
    <w:rsid w:val="3F0056BD"/>
    <w:rsid w:val="3F0AF2C5"/>
    <w:rsid w:val="3F1F8E80"/>
    <w:rsid w:val="3F2BE2D6"/>
    <w:rsid w:val="3F3A34DA"/>
    <w:rsid w:val="3F57AE26"/>
    <w:rsid w:val="3F7E8621"/>
    <w:rsid w:val="3F8D41AA"/>
    <w:rsid w:val="3F9BCB24"/>
    <w:rsid w:val="3F9E8268"/>
    <w:rsid w:val="3FA37C9D"/>
    <w:rsid w:val="3FAF5557"/>
    <w:rsid w:val="3FD7E8B7"/>
    <w:rsid w:val="4004CAE1"/>
    <w:rsid w:val="400757AD"/>
    <w:rsid w:val="400B4369"/>
    <w:rsid w:val="401361C0"/>
    <w:rsid w:val="40222883"/>
    <w:rsid w:val="40227AB2"/>
    <w:rsid w:val="4040DB58"/>
    <w:rsid w:val="4065EBBF"/>
    <w:rsid w:val="4074389F"/>
    <w:rsid w:val="407A1621"/>
    <w:rsid w:val="40B70C7C"/>
    <w:rsid w:val="40B7F096"/>
    <w:rsid w:val="40C0CE94"/>
    <w:rsid w:val="40C884D7"/>
    <w:rsid w:val="40CBE4D0"/>
    <w:rsid w:val="40F2B7E9"/>
    <w:rsid w:val="41028FB6"/>
    <w:rsid w:val="41103515"/>
    <w:rsid w:val="41177CE3"/>
    <w:rsid w:val="411D6AD3"/>
    <w:rsid w:val="411FEA31"/>
    <w:rsid w:val="412EF8CA"/>
    <w:rsid w:val="4132DB51"/>
    <w:rsid w:val="413C1064"/>
    <w:rsid w:val="41425079"/>
    <w:rsid w:val="415B66F3"/>
    <w:rsid w:val="416AFA18"/>
    <w:rsid w:val="41735D0C"/>
    <w:rsid w:val="4189EA96"/>
    <w:rsid w:val="418D1601"/>
    <w:rsid w:val="419C20AC"/>
    <w:rsid w:val="41B17993"/>
    <w:rsid w:val="41F71796"/>
    <w:rsid w:val="4201F253"/>
    <w:rsid w:val="420A7AC5"/>
    <w:rsid w:val="421A3F0D"/>
    <w:rsid w:val="423020AE"/>
    <w:rsid w:val="4244A57C"/>
    <w:rsid w:val="424F4AC0"/>
    <w:rsid w:val="42521B95"/>
    <w:rsid w:val="4282632C"/>
    <w:rsid w:val="42D43BB7"/>
    <w:rsid w:val="42FB9AA5"/>
    <w:rsid w:val="433B4C7D"/>
    <w:rsid w:val="433E1B04"/>
    <w:rsid w:val="4348A2B9"/>
    <w:rsid w:val="435D6002"/>
    <w:rsid w:val="4367B344"/>
    <w:rsid w:val="4379FD06"/>
    <w:rsid w:val="4380DC6B"/>
    <w:rsid w:val="439B1376"/>
    <w:rsid w:val="43AD0EB3"/>
    <w:rsid w:val="43B3E03B"/>
    <w:rsid w:val="43BCB55D"/>
    <w:rsid w:val="43C18177"/>
    <w:rsid w:val="43C327DA"/>
    <w:rsid w:val="43C737B4"/>
    <w:rsid w:val="43CCC260"/>
    <w:rsid w:val="43CDEC55"/>
    <w:rsid w:val="43DB984F"/>
    <w:rsid w:val="43E11BAB"/>
    <w:rsid w:val="43F8E0D7"/>
    <w:rsid w:val="4412D558"/>
    <w:rsid w:val="4415D3A4"/>
    <w:rsid w:val="4450B10F"/>
    <w:rsid w:val="445386B8"/>
    <w:rsid w:val="445CD340"/>
    <w:rsid w:val="448EF6CC"/>
    <w:rsid w:val="44A869A4"/>
    <w:rsid w:val="44BEE49E"/>
    <w:rsid w:val="44CEF79A"/>
    <w:rsid w:val="44EBCAF2"/>
    <w:rsid w:val="44ED88CF"/>
    <w:rsid w:val="44F18454"/>
    <w:rsid w:val="44F7323C"/>
    <w:rsid w:val="44F7C144"/>
    <w:rsid w:val="44F7E582"/>
    <w:rsid w:val="44FE0EA9"/>
    <w:rsid w:val="44FE43B9"/>
    <w:rsid w:val="451F7A86"/>
    <w:rsid w:val="45439FFD"/>
    <w:rsid w:val="454D0F2B"/>
    <w:rsid w:val="45529B76"/>
    <w:rsid w:val="456C9E32"/>
    <w:rsid w:val="45718A7C"/>
    <w:rsid w:val="45968A7E"/>
    <w:rsid w:val="45A7DFBA"/>
    <w:rsid w:val="45BD10A2"/>
    <w:rsid w:val="45F6DC9B"/>
    <w:rsid w:val="460865D2"/>
    <w:rsid w:val="460B9FCB"/>
    <w:rsid w:val="4622E0BA"/>
    <w:rsid w:val="46484075"/>
    <w:rsid w:val="464B25C7"/>
    <w:rsid w:val="46754DDA"/>
    <w:rsid w:val="467A29A3"/>
    <w:rsid w:val="467C8D29"/>
    <w:rsid w:val="467D851D"/>
    <w:rsid w:val="46857F33"/>
    <w:rsid w:val="4686B5DA"/>
    <w:rsid w:val="468B0530"/>
    <w:rsid w:val="46AB6C41"/>
    <w:rsid w:val="46BC830E"/>
    <w:rsid w:val="46E6AFC7"/>
    <w:rsid w:val="46EAF91C"/>
    <w:rsid w:val="46FFED92"/>
    <w:rsid w:val="470D5D6C"/>
    <w:rsid w:val="47175F2F"/>
    <w:rsid w:val="47281317"/>
    <w:rsid w:val="472DB1FE"/>
    <w:rsid w:val="474A191C"/>
    <w:rsid w:val="474A2CE7"/>
    <w:rsid w:val="476C8A0D"/>
    <w:rsid w:val="478FC3C2"/>
    <w:rsid w:val="4795CCA9"/>
    <w:rsid w:val="479B4D93"/>
    <w:rsid w:val="479FB7C1"/>
    <w:rsid w:val="47AADAF7"/>
    <w:rsid w:val="47ABFC3E"/>
    <w:rsid w:val="47C61F25"/>
    <w:rsid w:val="4802C666"/>
    <w:rsid w:val="482834C0"/>
    <w:rsid w:val="48619902"/>
    <w:rsid w:val="486DC720"/>
    <w:rsid w:val="487375EF"/>
    <w:rsid w:val="48804D41"/>
    <w:rsid w:val="488474AE"/>
    <w:rsid w:val="4888731C"/>
    <w:rsid w:val="488AD153"/>
    <w:rsid w:val="488AE2FB"/>
    <w:rsid w:val="489DA26A"/>
    <w:rsid w:val="48BF80D4"/>
    <w:rsid w:val="48CE99E0"/>
    <w:rsid w:val="48E563B8"/>
    <w:rsid w:val="491862FE"/>
    <w:rsid w:val="4928AC04"/>
    <w:rsid w:val="492EE933"/>
    <w:rsid w:val="49369432"/>
    <w:rsid w:val="4956F3F1"/>
    <w:rsid w:val="497E8CE4"/>
    <w:rsid w:val="4984AD72"/>
    <w:rsid w:val="4998BEB0"/>
    <w:rsid w:val="49A5BEB5"/>
    <w:rsid w:val="49BB32EE"/>
    <w:rsid w:val="49C3E324"/>
    <w:rsid w:val="49C6ECA6"/>
    <w:rsid w:val="49D2CD78"/>
    <w:rsid w:val="49E6BF0E"/>
    <w:rsid w:val="49FF492E"/>
    <w:rsid w:val="4A03D00F"/>
    <w:rsid w:val="4A2DDAD2"/>
    <w:rsid w:val="4A339605"/>
    <w:rsid w:val="4A7005C7"/>
    <w:rsid w:val="4A7801D5"/>
    <w:rsid w:val="4A7AB420"/>
    <w:rsid w:val="4A90DE02"/>
    <w:rsid w:val="4A91566F"/>
    <w:rsid w:val="4A949A7E"/>
    <w:rsid w:val="4AA366BB"/>
    <w:rsid w:val="4AA6B244"/>
    <w:rsid w:val="4AAA8A02"/>
    <w:rsid w:val="4AC7D874"/>
    <w:rsid w:val="4AD65BC2"/>
    <w:rsid w:val="4AEAC9C0"/>
    <w:rsid w:val="4B2466DD"/>
    <w:rsid w:val="4B28EDC1"/>
    <w:rsid w:val="4B4A6BC6"/>
    <w:rsid w:val="4B64F34B"/>
    <w:rsid w:val="4B6B7A9C"/>
    <w:rsid w:val="4B6EE113"/>
    <w:rsid w:val="4B98C190"/>
    <w:rsid w:val="4BA5B62D"/>
    <w:rsid w:val="4BB7A6CB"/>
    <w:rsid w:val="4BBC69AD"/>
    <w:rsid w:val="4BC98B51"/>
    <w:rsid w:val="4BEBC5FF"/>
    <w:rsid w:val="4C14BDE3"/>
    <w:rsid w:val="4C1E0AFB"/>
    <w:rsid w:val="4C336FC4"/>
    <w:rsid w:val="4C3563E8"/>
    <w:rsid w:val="4C6666A3"/>
    <w:rsid w:val="4C6EEBE7"/>
    <w:rsid w:val="4C7AE42F"/>
    <w:rsid w:val="4C7B3DA9"/>
    <w:rsid w:val="4CA2AF1C"/>
    <w:rsid w:val="4CC8D550"/>
    <w:rsid w:val="4CE0E6C1"/>
    <w:rsid w:val="4CE4A987"/>
    <w:rsid w:val="4CEB549A"/>
    <w:rsid w:val="4CFE9DCD"/>
    <w:rsid w:val="4D0A0790"/>
    <w:rsid w:val="4D348F9D"/>
    <w:rsid w:val="4D4C6C5C"/>
    <w:rsid w:val="4D64CF1E"/>
    <w:rsid w:val="4D6B1D8A"/>
    <w:rsid w:val="4D6F2A35"/>
    <w:rsid w:val="4D8A0ACB"/>
    <w:rsid w:val="4D8FDC73"/>
    <w:rsid w:val="4D97854F"/>
    <w:rsid w:val="4D97A645"/>
    <w:rsid w:val="4D9EE258"/>
    <w:rsid w:val="4DB5BFDE"/>
    <w:rsid w:val="4DDCE80E"/>
    <w:rsid w:val="4DED955D"/>
    <w:rsid w:val="4DF08156"/>
    <w:rsid w:val="4DFB3454"/>
    <w:rsid w:val="4E0B712E"/>
    <w:rsid w:val="4E0E5699"/>
    <w:rsid w:val="4E1E985C"/>
    <w:rsid w:val="4E23ED91"/>
    <w:rsid w:val="4E2768E1"/>
    <w:rsid w:val="4E383B81"/>
    <w:rsid w:val="4E3A9396"/>
    <w:rsid w:val="4E435F61"/>
    <w:rsid w:val="4E7DBD66"/>
    <w:rsid w:val="4E88DD00"/>
    <w:rsid w:val="4E9953EB"/>
    <w:rsid w:val="4EA6AC17"/>
    <w:rsid w:val="4EB8CECA"/>
    <w:rsid w:val="4EBDACE6"/>
    <w:rsid w:val="4EE5C502"/>
    <w:rsid w:val="4F37B1BC"/>
    <w:rsid w:val="4F4FE3D2"/>
    <w:rsid w:val="4F5A9DA8"/>
    <w:rsid w:val="4F5C072A"/>
    <w:rsid w:val="4FA338FA"/>
    <w:rsid w:val="4FB5F35A"/>
    <w:rsid w:val="4FD55290"/>
    <w:rsid w:val="4FDB0596"/>
    <w:rsid w:val="4FFB7A24"/>
    <w:rsid w:val="5008812D"/>
    <w:rsid w:val="500D39EF"/>
    <w:rsid w:val="501381C9"/>
    <w:rsid w:val="502B70E7"/>
    <w:rsid w:val="505000E9"/>
    <w:rsid w:val="5058AC56"/>
    <w:rsid w:val="505FBF96"/>
    <w:rsid w:val="50669BB6"/>
    <w:rsid w:val="506E78E8"/>
    <w:rsid w:val="50CB6F59"/>
    <w:rsid w:val="50D700FC"/>
    <w:rsid w:val="50F64013"/>
    <w:rsid w:val="510D3113"/>
    <w:rsid w:val="5112AB03"/>
    <w:rsid w:val="5125849F"/>
    <w:rsid w:val="512947B3"/>
    <w:rsid w:val="5129F0C6"/>
    <w:rsid w:val="5140B7D5"/>
    <w:rsid w:val="514D1164"/>
    <w:rsid w:val="519A18BD"/>
    <w:rsid w:val="51A3F6AA"/>
    <w:rsid w:val="51A82150"/>
    <w:rsid w:val="51C1FC86"/>
    <w:rsid w:val="51C221D1"/>
    <w:rsid w:val="51D61900"/>
    <w:rsid w:val="51D9E9E8"/>
    <w:rsid w:val="521F2403"/>
    <w:rsid w:val="52376098"/>
    <w:rsid w:val="524DFD75"/>
    <w:rsid w:val="528AD59C"/>
    <w:rsid w:val="5299F036"/>
    <w:rsid w:val="52A04BC0"/>
    <w:rsid w:val="52C9ACEB"/>
    <w:rsid w:val="52D43D20"/>
    <w:rsid w:val="52E2EDEA"/>
    <w:rsid w:val="5300BA55"/>
    <w:rsid w:val="531D0AAB"/>
    <w:rsid w:val="532519D4"/>
    <w:rsid w:val="53296F06"/>
    <w:rsid w:val="5329A9C2"/>
    <w:rsid w:val="532C011B"/>
    <w:rsid w:val="533827D8"/>
    <w:rsid w:val="5348A71B"/>
    <w:rsid w:val="534F6462"/>
    <w:rsid w:val="5365C79C"/>
    <w:rsid w:val="537C4B1C"/>
    <w:rsid w:val="537C8E4E"/>
    <w:rsid w:val="53C17565"/>
    <w:rsid w:val="53D6AC62"/>
    <w:rsid w:val="53E91C8C"/>
    <w:rsid w:val="540F0499"/>
    <w:rsid w:val="54161997"/>
    <w:rsid w:val="54170B50"/>
    <w:rsid w:val="541C90F5"/>
    <w:rsid w:val="5439E6F5"/>
    <w:rsid w:val="543F1C0C"/>
    <w:rsid w:val="5462826E"/>
    <w:rsid w:val="54BD3EB0"/>
    <w:rsid w:val="54C9CE4B"/>
    <w:rsid w:val="54E3D2BF"/>
    <w:rsid w:val="54E936FF"/>
    <w:rsid w:val="54FDFF01"/>
    <w:rsid w:val="551299EC"/>
    <w:rsid w:val="551E87C7"/>
    <w:rsid w:val="554C66FE"/>
    <w:rsid w:val="554F3E7E"/>
    <w:rsid w:val="55555EE3"/>
    <w:rsid w:val="555A2855"/>
    <w:rsid w:val="5560A877"/>
    <w:rsid w:val="556CB822"/>
    <w:rsid w:val="558BABA1"/>
    <w:rsid w:val="559839E0"/>
    <w:rsid w:val="559AA869"/>
    <w:rsid w:val="55AA515D"/>
    <w:rsid w:val="55D5504F"/>
    <w:rsid w:val="55D5EFC5"/>
    <w:rsid w:val="55D8CE9D"/>
    <w:rsid w:val="55DA5C41"/>
    <w:rsid w:val="55E52533"/>
    <w:rsid w:val="55F7EBD4"/>
    <w:rsid w:val="55FE255F"/>
    <w:rsid w:val="5605B977"/>
    <w:rsid w:val="565B3F6B"/>
    <w:rsid w:val="56617CE8"/>
    <w:rsid w:val="56720688"/>
    <w:rsid w:val="567A3CAE"/>
    <w:rsid w:val="56A4F6B8"/>
    <w:rsid w:val="56A83D96"/>
    <w:rsid w:val="56BAE143"/>
    <w:rsid w:val="56CCD41E"/>
    <w:rsid w:val="56D5A31E"/>
    <w:rsid w:val="56F1F0AA"/>
    <w:rsid w:val="5707E93C"/>
    <w:rsid w:val="570F1C1C"/>
    <w:rsid w:val="571D833E"/>
    <w:rsid w:val="571E7EE1"/>
    <w:rsid w:val="57387CAE"/>
    <w:rsid w:val="574BEDD8"/>
    <w:rsid w:val="5760840E"/>
    <w:rsid w:val="57625165"/>
    <w:rsid w:val="5776D84A"/>
    <w:rsid w:val="577D5CEC"/>
    <w:rsid w:val="578BB47B"/>
    <w:rsid w:val="57A04DAE"/>
    <w:rsid w:val="57BCB5DE"/>
    <w:rsid w:val="57CAF699"/>
    <w:rsid w:val="57D48DD2"/>
    <w:rsid w:val="57DF109D"/>
    <w:rsid w:val="57E05A31"/>
    <w:rsid w:val="57E8980B"/>
    <w:rsid w:val="57FD4D5B"/>
    <w:rsid w:val="5806BE46"/>
    <w:rsid w:val="5810B90E"/>
    <w:rsid w:val="58355B8D"/>
    <w:rsid w:val="5846CB58"/>
    <w:rsid w:val="58583771"/>
    <w:rsid w:val="5862691C"/>
    <w:rsid w:val="5875091F"/>
    <w:rsid w:val="58762B9C"/>
    <w:rsid w:val="587EABE2"/>
    <w:rsid w:val="58961A74"/>
    <w:rsid w:val="58A379E0"/>
    <w:rsid w:val="58B1C69D"/>
    <w:rsid w:val="58B45B0C"/>
    <w:rsid w:val="58C2C60A"/>
    <w:rsid w:val="58DF40DE"/>
    <w:rsid w:val="58F053B5"/>
    <w:rsid w:val="58F1D35B"/>
    <w:rsid w:val="5912EE08"/>
    <w:rsid w:val="5919E14F"/>
    <w:rsid w:val="591CB51C"/>
    <w:rsid w:val="593ADEB5"/>
    <w:rsid w:val="594199BE"/>
    <w:rsid w:val="5943E2DA"/>
    <w:rsid w:val="597BF59C"/>
    <w:rsid w:val="59B5086F"/>
    <w:rsid w:val="59C3B3A5"/>
    <w:rsid w:val="59F68A2A"/>
    <w:rsid w:val="5A0459D8"/>
    <w:rsid w:val="5A2AE3A1"/>
    <w:rsid w:val="5A53CE37"/>
    <w:rsid w:val="5A5803E6"/>
    <w:rsid w:val="5A5F483A"/>
    <w:rsid w:val="5A87482C"/>
    <w:rsid w:val="5AC10227"/>
    <w:rsid w:val="5ADF55F8"/>
    <w:rsid w:val="5AECE7FB"/>
    <w:rsid w:val="5AF5CC6E"/>
    <w:rsid w:val="5B2AD1B4"/>
    <w:rsid w:val="5B443BF0"/>
    <w:rsid w:val="5B5751DD"/>
    <w:rsid w:val="5B6FCAFC"/>
    <w:rsid w:val="5B884B66"/>
    <w:rsid w:val="5B88A51B"/>
    <w:rsid w:val="5B896B42"/>
    <w:rsid w:val="5BDA94F3"/>
    <w:rsid w:val="5BEFC114"/>
    <w:rsid w:val="5C17D445"/>
    <w:rsid w:val="5C6D06BF"/>
    <w:rsid w:val="5C6EFBAF"/>
    <w:rsid w:val="5CB3A33F"/>
    <w:rsid w:val="5CBAB1BA"/>
    <w:rsid w:val="5CC6B58B"/>
    <w:rsid w:val="5CCD5E3B"/>
    <w:rsid w:val="5CD733E1"/>
    <w:rsid w:val="5CDEF5C4"/>
    <w:rsid w:val="5D064B18"/>
    <w:rsid w:val="5D13FAA9"/>
    <w:rsid w:val="5D1C7198"/>
    <w:rsid w:val="5D31BE17"/>
    <w:rsid w:val="5D4FF758"/>
    <w:rsid w:val="5D71AC3E"/>
    <w:rsid w:val="5D771F10"/>
    <w:rsid w:val="5D7900D6"/>
    <w:rsid w:val="5D81706B"/>
    <w:rsid w:val="5D8B520F"/>
    <w:rsid w:val="5D9111D5"/>
    <w:rsid w:val="5DA22355"/>
    <w:rsid w:val="5DA25A5F"/>
    <w:rsid w:val="5DBE973C"/>
    <w:rsid w:val="5DEFEF29"/>
    <w:rsid w:val="5DF186D6"/>
    <w:rsid w:val="5DF60ADE"/>
    <w:rsid w:val="5E0793A8"/>
    <w:rsid w:val="5E08E1CE"/>
    <w:rsid w:val="5E1B6EFA"/>
    <w:rsid w:val="5E2512BE"/>
    <w:rsid w:val="5E407542"/>
    <w:rsid w:val="5E418044"/>
    <w:rsid w:val="5E482C56"/>
    <w:rsid w:val="5E4AE525"/>
    <w:rsid w:val="5E4FDB71"/>
    <w:rsid w:val="5E52DAFD"/>
    <w:rsid w:val="5E62A428"/>
    <w:rsid w:val="5E691A1E"/>
    <w:rsid w:val="5E90BFA2"/>
    <w:rsid w:val="5E9EAACB"/>
    <w:rsid w:val="5EA8FCCF"/>
    <w:rsid w:val="5EAFADBB"/>
    <w:rsid w:val="5ECED8A5"/>
    <w:rsid w:val="5EE2F341"/>
    <w:rsid w:val="5EED516A"/>
    <w:rsid w:val="5EFA033C"/>
    <w:rsid w:val="5F04E0CF"/>
    <w:rsid w:val="5F084DB0"/>
    <w:rsid w:val="5F119F02"/>
    <w:rsid w:val="5F1D7909"/>
    <w:rsid w:val="5F2E5232"/>
    <w:rsid w:val="5F345FBC"/>
    <w:rsid w:val="5F3ADFAA"/>
    <w:rsid w:val="5F55E2F5"/>
    <w:rsid w:val="5F6B1AB8"/>
    <w:rsid w:val="5FBC8F78"/>
    <w:rsid w:val="5FCB908D"/>
    <w:rsid w:val="5FCE7EF2"/>
    <w:rsid w:val="5FE6E098"/>
    <w:rsid w:val="5FEFF5FC"/>
    <w:rsid w:val="603BDA3F"/>
    <w:rsid w:val="604DE9E1"/>
    <w:rsid w:val="60517E79"/>
    <w:rsid w:val="6072E41C"/>
    <w:rsid w:val="607DB84D"/>
    <w:rsid w:val="6082D944"/>
    <w:rsid w:val="609D34DB"/>
    <w:rsid w:val="60C868F3"/>
    <w:rsid w:val="60D8D410"/>
    <w:rsid w:val="60E7D1D8"/>
    <w:rsid w:val="61207D15"/>
    <w:rsid w:val="6134436D"/>
    <w:rsid w:val="613F52E9"/>
    <w:rsid w:val="61466C4E"/>
    <w:rsid w:val="61677EE7"/>
    <w:rsid w:val="6179EA97"/>
    <w:rsid w:val="6186CF14"/>
    <w:rsid w:val="6189824F"/>
    <w:rsid w:val="61956079"/>
    <w:rsid w:val="61A3F367"/>
    <w:rsid w:val="61B448E3"/>
    <w:rsid w:val="61B6D9E7"/>
    <w:rsid w:val="61DC865F"/>
    <w:rsid w:val="61E7CF4E"/>
    <w:rsid w:val="61FCD320"/>
    <w:rsid w:val="6208EFBD"/>
    <w:rsid w:val="6218D7BA"/>
    <w:rsid w:val="62292C08"/>
    <w:rsid w:val="62333302"/>
    <w:rsid w:val="62429D6F"/>
    <w:rsid w:val="62461203"/>
    <w:rsid w:val="6258AA47"/>
    <w:rsid w:val="62671ECE"/>
    <w:rsid w:val="6274BD6A"/>
    <w:rsid w:val="628D7F9D"/>
    <w:rsid w:val="628D922D"/>
    <w:rsid w:val="6293A0D3"/>
    <w:rsid w:val="62B02DEB"/>
    <w:rsid w:val="62B8B36F"/>
    <w:rsid w:val="62D4FB81"/>
    <w:rsid w:val="62D95F6D"/>
    <w:rsid w:val="62DFB11F"/>
    <w:rsid w:val="62E59900"/>
    <w:rsid w:val="62FBB619"/>
    <w:rsid w:val="62FE06B5"/>
    <w:rsid w:val="63101E34"/>
    <w:rsid w:val="631B2423"/>
    <w:rsid w:val="6326F75E"/>
    <w:rsid w:val="63277FDE"/>
    <w:rsid w:val="63414D79"/>
    <w:rsid w:val="63593717"/>
    <w:rsid w:val="63626D63"/>
    <w:rsid w:val="6383E806"/>
    <w:rsid w:val="638F1E2E"/>
    <w:rsid w:val="63A2C9B1"/>
    <w:rsid w:val="63B646E6"/>
    <w:rsid w:val="63B8549D"/>
    <w:rsid w:val="63B93C36"/>
    <w:rsid w:val="63CDF81C"/>
    <w:rsid w:val="63E95DAC"/>
    <w:rsid w:val="63F7CBA5"/>
    <w:rsid w:val="64109DE3"/>
    <w:rsid w:val="64179755"/>
    <w:rsid w:val="641C4FA3"/>
    <w:rsid w:val="64343FD9"/>
    <w:rsid w:val="6438AD9B"/>
    <w:rsid w:val="64678E11"/>
    <w:rsid w:val="646B7061"/>
    <w:rsid w:val="647989B5"/>
    <w:rsid w:val="648B09B1"/>
    <w:rsid w:val="648E3A47"/>
    <w:rsid w:val="64998AF8"/>
    <w:rsid w:val="64D5FDFE"/>
    <w:rsid w:val="64E0DD0D"/>
    <w:rsid w:val="64E31B93"/>
    <w:rsid w:val="64E4F06D"/>
    <w:rsid w:val="64EB43AC"/>
    <w:rsid w:val="650AFED0"/>
    <w:rsid w:val="650FD305"/>
    <w:rsid w:val="6514CD14"/>
    <w:rsid w:val="65262BAC"/>
    <w:rsid w:val="6573ACA3"/>
    <w:rsid w:val="6597DAE0"/>
    <w:rsid w:val="65ACD7FD"/>
    <w:rsid w:val="65B1DD2D"/>
    <w:rsid w:val="65C7C306"/>
    <w:rsid w:val="6604AE04"/>
    <w:rsid w:val="6635F681"/>
    <w:rsid w:val="6685C372"/>
    <w:rsid w:val="66AC3C7D"/>
    <w:rsid w:val="66BA67B1"/>
    <w:rsid w:val="66D2C43D"/>
    <w:rsid w:val="66DC7EB1"/>
    <w:rsid w:val="66FBEAD1"/>
    <w:rsid w:val="66FD7BD4"/>
    <w:rsid w:val="672E14F7"/>
    <w:rsid w:val="67474ACE"/>
    <w:rsid w:val="6747DCA3"/>
    <w:rsid w:val="674BD1F1"/>
    <w:rsid w:val="67530609"/>
    <w:rsid w:val="6762662F"/>
    <w:rsid w:val="67699FC6"/>
    <w:rsid w:val="67953F45"/>
    <w:rsid w:val="67C3AEBA"/>
    <w:rsid w:val="67D00FF6"/>
    <w:rsid w:val="67DA651A"/>
    <w:rsid w:val="67DC565E"/>
    <w:rsid w:val="67E33D37"/>
    <w:rsid w:val="67F9C9E7"/>
    <w:rsid w:val="67FDCD31"/>
    <w:rsid w:val="680C9684"/>
    <w:rsid w:val="681B7964"/>
    <w:rsid w:val="6832754A"/>
    <w:rsid w:val="6834EB25"/>
    <w:rsid w:val="68380684"/>
    <w:rsid w:val="683AD3BE"/>
    <w:rsid w:val="68478BFB"/>
    <w:rsid w:val="684A4E40"/>
    <w:rsid w:val="684DFD64"/>
    <w:rsid w:val="6851770C"/>
    <w:rsid w:val="686516D7"/>
    <w:rsid w:val="686569E0"/>
    <w:rsid w:val="688F02EA"/>
    <w:rsid w:val="68A1E5F2"/>
    <w:rsid w:val="68C52D57"/>
    <w:rsid w:val="68C8376F"/>
    <w:rsid w:val="68E9D6AB"/>
    <w:rsid w:val="68EF87C6"/>
    <w:rsid w:val="68F6D4B4"/>
    <w:rsid w:val="68FAFB93"/>
    <w:rsid w:val="6900EFB1"/>
    <w:rsid w:val="6923A553"/>
    <w:rsid w:val="696131A0"/>
    <w:rsid w:val="6965CBF1"/>
    <w:rsid w:val="696F8C6B"/>
    <w:rsid w:val="69703B25"/>
    <w:rsid w:val="6973A469"/>
    <w:rsid w:val="69776D5A"/>
    <w:rsid w:val="6981F3ED"/>
    <w:rsid w:val="698BEDD1"/>
    <w:rsid w:val="699382A3"/>
    <w:rsid w:val="69A5096F"/>
    <w:rsid w:val="69A89078"/>
    <w:rsid w:val="69CF83E7"/>
    <w:rsid w:val="69DC36E7"/>
    <w:rsid w:val="69E9F1F2"/>
    <w:rsid w:val="69EA46BF"/>
    <w:rsid w:val="69F35BD3"/>
    <w:rsid w:val="6A1FB4DC"/>
    <w:rsid w:val="6A214D61"/>
    <w:rsid w:val="6A437C8D"/>
    <w:rsid w:val="6A4C2497"/>
    <w:rsid w:val="6A5AA24A"/>
    <w:rsid w:val="6A68E3F6"/>
    <w:rsid w:val="6A6E9E84"/>
    <w:rsid w:val="6A87B42D"/>
    <w:rsid w:val="6AA05FDF"/>
    <w:rsid w:val="6AB0C58E"/>
    <w:rsid w:val="6ABFDDB6"/>
    <w:rsid w:val="6AE215E4"/>
    <w:rsid w:val="6B069405"/>
    <w:rsid w:val="6B07B86A"/>
    <w:rsid w:val="6B0B546E"/>
    <w:rsid w:val="6B34E2D9"/>
    <w:rsid w:val="6B40C994"/>
    <w:rsid w:val="6B479994"/>
    <w:rsid w:val="6B4AD449"/>
    <w:rsid w:val="6B52004B"/>
    <w:rsid w:val="6B613B58"/>
    <w:rsid w:val="6B657840"/>
    <w:rsid w:val="6B717AB3"/>
    <w:rsid w:val="6B810024"/>
    <w:rsid w:val="6BC15C65"/>
    <w:rsid w:val="6BFA523F"/>
    <w:rsid w:val="6C1842F0"/>
    <w:rsid w:val="6C49E610"/>
    <w:rsid w:val="6C5262AB"/>
    <w:rsid w:val="6C5F0949"/>
    <w:rsid w:val="6C6F3509"/>
    <w:rsid w:val="6C732BBC"/>
    <w:rsid w:val="6C74978D"/>
    <w:rsid w:val="6C9E50D6"/>
    <w:rsid w:val="6CA97428"/>
    <w:rsid w:val="6CB6A0B6"/>
    <w:rsid w:val="6CBCF0A7"/>
    <w:rsid w:val="6CCA11DD"/>
    <w:rsid w:val="6CCF8C9B"/>
    <w:rsid w:val="6CD6F1DB"/>
    <w:rsid w:val="6CEA5DC0"/>
    <w:rsid w:val="6CFF3CC7"/>
    <w:rsid w:val="6D0A9026"/>
    <w:rsid w:val="6D10DACA"/>
    <w:rsid w:val="6D2EF74A"/>
    <w:rsid w:val="6D3A7178"/>
    <w:rsid w:val="6D58D719"/>
    <w:rsid w:val="6D6026FB"/>
    <w:rsid w:val="6D6DD446"/>
    <w:rsid w:val="6D7044F8"/>
    <w:rsid w:val="6D724C03"/>
    <w:rsid w:val="6DAA3C50"/>
    <w:rsid w:val="6DFAE6EC"/>
    <w:rsid w:val="6E10A21C"/>
    <w:rsid w:val="6E24E514"/>
    <w:rsid w:val="6E2FBF7A"/>
    <w:rsid w:val="6E3B35C8"/>
    <w:rsid w:val="6E59DD01"/>
    <w:rsid w:val="6E7ACF04"/>
    <w:rsid w:val="6E804745"/>
    <w:rsid w:val="6EA14279"/>
    <w:rsid w:val="6EC32EDD"/>
    <w:rsid w:val="6ED4BD7E"/>
    <w:rsid w:val="6ED5FBD7"/>
    <w:rsid w:val="6ED833EB"/>
    <w:rsid w:val="6EDCA4BD"/>
    <w:rsid w:val="6EEBADE4"/>
    <w:rsid w:val="6EEC1D21"/>
    <w:rsid w:val="6EF9DD5D"/>
    <w:rsid w:val="6F034F66"/>
    <w:rsid w:val="6F0AB55B"/>
    <w:rsid w:val="6F0CDF02"/>
    <w:rsid w:val="6F108648"/>
    <w:rsid w:val="6F3D8ADA"/>
    <w:rsid w:val="6F482661"/>
    <w:rsid w:val="6FB14B48"/>
    <w:rsid w:val="6FC3428A"/>
    <w:rsid w:val="6FEC8E1C"/>
    <w:rsid w:val="7003BA85"/>
    <w:rsid w:val="70264F1D"/>
    <w:rsid w:val="702675C2"/>
    <w:rsid w:val="702D2465"/>
    <w:rsid w:val="704DDF14"/>
    <w:rsid w:val="706076BB"/>
    <w:rsid w:val="709A096A"/>
    <w:rsid w:val="70C59A3C"/>
    <w:rsid w:val="70E0BDFE"/>
    <w:rsid w:val="70E458E5"/>
    <w:rsid w:val="710A9063"/>
    <w:rsid w:val="7137AC7E"/>
    <w:rsid w:val="71442F13"/>
    <w:rsid w:val="716AF09E"/>
    <w:rsid w:val="71729A90"/>
    <w:rsid w:val="718E2B47"/>
    <w:rsid w:val="718EF8BD"/>
    <w:rsid w:val="719C430D"/>
    <w:rsid w:val="71AA5AF3"/>
    <w:rsid w:val="71BC630B"/>
    <w:rsid w:val="71E30B83"/>
    <w:rsid w:val="71F2E318"/>
    <w:rsid w:val="72195D4F"/>
    <w:rsid w:val="72253401"/>
    <w:rsid w:val="72259F6B"/>
    <w:rsid w:val="72462A82"/>
    <w:rsid w:val="7265230A"/>
    <w:rsid w:val="72772901"/>
    <w:rsid w:val="729161D5"/>
    <w:rsid w:val="72A85C90"/>
    <w:rsid w:val="72AEB416"/>
    <w:rsid w:val="72B113CB"/>
    <w:rsid w:val="72B13D3A"/>
    <w:rsid w:val="72C50DB1"/>
    <w:rsid w:val="72C71296"/>
    <w:rsid w:val="72E28B52"/>
    <w:rsid w:val="72E8F2A2"/>
    <w:rsid w:val="72EC966A"/>
    <w:rsid w:val="72FB5F01"/>
    <w:rsid w:val="72FBA4F4"/>
    <w:rsid w:val="72FEDCBD"/>
    <w:rsid w:val="72FF0549"/>
    <w:rsid w:val="73157964"/>
    <w:rsid w:val="735AD799"/>
    <w:rsid w:val="73662312"/>
    <w:rsid w:val="7383EE23"/>
    <w:rsid w:val="739B2321"/>
    <w:rsid w:val="73A9886E"/>
    <w:rsid w:val="73B89D7E"/>
    <w:rsid w:val="73D2F98D"/>
    <w:rsid w:val="74062176"/>
    <w:rsid w:val="7408DB24"/>
    <w:rsid w:val="741AA556"/>
    <w:rsid w:val="743A9774"/>
    <w:rsid w:val="744B8979"/>
    <w:rsid w:val="7450FC05"/>
    <w:rsid w:val="745FBFD0"/>
    <w:rsid w:val="74671A47"/>
    <w:rsid w:val="7470CF43"/>
    <w:rsid w:val="74997433"/>
    <w:rsid w:val="74B6DE3D"/>
    <w:rsid w:val="74BF1C18"/>
    <w:rsid w:val="74C3B06A"/>
    <w:rsid w:val="74D8E014"/>
    <w:rsid w:val="74FF128E"/>
    <w:rsid w:val="7500AFD5"/>
    <w:rsid w:val="75191DBF"/>
    <w:rsid w:val="75474D73"/>
    <w:rsid w:val="754ED043"/>
    <w:rsid w:val="758CF8A1"/>
    <w:rsid w:val="75901A4F"/>
    <w:rsid w:val="75A6EFD2"/>
    <w:rsid w:val="75A92FA9"/>
    <w:rsid w:val="75B4F97C"/>
    <w:rsid w:val="75C18147"/>
    <w:rsid w:val="75C80660"/>
    <w:rsid w:val="75EA2B3C"/>
    <w:rsid w:val="75F11188"/>
    <w:rsid w:val="7612CAA9"/>
    <w:rsid w:val="761E6310"/>
    <w:rsid w:val="76220A5B"/>
    <w:rsid w:val="76240022"/>
    <w:rsid w:val="76285527"/>
    <w:rsid w:val="762CC8D1"/>
    <w:rsid w:val="76386954"/>
    <w:rsid w:val="764096F9"/>
    <w:rsid w:val="765376FD"/>
    <w:rsid w:val="76591AF8"/>
    <w:rsid w:val="7662B167"/>
    <w:rsid w:val="7662F113"/>
    <w:rsid w:val="76708ABA"/>
    <w:rsid w:val="767C5B36"/>
    <w:rsid w:val="76963B95"/>
    <w:rsid w:val="76AC4F41"/>
    <w:rsid w:val="76BE7BB1"/>
    <w:rsid w:val="76C52FE8"/>
    <w:rsid w:val="76DD303A"/>
    <w:rsid w:val="76E7C93C"/>
    <w:rsid w:val="76FD7A03"/>
    <w:rsid w:val="771D48DF"/>
    <w:rsid w:val="773B8E97"/>
    <w:rsid w:val="773EEAE1"/>
    <w:rsid w:val="773F2746"/>
    <w:rsid w:val="77799FF1"/>
    <w:rsid w:val="7789AE54"/>
    <w:rsid w:val="7792E748"/>
    <w:rsid w:val="7793AEA7"/>
    <w:rsid w:val="779A6DE1"/>
    <w:rsid w:val="779C21B9"/>
    <w:rsid w:val="77A3164E"/>
    <w:rsid w:val="77AF2429"/>
    <w:rsid w:val="77D8D4FE"/>
    <w:rsid w:val="781D51AB"/>
    <w:rsid w:val="784198C8"/>
    <w:rsid w:val="7866DFDA"/>
    <w:rsid w:val="787725BF"/>
    <w:rsid w:val="78858DB2"/>
    <w:rsid w:val="7895EA8B"/>
    <w:rsid w:val="789AE3EF"/>
    <w:rsid w:val="78C17A73"/>
    <w:rsid w:val="78DFA36D"/>
    <w:rsid w:val="78F83020"/>
    <w:rsid w:val="790CA331"/>
    <w:rsid w:val="79157939"/>
    <w:rsid w:val="791D61DA"/>
    <w:rsid w:val="7953555F"/>
    <w:rsid w:val="7959152D"/>
    <w:rsid w:val="795D4419"/>
    <w:rsid w:val="797193D1"/>
    <w:rsid w:val="79792CC7"/>
    <w:rsid w:val="7988A758"/>
    <w:rsid w:val="7990B604"/>
    <w:rsid w:val="79D17470"/>
    <w:rsid w:val="79D19899"/>
    <w:rsid w:val="79D2F671"/>
    <w:rsid w:val="79ED34F5"/>
    <w:rsid w:val="7A19C2F5"/>
    <w:rsid w:val="7A379E1A"/>
    <w:rsid w:val="7A38371F"/>
    <w:rsid w:val="7A3FA6F1"/>
    <w:rsid w:val="7A6C6016"/>
    <w:rsid w:val="7A8CF939"/>
    <w:rsid w:val="7A96846E"/>
    <w:rsid w:val="7AAFB12E"/>
    <w:rsid w:val="7AC6F893"/>
    <w:rsid w:val="7AD8BB05"/>
    <w:rsid w:val="7ADF1B47"/>
    <w:rsid w:val="7AE3235E"/>
    <w:rsid w:val="7AF3C2DF"/>
    <w:rsid w:val="7B07A2F4"/>
    <w:rsid w:val="7B121F95"/>
    <w:rsid w:val="7B161F1D"/>
    <w:rsid w:val="7B2AF2A4"/>
    <w:rsid w:val="7B5574F4"/>
    <w:rsid w:val="7B647509"/>
    <w:rsid w:val="7B6DB4AD"/>
    <w:rsid w:val="7B7172C5"/>
    <w:rsid w:val="7B776810"/>
    <w:rsid w:val="7B85DA1C"/>
    <w:rsid w:val="7BB90108"/>
    <w:rsid w:val="7BCE9002"/>
    <w:rsid w:val="7BD4FE97"/>
    <w:rsid w:val="7BE58E13"/>
    <w:rsid w:val="7BE984A6"/>
    <w:rsid w:val="7C04FA0D"/>
    <w:rsid w:val="7C139AAF"/>
    <w:rsid w:val="7C32051B"/>
    <w:rsid w:val="7C43EDEC"/>
    <w:rsid w:val="7C4517CF"/>
    <w:rsid w:val="7C5FD890"/>
    <w:rsid w:val="7C6D1434"/>
    <w:rsid w:val="7C6F584B"/>
    <w:rsid w:val="7C910D1C"/>
    <w:rsid w:val="7CBF67E7"/>
    <w:rsid w:val="7CCEE9D2"/>
    <w:rsid w:val="7CCFF7B4"/>
    <w:rsid w:val="7D0DF6E6"/>
    <w:rsid w:val="7D49E4BB"/>
    <w:rsid w:val="7D56C1F8"/>
    <w:rsid w:val="7D6D771F"/>
    <w:rsid w:val="7D8C5C49"/>
    <w:rsid w:val="7D97D194"/>
    <w:rsid w:val="7D9F2542"/>
    <w:rsid w:val="7DC3F79A"/>
    <w:rsid w:val="7DE52901"/>
    <w:rsid w:val="7DF09E48"/>
    <w:rsid w:val="7E381484"/>
    <w:rsid w:val="7E69C038"/>
    <w:rsid w:val="7E7FF6FD"/>
    <w:rsid w:val="7E8DEC30"/>
    <w:rsid w:val="7E94270F"/>
    <w:rsid w:val="7EA406D7"/>
    <w:rsid w:val="7EE009E3"/>
    <w:rsid w:val="7EE2B19A"/>
    <w:rsid w:val="7EE7A07D"/>
    <w:rsid w:val="7EF8B53C"/>
    <w:rsid w:val="7EF95DA7"/>
    <w:rsid w:val="7F0598A5"/>
    <w:rsid w:val="7F0E1756"/>
    <w:rsid w:val="7F3B1B1D"/>
    <w:rsid w:val="7F4FD6B7"/>
    <w:rsid w:val="7F5B900D"/>
    <w:rsid w:val="7F61B0A5"/>
    <w:rsid w:val="7F843DC1"/>
    <w:rsid w:val="7F93D5FD"/>
    <w:rsid w:val="7F94FE8F"/>
    <w:rsid w:val="7F9EA4DC"/>
    <w:rsid w:val="7FA1AE6E"/>
    <w:rsid w:val="7FA60D56"/>
    <w:rsid w:val="7FA8DFD0"/>
    <w:rsid w:val="7FB05E1E"/>
    <w:rsid w:val="7FC058A3"/>
    <w:rsid w:val="7FDB20FE"/>
    <w:rsid w:val="7FE908AB"/>
    <w:rsid w:val="7FF679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FC"/>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2"/>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2"/>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2A4503"/>
    <w:pPr>
      <w:numPr>
        <w:ilvl w:val="8"/>
      </w:numPr>
      <w:ind w:left="6480" w:hanging="360"/>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Figure_name,Numbered Indented Text,Bullet- First level,List NUmber,Listenabsatz1,lp"/>
    <w:basedOn w:val="Normal"/>
    <w:link w:val="ListParagraphChar"/>
    <w:uiPriority w:val="34"/>
    <w:qFormat/>
    <w:rsid w:val="004908B7"/>
    <w:pPr>
      <w:numPr>
        <w:ilvl w:val="4"/>
        <w:numId w:val="4"/>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TAtableplain,PBAC table,Dossier table,Summary Table,PHE Table Grid,Lash Style Table,Section 3- footnotes,Table Grid nm,HealthConsult,Source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next w:val="Normal"/>
    <w:link w:val="CaptionChar"/>
    <w:autoRedefine/>
    <w:uiPriority w:val="35"/>
    <w:qFormat/>
    <w:rsid w:val="003F6F2A"/>
    <w:pPr>
      <w:keepNext/>
      <w:keepLines/>
      <w:tabs>
        <w:tab w:val="left" w:pos="1418"/>
      </w:tabs>
      <w:spacing w:before="240" w:after="0"/>
      <w:contextualSpacing/>
      <w:jc w:val="both"/>
    </w:pPr>
    <w:rPr>
      <w:rFonts w:ascii="Arial Narrow" w:hAnsi="Arial Narrow"/>
      <w:b/>
      <w:sz w:val="20"/>
      <w:szCs w:val="20"/>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aliases w:val="Hyperlink - H39"/>
    <w:basedOn w:val="DefaultParagraphFont"/>
    <w:uiPriority w:val="99"/>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uiPriority w:val="35"/>
    <w:rsid w:val="003F6F2A"/>
    <w:rPr>
      <w:rFonts w:ascii="Arial Narrow" w:hAnsi="Arial Narrow"/>
      <w:b/>
      <w:sz w:val="20"/>
      <w:szCs w:val="20"/>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semiHidden/>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semiHidden/>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8F094E"/>
    <w:pPr>
      <w:widowControl w:val="0"/>
      <w:tabs>
        <w:tab w:val="left" w:pos="510"/>
        <w:tab w:val="left" w:pos="1077"/>
        <w:tab w:val="right" w:leader="dot" w:pos="9015"/>
      </w:tabs>
      <w:spacing w:before="240" w:after="120"/>
    </w:pPr>
    <w:rPr>
      <w:rFonts w:ascii="Arial" w:eastAsia="Times New Roman" w:hAnsi="Arial" w:cs="Arial"/>
      <w:b/>
      <w:bCs/>
      <w:i/>
      <w:noProof/>
      <w:snapToGrid w:val="0"/>
      <w:sz w:val="2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Figure_name Char,lp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4"/>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0" w:beforeAutospacing="0" w:afterLines="0" w:after="0" w:afterAutospacing="0" w:line="240" w:lineRule="auto"/>
        <w:ind w:leftChars="0" w:left="0" w:rightChars="0" w:right="57" w:firstLineChars="0" w:firstLine="0"/>
        <w:jc w:val="center"/>
      </w:pPr>
      <w:rPr>
        <w:rFonts w:ascii="Franklin Gothic Book" w:hAnsi="Franklin Gothic Book"/>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Franklin Gothic Book" w:hAnsi="Franklin Gothic Book"/>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ranklin Gothic Book" w:hAnsi="Franklin Gothic Book"/>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4"/>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ind w:left="3600" w:hanging="360"/>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4"/>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4"/>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3"/>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0"/>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11"/>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basedOn w:val="Normal"/>
    <w:link w:val="CommentTextChar"/>
    <w:uiPriority w:val="99"/>
    <w:unhideWhenUsed/>
    <w:rsid w:val="001952BB"/>
    <w:rPr>
      <w:sz w:val="20"/>
      <w:szCs w:val="20"/>
    </w:rPr>
  </w:style>
  <w:style w:type="character" w:customStyle="1" w:styleId="CommentTextChar">
    <w:name w:val="Comment Text Char"/>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qFormat/>
    <w:rsid w:val="008A41CD"/>
    <w:pPr>
      <w:spacing w:before="360"/>
    </w:pPr>
  </w:style>
  <w:style w:type="paragraph" w:customStyle="1" w:styleId="Instructionaltext-bullet">
    <w:name w:val="Instructional text - bullet"/>
    <w:basedOn w:val="Instructionaltext0"/>
    <w:rsid w:val="00FD07C6"/>
    <w:pPr>
      <w:numPr>
        <w:numId w:val="12"/>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4"/>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uiPriority w:val="4"/>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uiPriority w:val="4"/>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5"/>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qFormat/>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Tablenotes">
    <w:name w:val="Tablenotes"/>
    <w:basedOn w:val="Normal"/>
    <w:link w:val="TablenotesChar"/>
    <w:qFormat/>
    <w:rsid w:val="00F90661"/>
    <w:pPr>
      <w:widowControl w:val="0"/>
      <w:spacing w:before="0" w:after="120"/>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F90661"/>
    <w:rPr>
      <w:rFonts w:ascii="Arial Narrow" w:eastAsia="Times New Roman" w:hAnsi="Arial Narrow" w:cs="Arial"/>
      <w:snapToGrid w:val="0"/>
      <w:sz w:val="18"/>
      <w:szCs w:val="20"/>
    </w:rPr>
  </w:style>
  <w:style w:type="character" w:customStyle="1" w:styleId="searchhistory-search-term">
    <w:name w:val="searchhistory-search-term"/>
    <w:basedOn w:val="DefaultParagraphFont"/>
    <w:rsid w:val="00B76AB2"/>
  </w:style>
  <w:style w:type="character" w:customStyle="1" w:styleId="eop">
    <w:name w:val="eop"/>
    <w:basedOn w:val="DefaultParagraphFont"/>
    <w:rsid w:val="00E47B30"/>
  </w:style>
  <w:style w:type="character" w:customStyle="1" w:styleId="normaltextrun">
    <w:name w:val="normaltextrun"/>
    <w:basedOn w:val="DefaultParagraphFont"/>
    <w:rsid w:val="00E47B30"/>
  </w:style>
  <w:style w:type="paragraph" w:customStyle="1" w:styleId="ReportDate">
    <w:name w:val="ReportDate"/>
    <w:basedOn w:val="Normal"/>
    <w:locked/>
    <w:rsid w:val="000316B5"/>
    <w:pPr>
      <w:spacing w:before="0" w:after="0" w:line="360" w:lineRule="auto"/>
      <w:jc w:val="right"/>
    </w:pPr>
    <w:rPr>
      <w:rFonts w:ascii="Arial" w:eastAsia="Times New Roman" w:hAnsi="Arial" w:cs="Arial"/>
      <w:sz w:val="40"/>
      <w:szCs w:val="40"/>
    </w:rPr>
  </w:style>
  <w:style w:type="paragraph" w:customStyle="1" w:styleId="TableBodyText-H54">
    <w:name w:val="Table Body Text - H54"/>
    <w:basedOn w:val="BodyText"/>
    <w:link w:val="TableBodyText-H54Char"/>
    <w:qFormat/>
    <w:rsid w:val="008A1537"/>
    <w:pPr>
      <w:keepNext/>
      <w:widowControl w:val="0"/>
      <w:spacing w:before="20" w:after="20" w:line="360" w:lineRule="auto"/>
      <w:jc w:val="left"/>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8A1537"/>
    <w:rPr>
      <w:rFonts w:ascii="Arial Narrow" w:eastAsia="Times New Roman" w:hAnsi="Arial Narrow" w:cs="Times New Roman"/>
      <w:color w:val="000000" w:themeColor="text1"/>
      <w:sz w:val="20"/>
      <w:szCs w:val="20"/>
      <w:lang w:val="en-GB"/>
    </w:rPr>
  </w:style>
  <w:style w:type="table" w:customStyle="1" w:styleId="HTATableshaded">
    <w:name w:val="HTA Table shaded"/>
    <w:basedOn w:val="TableNormal"/>
    <w:rsid w:val="00827093"/>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0">
    <w:name w:val="Table Heading"/>
    <w:basedOn w:val="TableText"/>
    <w:link w:val="TableHeadingChar0"/>
    <w:uiPriority w:val="3"/>
    <w:qFormat/>
    <w:rsid w:val="00025DD9"/>
    <w:pPr>
      <w:keepNext/>
      <w:keepLines/>
      <w:widowControl/>
      <w:spacing w:before="20" w:after="20" w:line="276" w:lineRule="auto"/>
    </w:pPr>
    <w:rPr>
      <w:rFonts w:eastAsiaTheme="majorEastAsia" w:cs="Arial"/>
      <w:b/>
      <w:szCs w:val="20"/>
      <w:lang w:eastAsia="en-AU" w:bidi="en-US"/>
    </w:rPr>
  </w:style>
  <w:style w:type="character" w:customStyle="1" w:styleId="TableHeadingChar0">
    <w:name w:val="Table Heading Char"/>
    <w:basedOn w:val="DefaultParagraphFont"/>
    <w:link w:val="TableHeading0"/>
    <w:uiPriority w:val="3"/>
    <w:locked/>
    <w:rsid w:val="00025DD9"/>
    <w:rPr>
      <w:rFonts w:ascii="Arial Narrow" w:eastAsiaTheme="majorEastAsia" w:hAnsi="Arial Narrow" w:cs="Arial"/>
      <w:b/>
      <w:sz w:val="20"/>
      <w:szCs w:val="20"/>
      <w:lang w:eastAsia="en-AU" w:bidi="en-US"/>
    </w:rPr>
  </w:style>
  <w:style w:type="table" w:customStyle="1" w:styleId="AZTable">
    <w:name w:val="AZ Table"/>
    <w:basedOn w:val="TableNormal"/>
    <w:uiPriority w:val="99"/>
    <w:rsid w:val="004C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UnresolvedMention1">
    <w:name w:val="Unresolved Mention1"/>
    <w:basedOn w:val="DefaultParagraphFont"/>
    <w:uiPriority w:val="99"/>
    <w:semiHidden/>
    <w:unhideWhenUsed/>
    <w:rsid w:val="00D5715C"/>
    <w:rPr>
      <w:color w:val="605E5C"/>
      <w:shd w:val="clear" w:color="auto" w:fill="E1DFDD"/>
    </w:rPr>
  </w:style>
  <w:style w:type="character" w:customStyle="1" w:styleId="UnresolvedMention10">
    <w:name w:val="Unresolved Mention1"/>
    <w:basedOn w:val="DefaultParagraphFont"/>
    <w:uiPriority w:val="99"/>
    <w:semiHidden/>
    <w:unhideWhenUsed/>
    <w:rsid w:val="00DD48DD"/>
    <w:rPr>
      <w:color w:val="605E5C"/>
      <w:shd w:val="clear" w:color="auto" w:fill="E1DFDD"/>
    </w:rPr>
  </w:style>
  <w:style w:type="paragraph" w:styleId="DocumentMap">
    <w:name w:val="Document Map"/>
    <w:basedOn w:val="Normal"/>
    <w:link w:val="DocumentMapChar"/>
    <w:uiPriority w:val="99"/>
    <w:semiHidden/>
    <w:rsid w:val="00DD48D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48DD"/>
    <w:rPr>
      <w:rFonts w:ascii="Tahoma" w:hAnsi="Tahoma" w:cs="Tahoma"/>
      <w:sz w:val="16"/>
      <w:szCs w:val="16"/>
    </w:rPr>
  </w:style>
  <w:style w:type="character" w:customStyle="1" w:styleId="Mention1">
    <w:name w:val="Mention1"/>
    <w:basedOn w:val="DefaultParagraphFont"/>
    <w:uiPriority w:val="99"/>
    <w:unhideWhenUsed/>
    <w:rsid w:val="006848C3"/>
    <w:rPr>
      <w:color w:val="2B579A"/>
      <w:shd w:val="clear" w:color="auto" w:fill="E6E6E6"/>
    </w:rPr>
  </w:style>
  <w:style w:type="table" w:customStyle="1" w:styleId="PBACTableStyle1">
    <w:name w:val="PBAC Table Style1"/>
    <w:basedOn w:val="TableGrid1"/>
    <w:uiPriority w:val="99"/>
    <w:rsid w:val="00504A5F"/>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0" w:beforeAutospacing="0" w:afterLines="0" w:after="0" w:afterAutospacing="0" w:line="240" w:lineRule="auto"/>
        <w:ind w:leftChars="0" w:left="0" w:rightChars="0" w:right="57" w:firstLineChars="0" w:firstLine="0"/>
        <w:jc w:val="center"/>
      </w:pPr>
      <w:rPr>
        <w:rFonts w:ascii="Franklin Gothic Book" w:hAnsi="Franklin Gothic Book"/>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Franklin Gothic Book" w:hAnsi="Franklin Gothic Book"/>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ranklin Gothic Book" w:hAnsi="Franklin Gothic Book"/>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cf01">
    <w:name w:val="cf01"/>
    <w:basedOn w:val="DefaultParagraphFont"/>
    <w:rsid w:val="00A20713"/>
    <w:rPr>
      <w:rFonts w:ascii="Segoe UI" w:hAnsi="Segoe UI" w:cs="Segoe UI" w:hint="default"/>
      <w:sz w:val="18"/>
      <w:szCs w:val="18"/>
    </w:rPr>
  </w:style>
  <w:style w:type="paragraph" w:styleId="EndnoteText">
    <w:name w:val="endnote text"/>
    <w:basedOn w:val="Normal"/>
    <w:link w:val="EndnoteTextChar"/>
    <w:uiPriority w:val="99"/>
    <w:semiHidden/>
    <w:rsid w:val="00170330"/>
    <w:pPr>
      <w:spacing w:before="0" w:after="0"/>
    </w:pPr>
    <w:rPr>
      <w:sz w:val="20"/>
      <w:szCs w:val="20"/>
    </w:rPr>
  </w:style>
  <w:style w:type="character" w:customStyle="1" w:styleId="EndnoteTextChar">
    <w:name w:val="Endnote Text Char"/>
    <w:basedOn w:val="DefaultParagraphFont"/>
    <w:link w:val="EndnoteText"/>
    <w:uiPriority w:val="99"/>
    <w:semiHidden/>
    <w:rsid w:val="00170330"/>
    <w:rPr>
      <w:sz w:val="20"/>
      <w:szCs w:val="20"/>
    </w:rPr>
  </w:style>
  <w:style w:type="character" w:styleId="EndnoteReference">
    <w:name w:val="endnote reference"/>
    <w:basedOn w:val="DefaultParagraphFont"/>
    <w:uiPriority w:val="99"/>
    <w:semiHidden/>
    <w:rsid w:val="00170330"/>
    <w:rPr>
      <w:vertAlign w:val="superscript"/>
    </w:rPr>
  </w:style>
  <w:style w:type="paragraph" w:customStyle="1" w:styleId="PBACHeading1">
    <w:name w:val="PBAC Heading 1"/>
    <w:qFormat/>
    <w:rsid w:val="00F52ABB"/>
    <w:pPr>
      <w:spacing w:after="0" w:line="240" w:lineRule="auto"/>
      <w:ind w:left="720" w:hanging="720"/>
      <w:outlineLvl w:val="0"/>
    </w:pPr>
    <w:rPr>
      <w:rFonts w:ascii="Calibri" w:eastAsia="Times New Roman" w:hAnsi="Calibri" w:cs="Calibri"/>
      <w:b/>
      <w:snapToGrid w:val="0"/>
      <w:sz w:val="32"/>
      <w:szCs w:val="32"/>
    </w:rPr>
  </w:style>
  <w:style w:type="paragraph" w:customStyle="1" w:styleId="1-MainHeading">
    <w:name w:val="1-Main Heading"/>
    <w:link w:val="1-MainHeadingChar"/>
    <w:qFormat/>
    <w:rsid w:val="009A541E"/>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9A541E"/>
    <w:rPr>
      <w:rFonts w:eastAsiaTheme="majorEastAsia" w:cstheme="majorBidi"/>
      <w:b/>
      <w:spacing w:val="5"/>
      <w:kern w:val="28"/>
      <w:sz w:val="36"/>
      <w:szCs w:val="36"/>
      <w:lang w:eastAsia="en-AU"/>
    </w:rPr>
  </w:style>
  <w:style w:type="character" w:customStyle="1" w:styleId="html-italic">
    <w:name w:val="html-italic"/>
    <w:basedOn w:val="DefaultParagraphFont"/>
    <w:rsid w:val="00CB7D4D"/>
  </w:style>
  <w:style w:type="paragraph" w:customStyle="1" w:styleId="BulletBeforeDash">
    <w:name w:val="BulletBeforeDash"/>
    <w:basedOn w:val="Normal"/>
    <w:rsid w:val="00AD49AA"/>
    <w:pPr>
      <w:numPr>
        <w:numId w:val="19"/>
      </w:numPr>
      <w:spacing w:before="0" w:after="0"/>
      <w:jc w:val="left"/>
    </w:pPr>
    <w:rPr>
      <w:rFonts w:ascii="Times New Roman" w:eastAsia="Times New Roman" w:hAnsi="Times New Roman" w:cs="Times New Roman"/>
      <w:color w:val="000000"/>
      <w:szCs w:val="20"/>
      <w:lang w:eastAsia="en-AU"/>
    </w:rPr>
  </w:style>
  <w:style w:type="character" w:customStyle="1" w:styleId="UnresolvedMention100">
    <w:name w:val="Unresolved Mention10"/>
    <w:basedOn w:val="DefaultParagraphFont"/>
    <w:uiPriority w:val="99"/>
    <w:semiHidden/>
    <w:unhideWhenUsed/>
    <w:rsid w:val="009D66B4"/>
    <w:rPr>
      <w:color w:val="605E5C"/>
      <w:shd w:val="clear" w:color="auto" w:fill="E1DFDD"/>
    </w:rPr>
  </w:style>
  <w:style w:type="character" w:styleId="Mention">
    <w:name w:val="Mention"/>
    <w:basedOn w:val="DefaultParagraphFont"/>
    <w:uiPriority w:val="99"/>
    <w:unhideWhenUsed/>
    <w:rsid w:val="00935A35"/>
    <w:rPr>
      <w:color w:val="2B579A"/>
      <w:shd w:val="clear" w:color="auto" w:fill="E1DFDD"/>
    </w:rPr>
  </w:style>
  <w:style w:type="character" w:styleId="UnresolvedMention">
    <w:name w:val="Unresolved Mention"/>
    <w:basedOn w:val="DefaultParagraphFont"/>
    <w:uiPriority w:val="99"/>
    <w:semiHidden/>
    <w:unhideWhenUsed/>
    <w:rsid w:val="00BD691F"/>
    <w:rPr>
      <w:color w:val="605E5C"/>
      <w:shd w:val="clear" w:color="auto" w:fill="E1DFDD"/>
    </w:rPr>
  </w:style>
  <w:style w:type="character" w:customStyle="1" w:styleId="UnresolvedMention1000">
    <w:name w:val="Unresolved Mention100"/>
    <w:basedOn w:val="DefaultParagraphFont"/>
    <w:uiPriority w:val="99"/>
    <w:semiHidden/>
    <w:unhideWhenUsed/>
    <w:rsid w:val="00F468A4"/>
    <w:rPr>
      <w:color w:val="605E5C"/>
      <w:shd w:val="clear" w:color="auto" w:fill="E1DFDD"/>
    </w:rPr>
  </w:style>
  <w:style w:type="character" w:customStyle="1" w:styleId="UnresolvedMention10000">
    <w:name w:val="Unresolved Mention1000"/>
    <w:basedOn w:val="DefaultParagraphFont"/>
    <w:uiPriority w:val="99"/>
    <w:semiHidden/>
    <w:unhideWhenUsed/>
    <w:rsid w:val="00744B9D"/>
    <w:rPr>
      <w:color w:val="605E5C"/>
      <w:shd w:val="clear" w:color="auto" w:fill="E1DFDD"/>
    </w:rPr>
  </w:style>
  <w:style w:type="character" w:customStyle="1" w:styleId="UnresolvedMention100000">
    <w:name w:val="Unresolved Mention10000"/>
    <w:basedOn w:val="DefaultParagraphFont"/>
    <w:uiPriority w:val="99"/>
    <w:semiHidden/>
    <w:unhideWhenUsed/>
    <w:rsid w:val="00F674E4"/>
    <w:rPr>
      <w:color w:val="605E5C"/>
      <w:shd w:val="clear" w:color="auto" w:fill="E1DFDD"/>
    </w:rPr>
  </w:style>
  <w:style w:type="character" w:customStyle="1" w:styleId="UnresolvedMention1000000">
    <w:name w:val="Unresolved Mention100000"/>
    <w:basedOn w:val="DefaultParagraphFont"/>
    <w:uiPriority w:val="99"/>
    <w:semiHidden/>
    <w:unhideWhenUsed/>
    <w:rsid w:val="0041290C"/>
    <w:rPr>
      <w:color w:val="605E5C"/>
      <w:shd w:val="clear" w:color="auto" w:fill="E1DFDD"/>
    </w:rPr>
  </w:style>
  <w:style w:type="character" w:customStyle="1" w:styleId="UnresolvedMention10000000">
    <w:name w:val="Unresolved Mention1000000"/>
    <w:basedOn w:val="DefaultParagraphFont"/>
    <w:uiPriority w:val="99"/>
    <w:semiHidden/>
    <w:unhideWhenUsed/>
    <w:rsid w:val="00A3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26488652">
      <w:bodyDiv w:val="1"/>
      <w:marLeft w:val="0"/>
      <w:marRight w:val="0"/>
      <w:marTop w:val="0"/>
      <w:marBottom w:val="0"/>
      <w:divBdr>
        <w:top w:val="none" w:sz="0" w:space="0" w:color="auto"/>
        <w:left w:val="none" w:sz="0" w:space="0" w:color="auto"/>
        <w:bottom w:val="none" w:sz="0" w:space="0" w:color="auto"/>
        <w:right w:val="none" w:sz="0" w:space="0" w:color="auto"/>
      </w:divBdr>
    </w:div>
    <w:div w:id="33848780">
      <w:bodyDiv w:val="1"/>
      <w:marLeft w:val="0"/>
      <w:marRight w:val="0"/>
      <w:marTop w:val="0"/>
      <w:marBottom w:val="0"/>
      <w:divBdr>
        <w:top w:val="none" w:sz="0" w:space="0" w:color="auto"/>
        <w:left w:val="none" w:sz="0" w:space="0" w:color="auto"/>
        <w:bottom w:val="none" w:sz="0" w:space="0" w:color="auto"/>
        <w:right w:val="none" w:sz="0" w:space="0" w:color="auto"/>
      </w:divBdr>
    </w:div>
    <w:div w:id="40597167">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09593689">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852490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759389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01738287">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189949928">
          <w:marLeft w:val="0"/>
          <w:marRight w:val="0"/>
          <w:marTop w:val="0"/>
          <w:marBottom w:val="0"/>
          <w:divBdr>
            <w:top w:val="none" w:sz="0" w:space="0" w:color="auto"/>
            <w:left w:val="none" w:sz="0" w:space="0" w:color="auto"/>
            <w:bottom w:val="none" w:sz="0" w:space="0" w:color="auto"/>
            <w:right w:val="none" w:sz="0" w:space="0" w:color="auto"/>
          </w:divBdr>
        </w:div>
        <w:div w:id="938560493">
          <w:marLeft w:val="0"/>
          <w:marRight w:val="0"/>
          <w:marTop w:val="0"/>
          <w:marBottom w:val="0"/>
          <w:divBdr>
            <w:top w:val="none" w:sz="0" w:space="0" w:color="auto"/>
            <w:left w:val="none" w:sz="0" w:space="0" w:color="auto"/>
            <w:bottom w:val="none" w:sz="0" w:space="0" w:color="auto"/>
            <w:right w:val="none" w:sz="0" w:space="0" w:color="auto"/>
          </w:divBdr>
          <w:divsChild>
            <w:div w:id="75131076">
              <w:marLeft w:val="0"/>
              <w:marRight w:val="0"/>
              <w:marTop w:val="0"/>
              <w:marBottom w:val="0"/>
              <w:divBdr>
                <w:top w:val="none" w:sz="0" w:space="0" w:color="auto"/>
                <w:left w:val="none" w:sz="0" w:space="0" w:color="auto"/>
                <w:bottom w:val="none" w:sz="0" w:space="0" w:color="auto"/>
                <w:right w:val="none" w:sz="0" w:space="0" w:color="auto"/>
              </w:divBdr>
            </w:div>
            <w:div w:id="263272063">
              <w:marLeft w:val="0"/>
              <w:marRight w:val="0"/>
              <w:marTop w:val="0"/>
              <w:marBottom w:val="0"/>
              <w:divBdr>
                <w:top w:val="none" w:sz="0" w:space="0" w:color="auto"/>
                <w:left w:val="none" w:sz="0" w:space="0" w:color="auto"/>
                <w:bottom w:val="none" w:sz="0" w:space="0" w:color="auto"/>
                <w:right w:val="none" w:sz="0" w:space="0" w:color="auto"/>
              </w:divBdr>
            </w:div>
            <w:div w:id="526914174">
              <w:marLeft w:val="0"/>
              <w:marRight w:val="0"/>
              <w:marTop w:val="0"/>
              <w:marBottom w:val="0"/>
              <w:divBdr>
                <w:top w:val="none" w:sz="0" w:space="0" w:color="auto"/>
                <w:left w:val="none" w:sz="0" w:space="0" w:color="auto"/>
                <w:bottom w:val="none" w:sz="0" w:space="0" w:color="auto"/>
                <w:right w:val="none" w:sz="0" w:space="0" w:color="auto"/>
              </w:divBdr>
            </w:div>
            <w:div w:id="558787883">
              <w:marLeft w:val="0"/>
              <w:marRight w:val="0"/>
              <w:marTop w:val="0"/>
              <w:marBottom w:val="0"/>
              <w:divBdr>
                <w:top w:val="none" w:sz="0" w:space="0" w:color="auto"/>
                <w:left w:val="none" w:sz="0" w:space="0" w:color="auto"/>
                <w:bottom w:val="none" w:sz="0" w:space="0" w:color="auto"/>
                <w:right w:val="none" w:sz="0" w:space="0" w:color="auto"/>
              </w:divBdr>
            </w:div>
            <w:div w:id="733822044">
              <w:marLeft w:val="0"/>
              <w:marRight w:val="0"/>
              <w:marTop w:val="0"/>
              <w:marBottom w:val="0"/>
              <w:divBdr>
                <w:top w:val="none" w:sz="0" w:space="0" w:color="auto"/>
                <w:left w:val="none" w:sz="0" w:space="0" w:color="auto"/>
                <w:bottom w:val="none" w:sz="0" w:space="0" w:color="auto"/>
                <w:right w:val="none" w:sz="0" w:space="0" w:color="auto"/>
              </w:divBdr>
            </w:div>
            <w:div w:id="1183057889">
              <w:marLeft w:val="0"/>
              <w:marRight w:val="0"/>
              <w:marTop w:val="0"/>
              <w:marBottom w:val="0"/>
              <w:divBdr>
                <w:top w:val="none" w:sz="0" w:space="0" w:color="auto"/>
                <w:left w:val="none" w:sz="0" w:space="0" w:color="auto"/>
                <w:bottom w:val="none" w:sz="0" w:space="0" w:color="auto"/>
                <w:right w:val="none" w:sz="0" w:space="0" w:color="auto"/>
              </w:divBdr>
            </w:div>
            <w:div w:id="1275595162">
              <w:marLeft w:val="0"/>
              <w:marRight w:val="0"/>
              <w:marTop w:val="0"/>
              <w:marBottom w:val="0"/>
              <w:divBdr>
                <w:top w:val="none" w:sz="0" w:space="0" w:color="auto"/>
                <w:left w:val="none" w:sz="0" w:space="0" w:color="auto"/>
                <w:bottom w:val="none" w:sz="0" w:space="0" w:color="auto"/>
                <w:right w:val="none" w:sz="0" w:space="0" w:color="auto"/>
              </w:divBdr>
            </w:div>
            <w:div w:id="1411655835">
              <w:marLeft w:val="0"/>
              <w:marRight w:val="0"/>
              <w:marTop w:val="0"/>
              <w:marBottom w:val="0"/>
              <w:divBdr>
                <w:top w:val="none" w:sz="0" w:space="0" w:color="auto"/>
                <w:left w:val="none" w:sz="0" w:space="0" w:color="auto"/>
                <w:bottom w:val="none" w:sz="0" w:space="0" w:color="auto"/>
                <w:right w:val="none" w:sz="0" w:space="0" w:color="auto"/>
              </w:divBdr>
            </w:div>
            <w:div w:id="1546217010">
              <w:marLeft w:val="0"/>
              <w:marRight w:val="0"/>
              <w:marTop w:val="0"/>
              <w:marBottom w:val="0"/>
              <w:divBdr>
                <w:top w:val="none" w:sz="0" w:space="0" w:color="auto"/>
                <w:left w:val="none" w:sz="0" w:space="0" w:color="auto"/>
                <w:bottom w:val="none" w:sz="0" w:space="0" w:color="auto"/>
                <w:right w:val="none" w:sz="0" w:space="0" w:color="auto"/>
              </w:divBdr>
            </w:div>
            <w:div w:id="1632782098">
              <w:marLeft w:val="0"/>
              <w:marRight w:val="0"/>
              <w:marTop w:val="0"/>
              <w:marBottom w:val="0"/>
              <w:divBdr>
                <w:top w:val="none" w:sz="0" w:space="0" w:color="auto"/>
                <w:left w:val="none" w:sz="0" w:space="0" w:color="auto"/>
                <w:bottom w:val="none" w:sz="0" w:space="0" w:color="auto"/>
                <w:right w:val="none" w:sz="0" w:space="0" w:color="auto"/>
              </w:divBdr>
            </w:div>
            <w:div w:id="1673295169">
              <w:marLeft w:val="0"/>
              <w:marRight w:val="0"/>
              <w:marTop w:val="0"/>
              <w:marBottom w:val="0"/>
              <w:divBdr>
                <w:top w:val="none" w:sz="0" w:space="0" w:color="auto"/>
                <w:left w:val="none" w:sz="0" w:space="0" w:color="auto"/>
                <w:bottom w:val="none" w:sz="0" w:space="0" w:color="auto"/>
                <w:right w:val="none" w:sz="0" w:space="0" w:color="auto"/>
              </w:divBdr>
            </w:div>
            <w:div w:id="1736277352">
              <w:marLeft w:val="0"/>
              <w:marRight w:val="0"/>
              <w:marTop w:val="0"/>
              <w:marBottom w:val="0"/>
              <w:divBdr>
                <w:top w:val="none" w:sz="0" w:space="0" w:color="auto"/>
                <w:left w:val="none" w:sz="0" w:space="0" w:color="auto"/>
                <w:bottom w:val="none" w:sz="0" w:space="0" w:color="auto"/>
                <w:right w:val="none" w:sz="0" w:space="0" w:color="auto"/>
              </w:divBdr>
            </w:div>
            <w:div w:id="1773818376">
              <w:marLeft w:val="0"/>
              <w:marRight w:val="0"/>
              <w:marTop w:val="0"/>
              <w:marBottom w:val="0"/>
              <w:divBdr>
                <w:top w:val="none" w:sz="0" w:space="0" w:color="auto"/>
                <w:left w:val="none" w:sz="0" w:space="0" w:color="auto"/>
                <w:bottom w:val="none" w:sz="0" w:space="0" w:color="auto"/>
                <w:right w:val="none" w:sz="0" w:space="0" w:color="auto"/>
              </w:divBdr>
            </w:div>
            <w:div w:id="1879931373">
              <w:marLeft w:val="0"/>
              <w:marRight w:val="0"/>
              <w:marTop w:val="0"/>
              <w:marBottom w:val="0"/>
              <w:divBdr>
                <w:top w:val="none" w:sz="0" w:space="0" w:color="auto"/>
                <w:left w:val="none" w:sz="0" w:space="0" w:color="auto"/>
                <w:bottom w:val="none" w:sz="0" w:space="0" w:color="auto"/>
                <w:right w:val="none" w:sz="0" w:space="0" w:color="auto"/>
              </w:divBdr>
            </w:div>
            <w:div w:id="2093356553">
              <w:marLeft w:val="0"/>
              <w:marRight w:val="0"/>
              <w:marTop w:val="0"/>
              <w:marBottom w:val="0"/>
              <w:divBdr>
                <w:top w:val="none" w:sz="0" w:space="0" w:color="auto"/>
                <w:left w:val="none" w:sz="0" w:space="0" w:color="auto"/>
                <w:bottom w:val="none" w:sz="0" w:space="0" w:color="auto"/>
                <w:right w:val="none" w:sz="0" w:space="0" w:color="auto"/>
              </w:divBdr>
            </w:div>
          </w:divsChild>
        </w:div>
        <w:div w:id="1138105471">
          <w:marLeft w:val="0"/>
          <w:marRight w:val="0"/>
          <w:marTop w:val="0"/>
          <w:marBottom w:val="0"/>
          <w:divBdr>
            <w:top w:val="none" w:sz="0" w:space="0" w:color="auto"/>
            <w:left w:val="none" w:sz="0" w:space="0" w:color="auto"/>
            <w:bottom w:val="none" w:sz="0" w:space="0" w:color="auto"/>
            <w:right w:val="none" w:sz="0" w:space="0" w:color="auto"/>
          </w:divBdr>
        </w:div>
        <w:div w:id="1300645182">
          <w:marLeft w:val="0"/>
          <w:marRight w:val="0"/>
          <w:marTop w:val="0"/>
          <w:marBottom w:val="0"/>
          <w:divBdr>
            <w:top w:val="none" w:sz="0" w:space="0" w:color="auto"/>
            <w:left w:val="none" w:sz="0" w:space="0" w:color="auto"/>
            <w:bottom w:val="none" w:sz="0" w:space="0" w:color="auto"/>
            <w:right w:val="none" w:sz="0" w:space="0" w:color="auto"/>
          </w:divBdr>
        </w:div>
        <w:div w:id="1368530693">
          <w:marLeft w:val="0"/>
          <w:marRight w:val="0"/>
          <w:marTop w:val="0"/>
          <w:marBottom w:val="0"/>
          <w:divBdr>
            <w:top w:val="none" w:sz="0" w:space="0" w:color="auto"/>
            <w:left w:val="none" w:sz="0" w:space="0" w:color="auto"/>
            <w:bottom w:val="none" w:sz="0" w:space="0" w:color="auto"/>
            <w:right w:val="none" w:sz="0" w:space="0" w:color="auto"/>
          </w:divBdr>
        </w:div>
      </w:divsChild>
    </w:div>
    <w:div w:id="302777649">
      <w:bodyDiv w:val="1"/>
      <w:marLeft w:val="0"/>
      <w:marRight w:val="0"/>
      <w:marTop w:val="0"/>
      <w:marBottom w:val="0"/>
      <w:divBdr>
        <w:top w:val="none" w:sz="0" w:space="0" w:color="auto"/>
        <w:left w:val="none" w:sz="0" w:space="0" w:color="auto"/>
        <w:bottom w:val="none" w:sz="0" w:space="0" w:color="auto"/>
        <w:right w:val="none" w:sz="0" w:space="0" w:color="auto"/>
      </w:divBdr>
      <w:divsChild>
        <w:div w:id="418647688">
          <w:marLeft w:val="0"/>
          <w:marRight w:val="0"/>
          <w:marTop w:val="0"/>
          <w:marBottom w:val="0"/>
          <w:divBdr>
            <w:top w:val="none" w:sz="0" w:space="0" w:color="auto"/>
            <w:left w:val="none" w:sz="0" w:space="0" w:color="auto"/>
            <w:bottom w:val="none" w:sz="0" w:space="0" w:color="auto"/>
            <w:right w:val="none" w:sz="0" w:space="0" w:color="auto"/>
          </w:divBdr>
        </w:div>
        <w:div w:id="1164202140">
          <w:marLeft w:val="0"/>
          <w:marRight w:val="0"/>
          <w:marTop w:val="0"/>
          <w:marBottom w:val="0"/>
          <w:divBdr>
            <w:top w:val="none" w:sz="0" w:space="0" w:color="auto"/>
            <w:left w:val="none" w:sz="0" w:space="0" w:color="auto"/>
            <w:bottom w:val="none" w:sz="0" w:space="0" w:color="auto"/>
            <w:right w:val="none" w:sz="0" w:space="0" w:color="auto"/>
          </w:divBdr>
        </w:div>
        <w:div w:id="1209414616">
          <w:marLeft w:val="0"/>
          <w:marRight w:val="0"/>
          <w:marTop w:val="0"/>
          <w:marBottom w:val="0"/>
          <w:divBdr>
            <w:top w:val="none" w:sz="0" w:space="0" w:color="auto"/>
            <w:left w:val="none" w:sz="0" w:space="0" w:color="auto"/>
            <w:bottom w:val="none" w:sz="0" w:space="0" w:color="auto"/>
            <w:right w:val="none" w:sz="0" w:space="0" w:color="auto"/>
          </w:divBdr>
        </w:div>
        <w:div w:id="1699547909">
          <w:marLeft w:val="0"/>
          <w:marRight w:val="0"/>
          <w:marTop w:val="0"/>
          <w:marBottom w:val="0"/>
          <w:divBdr>
            <w:top w:val="none" w:sz="0" w:space="0" w:color="auto"/>
            <w:left w:val="none" w:sz="0" w:space="0" w:color="auto"/>
            <w:bottom w:val="none" w:sz="0" w:space="0" w:color="auto"/>
            <w:right w:val="none" w:sz="0" w:space="0" w:color="auto"/>
          </w:divBdr>
        </w:div>
        <w:div w:id="2046057147">
          <w:marLeft w:val="0"/>
          <w:marRight w:val="0"/>
          <w:marTop w:val="0"/>
          <w:marBottom w:val="0"/>
          <w:divBdr>
            <w:top w:val="none" w:sz="0" w:space="0" w:color="auto"/>
            <w:left w:val="none" w:sz="0" w:space="0" w:color="auto"/>
            <w:bottom w:val="none" w:sz="0" w:space="0" w:color="auto"/>
            <w:right w:val="none" w:sz="0" w:space="0" w:color="auto"/>
          </w:divBdr>
          <w:divsChild>
            <w:div w:id="143550924">
              <w:marLeft w:val="0"/>
              <w:marRight w:val="0"/>
              <w:marTop w:val="0"/>
              <w:marBottom w:val="0"/>
              <w:divBdr>
                <w:top w:val="none" w:sz="0" w:space="0" w:color="auto"/>
                <w:left w:val="none" w:sz="0" w:space="0" w:color="auto"/>
                <w:bottom w:val="none" w:sz="0" w:space="0" w:color="auto"/>
                <w:right w:val="none" w:sz="0" w:space="0" w:color="auto"/>
              </w:divBdr>
            </w:div>
            <w:div w:id="177471541">
              <w:marLeft w:val="0"/>
              <w:marRight w:val="0"/>
              <w:marTop w:val="0"/>
              <w:marBottom w:val="0"/>
              <w:divBdr>
                <w:top w:val="none" w:sz="0" w:space="0" w:color="auto"/>
                <w:left w:val="none" w:sz="0" w:space="0" w:color="auto"/>
                <w:bottom w:val="none" w:sz="0" w:space="0" w:color="auto"/>
                <w:right w:val="none" w:sz="0" w:space="0" w:color="auto"/>
              </w:divBdr>
            </w:div>
            <w:div w:id="246497476">
              <w:marLeft w:val="0"/>
              <w:marRight w:val="0"/>
              <w:marTop w:val="0"/>
              <w:marBottom w:val="0"/>
              <w:divBdr>
                <w:top w:val="none" w:sz="0" w:space="0" w:color="auto"/>
                <w:left w:val="none" w:sz="0" w:space="0" w:color="auto"/>
                <w:bottom w:val="none" w:sz="0" w:space="0" w:color="auto"/>
                <w:right w:val="none" w:sz="0" w:space="0" w:color="auto"/>
              </w:divBdr>
            </w:div>
            <w:div w:id="301934006">
              <w:marLeft w:val="0"/>
              <w:marRight w:val="0"/>
              <w:marTop w:val="0"/>
              <w:marBottom w:val="0"/>
              <w:divBdr>
                <w:top w:val="none" w:sz="0" w:space="0" w:color="auto"/>
                <w:left w:val="none" w:sz="0" w:space="0" w:color="auto"/>
                <w:bottom w:val="none" w:sz="0" w:space="0" w:color="auto"/>
                <w:right w:val="none" w:sz="0" w:space="0" w:color="auto"/>
              </w:divBdr>
            </w:div>
            <w:div w:id="473330972">
              <w:marLeft w:val="0"/>
              <w:marRight w:val="0"/>
              <w:marTop w:val="0"/>
              <w:marBottom w:val="0"/>
              <w:divBdr>
                <w:top w:val="none" w:sz="0" w:space="0" w:color="auto"/>
                <w:left w:val="none" w:sz="0" w:space="0" w:color="auto"/>
                <w:bottom w:val="none" w:sz="0" w:space="0" w:color="auto"/>
                <w:right w:val="none" w:sz="0" w:space="0" w:color="auto"/>
              </w:divBdr>
            </w:div>
            <w:div w:id="813720424">
              <w:marLeft w:val="0"/>
              <w:marRight w:val="0"/>
              <w:marTop w:val="0"/>
              <w:marBottom w:val="0"/>
              <w:divBdr>
                <w:top w:val="none" w:sz="0" w:space="0" w:color="auto"/>
                <w:left w:val="none" w:sz="0" w:space="0" w:color="auto"/>
                <w:bottom w:val="none" w:sz="0" w:space="0" w:color="auto"/>
                <w:right w:val="none" w:sz="0" w:space="0" w:color="auto"/>
              </w:divBdr>
            </w:div>
            <w:div w:id="1064329038">
              <w:marLeft w:val="0"/>
              <w:marRight w:val="0"/>
              <w:marTop w:val="0"/>
              <w:marBottom w:val="0"/>
              <w:divBdr>
                <w:top w:val="none" w:sz="0" w:space="0" w:color="auto"/>
                <w:left w:val="none" w:sz="0" w:space="0" w:color="auto"/>
                <w:bottom w:val="none" w:sz="0" w:space="0" w:color="auto"/>
                <w:right w:val="none" w:sz="0" w:space="0" w:color="auto"/>
              </w:divBdr>
            </w:div>
            <w:div w:id="1067647227">
              <w:marLeft w:val="0"/>
              <w:marRight w:val="0"/>
              <w:marTop w:val="0"/>
              <w:marBottom w:val="0"/>
              <w:divBdr>
                <w:top w:val="none" w:sz="0" w:space="0" w:color="auto"/>
                <w:left w:val="none" w:sz="0" w:space="0" w:color="auto"/>
                <w:bottom w:val="none" w:sz="0" w:space="0" w:color="auto"/>
                <w:right w:val="none" w:sz="0" w:space="0" w:color="auto"/>
              </w:divBdr>
            </w:div>
            <w:div w:id="1121652404">
              <w:marLeft w:val="0"/>
              <w:marRight w:val="0"/>
              <w:marTop w:val="0"/>
              <w:marBottom w:val="0"/>
              <w:divBdr>
                <w:top w:val="none" w:sz="0" w:space="0" w:color="auto"/>
                <w:left w:val="none" w:sz="0" w:space="0" w:color="auto"/>
                <w:bottom w:val="none" w:sz="0" w:space="0" w:color="auto"/>
                <w:right w:val="none" w:sz="0" w:space="0" w:color="auto"/>
              </w:divBdr>
            </w:div>
            <w:div w:id="1145395656">
              <w:marLeft w:val="0"/>
              <w:marRight w:val="0"/>
              <w:marTop w:val="0"/>
              <w:marBottom w:val="0"/>
              <w:divBdr>
                <w:top w:val="none" w:sz="0" w:space="0" w:color="auto"/>
                <w:left w:val="none" w:sz="0" w:space="0" w:color="auto"/>
                <w:bottom w:val="none" w:sz="0" w:space="0" w:color="auto"/>
                <w:right w:val="none" w:sz="0" w:space="0" w:color="auto"/>
              </w:divBdr>
            </w:div>
            <w:div w:id="1160734211">
              <w:marLeft w:val="0"/>
              <w:marRight w:val="0"/>
              <w:marTop w:val="0"/>
              <w:marBottom w:val="0"/>
              <w:divBdr>
                <w:top w:val="none" w:sz="0" w:space="0" w:color="auto"/>
                <w:left w:val="none" w:sz="0" w:space="0" w:color="auto"/>
                <w:bottom w:val="none" w:sz="0" w:space="0" w:color="auto"/>
                <w:right w:val="none" w:sz="0" w:space="0" w:color="auto"/>
              </w:divBdr>
            </w:div>
            <w:div w:id="1301421858">
              <w:marLeft w:val="0"/>
              <w:marRight w:val="0"/>
              <w:marTop w:val="0"/>
              <w:marBottom w:val="0"/>
              <w:divBdr>
                <w:top w:val="none" w:sz="0" w:space="0" w:color="auto"/>
                <w:left w:val="none" w:sz="0" w:space="0" w:color="auto"/>
                <w:bottom w:val="none" w:sz="0" w:space="0" w:color="auto"/>
                <w:right w:val="none" w:sz="0" w:space="0" w:color="auto"/>
              </w:divBdr>
            </w:div>
            <w:div w:id="1393843657">
              <w:marLeft w:val="0"/>
              <w:marRight w:val="0"/>
              <w:marTop w:val="0"/>
              <w:marBottom w:val="0"/>
              <w:divBdr>
                <w:top w:val="none" w:sz="0" w:space="0" w:color="auto"/>
                <w:left w:val="none" w:sz="0" w:space="0" w:color="auto"/>
                <w:bottom w:val="none" w:sz="0" w:space="0" w:color="auto"/>
                <w:right w:val="none" w:sz="0" w:space="0" w:color="auto"/>
              </w:divBdr>
            </w:div>
            <w:div w:id="1886023673">
              <w:marLeft w:val="0"/>
              <w:marRight w:val="0"/>
              <w:marTop w:val="0"/>
              <w:marBottom w:val="0"/>
              <w:divBdr>
                <w:top w:val="none" w:sz="0" w:space="0" w:color="auto"/>
                <w:left w:val="none" w:sz="0" w:space="0" w:color="auto"/>
                <w:bottom w:val="none" w:sz="0" w:space="0" w:color="auto"/>
                <w:right w:val="none" w:sz="0" w:space="0" w:color="auto"/>
              </w:divBdr>
            </w:div>
            <w:div w:id="1974747354">
              <w:marLeft w:val="0"/>
              <w:marRight w:val="0"/>
              <w:marTop w:val="0"/>
              <w:marBottom w:val="0"/>
              <w:divBdr>
                <w:top w:val="none" w:sz="0" w:space="0" w:color="auto"/>
                <w:left w:val="none" w:sz="0" w:space="0" w:color="auto"/>
                <w:bottom w:val="none" w:sz="0" w:space="0" w:color="auto"/>
                <w:right w:val="none" w:sz="0" w:space="0" w:color="auto"/>
              </w:divBdr>
            </w:div>
          </w:divsChild>
        </w:div>
        <w:div w:id="2116165506">
          <w:marLeft w:val="0"/>
          <w:marRight w:val="0"/>
          <w:marTop w:val="0"/>
          <w:marBottom w:val="0"/>
          <w:divBdr>
            <w:top w:val="none" w:sz="0" w:space="0" w:color="auto"/>
            <w:left w:val="none" w:sz="0" w:space="0" w:color="auto"/>
            <w:bottom w:val="none" w:sz="0" w:space="0" w:color="auto"/>
            <w:right w:val="none" w:sz="0" w:space="0" w:color="auto"/>
          </w:divBdr>
        </w:div>
      </w:divsChild>
    </w:div>
    <w:div w:id="33557092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6994386">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813">
      <w:bodyDiv w:val="1"/>
      <w:marLeft w:val="0"/>
      <w:marRight w:val="0"/>
      <w:marTop w:val="0"/>
      <w:marBottom w:val="0"/>
      <w:divBdr>
        <w:top w:val="none" w:sz="0" w:space="0" w:color="auto"/>
        <w:left w:val="none" w:sz="0" w:space="0" w:color="auto"/>
        <w:bottom w:val="none" w:sz="0" w:space="0" w:color="auto"/>
        <w:right w:val="none" w:sz="0" w:space="0" w:color="auto"/>
      </w:divBdr>
      <w:divsChild>
        <w:div w:id="207449780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26424498">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59649866">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9701">
      <w:bodyDiv w:val="1"/>
      <w:marLeft w:val="0"/>
      <w:marRight w:val="0"/>
      <w:marTop w:val="0"/>
      <w:marBottom w:val="0"/>
      <w:divBdr>
        <w:top w:val="none" w:sz="0" w:space="0" w:color="auto"/>
        <w:left w:val="none" w:sz="0" w:space="0" w:color="auto"/>
        <w:bottom w:val="none" w:sz="0" w:space="0" w:color="auto"/>
        <w:right w:val="none" w:sz="0" w:space="0" w:color="auto"/>
      </w:divBdr>
    </w:div>
    <w:div w:id="723063065">
      <w:bodyDiv w:val="1"/>
      <w:marLeft w:val="0"/>
      <w:marRight w:val="0"/>
      <w:marTop w:val="0"/>
      <w:marBottom w:val="0"/>
      <w:divBdr>
        <w:top w:val="none" w:sz="0" w:space="0" w:color="auto"/>
        <w:left w:val="none" w:sz="0" w:space="0" w:color="auto"/>
        <w:bottom w:val="none" w:sz="0" w:space="0" w:color="auto"/>
        <w:right w:val="none" w:sz="0" w:space="0" w:color="auto"/>
      </w:divBdr>
    </w:div>
    <w:div w:id="763305680">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71827766">
      <w:bodyDiv w:val="1"/>
      <w:marLeft w:val="0"/>
      <w:marRight w:val="0"/>
      <w:marTop w:val="0"/>
      <w:marBottom w:val="0"/>
      <w:divBdr>
        <w:top w:val="none" w:sz="0" w:space="0" w:color="auto"/>
        <w:left w:val="none" w:sz="0" w:space="0" w:color="auto"/>
        <w:bottom w:val="none" w:sz="0" w:space="0" w:color="auto"/>
        <w:right w:val="none" w:sz="0" w:space="0" w:color="auto"/>
      </w:divBdr>
      <w:divsChild>
        <w:div w:id="78886174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1216822">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49177650">
      <w:bodyDiv w:val="1"/>
      <w:marLeft w:val="0"/>
      <w:marRight w:val="0"/>
      <w:marTop w:val="0"/>
      <w:marBottom w:val="0"/>
      <w:divBdr>
        <w:top w:val="none" w:sz="0" w:space="0" w:color="auto"/>
        <w:left w:val="none" w:sz="0" w:space="0" w:color="auto"/>
        <w:bottom w:val="none" w:sz="0" w:space="0" w:color="auto"/>
        <w:right w:val="none" w:sz="0" w:space="0" w:color="auto"/>
      </w:divBdr>
    </w:div>
    <w:div w:id="86140664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082146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884">
      <w:bodyDiv w:val="1"/>
      <w:marLeft w:val="0"/>
      <w:marRight w:val="0"/>
      <w:marTop w:val="0"/>
      <w:marBottom w:val="0"/>
      <w:divBdr>
        <w:top w:val="none" w:sz="0" w:space="0" w:color="auto"/>
        <w:left w:val="none" w:sz="0" w:space="0" w:color="auto"/>
        <w:bottom w:val="none" w:sz="0" w:space="0" w:color="auto"/>
        <w:right w:val="none" w:sz="0" w:space="0" w:color="auto"/>
      </w:divBdr>
    </w:div>
    <w:div w:id="111228891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52017736">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0434207">
      <w:bodyDiv w:val="1"/>
      <w:marLeft w:val="0"/>
      <w:marRight w:val="0"/>
      <w:marTop w:val="0"/>
      <w:marBottom w:val="0"/>
      <w:divBdr>
        <w:top w:val="none" w:sz="0" w:space="0" w:color="auto"/>
        <w:left w:val="none" w:sz="0" w:space="0" w:color="auto"/>
        <w:bottom w:val="none" w:sz="0" w:space="0" w:color="auto"/>
        <w:right w:val="none" w:sz="0" w:space="0" w:color="auto"/>
      </w:divBdr>
      <w:divsChild>
        <w:div w:id="168073910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6721976">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2031867">
      <w:bodyDiv w:val="1"/>
      <w:marLeft w:val="0"/>
      <w:marRight w:val="0"/>
      <w:marTop w:val="0"/>
      <w:marBottom w:val="0"/>
      <w:divBdr>
        <w:top w:val="none" w:sz="0" w:space="0" w:color="auto"/>
        <w:left w:val="none" w:sz="0" w:space="0" w:color="auto"/>
        <w:bottom w:val="none" w:sz="0" w:space="0" w:color="auto"/>
        <w:right w:val="none" w:sz="0" w:space="0" w:color="auto"/>
      </w:divBdr>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295211948">
      <w:bodyDiv w:val="1"/>
      <w:marLeft w:val="0"/>
      <w:marRight w:val="0"/>
      <w:marTop w:val="0"/>
      <w:marBottom w:val="0"/>
      <w:divBdr>
        <w:top w:val="none" w:sz="0" w:space="0" w:color="auto"/>
        <w:left w:val="none" w:sz="0" w:space="0" w:color="auto"/>
        <w:bottom w:val="none" w:sz="0" w:space="0" w:color="auto"/>
        <w:right w:val="none" w:sz="0" w:space="0" w:color="auto"/>
      </w:divBdr>
    </w:div>
    <w:div w:id="1298485486">
      <w:bodyDiv w:val="1"/>
      <w:marLeft w:val="0"/>
      <w:marRight w:val="0"/>
      <w:marTop w:val="0"/>
      <w:marBottom w:val="0"/>
      <w:divBdr>
        <w:top w:val="none" w:sz="0" w:space="0" w:color="auto"/>
        <w:left w:val="none" w:sz="0" w:space="0" w:color="auto"/>
        <w:bottom w:val="none" w:sz="0" w:space="0" w:color="auto"/>
        <w:right w:val="none" w:sz="0" w:space="0" w:color="auto"/>
      </w:divBdr>
    </w:div>
    <w:div w:id="1320184715">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1516593">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388066781">
      <w:bodyDiv w:val="1"/>
      <w:marLeft w:val="0"/>
      <w:marRight w:val="0"/>
      <w:marTop w:val="0"/>
      <w:marBottom w:val="0"/>
      <w:divBdr>
        <w:top w:val="none" w:sz="0" w:space="0" w:color="auto"/>
        <w:left w:val="none" w:sz="0" w:space="0" w:color="auto"/>
        <w:bottom w:val="none" w:sz="0" w:space="0" w:color="auto"/>
        <w:right w:val="none" w:sz="0" w:space="0" w:color="auto"/>
      </w:divBdr>
    </w:div>
    <w:div w:id="1403286307">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8504894">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49740391">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20317134">
      <w:bodyDiv w:val="1"/>
      <w:marLeft w:val="0"/>
      <w:marRight w:val="0"/>
      <w:marTop w:val="0"/>
      <w:marBottom w:val="0"/>
      <w:divBdr>
        <w:top w:val="none" w:sz="0" w:space="0" w:color="auto"/>
        <w:left w:val="none" w:sz="0" w:space="0" w:color="auto"/>
        <w:bottom w:val="none" w:sz="0" w:space="0" w:color="auto"/>
        <w:right w:val="none" w:sz="0" w:space="0" w:color="auto"/>
      </w:divBdr>
      <w:divsChild>
        <w:div w:id="155453504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1922316">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7120">
      <w:bodyDiv w:val="1"/>
      <w:marLeft w:val="0"/>
      <w:marRight w:val="0"/>
      <w:marTop w:val="0"/>
      <w:marBottom w:val="0"/>
      <w:divBdr>
        <w:top w:val="none" w:sz="0" w:space="0" w:color="auto"/>
        <w:left w:val="none" w:sz="0" w:space="0" w:color="auto"/>
        <w:bottom w:val="none" w:sz="0" w:space="0" w:color="auto"/>
        <w:right w:val="none" w:sz="0" w:space="0" w:color="auto"/>
      </w:divBdr>
      <w:divsChild>
        <w:div w:id="1438403235">
          <w:marLeft w:val="547"/>
          <w:marRight w:val="0"/>
          <w:marTop w:val="96"/>
          <w:marBottom w:val="0"/>
          <w:divBdr>
            <w:top w:val="none" w:sz="0" w:space="0" w:color="auto"/>
            <w:left w:val="none" w:sz="0" w:space="0" w:color="auto"/>
            <w:bottom w:val="none" w:sz="0" w:space="0" w:color="auto"/>
            <w:right w:val="none" w:sz="0" w:space="0" w:color="auto"/>
          </w:divBdr>
        </w:div>
      </w:divsChild>
    </w:div>
    <w:div w:id="1589386589">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594390545">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77805038">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34347745">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111">
      <w:bodyDiv w:val="1"/>
      <w:marLeft w:val="0"/>
      <w:marRight w:val="0"/>
      <w:marTop w:val="0"/>
      <w:marBottom w:val="0"/>
      <w:divBdr>
        <w:top w:val="none" w:sz="0" w:space="0" w:color="auto"/>
        <w:left w:val="none" w:sz="0" w:space="0" w:color="auto"/>
        <w:bottom w:val="none" w:sz="0" w:space="0" w:color="auto"/>
        <w:right w:val="none" w:sz="0" w:space="0" w:color="auto"/>
      </w:divBdr>
    </w:div>
    <w:div w:id="1885873502">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26457900">
      <w:bodyDiv w:val="1"/>
      <w:marLeft w:val="0"/>
      <w:marRight w:val="0"/>
      <w:marTop w:val="0"/>
      <w:marBottom w:val="0"/>
      <w:divBdr>
        <w:top w:val="none" w:sz="0" w:space="0" w:color="auto"/>
        <w:left w:val="none" w:sz="0" w:space="0" w:color="auto"/>
        <w:bottom w:val="none" w:sz="0" w:space="0" w:color="auto"/>
        <w:right w:val="none" w:sz="0" w:space="0" w:color="auto"/>
      </w:divBdr>
    </w:div>
    <w:div w:id="1928036088">
      <w:bodyDiv w:val="1"/>
      <w:marLeft w:val="0"/>
      <w:marRight w:val="0"/>
      <w:marTop w:val="0"/>
      <w:marBottom w:val="0"/>
      <w:divBdr>
        <w:top w:val="none" w:sz="0" w:space="0" w:color="auto"/>
        <w:left w:val="none" w:sz="0" w:space="0" w:color="auto"/>
        <w:bottom w:val="none" w:sz="0" w:space="0" w:color="auto"/>
        <w:right w:val="none" w:sz="0" w:space="0" w:color="auto"/>
      </w:divBdr>
    </w:div>
    <w:div w:id="193023405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2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1378">
      <w:bodyDiv w:val="1"/>
      <w:marLeft w:val="0"/>
      <w:marRight w:val="0"/>
      <w:marTop w:val="0"/>
      <w:marBottom w:val="0"/>
      <w:divBdr>
        <w:top w:val="none" w:sz="0" w:space="0" w:color="auto"/>
        <w:left w:val="none" w:sz="0" w:space="0" w:color="auto"/>
        <w:bottom w:val="none" w:sz="0" w:space="0" w:color="auto"/>
        <w:right w:val="none" w:sz="0" w:space="0" w:color="auto"/>
      </w:divBdr>
    </w:div>
    <w:div w:id="2010331903">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58700741">
      <w:bodyDiv w:val="1"/>
      <w:marLeft w:val="0"/>
      <w:marRight w:val="0"/>
      <w:marTop w:val="0"/>
      <w:marBottom w:val="0"/>
      <w:divBdr>
        <w:top w:val="none" w:sz="0" w:space="0" w:color="auto"/>
        <w:left w:val="none" w:sz="0" w:space="0" w:color="auto"/>
        <w:bottom w:val="none" w:sz="0" w:space="0" w:color="auto"/>
        <w:right w:val="none" w:sz="0" w:space="0" w:color="auto"/>
      </w:divBdr>
    </w:div>
    <w:div w:id="2088963204">
      <w:bodyDiv w:val="1"/>
      <w:marLeft w:val="0"/>
      <w:marRight w:val="0"/>
      <w:marTop w:val="0"/>
      <w:marBottom w:val="0"/>
      <w:divBdr>
        <w:top w:val="none" w:sz="0" w:space="0" w:color="auto"/>
        <w:left w:val="none" w:sz="0" w:space="0" w:color="auto"/>
        <w:bottom w:val="none" w:sz="0" w:space="0" w:color="auto"/>
        <w:right w:val="none" w:sz="0" w:space="0" w:color="auto"/>
      </w:divBdr>
    </w:div>
    <w:div w:id="2112621441">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msac.gov.au/internet/msac/publishing.nsf/Content/Hom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F4C14952-F09B-43F0-85F3-A3A4A62811B3}">
  <ds:schemaRefs>
    <ds:schemaRef ds:uri="http://schemas.openxmlformats.org/officeDocument/2006/bibliography"/>
  </ds:schemaRefs>
</ds:datastoreItem>
</file>

<file path=customXml/itemProps2.xml><?xml version="1.0" encoding="utf-8"?>
<ds:datastoreItem xmlns:ds="http://schemas.openxmlformats.org/officeDocument/2006/customXml" ds:itemID="{E482BAAE-4737-4B32-9224-17DA57F30A4E}"/>
</file>

<file path=customXml/itemProps3.xml><?xml version="1.0" encoding="utf-8"?>
<ds:datastoreItem xmlns:ds="http://schemas.openxmlformats.org/officeDocument/2006/customXml" ds:itemID="{A157A0FB-037E-48F6-B430-E6A9FCC0E8BE}"/>
</file>

<file path=customXml/itemProps4.xml><?xml version="1.0" encoding="utf-8"?>
<ds:datastoreItem xmlns:ds="http://schemas.openxmlformats.org/officeDocument/2006/customXml" ds:itemID="{2F0F0D61-FAAD-46EE-96F2-45E9C80286D0}"/>
</file>

<file path=docProps/app.xml><?xml version="1.0" encoding="utf-8"?>
<Properties xmlns="http://schemas.openxmlformats.org/officeDocument/2006/extended-properties" xmlns:vt="http://schemas.openxmlformats.org/officeDocument/2006/docPropsVTypes">
  <Template>Normal.dotm</Template>
  <TotalTime>0</TotalTime>
  <Pages>48</Pages>
  <Words>24681</Words>
  <Characters>140684</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2025-03-12T23:38:00Z</dcterms:created>
  <dcterms:modified xsi:type="dcterms:W3CDTF">2025-03-12T23:38:00Z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