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5A" w:rsidRDefault="0058725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340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>
            <wp:extent cx="1734185" cy="819785"/>
            <wp:effectExtent l="0" t="0" r="0" b="0"/>
            <wp:docPr id="2" name="Picture 1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5A" w:rsidRDefault="0058725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before="24" w:after="0" w:line="240" w:lineRule="auto"/>
        <w:ind w:left="2199" w:right="215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Medical</w:t>
      </w:r>
      <w:r>
        <w:rPr>
          <w:rFonts w:ascii="Arial" w:hAnsi="Arial" w:cs="Arial"/>
          <w:b/>
          <w:bCs/>
          <w:color w:val="00008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Services</w:t>
      </w:r>
      <w:r>
        <w:rPr>
          <w:rFonts w:ascii="Arial" w:hAnsi="Arial" w:cs="Arial"/>
          <w:b/>
          <w:bCs/>
          <w:color w:val="00008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Advisory</w:t>
      </w:r>
      <w:r>
        <w:rPr>
          <w:rFonts w:ascii="Arial" w:hAnsi="Arial" w:cs="Arial"/>
          <w:b/>
          <w:bCs/>
          <w:color w:val="00008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Committee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2911" w:right="286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Public</w:t>
      </w:r>
      <w:r>
        <w:rPr>
          <w:rFonts w:ascii="Arial" w:hAnsi="Arial" w:cs="Arial"/>
          <w:b/>
          <w:b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Summa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Docum</w:t>
      </w:r>
      <w:r>
        <w:rPr>
          <w:rFonts w:ascii="Arial" w:hAnsi="Arial" w:cs="Arial"/>
          <w:b/>
          <w:bCs/>
          <w:color w:val="000080"/>
          <w:spacing w:val="2"/>
          <w:w w:val="99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nt</w:t>
      </w:r>
    </w:p>
    <w:p w:rsidR="0058725A" w:rsidRDefault="0058725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481" w:right="43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Application</w:t>
      </w:r>
      <w:r>
        <w:rPr>
          <w:rFonts w:ascii="Arial" w:hAnsi="Arial" w:cs="Arial"/>
          <w:b/>
          <w:bCs/>
          <w:i/>
          <w:iCs/>
          <w:color w:val="00008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No.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1131</w:t>
      </w:r>
      <w:r>
        <w:rPr>
          <w:rFonts w:ascii="Arial" w:hAnsi="Arial" w:cs="Arial"/>
          <w:b/>
          <w:bCs/>
          <w:i/>
          <w:i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color w:val="00008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Assessment</w:t>
      </w:r>
      <w:r>
        <w:rPr>
          <w:rFonts w:ascii="Arial" w:hAnsi="Arial" w:cs="Arial"/>
          <w:b/>
          <w:bCs/>
          <w:i/>
          <w:iCs/>
          <w:color w:val="00008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8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Liver</w:t>
      </w:r>
      <w:r>
        <w:rPr>
          <w:rFonts w:ascii="Arial" w:hAnsi="Arial" w:cs="Arial"/>
          <w:b/>
          <w:bCs/>
          <w:i/>
          <w:i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Iron</w:t>
      </w:r>
      <w:r>
        <w:rPr>
          <w:rFonts w:ascii="Arial" w:hAnsi="Arial" w:cs="Arial"/>
          <w:b/>
          <w:bCs/>
          <w:i/>
          <w:iCs/>
          <w:color w:val="00008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by</w:t>
      </w:r>
      <w:r>
        <w:rPr>
          <w:rFonts w:ascii="Arial" w:hAnsi="Arial" w:cs="Arial"/>
          <w:b/>
          <w:bCs/>
          <w:i/>
          <w:iCs/>
          <w:color w:val="00008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R2-</w:t>
      </w:r>
      <w:r>
        <w:rPr>
          <w:rFonts w:ascii="Arial" w:hAnsi="Arial" w:cs="Arial"/>
          <w:b/>
          <w:bCs/>
          <w:i/>
          <w:iCs/>
          <w:color w:val="000080"/>
          <w:spacing w:val="-2"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agnetic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8725A" w:rsidRDefault="00D416FD">
      <w:pPr>
        <w:widowControl w:val="0"/>
        <w:tabs>
          <w:tab w:val="left" w:pos="3160"/>
          <w:tab w:val="left" w:pos="4200"/>
        </w:tabs>
        <w:autoSpaceDE w:val="0"/>
        <w:autoSpaceDN w:val="0"/>
        <w:adjustRightInd w:val="0"/>
        <w:spacing w:after="0" w:line="434" w:lineRule="auto"/>
        <w:ind w:left="116" w:right="387" w:firstLine="2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Resonance</w:t>
      </w:r>
      <w:r>
        <w:rPr>
          <w:rFonts w:ascii="Arial" w:hAnsi="Arial" w:cs="Arial"/>
          <w:b/>
          <w:bCs/>
          <w:i/>
          <w:iCs/>
          <w:color w:val="00008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Imaging</w:t>
      </w:r>
      <w:r>
        <w:rPr>
          <w:rFonts w:ascii="Arial" w:hAnsi="Arial" w:cs="Arial"/>
          <w:b/>
          <w:bCs/>
          <w:i/>
          <w:iCs/>
          <w:color w:val="00008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 xml:space="preserve">(R2-MRI) </w:t>
      </w:r>
      <w:r>
        <w:rPr>
          <w:rFonts w:ascii="Arial" w:hAnsi="Arial" w:cs="Arial"/>
          <w:b/>
          <w:bCs/>
          <w:color w:val="000000"/>
          <w:sz w:val="28"/>
          <w:szCs w:val="28"/>
        </w:rPr>
        <w:t>Sponsor/Applicant/s: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Resonance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Health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Anal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is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Services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Pty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Ltd Date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of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MSAC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consideration: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49th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MSAC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meeting,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29-30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July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2010</w:t>
      </w:r>
    </w:p>
    <w:p w:rsidR="0058725A" w:rsidRDefault="0058725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25A" w:rsidRDefault="005872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1.</w:t>
      </w:r>
      <w:r>
        <w:tab/>
        <w:t xml:space="preserve">Purpose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Application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30 June 2008, Resonance Health Analysis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rvices Pty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Lt</w:t>
      </w:r>
      <w:r>
        <w:rPr>
          <w:rFonts w:ascii="Times New Roman" w:hAnsi="Times New Roman" w:cs="Times New Roman"/>
          <w:color w:val="000000"/>
          <w:sz w:val="24"/>
          <w:szCs w:val="24"/>
        </w:rPr>
        <w:t>d, requested MSAC to undertake an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by R2-Magnetic Resonance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aging (MRI)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dependent patients.  The procedure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ses data 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MRI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ages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calculate iron concentration in the liver.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not requested by the applicant, the MS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 Advisory Panel broadened the scope of the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to include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iron overload.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2.</w:t>
      </w:r>
      <w:r>
        <w:tab/>
        <w:t>Current arrangements for public reimbursement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3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is no Medicare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enefits Schedule (MBS)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by MRI data analysis.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3.</w:t>
      </w:r>
      <w:r>
        <w:tab/>
        <w:t>Backgro</w:t>
      </w:r>
      <w:r>
        <w:rPr>
          <w:spacing w:val="1"/>
        </w:rPr>
        <w:t>u</w:t>
      </w:r>
      <w:r>
        <w:t>nd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6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ajority of transfusion dependent patients have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thalassae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ajor, a genetic disorder characterised by defective hae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oglobin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oduction.  Sufferers require regular blood</w:t>
      </w: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4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transfusions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conse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uently receive excess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on which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ulates causing irre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 tiss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e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age.  The MRI data analysis system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designed to opti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 iron chelating therapy, a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used to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 excess iron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body, by providing accurate liver iron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opti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chelation 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(appro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riate chelation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dose is currently based on the judge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the physician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 the use of other diagnost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 tests such 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serum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ferritin).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service uses data collected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suitably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dard MRI scanner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are then electronically transferred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 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tral,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offsite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acility for analysis and report.  The software application is intended to be used as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ing device, and does not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into direct contact with patients. Following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is at the central facility, a report detailing results is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retur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 to the radiologist at the centre where the MRI was conducted.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2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service is indicated for ind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viduals with, or suspected of,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ic iron overload where a definiti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diagnosis of iron overload is req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ired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where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onitoring 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liver iron burden is required for ongoing clinical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auto"/>
        <w:ind w:left="116" w:right="228"/>
        <w:rPr>
          <w:rFonts w:ascii="Times New Roman" w:hAnsi="Times New Roman" w:cs="Times New Roman"/>
          <w:color w:val="000000"/>
          <w:sz w:val="24"/>
          <w:szCs w:val="24"/>
        </w:rPr>
        <w:sectPr w:rsidR="0058725A">
          <w:footerReference w:type="default" r:id="rId8"/>
          <w:pgSz w:w="11900" w:h="16840"/>
          <w:pgMar w:top="620" w:right="1200" w:bottom="820" w:left="1180" w:header="0" w:footer="634" w:gutter="0"/>
          <w:pgNumType w:start="1"/>
          <w:cols w:space="720"/>
          <w:noEndnote/>
        </w:sectPr>
      </w:pPr>
    </w:p>
    <w:p w:rsidR="0058725A" w:rsidRDefault="00D416FD" w:rsidP="005625FA">
      <w:pPr>
        <w:pStyle w:val="Heading1"/>
        <w:rPr>
          <w:color w:val="000000"/>
        </w:rPr>
      </w:pPr>
      <w:r>
        <w:lastRenderedPageBreak/>
        <w:t>4.</w:t>
      </w:r>
      <w:r>
        <w:tab/>
        <w:t>Clinical need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Whether iron overload is due to blood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usions 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haemochro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excess iron can accu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ulate in nearly all tissues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ulti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pattern of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 inj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ry is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  Iron overload is not currently routi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ely monitored, but overload can 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>ath.  Mor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ity results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deposition in the liver, endocrine organs, 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art, pancreas, and joi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ts.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Iron cardiomyopathy is of particular concern, and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ains the leading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cause of death in patients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thalassae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9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by MRI data analy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ay result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eff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cient usage of chelation therapy and possibly a reduction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rbidity.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5.</w:t>
      </w:r>
      <w:r>
        <w:tab/>
        <w:t>Comparator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2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procedure was intended to substitute liver bio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sy, which is the current gold standard test to ascertain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 iron levels.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Because of the risks of the procedure,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any physicians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patients choose not to undertake a liver biopsy,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how often this choice 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ade is unknown.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ithout a liver biopsy, iron levels can be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ated indirectly through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serum ferritin.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that liver iron 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ssment by R2-MRI analysis wou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not necessarily replace liver biopsy where biopsy is currently undertaken in patients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ochro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because biopsy also provides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about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histopathological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changes which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ght be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portant for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6.</w:t>
      </w:r>
      <w:r>
        <w:tab/>
        <w:t>Scientific basis of comparison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basis that no studies could be found that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vestigated the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plicati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 of inclusion of R2- MRI data analysis in algorith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anaging patients at risk of iron overload for final patient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 a linked search of the available 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terature was undertaken to identify studies addres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afety, accuracy, and whether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changed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anagement.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7.</w:t>
      </w:r>
      <w:r>
        <w:tab/>
        <w:t>Safe</w:t>
      </w:r>
      <w:r>
        <w:rPr>
          <w:spacing w:val="2"/>
        </w:rPr>
        <w:t>t</w:t>
      </w:r>
      <w:r>
        <w:t>y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39" w:lineRule="auto"/>
        <w:ind w:left="116" w:right="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MRI does not 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ionising radiation, it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generally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een acce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ted as a safe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aging modality as long as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 precauti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 are taken.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MRI is not appropriate for a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patients (e.g. patients with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planted devices).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here is no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idence of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mulative health effects of repetitive exposure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agnetic fields.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ared to liver biopsy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liver iron concentration, MRI is safer.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8.</w:t>
      </w:r>
      <w:r>
        <w:tab/>
        <w:t>Clinical effectiveness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4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phase, only a single study was available to assess the clinical effectiveness of the procedure. This study appeared to be subsequently supported through the provision (by the applicant) of unpublished data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being considered by MSAC.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 that, based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unpublished results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233 patients with</w:t>
      </w: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44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beta-thalasse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of R2-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RI data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ly reflects hepatic iron concentration,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pared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iron concentrations in liver biopsy speci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ens.</w:t>
      </w:r>
    </w:p>
    <w:p w:rsidR="0058725A" w:rsidRDefault="0058725A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before="29" w:after="0" w:line="240" w:lineRule="auto"/>
        <w:ind w:left="116" w:right="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no evidence was provided that liver iron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reflected cardiac iron levels, or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by R2-MRI analysis affected the use of chelation therapy or resulted in improved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in patien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iron overload.</w:t>
      </w:r>
    </w:p>
    <w:p w:rsidR="0058725A" w:rsidRDefault="0058725A">
      <w:pPr>
        <w:widowControl w:val="0"/>
        <w:autoSpaceDE w:val="0"/>
        <w:autoSpaceDN w:val="0"/>
        <w:adjustRightInd w:val="0"/>
        <w:spacing w:before="29" w:after="0" w:line="240" w:lineRule="auto"/>
        <w:ind w:left="116" w:right="92"/>
        <w:rPr>
          <w:rFonts w:ascii="Times New Roman" w:hAnsi="Times New Roman" w:cs="Times New Roman"/>
          <w:color w:val="000000"/>
          <w:sz w:val="24"/>
          <w:szCs w:val="24"/>
        </w:rPr>
        <w:sectPr w:rsidR="0058725A">
          <w:pgSz w:w="11900" w:h="16840"/>
          <w:pgMar w:top="800" w:right="1180" w:bottom="820" w:left="1180" w:header="0" w:footer="634" w:gutter="0"/>
          <w:cols w:space="720" w:equalWidth="0">
            <w:col w:w="9540"/>
          </w:cols>
          <w:noEndnote/>
        </w:sectPr>
      </w:pPr>
    </w:p>
    <w:p w:rsidR="0058725A" w:rsidRDefault="00D416FD" w:rsidP="005625FA">
      <w:pPr>
        <w:pStyle w:val="Heading1"/>
        <w:rPr>
          <w:color w:val="000000"/>
        </w:rPr>
      </w:pPr>
      <w:r>
        <w:lastRenderedPageBreak/>
        <w:t>9.</w:t>
      </w:r>
      <w:r>
        <w:tab/>
        <w:t>Economic evaluation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2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conce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tration by MRI data analysis was considered by MSAC as cheaper than liver biopsy per procedure.  Howev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r, MSAC noted that utilisation of liver biopsy is very low possibly due to patients opting 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undergo the procedu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after receiving the referral.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ally, liver biopsy 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commonly underta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in the public hospital setting and therefore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>s no associated MBS cost.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required frequency of MRI scanning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itor iron concentration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levels was unknown.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10.</w:t>
      </w:r>
      <w:r>
        <w:tab/>
        <w:t>Financial/budgeta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impacts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anti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ipated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atient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tilis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 if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the MBS, MSAC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ated a cost for the MBS of $1.1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illion to $3.3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 annu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with pote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tial add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tional costs due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need for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patients to be sedated prior to the MRI scan.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agreed that 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ince a MRI scan 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less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 than a liver biopsy, it is reasonable to expect that the utilisation rate wou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be higher than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liver biopsy utilisation rates.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11.</w:t>
      </w:r>
      <w:r>
        <w:tab/>
        <w:t>Other significant</w:t>
      </w:r>
      <w:r>
        <w:rPr>
          <w:spacing w:val="-1"/>
        </w:rPr>
        <w:t xml:space="preserve"> </w:t>
      </w:r>
      <w:r>
        <w:t>factors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suggested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 future “fit-for-p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ose” application for car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iac iron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12.</w:t>
      </w:r>
      <w:r>
        <w:tab/>
        <w:t>Summa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of consideration and rationale for MSAC’s advice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7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considered the evidence in relation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liver 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by R2-MRI data analysis for patients with both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onal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iron overload.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 that, based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 on unpublished results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233 patients with beta- thalasse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osidero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of R2-MRI data accurately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easures hepatic iron concentrati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n, when compared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iron 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entr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tions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biopsy speci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ens.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39" w:lineRule="auto"/>
        <w:ind w:left="116" w:right="2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relation to the use of the test for the non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iron overload group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 patients with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ochro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MSAC concluded that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 was ins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fficient 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ence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utility of the 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 group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whether a beneficial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change in clinical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likely to occur as a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sult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st),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test would only partially substitute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 bio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sy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hese conditions (because liver biopsy also provides other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 diagnostic and prognostic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detection of fibrosis and cirrhosis] for these patients).  It was also no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 that the applicant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 not sought public funding for the use of the test in this group.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relation to the use of the test in patients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usional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iron overload, MSAC did not consider that there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ufficient evidence to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nclude that the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obtained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 the test would result in either cost savings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proved patient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through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hanges to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that liver iron 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ssment by R2-MRI analysis wou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not necessarily replace liver biopsy where biopsy is currently undertaken in transfusion-dependent patients because biopsy also provides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about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histopathologi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changes caused by iron overload which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ght be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portant for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 and liver biopsy in this patient group would not be a frequent indication.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auto"/>
        <w:ind w:left="116" w:right="132"/>
        <w:rPr>
          <w:rFonts w:ascii="Times New Roman" w:hAnsi="Times New Roman" w:cs="Times New Roman"/>
          <w:color w:val="000000"/>
          <w:sz w:val="24"/>
          <w:szCs w:val="24"/>
        </w:rPr>
        <w:sectPr w:rsidR="0058725A">
          <w:pgSz w:w="11900" w:h="16840"/>
          <w:pgMar w:top="800" w:right="1180" w:bottom="820" w:left="1180" w:header="0" w:footer="634" w:gutter="0"/>
          <w:cols w:space="720"/>
          <w:noEndnote/>
        </w:sectPr>
      </w:pPr>
    </w:p>
    <w:p w:rsidR="0058725A" w:rsidRDefault="00D416FD">
      <w:pPr>
        <w:widowControl w:val="0"/>
        <w:autoSpaceDE w:val="0"/>
        <w:autoSpaceDN w:val="0"/>
        <w:adjustRightInd w:val="0"/>
        <w:spacing w:before="60" w:after="0" w:line="240" w:lineRule="auto"/>
        <w:ind w:left="116" w:right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MSAC considered that liver iron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by R2-MRI analysis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be a useful and non-invasive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eans of monitoring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iron levels to inform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opri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 chelation therapy dosage, but that further evidence is required to support this hypothes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s, including evidence of any consequential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pact of such changes in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therapy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sts and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es.  MSAC also considered that there was insufficie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evide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opti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intervals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en repe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>ed R2-MRI analyses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also noted 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 evidence was presented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iron concentrati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in the liv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lates with cardiac iron concentration, given that the leading cause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 for thalasse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patients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transfusional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iron overload is iron ca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yopathy. 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was therefore unable to conclude that the R2-M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easurement of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patic iron concentration levels was a better surrog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car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ac 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 serum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erritin, which itself is not regarded as a useful indicator of cardiac iron concentra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ion. Further evidence on the role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R2-MRI data analysis in changing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and patient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would be useful.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Therefore, MSAC does not support public funding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liver iron by R2-MRI data analysis in transfusion-dependent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ts, on the ba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of insufficient evide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easuring hepatic iron concentration results in any change to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and/or patient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13.</w:t>
      </w:r>
      <w:r>
        <w:tab/>
        <w:t>MSAC’s advice to the Minister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stre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gth of the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idence for safety, effective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ess and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-effectivene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s, MSAC does not support public funding for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hepatic iron content by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 of R2-MRI data obtained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scans of the liver.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  <w:rPr>
          <w:color w:val="000000"/>
        </w:rPr>
      </w:pPr>
      <w:r>
        <w:t>14.</w:t>
      </w:r>
      <w:r>
        <w:tab/>
        <w:t>Context for Decision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advice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under the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Reference:</w:t>
      </w:r>
    </w:p>
    <w:p w:rsidR="0058725A" w:rsidRDefault="0058725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6" w:right="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the strength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 pertaining to new and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erging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technologies and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cedures in relation to their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ety, effectiveness and cost-effe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tiveness and under what 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 public funding should be supported;</w:t>
      </w:r>
    </w:p>
    <w:p w:rsidR="0058725A" w:rsidRDefault="0058725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6" w:right="597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Advise the Minister for Health and Ageing on which new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 tec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nologies and procedures should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to allow data to be 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bled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 safety, 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and cost-effecti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725A" w:rsidRDefault="0058725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8725A" w:rsidRDefault="00D416F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836" w:right="4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references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lated either to new and/or existing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dical technolog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 and procedures; and</w:t>
      </w:r>
    </w:p>
    <w:p w:rsidR="0058725A" w:rsidRDefault="0058725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Undertake health technology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rk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eferred by the Australian Health</w:t>
      </w: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83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Ministers’ Advisory Council (AHMAC)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report its findings to the AHMAC.</w:t>
      </w:r>
    </w:p>
    <w:p w:rsidR="0058725A" w:rsidRDefault="0058725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 w:rsidP="005625FA">
      <w:pPr>
        <w:pStyle w:val="Heading1"/>
      </w:pPr>
      <w:bookmarkStart w:id="0" w:name="_GoBack"/>
      <w:r>
        <w:t>15.</w:t>
      </w:r>
      <w:r>
        <w:tab/>
        <w:t xml:space="preserve">Linkages to Other </w:t>
      </w:r>
      <w:r>
        <w:rPr>
          <w:spacing w:val="-2"/>
        </w:rPr>
        <w:t>D</w:t>
      </w:r>
      <w:r>
        <w:t>ocuments</w:t>
      </w:r>
    </w:p>
    <w:bookmarkEnd w:id="0"/>
    <w:p w:rsidR="0058725A" w:rsidRDefault="0058725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MSAC’s processes are detailed on the MSAC Website at: </w:t>
      </w:r>
      <w:hyperlink r:id="rId9" w:tooltip="This link goes to the Medical Services Advisory Committee website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msac.gov.au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25A" w:rsidRDefault="005872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Report is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link inserted when published and agreed by</w:t>
      </w:r>
    </w:p>
    <w:p w:rsidR="0058725A" w:rsidRDefault="00D416F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Mini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release outcomes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  <w:proofErr w:type="gramEnd"/>
    </w:p>
    <w:sectPr w:rsidR="0058725A">
      <w:pgSz w:w="11900" w:h="16840"/>
      <w:pgMar w:top="920" w:right="1200" w:bottom="960" w:left="1180" w:header="0" w:footer="634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5A" w:rsidRDefault="00D416FD">
      <w:pPr>
        <w:spacing w:after="0" w:line="240" w:lineRule="auto"/>
      </w:pPr>
      <w:r>
        <w:separator/>
      </w:r>
    </w:p>
  </w:endnote>
  <w:endnote w:type="continuationSeparator" w:id="0">
    <w:p w:rsidR="0058725A" w:rsidRDefault="00D4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5A" w:rsidRDefault="00D416F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153B377B" wp14:editId="1BCC14B2">
              <wp:extent cx="212090" cy="177800"/>
              <wp:effectExtent l="0" t="0" r="1651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5A" w:rsidRDefault="00D416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40" w:right="-56"/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625FA">
                            <w:rPr>
                              <w:rFonts w:ascii="Arial Narrow" w:hAnsi="Arial Narrow" w:cs="Arial Narrow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6.7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RrrQIAAKg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" filled="f" stroked="f">
              <v:textbox inset="0,0,0,0">
                <w:txbxContent>
                  <w:p w:rsidR="0058725A" w:rsidRDefault="00D416F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40" w:right="-56"/>
                      <w:rPr>
                        <w:rFonts w:ascii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separate"/>
                    </w:r>
                    <w:r w:rsidR="005625FA">
                      <w:rPr>
                        <w:rFonts w:ascii="Arial Narrow" w:hAnsi="Arial Narrow" w:cs="Arial Narrow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5A" w:rsidRDefault="00D416FD">
      <w:pPr>
        <w:spacing w:after="0" w:line="240" w:lineRule="auto"/>
      </w:pPr>
      <w:r>
        <w:separator/>
      </w:r>
    </w:p>
  </w:footnote>
  <w:footnote w:type="continuationSeparator" w:id="0">
    <w:p w:rsidR="0058725A" w:rsidRDefault="00D4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FD"/>
    <w:rsid w:val="005625FA"/>
    <w:rsid w:val="00566F8B"/>
    <w:rsid w:val="0058725A"/>
    <w:rsid w:val="00D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FA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25FA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FA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25FA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Dept Health And Ageing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janssd</dc:creator>
  <cp:lastModifiedBy>Jessica Dorman</cp:lastModifiedBy>
  <cp:revision>4</cp:revision>
  <dcterms:created xsi:type="dcterms:W3CDTF">2013-03-07T01:49:00Z</dcterms:created>
  <dcterms:modified xsi:type="dcterms:W3CDTF">2013-06-17T04:41:00Z</dcterms:modified>
</cp:coreProperties>
</file>