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4796D" w14:textId="77777777" w:rsidR="00DF4B27" w:rsidRPr="00BB418D" w:rsidRDefault="00DF4B27" w:rsidP="00BE09FF">
      <w:pPr>
        <w:rPr>
          <w:rFonts w:ascii="Arial" w:hAnsi="Arial" w:cs="Arial"/>
          <w:b/>
          <w:szCs w:val="24"/>
          <w:u w:val="single"/>
        </w:rPr>
      </w:pPr>
      <w:bookmarkStart w:id="0" w:name="_GoBack"/>
      <w:bookmarkEnd w:id="0"/>
    </w:p>
    <w:p w14:paraId="30E1D5D8" w14:textId="5CDFD3ED" w:rsidR="009D1FF0" w:rsidRPr="007D60CD" w:rsidRDefault="00A14378" w:rsidP="007D60CD">
      <w:pPr>
        <w:spacing w:line="360" w:lineRule="auto"/>
        <w:jc w:val="center"/>
        <w:rPr>
          <w:rFonts w:ascii="Arial" w:hAnsi="Arial" w:cs="Arial"/>
          <w:b/>
          <w:color w:val="000080"/>
          <w:sz w:val="28"/>
          <w:szCs w:val="28"/>
        </w:rPr>
      </w:pPr>
      <w:r>
        <w:rPr>
          <w:rFonts w:ascii="Arial" w:hAnsi="Arial" w:cs="Arial"/>
          <w:b/>
          <w:noProof/>
          <w:color w:val="000080"/>
          <w:sz w:val="28"/>
          <w:szCs w:val="28"/>
        </w:rPr>
        <w:drawing>
          <wp:inline distT="0" distB="0" distL="0" distR="0" wp14:anchorId="22FA32CB" wp14:editId="737B5103">
            <wp:extent cx="2627630" cy="1078865"/>
            <wp:effectExtent l="0" t="0" r="1270" b="6985"/>
            <wp:docPr id="1" name="Picture 1"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91550B6" w14:textId="77777777" w:rsidR="007D60CD" w:rsidRDefault="007D60CD" w:rsidP="009D1FF0">
      <w:pPr>
        <w:jc w:val="center"/>
        <w:rPr>
          <w:rFonts w:ascii="Arial" w:hAnsi="Arial" w:cs="Arial"/>
          <w:b/>
          <w:color w:val="000080"/>
          <w:sz w:val="36"/>
          <w:szCs w:val="36"/>
        </w:rPr>
      </w:pPr>
    </w:p>
    <w:p w14:paraId="62D59B08" w14:textId="230ED971" w:rsidR="009D1FF0" w:rsidRPr="00383CC3" w:rsidRDefault="00223205" w:rsidP="009D1FF0">
      <w:pPr>
        <w:jc w:val="center"/>
        <w:rPr>
          <w:rFonts w:ascii="Arial" w:hAnsi="Arial" w:cs="Arial"/>
          <w:b/>
          <w:color w:val="000080"/>
          <w:sz w:val="40"/>
          <w:szCs w:val="40"/>
        </w:rPr>
      </w:pPr>
      <w:r w:rsidRPr="00383CC3">
        <w:rPr>
          <w:rFonts w:ascii="Arial" w:hAnsi="Arial" w:cs="Arial"/>
          <w:b/>
          <w:color w:val="000080"/>
          <w:sz w:val="40"/>
          <w:szCs w:val="40"/>
        </w:rPr>
        <w:t>Public Summary Document</w:t>
      </w:r>
    </w:p>
    <w:p w14:paraId="37A95A66" w14:textId="77777777" w:rsidR="009D1FF0" w:rsidRPr="006074B6" w:rsidRDefault="009D1FF0" w:rsidP="009D1FF0">
      <w:pPr>
        <w:jc w:val="center"/>
        <w:rPr>
          <w:rFonts w:ascii="Arial" w:hAnsi="Arial" w:cs="Arial"/>
          <w:b/>
          <w:color w:val="000080"/>
          <w:sz w:val="36"/>
          <w:szCs w:val="36"/>
        </w:rPr>
      </w:pPr>
    </w:p>
    <w:p w14:paraId="76FDC262" w14:textId="2F016174" w:rsidR="00E8253A" w:rsidRPr="00BB418D" w:rsidRDefault="002A34DD" w:rsidP="002A34DD">
      <w:pPr>
        <w:jc w:val="center"/>
        <w:rPr>
          <w:rFonts w:ascii="Arial" w:hAnsi="Arial" w:cs="Arial"/>
          <w:szCs w:val="24"/>
        </w:rPr>
      </w:pPr>
      <w:r>
        <w:rPr>
          <w:rFonts w:ascii="Arial" w:hAnsi="Arial" w:cs="Arial"/>
          <w:b/>
          <w:i/>
          <w:color w:val="000080"/>
          <w:sz w:val="28"/>
          <w:szCs w:val="28"/>
        </w:rPr>
        <w:t xml:space="preserve">Application No. 1146.1 – Capsule Endoscopy for the Diagnosis of Suspected Small Bowel </w:t>
      </w:r>
      <w:r w:rsidR="00BA726D">
        <w:rPr>
          <w:rFonts w:ascii="Arial" w:hAnsi="Arial" w:cs="Arial"/>
          <w:b/>
          <w:i/>
          <w:color w:val="000080"/>
          <w:sz w:val="28"/>
          <w:szCs w:val="28"/>
        </w:rPr>
        <w:t>Crohn</w:t>
      </w:r>
      <w:r>
        <w:rPr>
          <w:rFonts w:ascii="Arial" w:hAnsi="Arial" w:cs="Arial"/>
          <w:b/>
          <w:i/>
          <w:color w:val="000080"/>
          <w:sz w:val="28"/>
          <w:szCs w:val="28"/>
        </w:rPr>
        <w:t xml:space="preserve"> Disease</w:t>
      </w:r>
    </w:p>
    <w:p w14:paraId="001726D0" w14:textId="77777777" w:rsidR="00E8253A" w:rsidRPr="00BB418D" w:rsidRDefault="00E8253A" w:rsidP="004C0814">
      <w:pPr>
        <w:tabs>
          <w:tab w:val="left" w:pos="3600"/>
        </w:tabs>
        <w:ind w:left="3600" w:hanging="3600"/>
        <w:rPr>
          <w:rFonts w:ascii="Arial" w:hAnsi="Arial" w:cs="Arial"/>
          <w:szCs w:val="24"/>
        </w:rPr>
      </w:pPr>
    </w:p>
    <w:p w14:paraId="13389AC2" w14:textId="77777777" w:rsidR="006F0F76" w:rsidRDefault="004C0814" w:rsidP="009D1FF0">
      <w:pPr>
        <w:tabs>
          <w:tab w:val="left" w:pos="2265"/>
          <w:tab w:val="left" w:pos="3420"/>
          <w:tab w:val="left" w:pos="4320"/>
        </w:tabs>
        <w:ind w:left="3372" w:hanging="3372"/>
        <w:rPr>
          <w:rFonts w:ascii="Arial" w:hAnsi="Arial" w:cs="Arial"/>
          <w:b/>
          <w:szCs w:val="24"/>
        </w:rPr>
      </w:pPr>
      <w:r w:rsidRPr="00BB418D">
        <w:rPr>
          <w:rFonts w:ascii="Arial" w:hAnsi="Arial" w:cs="Arial"/>
          <w:b/>
          <w:szCs w:val="24"/>
        </w:rPr>
        <w:t>Sponsor</w:t>
      </w:r>
      <w:r w:rsidR="003D0F7D" w:rsidRPr="00BB418D">
        <w:rPr>
          <w:rFonts w:ascii="Arial" w:hAnsi="Arial" w:cs="Arial"/>
          <w:b/>
          <w:szCs w:val="24"/>
        </w:rPr>
        <w:t>/Applicant</w:t>
      </w:r>
      <w:r w:rsidR="006F0F76" w:rsidRPr="00BB418D">
        <w:rPr>
          <w:rFonts w:ascii="Arial" w:hAnsi="Arial" w:cs="Arial"/>
          <w:b/>
          <w:szCs w:val="24"/>
        </w:rPr>
        <w:t>/s</w:t>
      </w:r>
      <w:r w:rsidRPr="00BB418D">
        <w:rPr>
          <w:rFonts w:ascii="Arial" w:hAnsi="Arial" w:cs="Arial"/>
          <w:b/>
          <w:szCs w:val="24"/>
        </w:rPr>
        <w:t>:</w:t>
      </w:r>
      <w:r w:rsidR="002418A7">
        <w:rPr>
          <w:rFonts w:ascii="Arial" w:hAnsi="Arial" w:cs="Arial"/>
          <w:b/>
          <w:szCs w:val="24"/>
        </w:rPr>
        <w:t xml:space="preserve"> </w:t>
      </w:r>
      <w:r w:rsidR="009D1FF0">
        <w:rPr>
          <w:rFonts w:ascii="Arial" w:hAnsi="Arial" w:cs="Arial"/>
          <w:b/>
          <w:szCs w:val="24"/>
        </w:rPr>
        <w:tab/>
      </w:r>
      <w:r w:rsidR="009D1FF0">
        <w:rPr>
          <w:rFonts w:ascii="Arial" w:hAnsi="Arial" w:cs="Arial"/>
          <w:b/>
          <w:szCs w:val="24"/>
        </w:rPr>
        <w:tab/>
      </w:r>
      <w:r w:rsidR="002A34DD">
        <w:rPr>
          <w:rFonts w:ascii="Arial" w:hAnsi="Arial" w:cs="Arial"/>
          <w:b/>
          <w:szCs w:val="24"/>
        </w:rPr>
        <w:t>Given Imaging Pty Ltd</w:t>
      </w:r>
    </w:p>
    <w:p w14:paraId="7D95C9DC" w14:textId="77777777" w:rsidR="002418A7" w:rsidRPr="00BB418D" w:rsidRDefault="002418A7" w:rsidP="00D0483F">
      <w:pPr>
        <w:tabs>
          <w:tab w:val="left" w:pos="2265"/>
          <w:tab w:val="left" w:pos="3420"/>
          <w:tab w:val="left" w:pos="4320"/>
        </w:tabs>
        <w:rPr>
          <w:rFonts w:ascii="Arial" w:hAnsi="Arial" w:cs="Arial"/>
          <w:b/>
        </w:rPr>
      </w:pPr>
    </w:p>
    <w:p w14:paraId="766DEC0E" w14:textId="71AC15FE" w:rsidR="00DF4B27" w:rsidRPr="002A34DD" w:rsidRDefault="004C0814" w:rsidP="002A34DD">
      <w:pPr>
        <w:tabs>
          <w:tab w:val="left" w:pos="3420"/>
          <w:tab w:val="left" w:pos="3600"/>
          <w:tab w:val="left" w:pos="4320"/>
        </w:tabs>
        <w:ind w:left="3600" w:hanging="3600"/>
        <w:rPr>
          <w:rFonts w:ascii="Arial" w:hAnsi="Arial" w:cs="Arial"/>
          <w:b/>
          <w:szCs w:val="24"/>
        </w:rPr>
      </w:pPr>
      <w:r w:rsidRPr="00BB418D">
        <w:rPr>
          <w:rFonts w:ascii="Arial" w:hAnsi="Arial" w:cs="Arial"/>
          <w:b/>
          <w:szCs w:val="24"/>
        </w:rPr>
        <w:t xml:space="preserve">Date of </w:t>
      </w:r>
      <w:r w:rsidR="002C134D">
        <w:rPr>
          <w:rFonts w:ascii="Arial" w:hAnsi="Arial" w:cs="Arial"/>
          <w:b/>
          <w:szCs w:val="24"/>
        </w:rPr>
        <w:t>MSAC</w:t>
      </w:r>
      <w:r w:rsidRPr="00BB418D">
        <w:rPr>
          <w:rFonts w:ascii="Arial" w:hAnsi="Arial" w:cs="Arial"/>
          <w:b/>
          <w:szCs w:val="24"/>
        </w:rPr>
        <w:t xml:space="preserve"> </w:t>
      </w:r>
      <w:r w:rsidR="009D1FF0">
        <w:rPr>
          <w:rFonts w:ascii="Arial" w:hAnsi="Arial" w:cs="Arial"/>
          <w:b/>
          <w:szCs w:val="24"/>
        </w:rPr>
        <w:t>meeting</w:t>
      </w:r>
      <w:r w:rsidRPr="00BB418D">
        <w:rPr>
          <w:rFonts w:ascii="Arial" w:hAnsi="Arial" w:cs="Arial"/>
          <w:b/>
          <w:szCs w:val="24"/>
        </w:rPr>
        <w:t>:</w:t>
      </w:r>
      <w:r w:rsidR="002418A7">
        <w:rPr>
          <w:rFonts w:ascii="Arial" w:hAnsi="Arial" w:cs="Arial"/>
          <w:b/>
          <w:szCs w:val="24"/>
        </w:rPr>
        <w:t xml:space="preserve"> </w:t>
      </w:r>
      <w:r w:rsidR="009D1FF0">
        <w:rPr>
          <w:rFonts w:ascii="Arial" w:hAnsi="Arial" w:cs="Arial"/>
          <w:b/>
          <w:szCs w:val="24"/>
        </w:rPr>
        <w:tab/>
      </w:r>
      <w:r w:rsidR="002C134D">
        <w:rPr>
          <w:rFonts w:ascii="Arial" w:hAnsi="Arial" w:cs="Arial"/>
          <w:b/>
          <w:szCs w:val="24"/>
        </w:rPr>
        <w:t>28 November</w:t>
      </w:r>
      <w:r w:rsidR="002418A7">
        <w:rPr>
          <w:rFonts w:ascii="Arial" w:hAnsi="Arial" w:cs="Arial"/>
          <w:b/>
          <w:szCs w:val="24"/>
        </w:rPr>
        <w:t xml:space="preserve"> 2013</w:t>
      </w:r>
    </w:p>
    <w:p w14:paraId="7205DBE1" w14:textId="77777777" w:rsidR="0012732A" w:rsidRPr="002A34DD" w:rsidRDefault="00937076" w:rsidP="000D48AB">
      <w:pPr>
        <w:pStyle w:val="Heading1"/>
        <w:numPr>
          <w:ilvl w:val="0"/>
          <w:numId w:val="13"/>
        </w:numPr>
        <w:ind w:hanging="720"/>
        <w:rPr>
          <w:rFonts w:cs="Arial"/>
          <w:szCs w:val="24"/>
        </w:rPr>
      </w:pPr>
      <w:r w:rsidRPr="002A34DD">
        <w:rPr>
          <w:rFonts w:cs="Arial"/>
          <w:szCs w:val="24"/>
        </w:rPr>
        <w:t xml:space="preserve">Purpose of </w:t>
      </w:r>
      <w:r w:rsidR="00E857D4" w:rsidRPr="002A34DD">
        <w:rPr>
          <w:rFonts w:cs="Arial"/>
          <w:szCs w:val="24"/>
        </w:rPr>
        <w:t>a</w:t>
      </w:r>
      <w:r w:rsidRPr="002A34DD">
        <w:rPr>
          <w:rFonts w:cs="Arial"/>
          <w:szCs w:val="24"/>
        </w:rPr>
        <w:t>pplication</w:t>
      </w:r>
    </w:p>
    <w:p w14:paraId="274DEC4D" w14:textId="4488C040" w:rsidR="002A34DD" w:rsidRPr="002C134D" w:rsidRDefault="002A34DD" w:rsidP="002C134D">
      <w:pPr>
        <w:tabs>
          <w:tab w:val="left" w:pos="284"/>
          <w:tab w:val="left" w:pos="720"/>
          <w:tab w:val="left" w:pos="1140"/>
        </w:tabs>
        <w:rPr>
          <w:szCs w:val="24"/>
        </w:rPr>
      </w:pPr>
      <w:r w:rsidRPr="002C134D">
        <w:rPr>
          <w:szCs w:val="24"/>
        </w:rPr>
        <w:t>The resubmission was submitted by Given Imaging on 12 June 2013 to the</w:t>
      </w:r>
      <w:r w:rsidR="000F0EB8">
        <w:rPr>
          <w:szCs w:val="24"/>
        </w:rPr>
        <w:t xml:space="preserve"> Department of Health</w:t>
      </w:r>
      <w:r w:rsidRPr="002C134D">
        <w:rPr>
          <w:szCs w:val="24"/>
        </w:rPr>
        <w:t xml:space="preserve">. </w:t>
      </w:r>
    </w:p>
    <w:p w14:paraId="42244EC3" w14:textId="77777777" w:rsidR="00223205" w:rsidRPr="002C134D" w:rsidRDefault="00223205" w:rsidP="002C134D">
      <w:pPr>
        <w:tabs>
          <w:tab w:val="left" w:pos="284"/>
          <w:tab w:val="left" w:pos="720"/>
          <w:tab w:val="left" w:pos="1140"/>
        </w:tabs>
        <w:rPr>
          <w:szCs w:val="24"/>
        </w:rPr>
      </w:pPr>
    </w:p>
    <w:p w14:paraId="0704F8AE" w14:textId="3DC7652D" w:rsidR="002A34DD" w:rsidRPr="002C134D" w:rsidRDefault="002A34DD" w:rsidP="002C134D">
      <w:pPr>
        <w:tabs>
          <w:tab w:val="left" w:pos="284"/>
          <w:tab w:val="left" w:pos="1140"/>
        </w:tabs>
        <w:rPr>
          <w:szCs w:val="24"/>
          <w:lang w:val="en-US" w:eastAsia="en-US"/>
        </w:rPr>
      </w:pPr>
      <w:r w:rsidRPr="002C134D">
        <w:rPr>
          <w:szCs w:val="24"/>
          <w:lang w:val="en-US" w:eastAsia="en-US"/>
        </w:rPr>
        <w:t>Capsule endoscopy</w:t>
      </w:r>
      <w:r w:rsidR="004F3A7C">
        <w:rPr>
          <w:szCs w:val="24"/>
          <w:lang w:val="en-US" w:eastAsia="en-US"/>
        </w:rPr>
        <w:t xml:space="preserve"> (CE)</w:t>
      </w:r>
      <w:r w:rsidRPr="002C134D">
        <w:rPr>
          <w:szCs w:val="24"/>
          <w:lang w:val="en-US" w:eastAsia="en-US"/>
        </w:rPr>
        <w:t xml:space="preserve"> is a non-invasive diagnostic test, usually conducted in an outpatient setting, in which the gastrointestinal system is visualised via a camera inside an ingested capsule. The test visualises the gastrointestinal tract mucosa to diagnose a range of conditions such as obscure gastrointestinal bleeding (OGIB), coeliac disease, small bowel tumours and Peutz-Jeghers syndrome.</w:t>
      </w:r>
    </w:p>
    <w:p w14:paraId="05EE5AF9" w14:textId="77777777" w:rsidR="00223205" w:rsidRPr="002C134D" w:rsidRDefault="00223205" w:rsidP="002C134D">
      <w:pPr>
        <w:tabs>
          <w:tab w:val="left" w:pos="284"/>
          <w:tab w:val="left" w:pos="720"/>
          <w:tab w:val="left" w:pos="1140"/>
        </w:tabs>
        <w:rPr>
          <w:color w:val="3366FF"/>
          <w:szCs w:val="24"/>
        </w:rPr>
      </w:pPr>
    </w:p>
    <w:p w14:paraId="7F6160A8" w14:textId="22A585DF" w:rsidR="002A34DD" w:rsidRPr="002C134D" w:rsidRDefault="004F3A7C" w:rsidP="002C134D">
      <w:pPr>
        <w:tabs>
          <w:tab w:val="left" w:pos="284"/>
          <w:tab w:val="left" w:pos="720"/>
          <w:tab w:val="left" w:pos="1140"/>
        </w:tabs>
        <w:rPr>
          <w:szCs w:val="24"/>
        </w:rPr>
      </w:pPr>
      <w:r>
        <w:rPr>
          <w:szCs w:val="24"/>
        </w:rPr>
        <w:t>CE</w:t>
      </w:r>
      <w:r w:rsidR="002A34DD" w:rsidRPr="002C134D">
        <w:rPr>
          <w:szCs w:val="24"/>
        </w:rPr>
        <w:t xml:space="preserve"> is currently funded through the MBS for two indications: </w:t>
      </w:r>
    </w:p>
    <w:p w14:paraId="55C61387" w14:textId="77777777" w:rsidR="002A34DD" w:rsidRPr="002C134D" w:rsidRDefault="002A34DD" w:rsidP="002C134D">
      <w:pPr>
        <w:numPr>
          <w:ilvl w:val="0"/>
          <w:numId w:val="1"/>
        </w:numPr>
        <w:tabs>
          <w:tab w:val="clear" w:pos="360"/>
          <w:tab w:val="left" w:pos="284"/>
          <w:tab w:val="left" w:pos="720"/>
          <w:tab w:val="left" w:pos="851"/>
        </w:tabs>
        <w:ind w:left="709" w:hanging="283"/>
        <w:rPr>
          <w:szCs w:val="24"/>
        </w:rPr>
      </w:pPr>
      <w:r w:rsidRPr="002C134D">
        <w:rPr>
          <w:szCs w:val="24"/>
        </w:rPr>
        <w:t xml:space="preserve">for the investigation of OGIB (MBS item 11820); and </w:t>
      </w:r>
    </w:p>
    <w:p w14:paraId="2AE7FDAF" w14:textId="77777777" w:rsidR="002A34DD" w:rsidRPr="00051FAB" w:rsidRDefault="002A34DD" w:rsidP="002C134D">
      <w:pPr>
        <w:numPr>
          <w:ilvl w:val="0"/>
          <w:numId w:val="1"/>
        </w:numPr>
        <w:tabs>
          <w:tab w:val="clear" w:pos="360"/>
          <w:tab w:val="left" w:pos="284"/>
          <w:tab w:val="left" w:pos="720"/>
          <w:tab w:val="left" w:pos="851"/>
        </w:tabs>
        <w:ind w:left="709" w:hanging="283"/>
        <w:rPr>
          <w:szCs w:val="24"/>
        </w:rPr>
      </w:pPr>
      <w:r w:rsidRPr="002C134D">
        <w:rPr>
          <w:szCs w:val="24"/>
        </w:rPr>
        <w:t xml:space="preserve">for the conduct of small bowel surveillance of a patient with </w:t>
      </w:r>
      <w:r w:rsidRPr="002C134D">
        <w:rPr>
          <w:szCs w:val="24"/>
          <w:lang w:val="en-US" w:eastAsia="en-US"/>
        </w:rPr>
        <w:t xml:space="preserve">Peutz-Jeghers syndrome (MBS item number 11823). </w:t>
      </w:r>
    </w:p>
    <w:p w14:paraId="7DE50E9F" w14:textId="77777777" w:rsidR="00051FAB" w:rsidRPr="002C134D" w:rsidRDefault="00051FAB" w:rsidP="00051FAB">
      <w:pPr>
        <w:tabs>
          <w:tab w:val="left" w:pos="284"/>
          <w:tab w:val="left" w:pos="720"/>
          <w:tab w:val="left" w:pos="851"/>
        </w:tabs>
        <w:ind w:left="709"/>
        <w:rPr>
          <w:szCs w:val="24"/>
        </w:rPr>
      </w:pPr>
    </w:p>
    <w:p w14:paraId="20FBDBAC" w14:textId="78971C41" w:rsidR="002A34DD" w:rsidRPr="002C134D" w:rsidRDefault="004F3A7C" w:rsidP="002C134D">
      <w:pPr>
        <w:tabs>
          <w:tab w:val="left" w:pos="284"/>
          <w:tab w:val="left" w:pos="720"/>
          <w:tab w:val="left" w:pos="851"/>
        </w:tabs>
        <w:rPr>
          <w:szCs w:val="24"/>
          <w:lang w:val="en-US" w:eastAsia="en-US"/>
        </w:rPr>
      </w:pPr>
      <w:r>
        <w:rPr>
          <w:szCs w:val="24"/>
          <w:lang w:val="en-US" w:eastAsia="en-US"/>
        </w:rPr>
        <w:t>CE</w:t>
      </w:r>
      <w:r w:rsidR="002A34DD" w:rsidRPr="002C134D">
        <w:rPr>
          <w:szCs w:val="24"/>
          <w:lang w:val="en-US" w:eastAsia="en-US"/>
        </w:rPr>
        <w:t xml:space="preserve"> for investigation of OGIB originally received interim MBS funding following consideration by MSAC in 2003 (Application 1057). MSAC reconsidered this indication in 2007 with MSAC recommending full MBS listing. The use of </w:t>
      </w:r>
      <w:r>
        <w:rPr>
          <w:szCs w:val="24"/>
          <w:lang w:val="en-US" w:eastAsia="en-US"/>
        </w:rPr>
        <w:t>CE</w:t>
      </w:r>
      <w:r w:rsidR="002A34DD" w:rsidRPr="002C134D">
        <w:rPr>
          <w:szCs w:val="24"/>
          <w:lang w:val="en-US" w:eastAsia="en-US"/>
        </w:rPr>
        <w:t xml:space="preserve"> for Peutz</w:t>
      </w:r>
      <w:r w:rsidR="002A34DD" w:rsidRPr="002C134D">
        <w:rPr>
          <w:szCs w:val="24"/>
          <w:lang w:val="en-US" w:eastAsia="en-US"/>
        </w:rPr>
        <w:noBreakHyphen/>
        <w:t>Jeghers syndrome was considered by MSAC in 2007 (Application 1119).</w:t>
      </w:r>
    </w:p>
    <w:p w14:paraId="792718B1" w14:textId="77777777" w:rsidR="002A34DD" w:rsidRPr="002C134D" w:rsidRDefault="002A34DD" w:rsidP="002C134D">
      <w:pPr>
        <w:tabs>
          <w:tab w:val="left" w:pos="720"/>
          <w:tab w:val="left" w:pos="1140"/>
        </w:tabs>
        <w:rPr>
          <w:color w:val="3366FF"/>
          <w:szCs w:val="24"/>
        </w:rPr>
      </w:pPr>
    </w:p>
    <w:p w14:paraId="1B746FBA" w14:textId="5CEEFEC5" w:rsidR="0068055B" w:rsidRDefault="00BA726D" w:rsidP="005C5BB6">
      <w:pPr>
        <w:tabs>
          <w:tab w:val="left" w:pos="720"/>
          <w:tab w:val="left" w:pos="1140"/>
        </w:tabs>
        <w:autoSpaceDE w:val="0"/>
        <w:autoSpaceDN w:val="0"/>
        <w:adjustRightInd w:val="0"/>
        <w:rPr>
          <w:szCs w:val="24"/>
        </w:rPr>
      </w:pPr>
      <w:r w:rsidRPr="002C134D">
        <w:rPr>
          <w:szCs w:val="24"/>
        </w:rPr>
        <w:t>Crohn</w:t>
      </w:r>
      <w:r w:rsidR="002A34DD" w:rsidRPr="002C134D">
        <w:rPr>
          <w:szCs w:val="24"/>
        </w:rPr>
        <w:t xml:space="preserve"> disease is a chronic inflammatory bowel disease that may affect any portion of the gastrointestinal tract but, in cases of small bowel involvement, typically affects the terminal ileum. Most patients with isolated small bowel </w:t>
      </w:r>
      <w:r w:rsidRPr="002C134D">
        <w:rPr>
          <w:szCs w:val="24"/>
        </w:rPr>
        <w:t>Crohn</w:t>
      </w:r>
      <w:r w:rsidR="002A34DD" w:rsidRPr="002C134D">
        <w:rPr>
          <w:szCs w:val="24"/>
        </w:rPr>
        <w:t xml:space="preserve"> disease are diagnosed using colonoscopy with ileoscopy; however diagnosis can be difficult due to the inaccessibility of the small bowel.</w:t>
      </w:r>
    </w:p>
    <w:p w14:paraId="57B0C15A" w14:textId="77777777" w:rsidR="0068055B" w:rsidRPr="005C5BB6" w:rsidRDefault="0068055B" w:rsidP="005C5BB6">
      <w:pPr>
        <w:tabs>
          <w:tab w:val="left" w:pos="720"/>
          <w:tab w:val="left" w:pos="1140"/>
        </w:tabs>
        <w:autoSpaceDE w:val="0"/>
        <w:autoSpaceDN w:val="0"/>
        <w:adjustRightInd w:val="0"/>
        <w:rPr>
          <w:szCs w:val="24"/>
        </w:rPr>
      </w:pPr>
    </w:p>
    <w:p w14:paraId="5FB91DF8" w14:textId="77777777" w:rsidR="00F86697" w:rsidRDefault="00F86697" w:rsidP="00CF296E">
      <w:pPr>
        <w:pStyle w:val="Heading1"/>
        <w:numPr>
          <w:ilvl w:val="0"/>
          <w:numId w:val="13"/>
        </w:numPr>
        <w:spacing w:before="0" w:after="120"/>
        <w:ind w:hanging="720"/>
        <w:rPr>
          <w:rFonts w:cs="Arial"/>
          <w:szCs w:val="24"/>
        </w:rPr>
      </w:pPr>
      <w:r>
        <w:rPr>
          <w:rFonts w:cs="Arial"/>
          <w:szCs w:val="24"/>
        </w:rPr>
        <w:br w:type="page"/>
      </w:r>
    </w:p>
    <w:p w14:paraId="524C630F" w14:textId="182C2397" w:rsidR="00B149C6" w:rsidRPr="002A34DD" w:rsidRDefault="00CF6DAA" w:rsidP="00CF6DAA">
      <w:pPr>
        <w:pStyle w:val="Heading1"/>
        <w:spacing w:before="0"/>
        <w:ind w:left="709" w:hanging="709"/>
        <w:rPr>
          <w:rFonts w:cs="Arial"/>
          <w:szCs w:val="24"/>
        </w:rPr>
      </w:pPr>
      <w:r>
        <w:rPr>
          <w:rFonts w:cs="Arial"/>
          <w:szCs w:val="24"/>
        </w:rPr>
        <w:lastRenderedPageBreak/>
        <w:t>2.</w:t>
      </w:r>
      <w:r>
        <w:rPr>
          <w:rFonts w:cs="Arial"/>
          <w:szCs w:val="24"/>
        </w:rPr>
        <w:tab/>
      </w:r>
      <w:r w:rsidR="00B149C6" w:rsidRPr="002A34DD">
        <w:rPr>
          <w:rFonts w:cs="Arial"/>
          <w:szCs w:val="24"/>
        </w:rPr>
        <w:t>Background</w:t>
      </w:r>
    </w:p>
    <w:p w14:paraId="620AB8E8" w14:textId="5823F2BB" w:rsidR="002A34DD" w:rsidRDefault="002A34DD" w:rsidP="00A55F58">
      <w:pPr>
        <w:tabs>
          <w:tab w:val="left" w:pos="284"/>
          <w:tab w:val="left" w:pos="1140"/>
        </w:tabs>
        <w:rPr>
          <w:szCs w:val="24"/>
          <w:lang w:val="en-US" w:eastAsia="en-US"/>
        </w:rPr>
      </w:pPr>
      <w:r w:rsidRPr="002C134D">
        <w:rPr>
          <w:szCs w:val="24"/>
          <w:lang w:val="en-US" w:eastAsia="en-US"/>
        </w:rPr>
        <w:t xml:space="preserve">At the July 2011 meeting, MSAC did not support public funding of </w:t>
      </w:r>
      <w:r w:rsidR="004F3A7C">
        <w:rPr>
          <w:szCs w:val="24"/>
          <w:lang w:val="en-US" w:eastAsia="en-US"/>
        </w:rPr>
        <w:t>CE</w:t>
      </w:r>
      <w:r w:rsidRPr="002C134D">
        <w:rPr>
          <w:szCs w:val="24"/>
          <w:lang w:val="en-US" w:eastAsia="en-US"/>
        </w:rPr>
        <w:t xml:space="preserve"> to evaluate suspected small bowel </w:t>
      </w:r>
      <w:r w:rsidR="00BA726D" w:rsidRPr="002C134D">
        <w:rPr>
          <w:szCs w:val="24"/>
          <w:lang w:val="en-US" w:eastAsia="en-US"/>
        </w:rPr>
        <w:t>Crohn</w:t>
      </w:r>
      <w:r w:rsidR="009A5783">
        <w:rPr>
          <w:szCs w:val="24"/>
          <w:lang w:val="en-US" w:eastAsia="en-US"/>
        </w:rPr>
        <w:t xml:space="preserve"> disease (A</w:t>
      </w:r>
      <w:r w:rsidRPr="002C134D">
        <w:rPr>
          <w:szCs w:val="24"/>
          <w:lang w:val="en-US" w:eastAsia="en-US"/>
        </w:rPr>
        <w:t>pplication 1146), in patients who have had some previous testing which remains inconclusive, after considering the strength of the available evidence in relation to the safety, effectiveness and cost-effectiveness.</w:t>
      </w:r>
    </w:p>
    <w:p w14:paraId="59FDEDC1" w14:textId="77777777" w:rsidR="007D60CD" w:rsidRPr="002C134D" w:rsidRDefault="007D60CD" w:rsidP="002C134D">
      <w:pPr>
        <w:tabs>
          <w:tab w:val="left" w:pos="284"/>
          <w:tab w:val="left" w:pos="1140"/>
        </w:tabs>
        <w:rPr>
          <w:szCs w:val="24"/>
          <w:lang w:val="en-US" w:eastAsia="en-US"/>
        </w:rPr>
      </w:pPr>
    </w:p>
    <w:p w14:paraId="506484CE" w14:textId="585667B3" w:rsidR="002A34DD" w:rsidRDefault="002A34DD" w:rsidP="002C134D">
      <w:pPr>
        <w:autoSpaceDE w:val="0"/>
        <w:autoSpaceDN w:val="0"/>
        <w:adjustRightInd w:val="0"/>
        <w:rPr>
          <w:szCs w:val="24"/>
          <w:lang w:val="en-US" w:eastAsia="en-US"/>
        </w:rPr>
      </w:pPr>
      <w:r w:rsidRPr="002C134D">
        <w:rPr>
          <w:szCs w:val="24"/>
          <w:lang w:val="en-US" w:eastAsia="en-US"/>
        </w:rPr>
        <w:t xml:space="preserve">MSAC concluded that </w:t>
      </w:r>
      <w:r w:rsidR="004F3A7C">
        <w:rPr>
          <w:szCs w:val="24"/>
          <w:lang w:val="en-US" w:eastAsia="en-US"/>
        </w:rPr>
        <w:t>CE</w:t>
      </w:r>
      <w:r w:rsidRPr="002C134D">
        <w:rPr>
          <w:szCs w:val="24"/>
          <w:lang w:val="en-US" w:eastAsia="en-US"/>
        </w:rPr>
        <w:t xml:space="preserve"> had </w:t>
      </w:r>
      <w:r w:rsidRPr="00344A7E">
        <w:rPr>
          <w:i/>
          <w:szCs w:val="24"/>
          <w:lang w:val="en-US" w:eastAsia="en-US"/>
        </w:rPr>
        <w:t>prima facie</w:t>
      </w:r>
      <w:r w:rsidRPr="002C134D">
        <w:rPr>
          <w:szCs w:val="24"/>
          <w:lang w:val="en-US" w:eastAsia="en-US"/>
        </w:rPr>
        <w:t xml:space="preserve"> clinical utility, but there were substantial deficiencies with the evidence base around comparative safety, accuracy and clinical effectiveness data for </w:t>
      </w:r>
      <w:r w:rsidR="004F3A7C">
        <w:rPr>
          <w:szCs w:val="24"/>
          <w:lang w:val="en-US" w:eastAsia="en-US"/>
        </w:rPr>
        <w:t>CE</w:t>
      </w:r>
      <w:r w:rsidRPr="002C134D">
        <w:rPr>
          <w:szCs w:val="24"/>
          <w:lang w:val="en-US" w:eastAsia="en-US"/>
        </w:rPr>
        <w:t xml:space="preserve"> relative to alternative ways of investigating patients with suspected small bowel </w:t>
      </w:r>
      <w:r w:rsidR="00BA726D" w:rsidRPr="002C134D">
        <w:rPr>
          <w:szCs w:val="24"/>
          <w:lang w:val="en-US" w:eastAsia="en-US"/>
        </w:rPr>
        <w:t>Crohn</w:t>
      </w:r>
      <w:r w:rsidRPr="002C134D">
        <w:rPr>
          <w:szCs w:val="24"/>
          <w:lang w:val="en-US" w:eastAsia="en-US"/>
        </w:rPr>
        <w:t xml:space="preserve"> disease. MSAC also observed that it had to assume that the four existing capsule endoscopic technologies are the same, even though it had no evidence to support this assumption.</w:t>
      </w:r>
    </w:p>
    <w:p w14:paraId="582BC8D3" w14:textId="77777777" w:rsidR="00610322" w:rsidRPr="002C134D" w:rsidRDefault="00610322" w:rsidP="002C134D">
      <w:pPr>
        <w:autoSpaceDE w:val="0"/>
        <w:autoSpaceDN w:val="0"/>
        <w:adjustRightInd w:val="0"/>
        <w:rPr>
          <w:szCs w:val="24"/>
          <w:lang w:val="en-US" w:eastAsia="en-US"/>
        </w:rPr>
      </w:pPr>
    </w:p>
    <w:p w14:paraId="3A6629F3" w14:textId="77777777" w:rsidR="00B149C6" w:rsidRPr="002A34DD" w:rsidRDefault="00B149C6" w:rsidP="0073398D">
      <w:pPr>
        <w:pStyle w:val="Heading1"/>
        <w:numPr>
          <w:ilvl w:val="0"/>
          <w:numId w:val="13"/>
        </w:numPr>
        <w:spacing w:before="0"/>
        <w:ind w:hanging="720"/>
        <w:rPr>
          <w:rFonts w:cs="Arial"/>
          <w:szCs w:val="24"/>
        </w:rPr>
      </w:pPr>
      <w:r w:rsidRPr="002A34DD">
        <w:rPr>
          <w:rFonts w:cs="Arial"/>
          <w:szCs w:val="24"/>
        </w:rPr>
        <w:t>Prerequisites</w:t>
      </w:r>
      <w:r w:rsidR="00E857D4" w:rsidRPr="002A34DD">
        <w:rPr>
          <w:rFonts w:cs="Arial"/>
          <w:szCs w:val="24"/>
        </w:rPr>
        <w:t xml:space="preserve"> to implementation of any funding advice</w:t>
      </w:r>
    </w:p>
    <w:p w14:paraId="7399DFB2" w14:textId="478B88DF" w:rsidR="007379F7" w:rsidRDefault="007379F7" w:rsidP="0073398D">
      <w:pPr>
        <w:tabs>
          <w:tab w:val="left" w:pos="284"/>
          <w:tab w:val="left" w:pos="720"/>
          <w:tab w:val="left" w:pos="1140"/>
        </w:tabs>
        <w:rPr>
          <w:szCs w:val="24"/>
        </w:rPr>
      </w:pPr>
      <w:r w:rsidRPr="002C134D">
        <w:rPr>
          <w:szCs w:val="24"/>
        </w:rPr>
        <w:t>The capsules (PillCam</w:t>
      </w:r>
      <w:r w:rsidRPr="002C134D">
        <w:rPr>
          <w:szCs w:val="24"/>
          <w:vertAlign w:val="superscript"/>
        </w:rPr>
        <w:t>R</w:t>
      </w:r>
      <w:r w:rsidRPr="002C134D">
        <w:rPr>
          <w:szCs w:val="24"/>
        </w:rPr>
        <w:t>SB, MiRo-Cam, EndoSapsule and CapsoVision) are TGA approved; there are no specific conditions on its TGA certification.</w:t>
      </w:r>
    </w:p>
    <w:p w14:paraId="576EE1A5" w14:textId="77777777" w:rsidR="00051FAB" w:rsidRPr="002C134D" w:rsidRDefault="00051FAB" w:rsidP="002C134D">
      <w:pPr>
        <w:tabs>
          <w:tab w:val="left" w:pos="284"/>
          <w:tab w:val="left" w:pos="720"/>
          <w:tab w:val="left" w:pos="1140"/>
        </w:tabs>
        <w:rPr>
          <w:szCs w:val="24"/>
        </w:rPr>
      </w:pPr>
    </w:p>
    <w:p w14:paraId="7127939E" w14:textId="05D530BF" w:rsidR="007379F7" w:rsidRDefault="007379F7" w:rsidP="002C134D">
      <w:pPr>
        <w:tabs>
          <w:tab w:val="left" w:pos="284"/>
          <w:tab w:val="left" w:pos="720"/>
          <w:tab w:val="left" w:pos="1140"/>
        </w:tabs>
        <w:rPr>
          <w:szCs w:val="24"/>
        </w:rPr>
      </w:pPr>
      <w:r w:rsidRPr="002C134D">
        <w:rPr>
          <w:szCs w:val="24"/>
        </w:rPr>
        <w:t>This application specifically deals with PillCam</w:t>
      </w:r>
      <w:r w:rsidRPr="002C134D">
        <w:rPr>
          <w:szCs w:val="24"/>
          <w:vertAlign w:val="superscript"/>
        </w:rPr>
        <w:t xml:space="preserve">R </w:t>
      </w:r>
      <w:r w:rsidRPr="002C134D">
        <w:rPr>
          <w:szCs w:val="24"/>
        </w:rPr>
        <w:t xml:space="preserve">SB </w:t>
      </w:r>
      <w:r w:rsidR="004F3A7C">
        <w:rPr>
          <w:szCs w:val="24"/>
        </w:rPr>
        <w:t>CE</w:t>
      </w:r>
      <w:r w:rsidRPr="002C134D">
        <w:rPr>
          <w:szCs w:val="24"/>
        </w:rPr>
        <w:t>.</w:t>
      </w:r>
    </w:p>
    <w:p w14:paraId="53D368C2" w14:textId="77777777" w:rsidR="00051FAB" w:rsidRPr="002C134D" w:rsidRDefault="00051FAB" w:rsidP="002C134D">
      <w:pPr>
        <w:tabs>
          <w:tab w:val="left" w:pos="284"/>
          <w:tab w:val="left" w:pos="720"/>
          <w:tab w:val="left" w:pos="1140"/>
        </w:tabs>
        <w:rPr>
          <w:szCs w:val="24"/>
        </w:rPr>
      </w:pPr>
    </w:p>
    <w:p w14:paraId="2AE874AC" w14:textId="48EE2641" w:rsidR="007D60CD" w:rsidRPr="00610322" w:rsidRDefault="004F3A7C" w:rsidP="00610322">
      <w:pPr>
        <w:tabs>
          <w:tab w:val="left" w:pos="284"/>
        </w:tabs>
        <w:autoSpaceDE w:val="0"/>
        <w:autoSpaceDN w:val="0"/>
        <w:adjustRightInd w:val="0"/>
        <w:rPr>
          <w:szCs w:val="24"/>
          <w:lang w:val="en-US" w:eastAsia="en-US"/>
        </w:rPr>
      </w:pPr>
      <w:r>
        <w:rPr>
          <w:szCs w:val="24"/>
          <w:lang w:val="en-US" w:eastAsia="en-US"/>
        </w:rPr>
        <w:t>CE</w:t>
      </w:r>
      <w:r w:rsidR="007379F7" w:rsidRPr="002C134D">
        <w:rPr>
          <w:szCs w:val="24"/>
          <w:lang w:val="en-US" w:eastAsia="en-US"/>
        </w:rPr>
        <w:t xml:space="preserve"> is usually performed in an outpatient setting. Consistent with other MBS listings of </w:t>
      </w:r>
      <w:r>
        <w:rPr>
          <w:szCs w:val="24"/>
          <w:lang w:val="en-US" w:eastAsia="en-US"/>
        </w:rPr>
        <w:t>CE</w:t>
      </w:r>
      <w:r w:rsidR="007379F7" w:rsidRPr="002C134D">
        <w:rPr>
          <w:szCs w:val="24"/>
          <w:lang w:val="en-US" w:eastAsia="en-US"/>
        </w:rPr>
        <w:t xml:space="preserve">, it is presumed that any </w:t>
      </w:r>
      <w:r>
        <w:rPr>
          <w:szCs w:val="24"/>
          <w:lang w:val="en-US" w:eastAsia="en-US"/>
        </w:rPr>
        <w:t>CE</w:t>
      </w:r>
      <w:r w:rsidR="007379F7" w:rsidRPr="002C134D">
        <w:rPr>
          <w:szCs w:val="24"/>
          <w:lang w:val="en-US" w:eastAsia="en-US"/>
        </w:rPr>
        <w:t xml:space="preserve"> service will only attract a MBS benefit when performed by a specialist or consultant physician with endoscopic training recognised by The Conjoint Committee for the Recognition of Training in Gastrointestinal Endoscopy (and Medicare Australia is notified of that recognition).</w:t>
      </w:r>
    </w:p>
    <w:p w14:paraId="211168C2" w14:textId="77777777" w:rsidR="007D60CD" w:rsidRDefault="007D60CD" w:rsidP="00CF296E">
      <w:pPr>
        <w:tabs>
          <w:tab w:val="left" w:pos="284"/>
        </w:tabs>
        <w:autoSpaceDE w:val="0"/>
        <w:autoSpaceDN w:val="0"/>
        <w:adjustRightInd w:val="0"/>
        <w:spacing w:after="120"/>
        <w:rPr>
          <w:rFonts w:ascii="Arial" w:hAnsi="Arial" w:cs="Arial"/>
          <w:szCs w:val="24"/>
          <w:lang w:val="en-US" w:eastAsia="en-US"/>
        </w:rPr>
      </w:pPr>
    </w:p>
    <w:p w14:paraId="6A80B225" w14:textId="77777777" w:rsidR="00A34BD3" w:rsidRPr="002A34DD" w:rsidRDefault="00133D8B" w:rsidP="0073398D">
      <w:pPr>
        <w:pStyle w:val="Heading1"/>
        <w:numPr>
          <w:ilvl w:val="0"/>
          <w:numId w:val="13"/>
        </w:numPr>
        <w:spacing w:before="0"/>
        <w:ind w:hanging="720"/>
        <w:rPr>
          <w:rFonts w:cs="Arial"/>
          <w:szCs w:val="24"/>
        </w:rPr>
      </w:pPr>
      <w:r w:rsidRPr="002A34DD">
        <w:rPr>
          <w:rFonts w:cs="Arial"/>
          <w:szCs w:val="24"/>
        </w:rPr>
        <w:t>Proposal for public funding</w:t>
      </w:r>
    </w:p>
    <w:p w14:paraId="5D085367" w14:textId="77777777" w:rsidR="0073398D" w:rsidRDefault="0073398D" w:rsidP="0073398D">
      <w:pPr>
        <w:widowControl w:val="0"/>
        <w:tabs>
          <w:tab w:val="left" w:pos="284"/>
        </w:tabs>
        <w:rPr>
          <w:rFonts w:ascii="Arial" w:hAnsi="Arial" w:cs="Arial"/>
          <w:b/>
          <w:bCs/>
          <w:szCs w:val="24"/>
          <w:lang w:val="en-US" w:eastAsia="en-US"/>
        </w:rPr>
      </w:pPr>
    </w:p>
    <w:p w14:paraId="13CBF7E1" w14:textId="75BD51BC" w:rsidR="00AA3C35" w:rsidRDefault="00571624" w:rsidP="0073398D">
      <w:pPr>
        <w:widowControl w:val="0"/>
        <w:tabs>
          <w:tab w:val="left" w:pos="284"/>
        </w:tabs>
        <w:rPr>
          <w:rFonts w:ascii="Arial" w:hAnsi="Arial" w:cs="Arial"/>
          <w:b/>
          <w:bCs/>
          <w:szCs w:val="24"/>
          <w:lang w:val="en-US" w:eastAsia="en-US"/>
        </w:rPr>
      </w:pPr>
      <w:r>
        <w:rPr>
          <w:rFonts w:ascii="Arial" w:hAnsi="Arial" w:cs="Arial"/>
          <w:b/>
          <w:bCs/>
          <w:szCs w:val="24"/>
          <w:lang w:val="en-US" w:eastAsia="en-US"/>
        </w:rPr>
        <w:t xml:space="preserve">Applicant </w:t>
      </w:r>
      <w:r w:rsidR="00AA3C35" w:rsidRPr="00AA3C35">
        <w:rPr>
          <w:rFonts w:ascii="Arial" w:hAnsi="Arial" w:cs="Arial"/>
          <w:b/>
          <w:bCs/>
          <w:szCs w:val="24"/>
          <w:lang w:val="en-US" w:eastAsia="en-US"/>
        </w:rPr>
        <w:t>Proposed MBS item descriptor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610322" w:rsidRPr="00515028" w14:paraId="254BB92D" w14:textId="77777777" w:rsidTr="004D6238">
        <w:tc>
          <w:tcPr>
            <w:tcW w:w="9134" w:type="dxa"/>
          </w:tcPr>
          <w:p w14:paraId="3659923B" w14:textId="77777777" w:rsidR="00610322" w:rsidRPr="00515028" w:rsidRDefault="00610322" w:rsidP="0073398D">
            <w:pPr>
              <w:widowControl w:val="0"/>
              <w:spacing w:after="120"/>
              <w:jc w:val="right"/>
              <w:rPr>
                <w:rFonts w:ascii="Arial Narrow" w:eastAsia="SimSun" w:hAnsi="Arial Narrow" w:cs="Tahoma"/>
                <w:sz w:val="20"/>
                <w:lang w:eastAsia="ja-JP"/>
              </w:rPr>
            </w:pPr>
            <w:r w:rsidRPr="00515028">
              <w:rPr>
                <w:rFonts w:ascii="Arial Narrow" w:eastAsia="SimSun" w:hAnsi="Arial Narrow" w:cs="Tahoma"/>
                <w:sz w:val="20"/>
                <w:lang w:eastAsia="ja-JP"/>
              </w:rPr>
              <w:t>Category 2 – Diagnostic procedures and investigations</w:t>
            </w:r>
          </w:p>
        </w:tc>
      </w:tr>
      <w:tr w:rsidR="00610322" w:rsidRPr="00515028" w14:paraId="358C5366" w14:textId="77777777" w:rsidTr="004D6238">
        <w:tc>
          <w:tcPr>
            <w:tcW w:w="9134" w:type="dxa"/>
          </w:tcPr>
          <w:p w14:paraId="650BC1B9" w14:textId="77777777" w:rsidR="00610322" w:rsidRPr="00515028" w:rsidRDefault="00610322" w:rsidP="0073398D">
            <w:pPr>
              <w:widowControl w:val="0"/>
              <w:spacing w:after="120"/>
              <w:jc w:val="both"/>
              <w:rPr>
                <w:rFonts w:ascii="Arial Narrow" w:eastAsia="SimSun" w:hAnsi="Arial Narrow" w:cs="Tahoma"/>
                <w:sz w:val="20"/>
                <w:lang w:val="en-US" w:eastAsia="ja-JP"/>
              </w:rPr>
            </w:pPr>
            <w:r w:rsidRPr="00515028">
              <w:rPr>
                <w:rFonts w:ascii="Arial Narrow" w:eastAsia="SimSun" w:hAnsi="Arial Narrow" w:cs="Tahoma"/>
                <w:sz w:val="20"/>
                <w:lang w:val="en-US" w:eastAsia="ja-JP"/>
              </w:rPr>
              <w:t>MBS TBD</w:t>
            </w:r>
          </w:p>
          <w:p w14:paraId="0F13AFE6" w14:textId="6988C323" w:rsidR="00610322" w:rsidRPr="005F14F5" w:rsidRDefault="00610322" w:rsidP="0073398D">
            <w:pPr>
              <w:widowControl w:val="0"/>
              <w:spacing w:after="120"/>
              <w:jc w:val="both"/>
              <w:rPr>
                <w:rFonts w:ascii="Arial Narrow" w:eastAsia="SimSun" w:hAnsi="Arial Narrow" w:cs="Tahoma"/>
                <w:sz w:val="20"/>
                <w:lang w:val="en-US" w:eastAsia="ja-JP"/>
              </w:rPr>
            </w:pPr>
            <w:r w:rsidRPr="005F14F5">
              <w:rPr>
                <w:rFonts w:ascii="Arial Narrow" w:eastAsia="SimSun" w:hAnsi="Arial Narrow" w:cs="Tahoma"/>
                <w:sz w:val="20"/>
                <w:lang w:val="en-US" w:eastAsia="ja-JP"/>
              </w:rPr>
              <w:t xml:space="preserve">CAPSULE ENDOSCOPY to diagnose suspected </w:t>
            </w:r>
            <w:r>
              <w:rPr>
                <w:rFonts w:ascii="Arial Narrow" w:eastAsia="SimSun" w:hAnsi="Arial Narrow" w:cs="Tahoma"/>
                <w:sz w:val="20"/>
                <w:lang w:val="en-US" w:eastAsia="ja-JP"/>
              </w:rPr>
              <w:t>Crohn</w:t>
            </w:r>
            <w:r w:rsidRPr="005F14F5">
              <w:rPr>
                <w:rFonts w:ascii="Arial Narrow" w:eastAsia="SimSun" w:hAnsi="Arial Narrow" w:cs="Tahoma"/>
                <w:sz w:val="20"/>
                <w:lang w:val="en-US" w:eastAsia="ja-JP"/>
              </w:rPr>
              <w:t xml:space="preserve"> disease, using a capsule endoscopy device approved by the Therapeutic Goods Administration (including administration of the capsule, imaging, image reading and interpretation, and all attendances for providing the service on the day the capsule is administered), if:</w:t>
            </w:r>
          </w:p>
          <w:p w14:paraId="014FCE4B" w14:textId="77777777" w:rsidR="00610322" w:rsidRPr="005F14F5" w:rsidRDefault="00610322" w:rsidP="0073398D">
            <w:pPr>
              <w:widowControl w:val="0"/>
              <w:spacing w:after="120"/>
              <w:jc w:val="both"/>
              <w:rPr>
                <w:rFonts w:ascii="Arial Narrow" w:eastAsia="SimSun" w:hAnsi="Arial Narrow" w:cs="Tahoma"/>
                <w:sz w:val="20"/>
                <w:lang w:val="en-US" w:eastAsia="ja-JP"/>
              </w:rPr>
            </w:pPr>
            <w:r w:rsidRPr="005F14F5">
              <w:rPr>
                <w:rFonts w:ascii="Arial Narrow" w:eastAsia="SimSun" w:hAnsi="Arial Narrow" w:cs="Tahoma"/>
                <w:sz w:val="20"/>
                <w:lang w:val="en-US" w:eastAsia="ja-JP"/>
              </w:rPr>
              <w:t>(a) The patient to whom the service is provided :</w:t>
            </w:r>
          </w:p>
          <w:p w14:paraId="6DA9CE83" w14:textId="77777777" w:rsidR="00610322" w:rsidRPr="005F14F5" w:rsidRDefault="00610322" w:rsidP="0073398D">
            <w:pPr>
              <w:widowControl w:val="0"/>
              <w:spacing w:after="120"/>
              <w:jc w:val="both"/>
              <w:rPr>
                <w:rFonts w:ascii="Arial Narrow" w:eastAsia="SimSun" w:hAnsi="Arial Narrow" w:cs="Tahoma"/>
                <w:sz w:val="20"/>
                <w:lang w:val="en-US" w:eastAsia="ja-JP"/>
              </w:rPr>
            </w:pPr>
            <w:r w:rsidRPr="005F14F5">
              <w:rPr>
                <w:rFonts w:ascii="Arial Narrow" w:eastAsia="SimSun" w:hAnsi="Arial Narrow" w:cs="Tahoma"/>
                <w:sz w:val="20"/>
                <w:lang w:val="en-US" w:eastAsia="ja-JP"/>
              </w:rPr>
              <w:t>i. is aged 2 years over; and</w:t>
            </w:r>
          </w:p>
          <w:p w14:paraId="26646B6F" w14:textId="77777777" w:rsidR="00610322" w:rsidRPr="005F14F5" w:rsidRDefault="00610322" w:rsidP="0073398D">
            <w:pPr>
              <w:widowControl w:val="0"/>
              <w:spacing w:after="120"/>
              <w:jc w:val="both"/>
              <w:rPr>
                <w:rFonts w:ascii="Arial Narrow" w:eastAsia="SimSun" w:hAnsi="Arial Narrow" w:cs="Tahoma"/>
                <w:sz w:val="20"/>
                <w:lang w:val="en-US" w:eastAsia="ja-JP"/>
              </w:rPr>
            </w:pPr>
            <w:r w:rsidRPr="005F14F5">
              <w:rPr>
                <w:rFonts w:ascii="Arial Narrow" w:eastAsia="SimSun" w:hAnsi="Arial Narrow" w:cs="Tahoma"/>
                <w:sz w:val="20"/>
                <w:lang w:val="en-US" w:eastAsia="ja-JP"/>
              </w:rPr>
              <w:t xml:space="preserve">ii. has not been previously diagnosed with </w:t>
            </w:r>
            <w:r>
              <w:rPr>
                <w:rFonts w:ascii="Arial Narrow" w:eastAsia="SimSun" w:hAnsi="Arial Narrow" w:cs="Tahoma"/>
                <w:sz w:val="20"/>
                <w:lang w:val="en-US" w:eastAsia="ja-JP"/>
              </w:rPr>
              <w:t>Crohn</w:t>
            </w:r>
            <w:r w:rsidRPr="005F14F5">
              <w:rPr>
                <w:rFonts w:ascii="Arial Narrow" w:eastAsia="SimSun" w:hAnsi="Arial Narrow" w:cs="Tahoma"/>
                <w:sz w:val="20"/>
                <w:lang w:val="en-US" w:eastAsia="ja-JP"/>
              </w:rPr>
              <w:t xml:space="preserve"> disease</w:t>
            </w:r>
          </w:p>
          <w:p w14:paraId="757A394B" w14:textId="77777777" w:rsidR="00610322" w:rsidRPr="005F14F5" w:rsidRDefault="00610322" w:rsidP="0073398D">
            <w:pPr>
              <w:widowControl w:val="0"/>
              <w:spacing w:after="120"/>
              <w:jc w:val="both"/>
              <w:rPr>
                <w:rFonts w:ascii="Arial Narrow" w:eastAsia="SimSun" w:hAnsi="Arial Narrow" w:cs="Tahoma"/>
                <w:sz w:val="20"/>
                <w:lang w:val="en-US" w:eastAsia="ja-JP"/>
              </w:rPr>
            </w:pPr>
            <w:r w:rsidRPr="005F14F5">
              <w:rPr>
                <w:rFonts w:ascii="Arial Narrow" w:eastAsia="SimSun" w:hAnsi="Arial Narrow" w:cs="Tahoma"/>
                <w:sz w:val="20"/>
                <w:lang w:val="en-US" w:eastAsia="ja-JP"/>
              </w:rPr>
              <w:t xml:space="preserve">iii. has suspected </w:t>
            </w:r>
            <w:r>
              <w:rPr>
                <w:rFonts w:ascii="Arial Narrow" w:eastAsia="SimSun" w:hAnsi="Arial Narrow" w:cs="Tahoma"/>
                <w:sz w:val="20"/>
                <w:lang w:val="en-US" w:eastAsia="ja-JP"/>
              </w:rPr>
              <w:t>Crohn</w:t>
            </w:r>
            <w:r w:rsidRPr="005F14F5">
              <w:rPr>
                <w:rFonts w:ascii="Arial Narrow" w:eastAsia="SimSun" w:hAnsi="Arial Narrow" w:cs="Tahoma"/>
                <w:sz w:val="20"/>
                <w:lang w:val="en-US" w:eastAsia="ja-JP"/>
              </w:rPr>
              <w:t xml:space="preserve"> disease on the basis of evidence of underlying inflammation, as indicated by elevated Erythrocyte Sedimentation Rate and/or C-Reactive Protein or other inflammatory markers; and</w:t>
            </w:r>
          </w:p>
          <w:p w14:paraId="6CF4E662" w14:textId="77777777" w:rsidR="00610322" w:rsidRPr="005F14F5" w:rsidRDefault="00610322" w:rsidP="0073398D">
            <w:pPr>
              <w:widowControl w:val="0"/>
              <w:spacing w:after="120"/>
              <w:jc w:val="both"/>
              <w:rPr>
                <w:rFonts w:ascii="Arial Narrow" w:eastAsia="SimSun" w:hAnsi="Arial Narrow" w:cs="Tahoma"/>
                <w:sz w:val="20"/>
                <w:lang w:val="en-US" w:eastAsia="ja-JP"/>
              </w:rPr>
            </w:pPr>
            <w:r w:rsidRPr="005F14F5">
              <w:rPr>
                <w:rFonts w:ascii="Arial Narrow" w:eastAsia="SimSun" w:hAnsi="Arial Narrow" w:cs="Tahoma"/>
                <w:sz w:val="20"/>
                <w:lang w:val="en-US" w:eastAsia="ja-JP"/>
              </w:rPr>
              <w:t>(b) The service is performed by a specialist or consultant physician with endoscopic training that is recognised by The Conjoint Committee for the Recognition of Training in Gastrointestinal Endoscopy; and</w:t>
            </w:r>
          </w:p>
          <w:p w14:paraId="0A372C46" w14:textId="77777777" w:rsidR="00610322" w:rsidRPr="005F14F5" w:rsidRDefault="00610322" w:rsidP="0073398D">
            <w:pPr>
              <w:widowControl w:val="0"/>
              <w:spacing w:after="120"/>
              <w:jc w:val="both"/>
              <w:rPr>
                <w:rFonts w:ascii="Arial Narrow" w:eastAsia="SimSun" w:hAnsi="Arial Narrow" w:cs="Tahoma"/>
                <w:sz w:val="20"/>
                <w:lang w:val="en-US" w:eastAsia="ja-JP"/>
              </w:rPr>
            </w:pPr>
            <w:r w:rsidRPr="005F14F5">
              <w:rPr>
                <w:rFonts w:ascii="Arial Narrow" w:eastAsia="SimSun" w:hAnsi="Arial Narrow" w:cs="Tahoma"/>
                <w:sz w:val="20"/>
                <w:lang w:val="en-US" w:eastAsia="ja-JP"/>
              </w:rPr>
              <w:t xml:space="preserve">(c) Prior negative colonoscopy with attempted ileoscopy has been performed on the patient, and has not produced a confirmed positive or negative diagnosis of </w:t>
            </w:r>
            <w:r>
              <w:rPr>
                <w:rFonts w:ascii="Arial Narrow" w:eastAsia="SimSun" w:hAnsi="Arial Narrow" w:cs="Tahoma"/>
                <w:sz w:val="20"/>
                <w:lang w:val="en-US" w:eastAsia="ja-JP"/>
              </w:rPr>
              <w:t>Crohn</w:t>
            </w:r>
            <w:r w:rsidRPr="005F14F5">
              <w:rPr>
                <w:rFonts w:ascii="Arial Narrow" w:eastAsia="SimSun" w:hAnsi="Arial Narrow" w:cs="Tahoma"/>
                <w:sz w:val="20"/>
                <w:lang w:val="en-US" w:eastAsia="ja-JP"/>
              </w:rPr>
              <w:t xml:space="preserve"> disease; and</w:t>
            </w:r>
          </w:p>
          <w:p w14:paraId="01AA37D9" w14:textId="77777777" w:rsidR="00610322" w:rsidRPr="005F14F5" w:rsidRDefault="00610322" w:rsidP="0073398D">
            <w:pPr>
              <w:widowControl w:val="0"/>
              <w:spacing w:after="120"/>
              <w:jc w:val="both"/>
              <w:rPr>
                <w:rFonts w:ascii="Arial Narrow" w:eastAsia="SimSun" w:hAnsi="Arial Narrow" w:cs="Tahoma"/>
                <w:sz w:val="20"/>
                <w:lang w:val="en-US" w:eastAsia="ja-JP"/>
              </w:rPr>
            </w:pPr>
            <w:r w:rsidRPr="005F14F5">
              <w:rPr>
                <w:rFonts w:ascii="Arial Narrow" w:eastAsia="SimSun" w:hAnsi="Arial Narrow" w:cs="Tahoma"/>
                <w:sz w:val="20"/>
                <w:lang w:val="en-US" w:eastAsia="ja-JP"/>
              </w:rPr>
              <w:t xml:space="preserve">(d) Prior radiographic imaging has been performed on the patient, and has not produced a confirmed positive or negative diagnosis of </w:t>
            </w:r>
            <w:r>
              <w:rPr>
                <w:rFonts w:ascii="Arial Narrow" w:eastAsia="SimSun" w:hAnsi="Arial Narrow" w:cs="Tahoma"/>
                <w:sz w:val="20"/>
                <w:lang w:val="en-US" w:eastAsia="ja-JP"/>
              </w:rPr>
              <w:t>Crohn</w:t>
            </w:r>
            <w:r w:rsidRPr="005F14F5">
              <w:rPr>
                <w:rFonts w:ascii="Arial Narrow" w:eastAsia="SimSun" w:hAnsi="Arial Narrow" w:cs="Tahoma"/>
                <w:sz w:val="20"/>
                <w:lang w:val="en-US" w:eastAsia="ja-JP"/>
              </w:rPr>
              <w:t xml:space="preserve"> disease or evidence of strictures. Radiographic diagnostic procedures previously used by the patient may include:</w:t>
            </w:r>
          </w:p>
          <w:p w14:paraId="7A2D3F11" w14:textId="77777777" w:rsidR="00610322" w:rsidRPr="005F14F5" w:rsidRDefault="00610322" w:rsidP="0073398D">
            <w:pPr>
              <w:widowControl w:val="0"/>
              <w:spacing w:after="120"/>
              <w:jc w:val="both"/>
              <w:rPr>
                <w:rFonts w:ascii="Arial Narrow" w:eastAsia="SimSun" w:hAnsi="Arial Narrow" w:cs="Tahoma"/>
                <w:sz w:val="20"/>
                <w:lang w:val="en-US" w:eastAsia="ja-JP"/>
              </w:rPr>
            </w:pPr>
            <w:r w:rsidRPr="005F14F5">
              <w:rPr>
                <w:rFonts w:ascii="Arial Narrow" w:eastAsia="SimSun" w:hAnsi="Arial Narrow" w:cs="Tahoma"/>
                <w:sz w:val="20"/>
                <w:lang w:val="en-US" w:eastAsia="ja-JP"/>
              </w:rPr>
              <w:t>iv. magnetic resonance enterography (MRE), or</w:t>
            </w:r>
          </w:p>
          <w:p w14:paraId="34D97B12" w14:textId="77777777" w:rsidR="00610322" w:rsidRPr="005F14F5" w:rsidRDefault="00610322" w:rsidP="0073398D">
            <w:pPr>
              <w:widowControl w:val="0"/>
              <w:spacing w:after="120"/>
              <w:jc w:val="both"/>
              <w:rPr>
                <w:rFonts w:ascii="Arial Narrow" w:eastAsia="SimSun" w:hAnsi="Arial Narrow" w:cs="Tahoma"/>
                <w:sz w:val="20"/>
                <w:lang w:val="en-US" w:eastAsia="ja-JP"/>
              </w:rPr>
            </w:pPr>
            <w:r w:rsidRPr="005F14F5">
              <w:rPr>
                <w:rFonts w:ascii="Arial Narrow" w:eastAsia="SimSun" w:hAnsi="Arial Narrow" w:cs="Tahoma"/>
                <w:sz w:val="20"/>
                <w:lang w:val="en-US" w:eastAsia="ja-JP"/>
              </w:rPr>
              <w:t>v. computed tomography enterography (CTE), or</w:t>
            </w:r>
          </w:p>
          <w:p w14:paraId="16532534" w14:textId="77777777" w:rsidR="00610322" w:rsidRPr="005F14F5" w:rsidRDefault="00610322" w:rsidP="0073398D">
            <w:pPr>
              <w:widowControl w:val="0"/>
              <w:spacing w:after="120"/>
              <w:jc w:val="both"/>
              <w:rPr>
                <w:rFonts w:ascii="Arial Narrow" w:eastAsia="SimSun" w:hAnsi="Arial Narrow" w:cs="Tahoma"/>
                <w:sz w:val="20"/>
                <w:lang w:val="en-US" w:eastAsia="ja-JP"/>
              </w:rPr>
            </w:pPr>
            <w:r w:rsidRPr="005F14F5">
              <w:rPr>
                <w:rFonts w:ascii="Arial Narrow" w:eastAsia="SimSun" w:hAnsi="Arial Narrow" w:cs="Tahoma"/>
                <w:sz w:val="20"/>
                <w:lang w:val="en-US" w:eastAsia="ja-JP"/>
              </w:rPr>
              <w:t>vi. small bowel follow through (SBFT) testing, and</w:t>
            </w:r>
          </w:p>
          <w:p w14:paraId="0EC6F032" w14:textId="77777777" w:rsidR="00610322" w:rsidRPr="005F14F5" w:rsidRDefault="00610322" w:rsidP="0073398D">
            <w:pPr>
              <w:widowControl w:val="0"/>
              <w:spacing w:after="120"/>
              <w:jc w:val="both"/>
              <w:rPr>
                <w:rFonts w:ascii="Arial Narrow" w:eastAsia="SimSun" w:hAnsi="Arial Narrow" w:cs="Tahoma"/>
                <w:sz w:val="20"/>
                <w:lang w:val="en-US" w:eastAsia="ja-JP"/>
              </w:rPr>
            </w:pPr>
            <w:r w:rsidRPr="005F14F5">
              <w:rPr>
                <w:rFonts w:ascii="Arial Narrow" w:eastAsia="SimSun" w:hAnsi="Arial Narrow" w:cs="Tahoma"/>
                <w:sz w:val="20"/>
                <w:lang w:val="en-US" w:eastAsia="ja-JP"/>
              </w:rPr>
              <w:t>(e) the service is not associated with balloon enteroscopy; and</w:t>
            </w:r>
          </w:p>
          <w:p w14:paraId="00F95967" w14:textId="77777777" w:rsidR="00610322" w:rsidRPr="005F14F5" w:rsidRDefault="00610322" w:rsidP="0073398D">
            <w:pPr>
              <w:widowControl w:val="0"/>
              <w:spacing w:after="120"/>
              <w:jc w:val="both"/>
              <w:rPr>
                <w:rFonts w:ascii="Arial Narrow" w:eastAsia="SimSun" w:hAnsi="Arial Narrow" w:cs="Tahoma"/>
                <w:sz w:val="20"/>
                <w:lang w:val="en-US" w:eastAsia="ja-JP"/>
              </w:rPr>
            </w:pPr>
            <w:r w:rsidRPr="005F14F5">
              <w:rPr>
                <w:rFonts w:ascii="Arial Narrow" w:eastAsia="SimSun" w:hAnsi="Arial Narrow" w:cs="Tahoma"/>
                <w:sz w:val="20"/>
                <w:lang w:val="en-US" w:eastAsia="ja-JP"/>
              </w:rPr>
              <w:lastRenderedPageBreak/>
              <w:t>(f) the service has not been provided to the same patient on more than 2 occasions in any 12 month period.</w:t>
            </w:r>
          </w:p>
          <w:p w14:paraId="78E77079" w14:textId="77777777" w:rsidR="00610322" w:rsidRPr="005F14F5" w:rsidRDefault="00610322" w:rsidP="0073398D">
            <w:pPr>
              <w:widowControl w:val="0"/>
              <w:spacing w:after="120"/>
              <w:jc w:val="both"/>
              <w:rPr>
                <w:rFonts w:ascii="Arial Narrow" w:eastAsia="SimSun" w:hAnsi="Arial Narrow" w:cs="Tahoma"/>
                <w:sz w:val="20"/>
                <w:lang w:val="en-US" w:eastAsia="ja-JP"/>
              </w:rPr>
            </w:pPr>
            <w:r w:rsidRPr="005F14F5">
              <w:rPr>
                <w:rFonts w:ascii="Arial Narrow" w:eastAsia="SimSun" w:hAnsi="Arial Narrow" w:cs="Tahoma"/>
                <w:sz w:val="20"/>
                <w:lang w:val="en-US" w:eastAsia="ja-JP"/>
              </w:rPr>
              <w:t xml:space="preserve">This item is not for use by patients previously diagnosed with </w:t>
            </w:r>
            <w:r>
              <w:rPr>
                <w:rFonts w:ascii="Arial Narrow" w:eastAsia="SimSun" w:hAnsi="Arial Narrow" w:cs="Tahoma"/>
                <w:sz w:val="20"/>
                <w:lang w:val="en-US" w:eastAsia="ja-JP"/>
              </w:rPr>
              <w:t>Crohn</w:t>
            </w:r>
            <w:r w:rsidRPr="005F14F5">
              <w:rPr>
                <w:rFonts w:ascii="Arial Narrow" w:eastAsia="SimSun" w:hAnsi="Arial Narrow" w:cs="Tahoma"/>
                <w:sz w:val="20"/>
                <w:lang w:val="en-US" w:eastAsia="ja-JP"/>
              </w:rPr>
              <w:t xml:space="preserve"> disease</w:t>
            </w:r>
          </w:p>
          <w:p w14:paraId="61D2CAAA" w14:textId="77777777" w:rsidR="00610322" w:rsidRPr="005F14F5" w:rsidRDefault="00610322" w:rsidP="0073398D">
            <w:pPr>
              <w:widowControl w:val="0"/>
              <w:spacing w:after="120"/>
              <w:jc w:val="both"/>
              <w:rPr>
                <w:rFonts w:ascii="Arial Narrow" w:eastAsia="SimSun" w:hAnsi="Arial Narrow" w:cs="Tahoma"/>
                <w:sz w:val="20"/>
                <w:lang w:val="en-US" w:eastAsia="ja-JP"/>
              </w:rPr>
            </w:pPr>
            <w:r w:rsidRPr="005F14F5">
              <w:rPr>
                <w:rFonts w:ascii="Arial Narrow" w:eastAsia="SimSun" w:hAnsi="Arial Narrow" w:cs="Tahoma"/>
                <w:sz w:val="20"/>
                <w:lang w:val="en-US" w:eastAsia="ja-JP"/>
              </w:rPr>
              <w:t>Fee: $2,039.20 Benefit: 75% = $1,529.40 85% = $1,964.70</w:t>
            </w:r>
          </w:p>
          <w:p w14:paraId="6EB5D8F6" w14:textId="77777777" w:rsidR="00610322" w:rsidRPr="005F14F5" w:rsidRDefault="00610322" w:rsidP="0073398D">
            <w:pPr>
              <w:widowControl w:val="0"/>
              <w:spacing w:after="120"/>
              <w:jc w:val="both"/>
              <w:rPr>
                <w:rFonts w:ascii="Arial Narrow" w:eastAsia="SimSun" w:hAnsi="Arial Narrow" w:cs="Tahoma"/>
                <w:sz w:val="20"/>
                <w:lang w:val="en-US" w:eastAsia="ja-JP"/>
              </w:rPr>
            </w:pPr>
            <w:r w:rsidRPr="005F14F5">
              <w:rPr>
                <w:rFonts w:ascii="Arial Narrow" w:eastAsia="SimSun" w:hAnsi="Arial Narrow" w:cs="Tahoma"/>
                <w:sz w:val="20"/>
                <w:lang w:val="en-US" w:eastAsia="ja-JP"/>
              </w:rPr>
              <w:t>Conjoint committee</w:t>
            </w:r>
          </w:p>
          <w:p w14:paraId="51514336" w14:textId="77777777" w:rsidR="00610322" w:rsidRPr="00515028" w:rsidRDefault="00610322" w:rsidP="0073398D">
            <w:pPr>
              <w:widowControl w:val="0"/>
              <w:spacing w:after="120"/>
              <w:jc w:val="both"/>
              <w:rPr>
                <w:rFonts w:ascii="Arial Narrow" w:eastAsia="SimSun" w:hAnsi="Arial Narrow" w:cs="Tahoma"/>
                <w:sz w:val="20"/>
                <w:lang w:val="en-US" w:eastAsia="ja-JP"/>
              </w:rPr>
            </w:pPr>
            <w:r w:rsidRPr="005F14F5">
              <w:rPr>
                <w:rFonts w:ascii="Arial Narrow" w:eastAsia="SimSun" w:hAnsi="Arial Narrow" w:cs="Tahoma"/>
                <w:sz w:val="20"/>
                <w:lang w:val="en-US" w:eastAsia="ja-JP"/>
              </w:rPr>
              <w:t>The Conjoint Committee comprises representatives from the Gastroenterological Society of Australia (GESA), the Royal Australasian College of Physicians (RACP) and the Royal Australasian College of Surgeons (RACS). For the purposes of Item TBD, specialists or consultant physicians performing this procedure must have endoscopic training recognised by The Conjoint Committee for the Recognition of Training in Gastrointestinal Endoscopy, and Medicare Australia notified of that recognition.</w:t>
            </w:r>
          </w:p>
        </w:tc>
      </w:tr>
    </w:tbl>
    <w:p w14:paraId="635D9FB6" w14:textId="77777777" w:rsidR="00610322" w:rsidRPr="00AA3C35" w:rsidRDefault="00610322" w:rsidP="001A03E3">
      <w:pPr>
        <w:widowControl w:val="0"/>
        <w:tabs>
          <w:tab w:val="left" w:pos="284"/>
        </w:tabs>
        <w:rPr>
          <w:rFonts w:ascii="Arial" w:hAnsi="Arial" w:cs="Arial"/>
          <w:b/>
          <w:bCs/>
          <w:szCs w:val="24"/>
          <w:lang w:val="en-US" w:eastAsia="en-US"/>
        </w:rPr>
      </w:pPr>
    </w:p>
    <w:p w14:paraId="0706D393" w14:textId="733E6B72" w:rsidR="00AA3C35" w:rsidRPr="002C134D" w:rsidRDefault="004F3A7C" w:rsidP="001A03E3">
      <w:pPr>
        <w:widowControl w:val="0"/>
        <w:tabs>
          <w:tab w:val="left" w:pos="284"/>
          <w:tab w:val="left" w:pos="1140"/>
        </w:tabs>
        <w:rPr>
          <w:szCs w:val="24"/>
        </w:rPr>
      </w:pPr>
      <w:r>
        <w:rPr>
          <w:szCs w:val="24"/>
        </w:rPr>
        <w:t>CE</w:t>
      </w:r>
      <w:r w:rsidR="00AA3C35" w:rsidRPr="002C134D">
        <w:rPr>
          <w:szCs w:val="24"/>
        </w:rPr>
        <w:t xml:space="preserve"> </w:t>
      </w:r>
      <w:r w:rsidR="001A03E3">
        <w:rPr>
          <w:szCs w:val="24"/>
        </w:rPr>
        <w:t>would be</w:t>
      </w:r>
      <w:r w:rsidR="00AA3C35" w:rsidRPr="002C134D">
        <w:rPr>
          <w:szCs w:val="24"/>
        </w:rPr>
        <w:t xml:space="preserve"> restricted to patients with suspected but unconfirmed small bowel </w:t>
      </w:r>
      <w:r w:rsidR="00BA726D" w:rsidRPr="002C134D">
        <w:rPr>
          <w:szCs w:val="24"/>
        </w:rPr>
        <w:t>Crohn</w:t>
      </w:r>
      <w:r w:rsidR="00AA3C35" w:rsidRPr="002C134D">
        <w:rPr>
          <w:szCs w:val="24"/>
        </w:rPr>
        <w:t xml:space="preserve"> disease, as indicated by ongoing symptoms suggestive of </w:t>
      </w:r>
      <w:r w:rsidR="00BA726D" w:rsidRPr="002C134D">
        <w:rPr>
          <w:szCs w:val="24"/>
        </w:rPr>
        <w:t>Crohn</w:t>
      </w:r>
      <w:r w:rsidR="00AA3C35" w:rsidRPr="002C134D">
        <w:rPr>
          <w:szCs w:val="24"/>
        </w:rPr>
        <w:t xml:space="preserve"> disease such as abdominal pain, diarrhoea, extra intestinal symptoms or raised inflammatory markers on blood tests.</w:t>
      </w:r>
    </w:p>
    <w:p w14:paraId="1AE05FDD" w14:textId="77777777" w:rsidR="00223205" w:rsidRPr="002C134D" w:rsidRDefault="00223205" w:rsidP="002C134D">
      <w:pPr>
        <w:tabs>
          <w:tab w:val="left" w:pos="0"/>
          <w:tab w:val="left" w:pos="720"/>
          <w:tab w:val="left" w:pos="1140"/>
        </w:tabs>
        <w:rPr>
          <w:szCs w:val="24"/>
        </w:rPr>
      </w:pPr>
    </w:p>
    <w:p w14:paraId="2AE6253F" w14:textId="618A50A6" w:rsidR="00AA3C35" w:rsidRDefault="00AA3C35" w:rsidP="002C134D">
      <w:pPr>
        <w:tabs>
          <w:tab w:val="left" w:pos="0"/>
          <w:tab w:val="left" w:pos="720"/>
          <w:tab w:val="left" w:pos="1140"/>
        </w:tabs>
        <w:rPr>
          <w:szCs w:val="24"/>
        </w:rPr>
      </w:pPr>
      <w:r w:rsidRPr="002C134D">
        <w:rPr>
          <w:szCs w:val="24"/>
        </w:rPr>
        <w:t xml:space="preserve">Patients who are eligible for </w:t>
      </w:r>
      <w:r w:rsidR="004F3A7C">
        <w:rPr>
          <w:szCs w:val="24"/>
        </w:rPr>
        <w:t>CE</w:t>
      </w:r>
      <w:r w:rsidRPr="002C134D">
        <w:rPr>
          <w:szCs w:val="24"/>
        </w:rPr>
        <w:t xml:space="preserve"> </w:t>
      </w:r>
      <w:r w:rsidR="001A03E3">
        <w:rPr>
          <w:szCs w:val="24"/>
        </w:rPr>
        <w:t>would</w:t>
      </w:r>
      <w:r w:rsidRPr="002C134D">
        <w:rPr>
          <w:szCs w:val="24"/>
        </w:rPr>
        <w:t xml:space="preserve"> have undergone prior endoscopy or radiographic imaging and not have received a confirmed positive diagnosis for </w:t>
      </w:r>
      <w:r w:rsidR="00BA726D" w:rsidRPr="002C134D">
        <w:rPr>
          <w:szCs w:val="24"/>
        </w:rPr>
        <w:t>Crohn</w:t>
      </w:r>
      <w:r w:rsidRPr="002C134D">
        <w:rPr>
          <w:szCs w:val="24"/>
        </w:rPr>
        <w:t xml:space="preserve"> disease or have evidence of strictures.</w:t>
      </w:r>
    </w:p>
    <w:p w14:paraId="33EC8CAE" w14:textId="77777777" w:rsidR="007D60CD" w:rsidRPr="002C134D" w:rsidRDefault="007D60CD" w:rsidP="002C134D">
      <w:pPr>
        <w:tabs>
          <w:tab w:val="left" w:pos="0"/>
          <w:tab w:val="left" w:pos="720"/>
          <w:tab w:val="left" w:pos="1140"/>
        </w:tabs>
        <w:rPr>
          <w:szCs w:val="24"/>
        </w:rPr>
      </w:pPr>
    </w:p>
    <w:p w14:paraId="6F62185E" w14:textId="4E45F05B" w:rsidR="0079412A" w:rsidRDefault="004F3A7C" w:rsidP="00653D30">
      <w:pPr>
        <w:tabs>
          <w:tab w:val="left" w:pos="284"/>
          <w:tab w:val="left" w:pos="720"/>
          <w:tab w:val="left" w:pos="1140"/>
        </w:tabs>
        <w:rPr>
          <w:szCs w:val="24"/>
          <w:lang w:val="en-US" w:eastAsia="en-US"/>
        </w:rPr>
      </w:pPr>
      <w:r>
        <w:rPr>
          <w:szCs w:val="24"/>
          <w:lang w:val="en-US" w:eastAsia="en-US"/>
        </w:rPr>
        <w:t>CE</w:t>
      </w:r>
      <w:r w:rsidR="00AA3C35" w:rsidRPr="002C134D">
        <w:rPr>
          <w:szCs w:val="24"/>
          <w:lang w:val="en-US" w:eastAsia="en-US"/>
        </w:rPr>
        <w:t xml:space="preserve"> to diagnose suspected </w:t>
      </w:r>
      <w:r w:rsidR="00BA726D" w:rsidRPr="002C134D">
        <w:rPr>
          <w:szCs w:val="24"/>
          <w:lang w:val="en-US" w:eastAsia="en-US"/>
        </w:rPr>
        <w:t>Crohn</w:t>
      </w:r>
      <w:r w:rsidR="00AA3C35" w:rsidRPr="002C134D">
        <w:rPr>
          <w:szCs w:val="24"/>
          <w:lang w:val="en-US" w:eastAsia="en-US"/>
        </w:rPr>
        <w:t xml:space="preserve"> disease </w:t>
      </w:r>
      <w:r w:rsidR="001A03E3">
        <w:rPr>
          <w:szCs w:val="24"/>
          <w:lang w:val="en-US" w:eastAsia="en-US"/>
        </w:rPr>
        <w:t>would</w:t>
      </w:r>
      <w:r w:rsidR="00AA3C35" w:rsidRPr="002C134D">
        <w:rPr>
          <w:szCs w:val="24"/>
          <w:lang w:val="en-US" w:eastAsia="en-US"/>
        </w:rPr>
        <w:t xml:space="preserve"> be performed by a specialist or consultant physician with endoscopic training recognised by The Conjoint Committee for the Recognition of Training in Gastrointestinal Endoscopy (and Medicare Australia is notified of that recognition).</w:t>
      </w:r>
    </w:p>
    <w:p w14:paraId="2F50F10B" w14:textId="77777777" w:rsidR="008055D9" w:rsidRPr="002C134D" w:rsidRDefault="008055D9" w:rsidP="00653D30">
      <w:pPr>
        <w:tabs>
          <w:tab w:val="left" w:pos="284"/>
          <w:tab w:val="left" w:pos="720"/>
          <w:tab w:val="left" w:pos="1140"/>
        </w:tabs>
        <w:rPr>
          <w:color w:val="3366FF"/>
          <w:szCs w:val="24"/>
        </w:rPr>
      </w:pPr>
    </w:p>
    <w:p w14:paraId="214DBF5E" w14:textId="77777777" w:rsidR="00426F5C" w:rsidRPr="002A34DD" w:rsidRDefault="00D03BC1" w:rsidP="00653D30">
      <w:pPr>
        <w:pStyle w:val="Heading1"/>
        <w:numPr>
          <w:ilvl w:val="0"/>
          <w:numId w:val="13"/>
        </w:numPr>
        <w:spacing w:before="0"/>
        <w:ind w:hanging="720"/>
        <w:rPr>
          <w:rFonts w:cs="Arial"/>
          <w:szCs w:val="24"/>
        </w:rPr>
      </w:pPr>
      <w:r w:rsidRPr="002A34DD">
        <w:rPr>
          <w:rFonts w:cs="Arial"/>
          <w:szCs w:val="24"/>
        </w:rPr>
        <w:t>Consumer Impact Statement</w:t>
      </w:r>
    </w:p>
    <w:p w14:paraId="51722C11" w14:textId="76591E65" w:rsidR="00817DA1" w:rsidRDefault="00AA3C35" w:rsidP="00653D30">
      <w:pPr>
        <w:tabs>
          <w:tab w:val="left" w:pos="284"/>
          <w:tab w:val="left" w:pos="720"/>
        </w:tabs>
        <w:rPr>
          <w:szCs w:val="24"/>
        </w:rPr>
      </w:pPr>
      <w:r w:rsidRPr="002C134D">
        <w:rPr>
          <w:szCs w:val="24"/>
        </w:rPr>
        <w:t>Feedback was received from two professional bodies on the consultation Protocol regarding the impact on consumers.</w:t>
      </w:r>
    </w:p>
    <w:p w14:paraId="0AB2453E" w14:textId="77777777" w:rsidR="008E0B5E" w:rsidRPr="002C134D" w:rsidRDefault="008E0B5E" w:rsidP="002C134D">
      <w:pPr>
        <w:tabs>
          <w:tab w:val="left" w:pos="284"/>
          <w:tab w:val="left" w:pos="720"/>
        </w:tabs>
        <w:rPr>
          <w:szCs w:val="24"/>
        </w:rPr>
      </w:pPr>
    </w:p>
    <w:p w14:paraId="42060A13" w14:textId="6C22A6D3" w:rsidR="00D51CC3" w:rsidRPr="008E0B5E" w:rsidRDefault="00AA3C35" w:rsidP="002C134D">
      <w:pPr>
        <w:tabs>
          <w:tab w:val="left" w:pos="284"/>
          <w:tab w:val="left" w:pos="720"/>
        </w:tabs>
        <w:rPr>
          <w:vanish/>
          <w:szCs w:val="24"/>
        </w:rPr>
      </w:pPr>
      <w:r w:rsidRPr="002C134D">
        <w:rPr>
          <w:szCs w:val="24"/>
        </w:rPr>
        <w:t xml:space="preserve">For consumers, the advantage of </w:t>
      </w:r>
      <w:r w:rsidR="004F3A7C">
        <w:rPr>
          <w:szCs w:val="24"/>
        </w:rPr>
        <w:t>CE</w:t>
      </w:r>
      <w:r w:rsidR="00E41FC3">
        <w:rPr>
          <w:szCs w:val="24"/>
        </w:rPr>
        <w:t xml:space="preserve"> wa</w:t>
      </w:r>
      <w:r w:rsidR="00BB74D8" w:rsidRPr="002C134D">
        <w:rPr>
          <w:szCs w:val="24"/>
        </w:rPr>
        <w:t>s that it reduces the risk of an incorrect diagnosis of Crohn disease in patients where conventional</w:t>
      </w:r>
      <w:r w:rsidR="00EF4014" w:rsidRPr="002C134D">
        <w:rPr>
          <w:szCs w:val="24"/>
        </w:rPr>
        <w:t xml:space="preserve"> means are unclear.</w:t>
      </w:r>
      <w:r w:rsidR="00BB74D8" w:rsidRPr="002C134D">
        <w:rPr>
          <w:szCs w:val="24"/>
        </w:rPr>
        <w:t xml:space="preserve"> </w:t>
      </w:r>
      <w:r w:rsidRPr="002C134D">
        <w:rPr>
          <w:szCs w:val="24"/>
        </w:rPr>
        <w:t>Consumers gain</w:t>
      </w:r>
      <w:r w:rsidR="00E41FC3">
        <w:rPr>
          <w:szCs w:val="24"/>
        </w:rPr>
        <w:t>ed</w:t>
      </w:r>
      <w:r w:rsidRPr="002C134D">
        <w:rPr>
          <w:szCs w:val="24"/>
        </w:rPr>
        <w:t xml:space="preserve"> greater confidence in the potential efficacy of immunosuppressive therapy and the knowledge that potential risk</w:t>
      </w:r>
      <w:r w:rsidR="00E41FC3">
        <w:rPr>
          <w:szCs w:val="24"/>
        </w:rPr>
        <w:t>s associated with such therapy we</w:t>
      </w:r>
      <w:r w:rsidRPr="002C134D">
        <w:rPr>
          <w:szCs w:val="24"/>
        </w:rPr>
        <w:t xml:space="preserve">re justified. </w:t>
      </w:r>
    </w:p>
    <w:p w14:paraId="24116636" w14:textId="77777777" w:rsidR="00817DA1" w:rsidRPr="002C134D" w:rsidRDefault="00817DA1" w:rsidP="002C134D">
      <w:pPr>
        <w:tabs>
          <w:tab w:val="left" w:pos="284"/>
          <w:tab w:val="left" w:pos="720"/>
        </w:tabs>
        <w:rPr>
          <w:szCs w:val="24"/>
        </w:rPr>
      </w:pPr>
    </w:p>
    <w:p w14:paraId="031B61E1" w14:textId="0866EFB5" w:rsidR="00C73B86" w:rsidRDefault="00E41FC3" w:rsidP="002C134D">
      <w:pPr>
        <w:tabs>
          <w:tab w:val="left" w:pos="284"/>
          <w:tab w:val="left" w:pos="720"/>
        </w:tabs>
        <w:rPr>
          <w:szCs w:val="24"/>
        </w:rPr>
      </w:pPr>
      <w:r>
        <w:rPr>
          <w:szCs w:val="24"/>
        </w:rPr>
        <w:t>Disadvantages we</w:t>
      </w:r>
      <w:r w:rsidR="00AA3C35" w:rsidRPr="002C134D">
        <w:rPr>
          <w:szCs w:val="24"/>
        </w:rPr>
        <w:t xml:space="preserve">re minimal, although it was noted that the main concern with </w:t>
      </w:r>
      <w:r w:rsidR="004F3A7C">
        <w:rPr>
          <w:szCs w:val="24"/>
        </w:rPr>
        <w:t>CE</w:t>
      </w:r>
      <w:r w:rsidR="00AA3C35" w:rsidRPr="002C134D">
        <w:rPr>
          <w:szCs w:val="24"/>
        </w:rPr>
        <w:t xml:space="preserve"> is the risk of capsule retention.</w:t>
      </w:r>
    </w:p>
    <w:p w14:paraId="4A8AFDE2" w14:textId="77777777" w:rsidR="00817DA1" w:rsidRPr="002C134D" w:rsidRDefault="00817DA1" w:rsidP="002C134D">
      <w:pPr>
        <w:tabs>
          <w:tab w:val="left" w:pos="284"/>
          <w:tab w:val="left" w:pos="720"/>
        </w:tabs>
        <w:rPr>
          <w:szCs w:val="24"/>
        </w:rPr>
      </w:pPr>
    </w:p>
    <w:p w14:paraId="4C86A6A4" w14:textId="77777777" w:rsidR="00A75C14" w:rsidRDefault="00AA3C35" w:rsidP="00E41FC3">
      <w:pPr>
        <w:tabs>
          <w:tab w:val="left" w:pos="284"/>
          <w:tab w:val="left" w:pos="720"/>
        </w:tabs>
        <w:rPr>
          <w:szCs w:val="24"/>
        </w:rPr>
      </w:pPr>
      <w:r w:rsidRPr="002C134D">
        <w:rPr>
          <w:szCs w:val="24"/>
        </w:rPr>
        <w:t xml:space="preserve">It was stated that current access is inequitable. The service is currently provided to patients able to privately fund the procedure, those that have a private insurer willing to subsidise the procedure or in those attending a public institution which bears the cost of the procedure. </w:t>
      </w:r>
    </w:p>
    <w:p w14:paraId="513A9FE4" w14:textId="77777777" w:rsidR="00817DA1" w:rsidRDefault="00817DA1" w:rsidP="00E41FC3">
      <w:pPr>
        <w:tabs>
          <w:tab w:val="left" w:pos="284"/>
          <w:tab w:val="left" w:pos="720"/>
        </w:tabs>
        <w:rPr>
          <w:szCs w:val="24"/>
        </w:rPr>
      </w:pPr>
    </w:p>
    <w:p w14:paraId="64B3BA5E" w14:textId="77777777" w:rsidR="003D0F7D" w:rsidRPr="002A34DD" w:rsidRDefault="004E6F63" w:rsidP="00E41FC3">
      <w:pPr>
        <w:pStyle w:val="Heading1"/>
        <w:numPr>
          <w:ilvl w:val="0"/>
          <w:numId w:val="13"/>
        </w:numPr>
        <w:spacing w:before="0"/>
        <w:ind w:hanging="720"/>
        <w:rPr>
          <w:rFonts w:cs="Arial"/>
          <w:szCs w:val="24"/>
        </w:rPr>
      </w:pPr>
      <w:r w:rsidRPr="002A34DD">
        <w:rPr>
          <w:rFonts w:cs="Arial"/>
          <w:szCs w:val="24"/>
        </w:rPr>
        <w:t>Proposed i</w:t>
      </w:r>
      <w:r w:rsidR="00422B7E" w:rsidRPr="002A34DD">
        <w:rPr>
          <w:rFonts w:cs="Arial"/>
          <w:szCs w:val="24"/>
        </w:rPr>
        <w:t>ntervention’s place in clinical management</w:t>
      </w:r>
    </w:p>
    <w:p w14:paraId="0BCA082F" w14:textId="70069A63" w:rsidR="00AA3C35" w:rsidRDefault="00AA3C35" w:rsidP="00E41FC3">
      <w:pPr>
        <w:tabs>
          <w:tab w:val="left" w:pos="284"/>
        </w:tabs>
        <w:autoSpaceDE w:val="0"/>
        <w:autoSpaceDN w:val="0"/>
        <w:adjustRightInd w:val="0"/>
        <w:rPr>
          <w:szCs w:val="24"/>
        </w:rPr>
      </w:pPr>
      <w:r w:rsidRPr="002C134D">
        <w:rPr>
          <w:szCs w:val="24"/>
          <w:lang w:val="en-US" w:eastAsia="en-US"/>
        </w:rPr>
        <w:t>The clinical management algorithm prop</w:t>
      </w:r>
      <w:r w:rsidR="00E41FC3">
        <w:rPr>
          <w:szCs w:val="24"/>
          <w:lang w:val="en-US" w:eastAsia="en-US"/>
        </w:rPr>
        <w:t>osed in the resubmission differed</w:t>
      </w:r>
      <w:r w:rsidRPr="002C134D">
        <w:rPr>
          <w:szCs w:val="24"/>
          <w:lang w:val="en-US" w:eastAsia="en-US"/>
        </w:rPr>
        <w:t xml:space="preserve"> to that from the previous MSAC application (114</w:t>
      </w:r>
      <w:r w:rsidR="001D1274">
        <w:rPr>
          <w:szCs w:val="24"/>
          <w:lang w:val="en-US" w:eastAsia="en-US"/>
        </w:rPr>
        <w:t>6), in that it clearly specified</w:t>
      </w:r>
      <w:r w:rsidRPr="002C134D">
        <w:rPr>
          <w:szCs w:val="24"/>
          <w:lang w:val="en-US" w:eastAsia="en-US"/>
        </w:rPr>
        <w:t xml:space="preserve"> that </w:t>
      </w:r>
      <w:r w:rsidR="004F3A7C">
        <w:rPr>
          <w:szCs w:val="24"/>
          <w:lang w:val="en-US" w:eastAsia="en-US"/>
        </w:rPr>
        <w:t>CE</w:t>
      </w:r>
      <w:r w:rsidRPr="002C134D">
        <w:rPr>
          <w:szCs w:val="24"/>
          <w:lang w:val="en-US" w:eastAsia="en-US"/>
        </w:rPr>
        <w:t xml:space="preserve"> should be positioned after endoscopy and small bowel radiology. </w:t>
      </w:r>
      <w:r w:rsidRPr="002C134D">
        <w:rPr>
          <w:szCs w:val="24"/>
        </w:rPr>
        <w:t xml:space="preserve">Under the current diagnostic algorithm for </w:t>
      </w:r>
      <w:r w:rsidR="00BA726D" w:rsidRPr="002C134D">
        <w:rPr>
          <w:szCs w:val="24"/>
        </w:rPr>
        <w:t>Crohn</w:t>
      </w:r>
      <w:r w:rsidRPr="002C134D">
        <w:rPr>
          <w:szCs w:val="24"/>
        </w:rPr>
        <w:t xml:space="preserve"> disease, if a patient still has unconfirmed disease after going through endoscopic and radiographic testing, the only option currently available to patients is empiric treatment. </w:t>
      </w:r>
    </w:p>
    <w:p w14:paraId="26A40CA1" w14:textId="77777777" w:rsidR="00817DA1" w:rsidRPr="002C134D" w:rsidRDefault="00817DA1" w:rsidP="002C134D">
      <w:pPr>
        <w:tabs>
          <w:tab w:val="left" w:pos="284"/>
        </w:tabs>
        <w:autoSpaceDE w:val="0"/>
        <w:autoSpaceDN w:val="0"/>
        <w:adjustRightInd w:val="0"/>
        <w:rPr>
          <w:szCs w:val="24"/>
        </w:rPr>
      </w:pPr>
    </w:p>
    <w:p w14:paraId="60A8B29D" w14:textId="3D93E27C" w:rsidR="00AA3C35" w:rsidRPr="002C134D" w:rsidRDefault="00AA3C35" w:rsidP="002C134D">
      <w:pPr>
        <w:tabs>
          <w:tab w:val="left" w:pos="284"/>
        </w:tabs>
        <w:autoSpaceDE w:val="0"/>
        <w:autoSpaceDN w:val="0"/>
        <w:adjustRightInd w:val="0"/>
        <w:rPr>
          <w:szCs w:val="24"/>
        </w:rPr>
      </w:pPr>
      <w:r w:rsidRPr="002C134D">
        <w:rPr>
          <w:szCs w:val="24"/>
        </w:rPr>
        <w:t>The proposed treatment algorithm include</w:t>
      </w:r>
      <w:r w:rsidR="001D1274">
        <w:rPr>
          <w:szCs w:val="24"/>
        </w:rPr>
        <w:t>d</w:t>
      </w:r>
      <w:r w:rsidRPr="002C134D">
        <w:rPr>
          <w:szCs w:val="24"/>
        </w:rPr>
        <w:t xml:space="preserve"> an extra step for </w:t>
      </w:r>
      <w:r w:rsidR="004F3A7C">
        <w:rPr>
          <w:szCs w:val="24"/>
        </w:rPr>
        <w:t>CE</w:t>
      </w:r>
      <w:r w:rsidRPr="002C134D">
        <w:rPr>
          <w:szCs w:val="24"/>
        </w:rPr>
        <w:t xml:space="preserve"> prior to empiric treatment. </w:t>
      </w:r>
      <w:r w:rsidR="004F3A7C">
        <w:rPr>
          <w:szCs w:val="24"/>
        </w:rPr>
        <w:t>CE</w:t>
      </w:r>
      <w:r w:rsidRPr="002C134D">
        <w:rPr>
          <w:szCs w:val="24"/>
        </w:rPr>
        <w:t xml:space="preserve"> is able to visualise areas of the proximal small bowel inaccessible to upper and lower endoscopy; which may lead to earlier diagnosis and treatment. In the proposed diagnostic flow chart (below) </w:t>
      </w:r>
      <w:r w:rsidR="004F3A7C">
        <w:rPr>
          <w:szCs w:val="24"/>
        </w:rPr>
        <w:t>CE</w:t>
      </w:r>
      <w:r w:rsidRPr="002C134D">
        <w:rPr>
          <w:szCs w:val="24"/>
        </w:rPr>
        <w:t xml:space="preserve"> </w:t>
      </w:r>
      <w:r w:rsidR="001D1274">
        <w:rPr>
          <w:szCs w:val="24"/>
        </w:rPr>
        <w:t>would</w:t>
      </w:r>
      <w:r w:rsidRPr="002C134D">
        <w:rPr>
          <w:szCs w:val="24"/>
        </w:rPr>
        <w:t xml:space="preserve"> be positioned after </w:t>
      </w:r>
      <w:r w:rsidR="0090630D" w:rsidRPr="002C134D">
        <w:rPr>
          <w:szCs w:val="24"/>
        </w:rPr>
        <w:t>computed tomography e</w:t>
      </w:r>
      <w:r w:rsidR="00741948" w:rsidRPr="002C134D">
        <w:rPr>
          <w:szCs w:val="24"/>
        </w:rPr>
        <w:t>n</w:t>
      </w:r>
      <w:r w:rsidR="0090630D" w:rsidRPr="002C134D">
        <w:rPr>
          <w:szCs w:val="24"/>
        </w:rPr>
        <w:t>terography (</w:t>
      </w:r>
      <w:r w:rsidRPr="002C134D">
        <w:rPr>
          <w:szCs w:val="24"/>
        </w:rPr>
        <w:t>CTE</w:t>
      </w:r>
      <w:r w:rsidR="0090630D" w:rsidRPr="002C134D">
        <w:rPr>
          <w:szCs w:val="24"/>
        </w:rPr>
        <w:t>)</w:t>
      </w:r>
      <w:r w:rsidRPr="002C134D">
        <w:rPr>
          <w:szCs w:val="24"/>
        </w:rPr>
        <w:t xml:space="preserve">, </w:t>
      </w:r>
      <w:r w:rsidR="0090630D" w:rsidRPr="002C134D">
        <w:rPr>
          <w:szCs w:val="24"/>
        </w:rPr>
        <w:t>magnetic resonance enterography (</w:t>
      </w:r>
      <w:r w:rsidRPr="002C134D">
        <w:rPr>
          <w:szCs w:val="24"/>
        </w:rPr>
        <w:t>MRE</w:t>
      </w:r>
      <w:r w:rsidR="0090630D" w:rsidRPr="002C134D">
        <w:rPr>
          <w:szCs w:val="24"/>
        </w:rPr>
        <w:t>)</w:t>
      </w:r>
      <w:r w:rsidRPr="002C134D">
        <w:rPr>
          <w:szCs w:val="24"/>
        </w:rPr>
        <w:t xml:space="preserve"> or</w:t>
      </w:r>
      <w:r w:rsidR="0090630D" w:rsidRPr="002C134D">
        <w:rPr>
          <w:szCs w:val="24"/>
        </w:rPr>
        <w:t xml:space="preserve"> small bowel follow through</w:t>
      </w:r>
      <w:r w:rsidRPr="002C134D">
        <w:rPr>
          <w:szCs w:val="24"/>
        </w:rPr>
        <w:t xml:space="preserve"> </w:t>
      </w:r>
      <w:r w:rsidR="0090630D" w:rsidRPr="002C134D">
        <w:rPr>
          <w:szCs w:val="24"/>
        </w:rPr>
        <w:t>(</w:t>
      </w:r>
      <w:r w:rsidRPr="002C134D">
        <w:rPr>
          <w:szCs w:val="24"/>
        </w:rPr>
        <w:t>SBFT</w:t>
      </w:r>
      <w:r w:rsidR="0090630D" w:rsidRPr="002C134D">
        <w:rPr>
          <w:szCs w:val="24"/>
        </w:rPr>
        <w:t>)</w:t>
      </w:r>
      <w:r w:rsidRPr="002C134D">
        <w:rPr>
          <w:szCs w:val="24"/>
        </w:rPr>
        <w:t xml:space="preserve">, and will replace empiric treatment based on a suspicion of </w:t>
      </w:r>
      <w:r w:rsidR="00BA726D" w:rsidRPr="002C134D">
        <w:rPr>
          <w:szCs w:val="24"/>
        </w:rPr>
        <w:t>Crohn</w:t>
      </w:r>
      <w:r w:rsidRPr="002C134D">
        <w:rPr>
          <w:szCs w:val="24"/>
        </w:rPr>
        <w:t xml:space="preserve"> disease which could not be </w:t>
      </w:r>
      <w:r w:rsidRPr="002C134D">
        <w:rPr>
          <w:szCs w:val="24"/>
        </w:rPr>
        <w:lastRenderedPageBreak/>
        <w:t>confirmed. Th</w:t>
      </w:r>
      <w:r w:rsidR="001D1274">
        <w:rPr>
          <w:szCs w:val="24"/>
        </w:rPr>
        <w:t>e</w:t>
      </w:r>
      <w:r w:rsidRPr="002C134D">
        <w:rPr>
          <w:szCs w:val="24"/>
        </w:rPr>
        <w:t xml:space="preserve"> resubmission propose</w:t>
      </w:r>
      <w:r w:rsidR="001D1274">
        <w:rPr>
          <w:szCs w:val="24"/>
        </w:rPr>
        <w:t>d</w:t>
      </w:r>
      <w:r w:rsidRPr="002C134D">
        <w:rPr>
          <w:szCs w:val="24"/>
        </w:rPr>
        <w:t xml:space="preserve"> that </w:t>
      </w:r>
      <w:r w:rsidR="004F3A7C">
        <w:rPr>
          <w:szCs w:val="24"/>
        </w:rPr>
        <w:t>CE</w:t>
      </w:r>
      <w:r w:rsidRPr="002C134D">
        <w:rPr>
          <w:szCs w:val="24"/>
        </w:rPr>
        <w:t xml:space="preserve"> should be regarded as a last-line approach to diagnosis, for use in patients who cannot be diagnosed through using other tests</w:t>
      </w:r>
      <w:r w:rsidR="00FF3077" w:rsidRPr="002C134D">
        <w:rPr>
          <w:szCs w:val="24"/>
        </w:rPr>
        <w:t>.</w:t>
      </w:r>
    </w:p>
    <w:p w14:paraId="7E25B8AB" w14:textId="77777777" w:rsidR="00343CE3" w:rsidRDefault="00343CE3" w:rsidP="0008605A">
      <w:pPr>
        <w:rPr>
          <w:rFonts w:ascii="Arial Narrow" w:hAnsi="Arial Narrow"/>
          <w:b/>
          <w:sz w:val="20"/>
        </w:rPr>
      </w:pPr>
    </w:p>
    <w:p w14:paraId="1BB102FB" w14:textId="5641CF7C" w:rsidR="00FF3077" w:rsidRPr="0008605A" w:rsidRDefault="00FF3077" w:rsidP="0008605A">
      <w:pPr>
        <w:rPr>
          <w:rFonts w:ascii="Arial Narrow" w:hAnsi="Arial Narrow"/>
          <w:b/>
          <w:sz w:val="20"/>
        </w:rPr>
      </w:pPr>
      <w:r w:rsidRPr="0008605A">
        <w:rPr>
          <w:rFonts w:ascii="Arial Narrow" w:hAnsi="Arial Narrow"/>
          <w:b/>
          <w:sz w:val="20"/>
        </w:rPr>
        <w:t xml:space="preserve">Figure </w:t>
      </w:r>
      <w:r w:rsidR="00E17959" w:rsidRPr="0008605A">
        <w:rPr>
          <w:rFonts w:ascii="Arial Narrow" w:hAnsi="Arial Narrow"/>
          <w:b/>
          <w:sz w:val="20"/>
        </w:rPr>
        <w:fldChar w:fldCharType="begin"/>
      </w:r>
      <w:r w:rsidR="00E17959" w:rsidRPr="0008605A">
        <w:rPr>
          <w:rFonts w:ascii="Arial Narrow" w:hAnsi="Arial Narrow"/>
          <w:b/>
          <w:sz w:val="20"/>
        </w:rPr>
        <w:instrText xml:space="preserve"> SEQ Figure \* ARABIC </w:instrText>
      </w:r>
      <w:r w:rsidR="00E17959" w:rsidRPr="0008605A">
        <w:rPr>
          <w:rFonts w:ascii="Arial Narrow" w:hAnsi="Arial Narrow"/>
          <w:b/>
          <w:sz w:val="20"/>
        </w:rPr>
        <w:fldChar w:fldCharType="separate"/>
      </w:r>
      <w:r w:rsidR="006D15AC">
        <w:rPr>
          <w:rFonts w:ascii="Arial Narrow" w:hAnsi="Arial Narrow"/>
          <w:b/>
          <w:noProof/>
          <w:sz w:val="20"/>
        </w:rPr>
        <w:t>1</w:t>
      </w:r>
      <w:r w:rsidR="00E17959" w:rsidRPr="0008605A">
        <w:rPr>
          <w:rFonts w:ascii="Arial Narrow" w:hAnsi="Arial Narrow"/>
          <w:b/>
          <w:noProof/>
          <w:sz w:val="20"/>
        </w:rPr>
        <w:fldChar w:fldCharType="end"/>
      </w:r>
      <w:r w:rsidRPr="0008605A">
        <w:rPr>
          <w:rFonts w:ascii="Arial Narrow" w:hAnsi="Arial Narrow"/>
          <w:b/>
          <w:sz w:val="20"/>
        </w:rPr>
        <w:tab/>
        <w:t xml:space="preserve">Current and proposed diagnostic algorithms </w:t>
      </w:r>
    </w:p>
    <w:p w14:paraId="70CC14FF" w14:textId="77777777" w:rsidR="00FF3077" w:rsidRDefault="00FF3077" w:rsidP="00E53CAC">
      <w:pPr>
        <w:autoSpaceDE w:val="0"/>
        <w:autoSpaceDN w:val="0"/>
        <w:adjustRightInd w:val="0"/>
        <w:rPr>
          <w:rFonts w:ascii="Arial" w:hAnsi="Arial" w:cs="Arial"/>
          <w:szCs w:val="24"/>
        </w:rPr>
      </w:pPr>
      <w:r>
        <w:rPr>
          <w:rFonts w:ascii="Arial" w:hAnsi="Arial" w:cs="Arial"/>
          <w:noProof/>
          <w:szCs w:val="24"/>
        </w:rPr>
        <w:drawing>
          <wp:inline distT="0" distB="0" distL="0" distR="0" wp14:anchorId="5CD7D35D" wp14:editId="00706D41">
            <wp:extent cx="6261100" cy="4730750"/>
            <wp:effectExtent l="0" t="0" r="6350" b="0"/>
            <wp:docPr id="3" name="Picture 3" title="Current and proposed diagnostic algorithms for patients with suspected Crohn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1100" cy="4730750"/>
                    </a:xfrm>
                    <a:prstGeom prst="rect">
                      <a:avLst/>
                    </a:prstGeom>
                    <a:noFill/>
                  </pic:spPr>
                </pic:pic>
              </a:graphicData>
            </a:graphic>
          </wp:inline>
        </w:drawing>
      </w:r>
    </w:p>
    <w:p w14:paraId="1719C0BC" w14:textId="77777777" w:rsidR="008E0B5E" w:rsidRPr="002A34DD" w:rsidRDefault="008E0B5E" w:rsidP="00E53CAC">
      <w:pPr>
        <w:autoSpaceDE w:val="0"/>
        <w:autoSpaceDN w:val="0"/>
        <w:adjustRightInd w:val="0"/>
        <w:rPr>
          <w:rFonts w:ascii="Arial" w:hAnsi="Arial" w:cs="Arial"/>
          <w:szCs w:val="24"/>
        </w:rPr>
      </w:pPr>
    </w:p>
    <w:p w14:paraId="604E7538" w14:textId="77777777" w:rsidR="00865C26" w:rsidRPr="002A34DD" w:rsidRDefault="00865C26" w:rsidP="00CF6DAA">
      <w:pPr>
        <w:pStyle w:val="Heading1"/>
        <w:numPr>
          <w:ilvl w:val="0"/>
          <w:numId w:val="13"/>
        </w:numPr>
        <w:spacing w:before="0"/>
        <w:ind w:hanging="720"/>
        <w:rPr>
          <w:rFonts w:cs="Arial"/>
          <w:i/>
          <w:szCs w:val="24"/>
        </w:rPr>
      </w:pPr>
      <w:r w:rsidRPr="002A34DD">
        <w:rPr>
          <w:rFonts w:cs="Arial"/>
          <w:szCs w:val="24"/>
        </w:rPr>
        <w:t>Other options for MSAC consideration</w:t>
      </w:r>
    </w:p>
    <w:p w14:paraId="10C29244" w14:textId="22F0A6D6" w:rsidR="0068055B" w:rsidRDefault="00CF6DAA" w:rsidP="00CF6DAA">
      <w:pPr>
        <w:tabs>
          <w:tab w:val="left" w:pos="284"/>
          <w:tab w:val="left" w:pos="720"/>
          <w:tab w:val="left" w:pos="1140"/>
        </w:tabs>
        <w:rPr>
          <w:b/>
          <w:color w:val="000000"/>
          <w:szCs w:val="24"/>
        </w:rPr>
      </w:pPr>
      <w:r>
        <w:rPr>
          <w:color w:val="000000"/>
        </w:rPr>
        <w:t>Nil</w:t>
      </w:r>
    </w:p>
    <w:p w14:paraId="170CF264" w14:textId="77777777" w:rsidR="0068055B" w:rsidRDefault="0068055B" w:rsidP="00CF6DAA">
      <w:pPr>
        <w:tabs>
          <w:tab w:val="left" w:pos="284"/>
          <w:tab w:val="left" w:pos="720"/>
          <w:tab w:val="left" w:pos="1140"/>
        </w:tabs>
        <w:rPr>
          <w:b/>
          <w:color w:val="000000"/>
          <w:szCs w:val="24"/>
        </w:rPr>
      </w:pPr>
    </w:p>
    <w:p w14:paraId="587D4103" w14:textId="4EBB0FA7" w:rsidR="00937076" w:rsidRPr="002A34DD" w:rsidRDefault="00CF6DAA" w:rsidP="00CF6DAA">
      <w:pPr>
        <w:pStyle w:val="Heading1"/>
        <w:spacing w:before="0"/>
        <w:ind w:left="709" w:hanging="709"/>
      </w:pPr>
      <w:r>
        <w:t>8.</w:t>
      </w:r>
      <w:r>
        <w:tab/>
      </w:r>
      <w:r w:rsidR="00937076" w:rsidRPr="002A34DD">
        <w:t>Comparator</w:t>
      </w:r>
      <w:r w:rsidR="00094129" w:rsidRPr="002A34DD">
        <w:t xml:space="preserve"> to the </w:t>
      </w:r>
      <w:r w:rsidR="00B7306D" w:rsidRPr="002A34DD">
        <w:t>proposed i</w:t>
      </w:r>
      <w:r w:rsidR="00094129" w:rsidRPr="002A34DD">
        <w:t>ntervention</w:t>
      </w:r>
    </w:p>
    <w:p w14:paraId="09532F6B" w14:textId="776CC6D1" w:rsidR="001F4534" w:rsidRDefault="001F4534" w:rsidP="001F4534">
      <w:pPr>
        <w:autoSpaceDE w:val="0"/>
        <w:autoSpaceDN w:val="0"/>
        <w:adjustRightInd w:val="0"/>
        <w:rPr>
          <w:szCs w:val="24"/>
        </w:rPr>
      </w:pPr>
      <w:r>
        <w:rPr>
          <w:szCs w:val="24"/>
        </w:rPr>
        <w:t>The P</w:t>
      </w:r>
      <w:r w:rsidR="00C73B86" w:rsidRPr="002C134D">
        <w:rPr>
          <w:szCs w:val="24"/>
        </w:rPr>
        <w:t xml:space="preserve">rotocol stated that the main comparator for </w:t>
      </w:r>
      <w:r w:rsidR="004F3A7C">
        <w:rPr>
          <w:szCs w:val="24"/>
        </w:rPr>
        <w:t>CE</w:t>
      </w:r>
      <w:r w:rsidR="00C73B86" w:rsidRPr="002C134D">
        <w:rPr>
          <w:szCs w:val="24"/>
        </w:rPr>
        <w:t xml:space="preserve"> is empiric treatment</w:t>
      </w:r>
      <w:r>
        <w:rPr>
          <w:szCs w:val="24"/>
        </w:rPr>
        <w:t xml:space="preserve"> as p</w:t>
      </w:r>
      <w:r w:rsidR="00C73B86" w:rsidRPr="002C134D">
        <w:rPr>
          <w:szCs w:val="24"/>
        </w:rPr>
        <w:t xml:space="preserve">atients who receive </w:t>
      </w:r>
      <w:r w:rsidR="004F3A7C">
        <w:rPr>
          <w:szCs w:val="24"/>
        </w:rPr>
        <w:t>CE</w:t>
      </w:r>
      <w:r w:rsidR="00C73B86" w:rsidRPr="002C134D">
        <w:rPr>
          <w:szCs w:val="24"/>
        </w:rPr>
        <w:t xml:space="preserve"> will have already undergone small bowel imaging with CTE, MRE or SBFT. The comparator in this case is not a traditional diagnostic test but rather long term ‘treatment response’ over a 12 month period that is seen as a surrogate for a diagnosis of </w:t>
      </w:r>
      <w:r w:rsidR="00BA726D" w:rsidRPr="002C134D">
        <w:rPr>
          <w:szCs w:val="24"/>
        </w:rPr>
        <w:t>Crohn disease</w:t>
      </w:r>
      <w:r w:rsidR="00C73B86" w:rsidRPr="002C134D">
        <w:rPr>
          <w:szCs w:val="24"/>
        </w:rPr>
        <w:t xml:space="preserve"> in the comparator arm.</w:t>
      </w:r>
    </w:p>
    <w:p w14:paraId="059219B7" w14:textId="77777777" w:rsidR="001F4534" w:rsidRDefault="001F4534" w:rsidP="002C134D">
      <w:pPr>
        <w:rPr>
          <w:szCs w:val="24"/>
        </w:rPr>
      </w:pPr>
    </w:p>
    <w:p w14:paraId="6EEB2958" w14:textId="58A29E1E" w:rsidR="0079412A" w:rsidRDefault="00C73B86" w:rsidP="002C134D">
      <w:pPr>
        <w:rPr>
          <w:szCs w:val="24"/>
        </w:rPr>
      </w:pPr>
      <w:r w:rsidRPr="002C134D">
        <w:rPr>
          <w:szCs w:val="24"/>
        </w:rPr>
        <w:t xml:space="preserve">According to the </w:t>
      </w:r>
      <w:r w:rsidR="002D0E5C" w:rsidRPr="002C134D">
        <w:rPr>
          <w:szCs w:val="24"/>
        </w:rPr>
        <w:t>re</w:t>
      </w:r>
      <w:r w:rsidRPr="002C134D">
        <w:rPr>
          <w:szCs w:val="24"/>
        </w:rPr>
        <w:t xml:space="preserve">submission, very few patients who commence empiric treatment (in a world without </w:t>
      </w:r>
      <w:r w:rsidR="004F3A7C">
        <w:rPr>
          <w:szCs w:val="24"/>
        </w:rPr>
        <w:t>CE</w:t>
      </w:r>
      <w:r w:rsidRPr="002C134D">
        <w:rPr>
          <w:szCs w:val="24"/>
        </w:rPr>
        <w:t xml:space="preserve">) </w:t>
      </w:r>
      <w:r w:rsidR="001F4534">
        <w:rPr>
          <w:szCs w:val="24"/>
        </w:rPr>
        <w:t>would</w:t>
      </w:r>
      <w:r w:rsidRPr="002C134D">
        <w:rPr>
          <w:szCs w:val="24"/>
        </w:rPr>
        <w:t xml:space="preserve"> have their diagnosis reclassified in this 12 month time horizon. In the comparator arm, at the b</w:t>
      </w:r>
      <w:r w:rsidR="001F4534">
        <w:rPr>
          <w:szCs w:val="24"/>
        </w:rPr>
        <w:t>eginning of treatment patients we</w:t>
      </w:r>
      <w:r w:rsidRPr="002C134D">
        <w:rPr>
          <w:szCs w:val="24"/>
        </w:rPr>
        <w:t xml:space="preserve">re assumed to have a ‘working (but not a confirmatory) diagnosis of </w:t>
      </w:r>
      <w:r w:rsidR="00BA726D" w:rsidRPr="002C134D">
        <w:rPr>
          <w:szCs w:val="24"/>
        </w:rPr>
        <w:t>Crohn disease.</w:t>
      </w:r>
      <w:r w:rsidRPr="002C134D">
        <w:rPr>
          <w:szCs w:val="24"/>
        </w:rPr>
        <w:t xml:space="preserve"> </w:t>
      </w:r>
      <w:r w:rsidR="00BA726D" w:rsidRPr="002C134D">
        <w:rPr>
          <w:szCs w:val="24"/>
        </w:rPr>
        <w:t>I</w:t>
      </w:r>
      <w:r w:rsidRPr="002C134D">
        <w:rPr>
          <w:szCs w:val="24"/>
        </w:rPr>
        <w:t xml:space="preserve">t </w:t>
      </w:r>
      <w:r w:rsidR="001F4534">
        <w:rPr>
          <w:szCs w:val="24"/>
        </w:rPr>
        <w:t>wa</w:t>
      </w:r>
      <w:r w:rsidRPr="002C134D">
        <w:rPr>
          <w:szCs w:val="24"/>
        </w:rPr>
        <w:t xml:space="preserve">s also assumed that a subsequent clinical response to treatment must mean the underlying diagnosis is </w:t>
      </w:r>
      <w:r w:rsidR="00BA726D" w:rsidRPr="002C134D">
        <w:rPr>
          <w:szCs w:val="24"/>
        </w:rPr>
        <w:t>Crohn disease</w:t>
      </w:r>
      <w:r w:rsidRPr="002C134D">
        <w:rPr>
          <w:szCs w:val="24"/>
        </w:rPr>
        <w:t>.</w:t>
      </w:r>
    </w:p>
    <w:p w14:paraId="0054B526" w14:textId="77777777" w:rsidR="00817DA1" w:rsidRDefault="00817DA1" w:rsidP="002C134D">
      <w:pPr>
        <w:rPr>
          <w:szCs w:val="24"/>
        </w:rPr>
      </w:pPr>
    </w:p>
    <w:p w14:paraId="53775AC1" w14:textId="35C19C58" w:rsidR="001F4534" w:rsidRDefault="001F4534" w:rsidP="002C134D">
      <w:pPr>
        <w:rPr>
          <w:szCs w:val="24"/>
        </w:rPr>
      </w:pPr>
      <w:r>
        <w:rPr>
          <w:szCs w:val="24"/>
        </w:rPr>
        <w:t xml:space="preserve">MSAC agreed with the resubmission that, in the absence of CE after failure to make a definite diagnosis of </w:t>
      </w:r>
      <w:r w:rsidR="004F3A7C" w:rsidRPr="002C134D">
        <w:rPr>
          <w:szCs w:val="24"/>
          <w:lang w:val="en-US" w:eastAsia="en-US"/>
        </w:rPr>
        <w:t>Crohn disease</w:t>
      </w:r>
      <w:r>
        <w:rPr>
          <w:szCs w:val="24"/>
        </w:rPr>
        <w:t xml:space="preserve"> after endoscopy and radiographic imaging, the appropriate </w:t>
      </w:r>
      <w:r w:rsidRPr="00E153BD">
        <w:rPr>
          <w:szCs w:val="24"/>
        </w:rPr>
        <w:t xml:space="preserve">comparator is </w:t>
      </w:r>
      <w:r>
        <w:rPr>
          <w:szCs w:val="24"/>
        </w:rPr>
        <w:t xml:space="preserve">empiric </w:t>
      </w:r>
      <w:r w:rsidR="004F3A7C" w:rsidRPr="002C134D">
        <w:rPr>
          <w:szCs w:val="24"/>
          <w:lang w:val="en-US" w:eastAsia="en-US"/>
        </w:rPr>
        <w:t>Crohn disease</w:t>
      </w:r>
      <w:r>
        <w:rPr>
          <w:szCs w:val="24"/>
        </w:rPr>
        <w:t xml:space="preserve"> therapy (immunosuppressants such as azathioprine, 6-mercaptopurine or methotrexate and tapering doses of corticosteroids).</w:t>
      </w:r>
      <w:r w:rsidRPr="00E153BD">
        <w:rPr>
          <w:szCs w:val="24"/>
        </w:rPr>
        <w:t xml:space="preserve"> </w:t>
      </w:r>
      <w:r>
        <w:rPr>
          <w:szCs w:val="24"/>
        </w:rPr>
        <w:lastRenderedPageBreak/>
        <w:t xml:space="preserve">However, </w:t>
      </w:r>
      <w:r w:rsidRPr="00E153BD">
        <w:rPr>
          <w:szCs w:val="24"/>
        </w:rPr>
        <w:t>MSAC noted that</w:t>
      </w:r>
      <w:r>
        <w:rPr>
          <w:szCs w:val="24"/>
        </w:rPr>
        <w:t>,</w:t>
      </w:r>
      <w:r w:rsidRPr="00E153BD">
        <w:rPr>
          <w:szCs w:val="24"/>
        </w:rPr>
        <w:t xml:space="preserve"> in practice</w:t>
      </w:r>
      <w:r>
        <w:rPr>
          <w:szCs w:val="24"/>
        </w:rPr>
        <w:t>,</w:t>
      </w:r>
      <w:r w:rsidRPr="00E153BD">
        <w:rPr>
          <w:szCs w:val="24"/>
        </w:rPr>
        <w:t xml:space="preserve"> </w:t>
      </w:r>
      <w:r>
        <w:rPr>
          <w:szCs w:val="24"/>
        </w:rPr>
        <w:t xml:space="preserve">some </w:t>
      </w:r>
      <w:r w:rsidRPr="00E153BD">
        <w:rPr>
          <w:szCs w:val="24"/>
        </w:rPr>
        <w:t xml:space="preserve">patients may be observed and not treated rather </w:t>
      </w:r>
      <w:r>
        <w:rPr>
          <w:szCs w:val="24"/>
        </w:rPr>
        <w:t>than</w:t>
      </w:r>
      <w:r w:rsidRPr="00E153BD">
        <w:rPr>
          <w:szCs w:val="24"/>
        </w:rPr>
        <w:t xml:space="preserve"> treated empirically</w:t>
      </w:r>
      <w:r>
        <w:rPr>
          <w:szCs w:val="24"/>
        </w:rPr>
        <w:t>, especially those with milder symptoms</w:t>
      </w:r>
      <w:r w:rsidRPr="00E153BD">
        <w:rPr>
          <w:szCs w:val="24"/>
        </w:rPr>
        <w:t>.</w:t>
      </w:r>
    </w:p>
    <w:p w14:paraId="7B501FF4" w14:textId="77777777" w:rsidR="001F4534" w:rsidRPr="002C134D" w:rsidRDefault="001F4534" w:rsidP="002C134D">
      <w:pPr>
        <w:rPr>
          <w:szCs w:val="24"/>
        </w:rPr>
      </w:pPr>
    </w:p>
    <w:p w14:paraId="34C95F98" w14:textId="566D613F" w:rsidR="00580C5F" w:rsidRPr="00150A5D" w:rsidRDefault="00E67C5A" w:rsidP="00150A5D">
      <w:pPr>
        <w:pStyle w:val="Heading1"/>
        <w:numPr>
          <w:ilvl w:val="0"/>
          <w:numId w:val="13"/>
        </w:numPr>
        <w:spacing w:before="0"/>
        <w:ind w:hanging="720"/>
        <w:rPr>
          <w:rFonts w:cs="Arial"/>
          <w:szCs w:val="24"/>
        </w:rPr>
      </w:pPr>
      <w:r w:rsidRPr="002A34DD">
        <w:rPr>
          <w:rFonts w:cs="Arial"/>
          <w:szCs w:val="24"/>
        </w:rPr>
        <w:t xml:space="preserve">Comparative </w:t>
      </w:r>
      <w:r w:rsidR="00C93A35" w:rsidRPr="002A34DD">
        <w:rPr>
          <w:rFonts w:cs="Arial"/>
          <w:szCs w:val="24"/>
        </w:rPr>
        <w:t>s</w:t>
      </w:r>
      <w:r w:rsidR="00937076" w:rsidRPr="002A34DD">
        <w:rPr>
          <w:rFonts w:cs="Arial"/>
          <w:szCs w:val="24"/>
        </w:rPr>
        <w:t>afety</w:t>
      </w:r>
    </w:p>
    <w:p w14:paraId="4CB61306" w14:textId="45794A08" w:rsidR="00817DA1" w:rsidRPr="002C134D" w:rsidRDefault="00150A5D" w:rsidP="002C134D">
      <w:pPr>
        <w:autoSpaceDE w:val="0"/>
        <w:autoSpaceDN w:val="0"/>
        <w:adjustRightInd w:val="0"/>
        <w:rPr>
          <w:szCs w:val="24"/>
        </w:rPr>
      </w:pPr>
      <w:r>
        <w:rPr>
          <w:szCs w:val="24"/>
        </w:rPr>
        <w:t>The P</w:t>
      </w:r>
      <w:r w:rsidR="00580C5F" w:rsidRPr="002C134D">
        <w:rPr>
          <w:szCs w:val="24"/>
        </w:rPr>
        <w:t>rotocol</w:t>
      </w:r>
      <w:r w:rsidR="008955BB">
        <w:rPr>
          <w:szCs w:val="24"/>
        </w:rPr>
        <w:t xml:space="preserve"> proposed that the resubmission </w:t>
      </w:r>
      <w:r w:rsidR="00DE087E">
        <w:rPr>
          <w:szCs w:val="24"/>
        </w:rPr>
        <w:t xml:space="preserve">further </w:t>
      </w:r>
      <w:r w:rsidR="008955BB">
        <w:rPr>
          <w:szCs w:val="24"/>
        </w:rPr>
        <w:t>address</w:t>
      </w:r>
      <w:r w:rsidR="00580C5F" w:rsidRPr="002C134D">
        <w:rPr>
          <w:szCs w:val="24"/>
        </w:rPr>
        <w:t xml:space="preserve"> </w:t>
      </w:r>
      <w:r w:rsidR="008955BB">
        <w:rPr>
          <w:szCs w:val="24"/>
        </w:rPr>
        <w:t>the issue of</w:t>
      </w:r>
      <w:r w:rsidR="00580C5F" w:rsidRPr="002C134D">
        <w:rPr>
          <w:szCs w:val="24"/>
        </w:rPr>
        <w:t xml:space="preserve"> </w:t>
      </w:r>
      <w:r w:rsidR="00435710">
        <w:rPr>
          <w:szCs w:val="24"/>
        </w:rPr>
        <w:t xml:space="preserve">overstated </w:t>
      </w:r>
      <w:r w:rsidR="00580C5F" w:rsidRPr="002C134D">
        <w:rPr>
          <w:szCs w:val="24"/>
        </w:rPr>
        <w:t xml:space="preserve">risk of capsule retention, </w:t>
      </w:r>
      <w:r w:rsidR="008955BB">
        <w:rPr>
          <w:szCs w:val="24"/>
        </w:rPr>
        <w:t>not</w:t>
      </w:r>
      <w:r w:rsidR="00580C5F" w:rsidRPr="002C134D">
        <w:rPr>
          <w:szCs w:val="24"/>
        </w:rPr>
        <w:t>ing the following:</w:t>
      </w:r>
    </w:p>
    <w:p w14:paraId="7E878DEF" w14:textId="516AA1A4" w:rsidR="00580C5F" w:rsidRPr="002C134D" w:rsidRDefault="00580C5F" w:rsidP="002C134D">
      <w:pPr>
        <w:pStyle w:val="ListParagraph"/>
        <w:numPr>
          <w:ilvl w:val="0"/>
          <w:numId w:val="14"/>
        </w:numPr>
        <w:autoSpaceDE w:val="0"/>
        <w:autoSpaceDN w:val="0"/>
        <w:adjustRightInd w:val="0"/>
        <w:rPr>
          <w:szCs w:val="24"/>
        </w:rPr>
      </w:pPr>
      <w:r w:rsidRPr="002C134D">
        <w:rPr>
          <w:szCs w:val="24"/>
        </w:rPr>
        <w:t xml:space="preserve">patients who are eligible for </w:t>
      </w:r>
      <w:r w:rsidR="004F3A7C">
        <w:rPr>
          <w:szCs w:val="24"/>
        </w:rPr>
        <w:t>CE</w:t>
      </w:r>
      <w:r w:rsidRPr="002C134D">
        <w:rPr>
          <w:szCs w:val="24"/>
        </w:rPr>
        <w:t xml:space="preserve"> will have already undergone CTE or MRE, both of which can be used to identify strictures;</w:t>
      </w:r>
      <w:r w:rsidR="00BA726D" w:rsidRPr="002C134D">
        <w:rPr>
          <w:szCs w:val="24"/>
        </w:rPr>
        <w:t xml:space="preserve"> and</w:t>
      </w:r>
    </w:p>
    <w:p w14:paraId="5B89E6F1" w14:textId="02C7F5E3" w:rsidR="00580C5F" w:rsidRPr="002C134D" w:rsidRDefault="00580C5F" w:rsidP="002C134D">
      <w:pPr>
        <w:pStyle w:val="ListParagraph"/>
        <w:numPr>
          <w:ilvl w:val="0"/>
          <w:numId w:val="14"/>
        </w:numPr>
        <w:autoSpaceDE w:val="0"/>
        <w:autoSpaceDN w:val="0"/>
        <w:adjustRightInd w:val="0"/>
        <w:rPr>
          <w:szCs w:val="24"/>
        </w:rPr>
      </w:pPr>
      <w:r w:rsidRPr="002C134D">
        <w:rPr>
          <w:szCs w:val="24"/>
        </w:rPr>
        <w:t xml:space="preserve">in patients who are suspected of having strictures, Pillcam® SB comes with a dissolvable capsule (Agile™) to test the patency of the gastrointestinal tract before </w:t>
      </w:r>
      <w:r w:rsidR="004F3A7C">
        <w:rPr>
          <w:szCs w:val="24"/>
        </w:rPr>
        <w:t>CE</w:t>
      </w:r>
      <w:r w:rsidRPr="002C134D">
        <w:rPr>
          <w:szCs w:val="24"/>
        </w:rPr>
        <w:t xml:space="preserve">. </w:t>
      </w:r>
    </w:p>
    <w:p w14:paraId="0004AB12" w14:textId="77777777" w:rsidR="00817DA1" w:rsidRDefault="00817DA1" w:rsidP="002C134D">
      <w:pPr>
        <w:tabs>
          <w:tab w:val="left" w:pos="284"/>
          <w:tab w:val="left" w:pos="720"/>
          <w:tab w:val="left" w:pos="1140"/>
        </w:tabs>
        <w:rPr>
          <w:szCs w:val="24"/>
        </w:rPr>
      </w:pPr>
    </w:p>
    <w:p w14:paraId="546D89CF" w14:textId="1BE93408" w:rsidR="00580C5F" w:rsidRPr="002C134D" w:rsidRDefault="00DE087E" w:rsidP="002C134D">
      <w:pPr>
        <w:tabs>
          <w:tab w:val="left" w:pos="284"/>
          <w:tab w:val="left" w:pos="720"/>
          <w:tab w:val="left" w:pos="1140"/>
        </w:tabs>
        <w:rPr>
          <w:szCs w:val="24"/>
        </w:rPr>
      </w:pPr>
      <w:r>
        <w:rPr>
          <w:szCs w:val="24"/>
        </w:rPr>
        <w:t>The</w:t>
      </w:r>
      <w:r w:rsidR="00580C5F" w:rsidRPr="002C134D">
        <w:rPr>
          <w:szCs w:val="24"/>
        </w:rPr>
        <w:t xml:space="preserve"> resubmission state</w:t>
      </w:r>
      <w:r>
        <w:rPr>
          <w:szCs w:val="24"/>
        </w:rPr>
        <w:t>d</w:t>
      </w:r>
      <w:r w:rsidR="00580C5F" w:rsidRPr="002C134D">
        <w:rPr>
          <w:szCs w:val="24"/>
        </w:rPr>
        <w:t>:</w:t>
      </w:r>
    </w:p>
    <w:p w14:paraId="094CB760" w14:textId="77777777" w:rsidR="00580C5F" w:rsidRPr="002C134D" w:rsidRDefault="00580C5F" w:rsidP="002C134D">
      <w:pPr>
        <w:pStyle w:val="ListParagraph"/>
        <w:numPr>
          <w:ilvl w:val="0"/>
          <w:numId w:val="15"/>
        </w:numPr>
        <w:tabs>
          <w:tab w:val="left" w:pos="284"/>
          <w:tab w:val="left" w:pos="720"/>
          <w:tab w:val="left" w:pos="1140"/>
        </w:tabs>
        <w:rPr>
          <w:szCs w:val="24"/>
        </w:rPr>
      </w:pPr>
      <w:r w:rsidRPr="002C134D">
        <w:rPr>
          <w:szCs w:val="24"/>
        </w:rPr>
        <w:t>the primary basis for MSAC concerns in 2011 around safety was predominantly based on a single study (Ge et</w:t>
      </w:r>
      <w:r w:rsidR="00722A50" w:rsidRPr="002C134D">
        <w:rPr>
          <w:szCs w:val="24"/>
        </w:rPr>
        <w:t xml:space="preserve"> </w:t>
      </w:r>
      <w:r w:rsidRPr="002C134D">
        <w:rPr>
          <w:szCs w:val="24"/>
        </w:rPr>
        <w:t>al 2004) that reported a capsule retention rate of 15% and that the risk of retention was overstated;</w:t>
      </w:r>
    </w:p>
    <w:p w14:paraId="5F2383F0" w14:textId="77777777" w:rsidR="00580C5F" w:rsidRPr="002C134D" w:rsidRDefault="00580C5F" w:rsidP="002C134D">
      <w:pPr>
        <w:pStyle w:val="ListParagraph"/>
        <w:numPr>
          <w:ilvl w:val="0"/>
          <w:numId w:val="15"/>
        </w:numPr>
        <w:tabs>
          <w:tab w:val="left" w:pos="284"/>
          <w:tab w:val="left" w:pos="720"/>
          <w:tab w:val="left" w:pos="1140"/>
        </w:tabs>
        <w:rPr>
          <w:szCs w:val="24"/>
        </w:rPr>
      </w:pPr>
      <w:r w:rsidRPr="002C134D">
        <w:rPr>
          <w:szCs w:val="24"/>
        </w:rPr>
        <w:t>the ‘updated literature’ on retention data which has been refined to take into account the new eligible population where patients at high risk of retention have been excluded; and</w:t>
      </w:r>
    </w:p>
    <w:p w14:paraId="63FB141B" w14:textId="71A0E1DD" w:rsidR="00580C5F" w:rsidRPr="002C134D" w:rsidRDefault="00580C5F" w:rsidP="002C134D">
      <w:pPr>
        <w:pStyle w:val="ListParagraph"/>
        <w:numPr>
          <w:ilvl w:val="0"/>
          <w:numId w:val="15"/>
        </w:numPr>
        <w:tabs>
          <w:tab w:val="left" w:pos="284"/>
          <w:tab w:val="left" w:pos="720"/>
          <w:tab w:val="left" w:pos="1140"/>
        </w:tabs>
        <w:rPr>
          <w:szCs w:val="24"/>
        </w:rPr>
      </w:pPr>
      <w:r w:rsidRPr="002C134D">
        <w:rPr>
          <w:szCs w:val="24"/>
        </w:rPr>
        <w:t>that across the 6 included studies (Table 1) examining retention in 303</w:t>
      </w:r>
      <w:r w:rsidR="00722A50" w:rsidRPr="002C134D">
        <w:rPr>
          <w:szCs w:val="24"/>
        </w:rPr>
        <w:t> </w:t>
      </w:r>
      <w:r w:rsidRPr="002C134D">
        <w:rPr>
          <w:szCs w:val="24"/>
        </w:rPr>
        <w:t>patients there was a retention rate of 4%, and of the listed studies, the study by Selby (2008) (which reported a retention rate of 0.8%) was in an Australian population</w:t>
      </w:r>
    </w:p>
    <w:p w14:paraId="3C25847E" w14:textId="77777777" w:rsidR="00B9632B" w:rsidRDefault="00B9632B" w:rsidP="002C134D">
      <w:pPr>
        <w:tabs>
          <w:tab w:val="left" w:pos="284"/>
          <w:tab w:val="left" w:pos="720"/>
          <w:tab w:val="left" w:pos="1140"/>
        </w:tabs>
        <w:rPr>
          <w:szCs w:val="24"/>
        </w:rPr>
      </w:pPr>
    </w:p>
    <w:p w14:paraId="323F4E37" w14:textId="0CBE5159" w:rsidR="00580C5F" w:rsidRDefault="00580C5F" w:rsidP="002C134D">
      <w:pPr>
        <w:tabs>
          <w:tab w:val="left" w:pos="284"/>
          <w:tab w:val="left" w:pos="720"/>
          <w:tab w:val="left" w:pos="1140"/>
        </w:tabs>
        <w:rPr>
          <w:szCs w:val="24"/>
        </w:rPr>
      </w:pPr>
      <w:r w:rsidRPr="002C134D">
        <w:rPr>
          <w:szCs w:val="24"/>
        </w:rPr>
        <w:t xml:space="preserve">No new safety data </w:t>
      </w:r>
      <w:r w:rsidR="00AE0187">
        <w:rPr>
          <w:szCs w:val="24"/>
        </w:rPr>
        <w:t>was</w:t>
      </w:r>
      <w:r w:rsidRPr="002C134D">
        <w:rPr>
          <w:szCs w:val="24"/>
        </w:rPr>
        <w:t xml:space="preserve"> included </w:t>
      </w:r>
      <w:r w:rsidR="00AE0187">
        <w:rPr>
          <w:szCs w:val="24"/>
        </w:rPr>
        <w:t>from that</w:t>
      </w:r>
      <w:r w:rsidRPr="002C134D">
        <w:rPr>
          <w:szCs w:val="24"/>
        </w:rPr>
        <w:t xml:space="preserve"> considered by MSAC in 2011. </w:t>
      </w:r>
      <w:r w:rsidR="00AE0187">
        <w:rPr>
          <w:szCs w:val="24"/>
        </w:rPr>
        <w:t>The resubmission identified six studies that we</w:t>
      </w:r>
      <w:r w:rsidRPr="002C134D">
        <w:rPr>
          <w:szCs w:val="24"/>
        </w:rPr>
        <w:t xml:space="preserve">re applicable for the </w:t>
      </w:r>
      <w:r w:rsidR="00AE0187">
        <w:rPr>
          <w:szCs w:val="24"/>
        </w:rPr>
        <w:t xml:space="preserve">proposed </w:t>
      </w:r>
      <w:r w:rsidRPr="002C134D">
        <w:rPr>
          <w:szCs w:val="24"/>
        </w:rPr>
        <w:t xml:space="preserve">eligible </w:t>
      </w:r>
      <w:r w:rsidR="00AE0187">
        <w:rPr>
          <w:szCs w:val="24"/>
        </w:rPr>
        <w:t xml:space="preserve">patient </w:t>
      </w:r>
      <w:r w:rsidRPr="002C134D">
        <w:rPr>
          <w:szCs w:val="24"/>
        </w:rPr>
        <w:t>population. The diagnostic yield study of Selby (2008) was cited as the most applicable in terms of safety as it was generated in the Australian health care setting.</w:t>
      </w:r>
    </w:p>
    <w:p w14:paraId="550609B7" w14:textId="77777777" w:rsidR="003210C4" w:rsidRDefault="003210C4" w:rsidP="002C134D">
      <w:pPr>
        <w:tabs>
          <w:tab w:val="left" w:pos="284"/>
          <w:tab w:val="left" w:pos="720"/>
          <w:tab w:val="left" w:pos="1140"/>
        </w:tabs>
        <w:rPr>
          <w:szCs w:val="24"/>
        </w:rPr>
      </w:pPr>
    </w:p>
    <w:p w14:paraId="637A5830" w14:textId="77777777" w:rsidR="003210C4" w:rsidRDefault="003210C4" w:rsidP="003210C4">
      <w:pPr>
        <w:tabs>
          <w:tab w:val="left" w:pos="284"/>
          <w:tab w:val="left" w:pos="720"/>
          <w:tab w:val="left" w:pos="1140"/>
        </w:tabs>
        <w:rPr>
          <w:szCs w:val="24"/>
        </w:rPr>
      </w:pPr>
      <w:r>
        <w:rPr>
          <w:szCs w:val="24"/>
        </w:rPr>
        <w:t xml:space="preserve">MSAC agreed that the rate of capsule retention was likely to be less than the 15% the committee had emphasised previously, but </w:t>
      </w:r>
      <w:r w:rsidRPr="00CA4018">
        <w:rPr>
          <w:szCs w:val="24"/>
        </w:rPr>
        <w:t xml:space="preserve">the assumed CE retention rate of 1% </w:t>
      </w:r>
      <w:r>
        <w:rPr>
          <w:szCs w:val="24"/>
        </w:rPr>
        <w:t xml:space="preserve">in the model </w:t>
      </w:r>
      <w:r w:rsidRPr="00CA4018">
        <w:rPr>
          <w:szCs w:val="24"/>
        </w:rPr>
        <w:t xml:space="preserve">was at the low end of the range of estimates </w:t>
      </w:r>
      <w:r>
        <w:rPr>
          <w:szCs w:val="24"/>
        </w:rPr>
        <w:t>from across</w:t>
      </w:r>
      <w:r w:rsidRPr="00CA4018">
        <w:rPr>
          <w:szCs w:val="24"/>
        </w:rPr>
        <w:t xml:space="preserve"> </w:t>
      </w:r>
      <w:r>
        <w:rPr>
          <w:szCs w:val="24"/>
        </w:rPr>
        <w:t xml:space="preserve">all </w:t>
      </w:r>
      <w:r w:rsidRPr="00CA4018">
        <w:rPr>
          <w:szCs w:val="24"/>
        </w:rPr>
        <w:t>the studies provided</w:t>
      </w:r>
      <w:r>
        <w:rPr>
          <w:szCs w:val="24"/>
        </w:rPr>
        <w:t>.</w:t>
      </w:r>
    </w:p>
    <w:p w14:paraId="7066B0F1" w14:textId="77777777" w:rsidR="00051FAB" w:rsidRDefault="00051FAB" w:rsidP="00580C5F">
      <w:pPr>
        <w:tabs>
          <w:tab w:val="left" w:pos="284"/>
          <w:tab w:val="left" w:pos="720"/>
          <w:tab w:val="left" w:pos="1140"/>
        </w:tabs>
        <w:spacing w:before="40" w:after="40"/>
        <w:ind w:left="284"/>
        <w:rPr>
          <w:rFonts w:ascii="Arial" w:hAnsi="Arial" w:cs="Arial"/>
          <w:sz w:val="20"/>
        </w:rPr>
      </w:pPr>
    </w:p>
    <w:p w14:paraId="0F3D9ECC" w14:textId="4C30A8C1" w:rsidR="00580C5F" w:rsidRPr="000C1671" w:rsidRDefault="00580C5F" w:rsidP="00580C5F">
      <w:pPr>
        <w:tabs>
          <w:tab w:val="left" w:pos="284"/>
          <w:tab w:val="left" w:pos="720"/>
          <w:tab w:val="left" w:pos="1140"/>
        </w:tabs>
        <w:spacing w:before="40" w:after="40"/>
        <w:ind w:left="284"/>
        <w:rPr>
          <w:rFonts w:ascii="Arial" w:hAnsi="Arial" w:cs="Arial"/>
          <w:sz w:val="20"/>
        </w:rPr>
      </w:pPr>
      <w:r w:rsidRPr="000C1671">
        <w:rPr>
          <w:rFonts w:ascii="Arial" w:hAnsi="Arial" w:cs="Arial"/>
          <w:sz w:val="20"/>
        </w:rPr>
        <w:t xml:space="preserve">Table 1: Adverse events from </w:t>
      </w:r>
      <w:r w:rsidR="004F3A7C">
        <w:rPr>
          <w:rFonts w:ascii="Arial" w:hAnsi="Arial" w:cs="Arial"/>
          <w:sz w:val="20"/>
        </w:rPr>
        <w:t>CE</w:t>
      </w:r>
      <w:r w:rsidRPr="000C1671">
        <w:rPr>
          <w:rFonts w:ascii="Arial" w:hAnsi="Arial" w:cs="Arial"/>
          <w:sz w:val="20"/>
        </w:rPr>
        <w:t xml:space="preserve"> in suspected </w:t>
      </w:r>
      <w:r w:rsidR="00BA726D" w:rsidRPr="000C1671">
        <w:rPr>
          <w:rFonts w:ascii="Arial" w:hAnsi="Arial" w:cs="Arial"/>
          <w:sz w:val="20"/>
        </w:rPr>
        <w:t>Crohn</w:t>
      </w:r>
      <w:r w:rsidRPr="000C1671">
        <w:rPr>
          <w:rFonts w:ascii="Arial" w:hAnsi="Arial" w:cs="Arial"/>
          <w:sz w:val="20"/>
        </w:rPr>
        <w:t xml:space="preserve"> disease</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838"/>
        <w:gridCol w:w="1840"/>
        <w:gridCol w:w="1840"/>
        <w:gridCol w:w="28"/>
        <w:gridCol w:w="1868"/>
      </w:tblGrid>
      <w:tr w:rsidR="00580C5F" w:rsidRPr="000C1671" w14:paraId="75DA747F" w14:textId="77777777" w:rsidTr="000C1671">
        <w:trPr>
          <w:tblHeader/>
        </w:trPr>
        <w:tc>
          <w:tcPr>
            <w:tcW w:w="1030" w:type="pct"/>
            <w:vMerge w:val="restart"/>
            <w:shd w:val="clear" w:color="auto" w:fill="auto"/>
          </w:tcPr>
          <w:p w14:paraId="4A01A54A"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 xml:space="preserve">Study </w:t>
            </w:r>
          </w:p>
        </w:tc>
        <w:tc>
          <w:tcPr>
            <w:tcW w:w="1969" w:type="pct"/>
            <w:gridSpan w:val="2"/>
            <w:shd w:val="clear" w:color="auto" w:fill="auto"/>
          </w:tcPr>
          <w:p w14:paraId="3C2EF607"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Retention</w:t>
            </w:r>
          </w:p>
        </w:tc>
        <w:tc>
          <w:tcPr>
            <w:tcW w:w="2000" w:type="pct"/>
            <w:gridSpan w:val="3"/>
            <w:shd w:val="clear" w:color="auto" w:fill="auto"/>
          </w:tcPr>
          <w:p w14:paraId="70A144D4"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Surgery following retention</w:t>
            </w:r>
          </w:p>
        </w:tc>
      </w:tr>
      <w:tr w:rsidR="00580C5F" w:rsidRPr="000C1671" w14:paraId="0743EC5B" w14:textId="77777777" w:rsidTr="000C1671">
        <w:tc>
          <w:tcPr>
            <w:tcW w:w="1030" w:type="pct"/>
            <w:vMerge/>
            <w:shd w:val="clear" w:color="auto" w:fill="auto"/>
          </w:tcPr>
          <w:p w14:paraId="58B41329"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p>
        </w:tc>
        <w:tc>
          <w:tcPr>
            <w:tcW w:w="984" w:type="pct"/>
            <w:shd w:val="clear" w:color="auto" w:fill="auto"/>
          </w:tcPr>
          <w:p w14:paraId="0F5002CF"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n/N</w:t>
            </w:r>
          </w:p>
        </w:tc>
        <w:tc>
          <w:tcPr>
            <w:tcW w:w="985" w:type="pct"/>
            <w:shd w:val="clear" w:color="auto" w:fill="auto"/>
          </w:tcPr>
          <w:p w14:paraId="0B887CCB"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  (95% CI)</w:t>
            </w:r>
          </w:p>
        </w:tc>
        <w:tc>
          <w:tcPr>
            <w:tcW w:w="985" w:type="pct"/>
            <w:shd w:val="clear" w:color="auto" w:fill="auto"/>
          </w:tcPr>
          <w:p w14:paraId="0E283710"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n/N</w:t>
            </w:r>
          </w:p>
        </w:tc>
        <w:tc>
          <w:tcPr>
            <w:tcW w:w="1015" w:type="pct"/>
            <w:gridSpan w:val="2"/>
            <w:shd w:val="clear" w:color="auto" w:fill="auto"/>
          </w:tcPr>
          <w:p w14:paraId="37D526F2"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w:t>
            </w:r>
          </w:p>
        </w:tc>
      </w:tr>
      <w:tr w:rsidR="00580C5F" w:rsidRPr="000C1671" w14:paraId="30ECEAD5" w14:textId="77777777" w:rsidTr="000C1671">
        <w:trPr>
          <w:trHeight w:val="276"/>
        </w:trPr>
        <w:tc>
          <w:tcPr>
            <w:tcW w:w="1030" w:type="pct"/>
            <w:shd w:val="clear" w:color="auto" w:fill="auto"/>
          </w:tcPr>
          <w:p w14:paraId="53CF1BC0"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Figuerdo 2010</w:t>
            </w:r>
          </w:p>
        </w:tc>
        <w:tc>
          <w:tcPr>
            <w:tcW w:w="984" w:type="pct"/>
            <w:shd w:val="clear" w:color="auto" w:fill="auto"/>
          </w:tcPr>
          <w:p w14:paraId="4B687389"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4/78</w:t>
            </w:r>
          </w:p>
        </w:tc>
        <w:tc>
          <w:tcPr>
            <w:tcW w:w="985" w:type="pct"/>
            <w:shd w:val="clear" w:color="auto" w:fill="auto"/>
          </w:tcPr>
          <w:p w14:paraId="01251FFF"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5.1% (1.6%-12.9%)</w:t>
            </w:r>
          </w:p>
        </w:tc>
        <w:tc>
          <w:tcPr>
            <w:tcW w:w="985" w:type="pct"/>
            <w:shd w:val="clear" w:color="auto" w:fill="auto"/>
          </w:tcPr>
          <w:p w14:paraId="08492938"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2/4</w:t>
            </w:r>
          </w:p>
        </w:tc>
        <w:tc>
          <w:tcPr>
            <w:tcW w:w="1015" w:type="pct"/>
            <w:gridSpan w:val="2"/>
            <w:shd w:val="clear" w:color="auto" w:fill="auto"/>
          </w:tcPr>
          <w:p w14:paraId="79BF09EE"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50%</w:t>
            </w:r>
          </w:p>
        </w:tc>
      </w:tr>
      <w:tr w:rsidR="00580C5F" w:rsidRPr="000C1671" w14:paraId="5AE749FC" w14:textId="77777777" w:rsidTr="000C1671">
        <w:tc>
          <w:tcPr>
            <w:tcW w:w="1030" w:type="pct"/>
            <w:shd w:val="clear" w:color="auto" w:fill="auto"/>
          </w:tcPr>
          <w:p w14:paraId="0BF9B6E3"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Girelli 2007</w:t>
            </w:r>
          </w:p>
        </w:tc>
        <w:tc>
          <w:tcPr>
            <w:tcW w:w="984" w:type="pct"/>
            <w:shd w:val="clear" w:color="auto" w:fill="auto"/>
          </w:tcPr>
          <w:p w14:paraId="05E9DD36"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3/27</w:t>
            </w:r>
          </w:p>
        </w:tc>
        <w:tc>
          <w:tcPr>
            <w:tcW w:w="985" w:type="pct"/>
            <w:shd w:val="clear" w:color="auto" w:fill="auto"/>
          </w:tcPr>
          <w:p w14:paraId="77D823AD"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11.1% (3.0%-28.9%)</w:t>
            </w:r>
          </w:p>
        </w:tc>
        <w:tc>
          <w:tcPr>
            <w:tcW w:w="985" w:type="pct"/>
            <w:shd w:val="clear" w:color="auto" w:fill="auto"/>
          </w:tcPr>
          <w:p w14:paraId="39DD937E"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2/3</w:t>
            </w:r>
          </w:p>
        </w:tc>
        <w:tc>
          <w:tcPr>
            <w:tcW w:w="1015" w:type="pct"/>
            <w:gridSpan w:val="2"/>
            <w:shd w:val="clear" w:color="auto" w:fill="auto"/>
          </w:tcPr>
          <w:p w14:paraId="04701521"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66.7%</w:t>
            </w:r>
          </w:p>
        </w:tc>
      </w:tr>
      <w:tr w:rsidR="00580C5F" w:rsidRPr="000C1671" w14:paraId="43DFDDC7" w14:textId="77777777" w:rsidTr="000C1671">
        <w:tc>
          <w:tcPr>
            <w:tcW w:w="1030" w:type="pct"/>
            <w:shd w:val="clear" w:color="auto" w:fill="auto"/>
          </w:tcPr>
          <w:p w14:paraId="760E2ED2"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Selby, 2008</w:t>
            </w:r>
          </w:p>
        </w:tc>
        <w:tc>
          <w:tcPr>
            <w:tcW w:w="984" w:type="pct"/>
            <w:shd w:val="clear" w:color="auto" w:fill="auto"/>
          </w:tcPr>
          <w:p w14:paraId="19272C2C"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1/120</w:t>
            </w:r>
          </w:p>
        </w:tc>
        <w:tc>
          <w:tcPr>
            <w:tcW w:w="985" w:type="pct"/>
            <w:shd w:val="clear" w:color="auto" w:fill="auto"/>
          </w:tcPr>
          <w:p w14:paraId="0ED64D75"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0% (0%-5.0%)</w:t>
            </w:r>
          </w:p>
        </w:tc>
        <w:tc>
          <w:tcPr>
            <w:tcW w:w="2000" w:type="pct"/>
            <w:gridSpan w:val="3"/>
            <w:shd w:val="clear" w:color="auto" w:fill="auto"/>
          </w:tcPr>
          <w:p w14:paraId="4E664131"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NR</w:t>
            </w:r>
          </w:p>
        </w:tc>
      </w:tr>
      <w:tr w:rsidR="00580C5F" w:rsidRPr="000C1671" w14:paraId="35BDE7D3" w14:textId="77777777" w:rsidTr="000C1671">
        <w:tc>
          <w:tcPr>
            <w:tcW w:w="1030" w:type="pct"/>
            <w:shd w:val="clear" w:color="auto" w:fill="auto"/>
          </w:tcPr>
          <w:p w14:paraId="7E4BE11F"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Eliakim, 2004</w:t>
            </w:r>
          </w:p>
        </w:tc>
        <w:tc>
          <w:tcPr>
            <w:tcW w:w="984" w:type="pct"/>
            <w:shd w:val="clear" w:color="auto" w:fill="auto"/>
          </w:tcPr>
          <w:p w14:paraId="40086D8E"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0/35</w:t>
            </w:r>
          </w:p>
        </w:tc>
        <w:tc>
          <w:tcPr>
            <w:tcW w:w="985" w:type="pct"/>
            <w:shd w:val="clear" w:color="auto" w:fill="auto"/>
          </w:tcPr>
          <w:p w14:paraId="1E5FADD7"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0% (0%-11.8%)</w:t>
            </w:r>
          </w:p>
        </w:tc>
        <w:tc>
          <w:tcPr>
            <w:tcW w:w="2000" w:type="pct"/>
            <w:gridSpan w:val="3"/>
            <w:shd w:val="clear" w:color="auto" w:fill="auto"/>
          </w:tcPr>
          <w:p w14:paraId="579CCEFF"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N/A</w:t>
            </w:r>
          </w:p>
        </w:tc>
      </w:tr>
      <w:tr w:rsidR="00580C5F" w:rsidRPr="000C1671" w14:paraId="4B88A044" w14:textId="77777777" w:rsidTr="000C1671">
        <w:tc>
          <w:tcPr>
            <w:tcW w:w="1030" w:type="pct"/>
            <w:shd w:val="clear" w:color="auto" w:fill="auto"/>
          </w:tcPr>
          <w:p w14:paraId="517365AA"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Ge, 2004</w:t>
            </w:r>
          </w:p>
        </w:tc>
        <w:tc>
          <w:tcPr>
            <w:tcW w:w="984" w:type="pct"/>
            <w:shd w:val="clear" w:color="auto" w:fill="auto"/>
          </w:tcPr>
          <w:p w14:paraId="531006B2"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3/20</w:t>
            </w:r>
          </w:p>
        </w:tc>
        <w:tc>
          <w:tcPr>
            <w:tcW w:w="985" w:type="pct"/>
            <w:shd w:val="clear" w:color="auto" w:fill="auto"/>
          </w:tcPr>
          <w:p w14:paraId="28DDAFA2"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15% (4.4%-36.9%)</w:t>
            </w:r>
          </w:p>
        </w:tc>
        <w:tc>
          <w:tcPr>
            <w:tcW w:w="2000" w:type="pct"/>
            <w:gridSpan w:val="3"/>
            <w:shd w:val="clear" w:color="auto" w:fill="auto"/>
          </w:tcPr>
          <w:p w14:paraId="5BA7B2F1"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NR</w:t>
            </w:r>
          </w:p>
        </w:tc>
      </w:tr>
      <w:tr w:rsidR="00580C5F" w:rsidRPr="000C1671" w14:paraId="6208C8B1" w14:textId="77777777" w:rsidTr="000C1671">
        <w:tc>
          <w:tcPr>
            <w:tcW w:w="1030" w:type="pct"/>
            <w:shd w:val="clear" w:color="auto" w:fill="auto"/>
          </w:tcPr>
          <w:p w14:paraId="53792CF0"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Valle, 2006</w:t>
            </w:r>
          </w:p>
        </w:tc>
        <w:tc>
          <w:tcPr>
            <w:tcW w:w="984" w:type="pct"/>
            <w:shd w:val="clear" w:color="auto" w:fill="auto"/>
          </w:tcPr>
          <w:p w14:paraId="6ABDE407"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2/23</w:t>
            </w:r>
          </w:p>
        </w:tc>
        <w:tc>
          <w:tcPr>
            <w:tcW w:w="985" w:type="pct"/>
            <w:shd w:val="clear" w:color="auto" w:fill="auto"/>
          </w:tcPr>
          <w:p w14:paraId="11E1CF84"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8.7% (1%-28.0%)</w:t>
            </w:r>
          </w:p>
        </w:tc>
        <w:tc>
          <w:tcPr>
            <w:tcW w:w="1000" w:type="pct"/>
            <w:gridSpan w:val="2"/>
            <w:shd w:val="clear" w:color="auto" w:fill="auto"/>
          </w:tcPr>
          <w:p w14:paraId="1EE2AECE"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1/2</w:t>
            </w:r>
          </w:p>
        </w:tc>
        <w:tc>
          <w:tcPr>
            <w:tcW w:w="1000" w:type="pct"/>
            <w:shd w:val="clear" w:color="auto" w:fill="auto"/>
          </w:tcPr>
          <w:p w14:paraId="7958E2FC" w14:textId="77777777" w:rsidR="00580C5F" w:rsidRPr="000C1671" w:rsidRDefault="00580C5F" w:rsidP="00F710CB">
            <w:pPr>
              <w:tabs>
                <w:tab w:val="left" w:pos="284"/>
                <w:tab w:val="left" w:pos="720"/>
                <w:tab w:val="left" w:pos="1140"/>
              </w:tabs>
              <w:spacing w:before="40" w:after="40"/>
              <w:ind w:left="284"/>
              <w:rPr>
                <w:rFonts w:ascii="Arial" w:hAnsi="Arial" w:cs="Arial"/>
                <w:sz w:val="20"/>
              </w:rPr>
            </w:pPr>
            <w:r w:rsidRPr="000C1671">
              <w:rPr>
                <w:rFonts w:ascii="Arial" w:hAnsi="Arial" w:cs="Arial"/>
                <w:sz w:val="20"/>
              </w:rPr>
              <w:t>50%</w:t>
            </w:r>
          </w:p>
        </w:tc>
      </w:tr>
    </w:tbl>
    <w:p w14:paraId="295573D8" w14:textId="77777777" w:rsidR="00A50A8E" w:rsidRDefault="00A50A8E" w:rsidP="00580C5F">
      <w:pPr>
        <w:autoSpaceDE w:val="0"/>
        <w:autoSpaceDN w:val="0"/>
        <w:adjustRightInd w:val="0"/>
        <w:rPr>
          <w:szCs w:val="24"/>
        </w:rPr>
      </w:pPr>
    </w:p>
    <w:p w14:paraId="017CED18" w14:textId="22B77D75" w:rsidR="00580C5F" w:rsidRPr="002C134D" w:rsidRDefault="00580C5F" w:rsidP="00580C5F">
      <w:pPr>
        <w:autoSpaceDE w:val="0"/>
        <w:autoSpaceDN w:val="0"/>
        <w:adjustRightInd w:val="0"/>
        <w:rPr>
          <w:szCs w:val="24"/>
        </w:rPr>
      </w:pPr>
      <w:r w:rsidRPr="002C134D">
        <w:rPr>
          <w:szCs w:val="24"/>
        </w:rPr>
        <w:t>MSAC had previous concerns around the predictive accuracy of prior tests to</w:t>
      </w:r>
      <w:r w:rsidR="00564298">
        <w:rPr>
          <w:szCs w:val="24"/>
        </w:rPr>
        <w:t xml:space="preserve"> identify strictures that place</w:t>
      </w:r>
      <w:r w:rsidRPr="002C134D">
        <w:rPr>
          <w:szCs w:val="24"/>
        </w:rPr>
        <w:t xml:space="preserve"> patients at high risk of capsule retention. However</w:t>
      </w:r>
      <w:r w:rsidR="00564298">
        <w:rPr>
          <w:szCs w:val="24"/>
        </w:rPr>
        <w:t>, PASC</w:t>
      </w:r>
      <w:r w:rsidRPr="002C134D">
        <w:rPr>
          <w:szCs w:val="24"/>
        </w:rPr>
        <w:t xml:space="preserve"> noted that the risk of capsule retention was low, as patients with small bowel strictures </w:t>
      </w:r>
      <w:r w:rsidR="00564298">
        <w:rPr>
          <w:szCs w:val="24"/>
        </w:rPr>
        <w:t>would</w:t>
      </w:r>
      <w:r w:rsidRPr="002C134D">
        <w:rPr>
          <w:szCs w:val="24"/>
        </w:rPr>
        <w:t xml:space="preserve"> have been </w:t>
      </w:r>
      <w:r w:rsidRPr="002C134D">
        <w:rPr>
          <w:szCs w:val="24"/>
        </w:rPr>
        <w:lastRenderedPageBreak/>
        <w:t>excluded based on prior imaging. If capsule retention occurs, the capsule would be removed surgically or by balloon enteroscopy.</w:t>
      </w:r>
    </w:p>
    <w:p w14:paraId="30A05B28" w14:textId="77777777" w:rsidR="00580C5F" w:rsidRPr="002C134D" w:rsidRDefault="00580C5F" w:rsidP="00580C5F">
      <w:pPr>
        <w:autoSpaceDE w:val="0"/>
        <w:autoSpaceDN w:val="0"/>
        <w:adjustRightInd w:val="0"/>
        <w:rPr>
          <w:szCs w:val="24"/>
        </w:rPr>
      </w:pPr>
    </w:p>
    <w:p w14:paraId="50785288" w14:textId="77777777" w:rsidR="00D15815" w:rsidRDefault="00D15815" w:rsidP="00580C5F">
      <w:pPr>
        <w:autoSpaceDE w:val="0"/>
        <w:autoSpaceDN w:val="0"/>
        <w:adjustRightInd w:val="0"/>
        <w:rPr>
          <w:szCs w:val="24"/>
        </w:rPr>
      </w:pPr>
      <w:r w:rsidRPr="00E153BD">
        <w:rPr>
          <w:szCs w:val="24"/>
        </w:rPr>
        <w:t>In patients who are suspected of having strictures, Pillcam</w:t>
      </w:r>
      <w:r w:rsidRPr="00E153BD">
        <w:rPr>
          <w:szCs w:val="24"/>
          <w:vertAlign w:val="superscript"/>
        </w:rPr>
        <w:t>®</w:t>
      </w:r>
      <w:r w:rsidRPr="00E153BD">
        <w:rPr>
          <w:szCs w:val="24"/>
        </w:rPr>
        <w:t xml:space="preserve"> SB comes with a dissolvable capsule (Agile™) to test the patency of the gastrointestinal tract before CE. However</w:t>
      </w:r>
      <w:r>
        <w:rPr>
          <w:szCs w:val="24"/>
        </w:rPr>
        <w:t>,</w:t>
      </w:r>
      <w:r w:rsidRPr="00E153BD">
        <w:rPr>
          <w:szCs w:val="24"/>
        </w:rPr>
        <w:t xml:space="preserve"> no studies were presented to confirm a reduced incidence of capsule retention when Agile™ is used. </w:t>
      </w:r>
    </w:p>
    <w:p w14:paraId="151B3D01" w14:textId="77777777" w:rsidR="00D15815" w:rsidRDefault="00D15815" w:rsidP="00580C5F">
      <w:pPr>
        <w:autoSpaceDE w:val="0"/>
        <w:autoSpaceDN w:val="0"/>
        <w:adjustRightInd w:val="0"/>
        <w:rPr>
          <w:szCs w:val="24"/>
        </w:rPr>
      </w:pPr>
    </w:p>
    <w:p w14:paraId="12D5D22B" w14:textId="077FAF08" w:rsidR="00580C5F" w:rsidRPr="002C134D" w:rsidRDefault="00D15815" w:rsidP="00580C5F">
      <w:pPr>
        <w:autoSpaceDE w:val="0"/>
        <w:autoSpaceDN w:val="0"/>
        <w:adjustRightInd w:val="0"/>
        <w:rPr>
          <w:szCs w:val="24"/>
        </w:rPr>
      </w:pPr>
      <w:r>
        <w:rPr>
          <w:szCs w:val="24"/>
        </w:rPr>
        <w:t>I</w:t>
      </w:r>
      <w:r w:rsidR="00580C5F" w:rsidRPr="002C134D">
        <w:rPr>
          <w:szCs w:val="24"/>
        </w:rPr>
        <w:t>t is not clear whether other branded capsules on the Australian market have an accompanying patency capsule to inform whether a patient is at risk of retention.</w:t>
      </w:r>
    </w:p>
    <w:p w14:paraId="2FEC8949" w14:textId="77777777" w:rsidR="00580C5F" w:rsidRDefault="00580C5F" w:rsidP="00580C5F">
      <w:pPr>
        <w:autoSpaceDE w:val="0"/>
        <w:autoSpaceDN w:val="0"/>
        <w:adjustRightInd w:val="0"/>
        <w:rPr>
          <w:rFonts w:ascii="Arial" w:hAnsi="Arial" w:cs="Arial"/>
          <w:szCs w:val="24"/>
        </w:rPr>
      </w:pPr>
    </w:p>
    <w:p w14:paraId="356F7980" w14:textId="01C6E32A" w:rsidR="00D15815" w:rsidRDefault="00D15815" w:rsidP="002C134D">
      <w:pPr>
        <w:autoSpaceDE w:val="0"/>
        <w:autoSpaceDN w:val="0"/>
        <w:adjustRightInd w:val="0"/>
        <w:rPr>
          <w:szCs w:val="24"/>
        </w:rPr>
      </w:pPr>
      <w:r>
        <w:rPr>
          <w:szCs w:val="24"/>
        </w:rPr>
        <w:t>MSAC noted that t</w:t>
      </w:r>
      <w:r w:rsidR="00580C5F" w:rsidRPr="002C134D">
        <w:rPr>
          <w:szCs w:val="24"/>
        </w:rPr>
        <w:t xml:space="preserve">he </w:t>
      </w:r>
      <w:r>
        <w:rPr>
          <w:szCs w:val="24"/>
        </w:rPr>
        <w:t>P</w:t>
      </w:r>
      <w:r w:rsidR="00580C5F" w:rsidRPr="002C134D">
        <w:rPr>
          <w:szCs w:val="24"/>
        </w:rPr>
        <w:t xml:space="preserve">rotocol proposed that in instances of technical failure, </w:t>
      </w:r>
      <w:r>
        <w:rPr>
          <w:szCs w:val="24"/>
        </w:rPr>
        <w:t>the applicant</w:t>
      </w:r>
      <w:r w:rsidR="00580C5F" w:rsidRPr="002C134D">
        <w:rPr>
          <w:szCs w:val="24"/>
        </w:rPr>
        <w:t xml:space="preserve"> </w:t>
      </w:r>
      <w:r>
        <w:rPr>
          <w:szCs w:val="24"/>
        </w:rPr>
        <w:t xml:space="preserve">would </w:t>
      </w:r>
      <w:r w:rsidR="00580C5F" w:rsidRPr="002C134D">
        <w:rPr>
          <w:szCs w:val="24"/>
        </w:rPr>
        <w:t>provide an extra capsule, free of charge under the standard warranty terms. If the Pillcam® SB is unable to adequately visualise the small bowel for other reasons, this would be picked up in studies of</w:t>
      </w:r>
      <w:r>
        <w:rPr>
          <w:szCs w:val="24"/>
        </w:rPr>
        <w:t xml:space="preserve"> diagnostic accuracy and</w:t>
      </w:r>
      <w:r w:rsidR="00580C5F" w:rsidRPr="002C134D">
        <w:rPr>
          <w:szCs w:val="24"/>
        </w:rPr>
        <w:t xml:space="preserve"> accounted for in the economic evaluation. PASC considered that technical failure rates were likely to be low but that a technical failure would result in a second Medicare claim for a repeat </w:t>
      </w:r>
      <w:r w:rsidR="004F3A7C">
        <w:rPr>
          <w:szCs w:val="24"/>
        </w:rPr>
        <w:t>CE</w:t>
      </w:r>
      <w:r w:rsidR="00580C5F" w:rsidRPr="002C134D">
        <w:rPr>
          <w:szCs w:val="24"/>
        </w:rPr>
        <w:t xml:space="preserve"> procedure.</w:t>
      </w:r>
    </w:p>
    <w:p w14:paraId="3CE1FA22" w14:textId="77777777" w:rsidR="00D15815" w:rsidRDefault="00D15815" w:rsidP="002C134D">
      <w:pPr>
        <w:autoSpaceDE w:val="0"/>
        <w:autoSpaceDN w:val="0"/>
        <w:adjustRightInd w:val="0"/>
        <w:rPr>
          <w:szCs w:val="24"/>
        </w:rPr>
      </w:pPr>
    </w:p>
    <w:p w14:paraId="4445C9A9" w14:textId="43DF9E2F" w:rsidR="00D15815" w:rsidRPr="00E153BD" w:rsidRDefault="00D15815" w:rsidP="00DF7E83">
      <w:pPr>
        <w:rPr>
          <w:szCs w:val="24"/>
        </w:rPr>
      </w:pPr>
      <w:r w:rsidRPr="00F32558">
        <w:rPr>
          <w:szCs w:val="24"/>
        </w:rPr>
        <w:t xml:space="preserve">On balance, MSAC concluded that CE is safer than empiric </w:t>
      </w:r>
      <w:r w:rsidR="004F3A7C" w:rsidRPr="00572617">
        <w:t>Crohn disease</w:t>
      </w:r>
      <w:r w:rsidR="004F3A7C" w:rsidRPr="00F32558" w:rsidDel="004F3A7C">
        <w:rPr>
          <w:szCs w:val="24"/>
        </w:rPr>
        <w:t xml:space="preserve"> </w:t>
      </w:r>
      <w:r w:rsidRPr="00F32558">
        <w:rPr>
          <w:szCs w:val="24"/>
        </w:rPr>
        <w:t xml:space="preserve">treatment for the proposed population without confirmed </w:t>
      </w:r>
      <w:r w:rsidR="004F3A7C" w:rsidRPr="00572617">
        <w:t>Crohn disease</w:t>
      </w:r>
      <w:r w:rsidRPr="00F32558">
        <w:rPr>
          <w:szCs w:val="24"/>
        </w:rPr>
        <w:t>.</w:t>
      </w:r>
    </w:p>
    <w:p w14:paraId="1070F2F7" w14:textId="1094F0AE" w:rsidR="0079412A" w:rsidRPr="002C134D" w:rsidRDefault="00580C5F" w:rsidP="00DF7E83">
      <w:pPr>
        <w:autoSpaceDE w:val="0"/>
        <w:autoSpaceDN w:val="0"/>
        <w:adjustRightInd w:val="0"/>
        <w:rPr>
          <w:szCs w:val="24"/>
        </w:rPr>
      </w:pPr>
      <w:r w:rsidRPr="002C134D">
        <w:rPr>
          <w:szCs w:val="24"/>
        </w:rPr>
        <w:t xml:space="preserve"> </w:t>
      </w:r>
    </w:p>
    <w:p w14:paraId="58259C7C" w14:textId="2AC59164" w:rsidR="009140DF" w:rsidRDefault="006E18AD" w:rsidP="006E18AD">
      <w:pPr>
        <w:pStyle w:val="Heading1"/>
        <w:spacing w:before="0"/>
        <w:ind w:left="709" w:hanging="709"/>
        <w:rPr>
          <w:rFonts w:cs="Arial"/>
          <w:szCs w:val="24"/>
        </w:rPr>
      </w:pPr>
      <w:r>
        <w:rPr>
          <w:rFonts w:cs="Arial"/>
          <w:szCs w:val="24"/>
        </w:rPr>
        <w:t>10.</w:t>
      </w:r>
      <w:r>
        <w:rPr>
          <w:rFonts w:cs="Arial"/>
          <w:szCs w:val="24"/>
        </w:rPr>
        <w:tab/>
      </w:r>
      <w:r w:rsidR="00E67C5A" w:rsidRPr="002A34DD">
        <w:rPr>
          <w:rFonts w:cs="Arial"/>
          <w:szCs w:val="24"/>
        </w:rPr>
        <w:t xml:space="preserve">Comparative </w:t>
      </w:r>
      <w:r w:rsidR="00937076" w:rsidRPr="002A34DD">
        <w:rPr>
          <w:rFonts w:cs="Arial"/>
          <w:szCs w:val="24"/>
        </w:rPr>
        <w:t>effectiveness</w:t>
      </w:r>
    </w:p>
    <w:p w14:paraId="7B258B54" w14:textId="2BDF0923" w:rsidR="00765551" w:rsidRPr="00817DA1" w:rsidRDefault="00DF7E83" w:rsidP="00DF7E83">
      <w:pPr>
        <w:autoSpaceDE w:val="0"/>
        <w:autoSpaceDN w:val="0"/>
        <w:adjustRightInd w:val="0"/>
        <w:rPr>
          <w:szCs w:val="24"/>
        </w:rPr>
      </w:pPr>
      <w:r>
        <w:rPr>
          <w:szCs w:val="24"/>
        </w:rPr>
        <w:t>The P</w:t>
      </w:r>
      <w:r w:rsidR="00765551" w:rsidRPr="00817DA1">
        <w:rPr>
          <w:szCs w:val="24"/>
        </w:rPr>
        <w:t xml:space="preserve">rotocol </w:t>
      </w:r>
      <w:r>
        <w:rPr>
          <w:szCs w:val="24"/>
        </w:rPr>
        <w:t>proposed that the resubmission present, if available,</w:t>
      </w:r>
      <w:r w:rsidR="00765551" w:rsidRPr="00817DA1">
        <w:rPr>
          <w:szCs w:val="24"/>
        </w:rPr>
        <w:t xml:space="preserve"> direct evidence for the impact of </w:t>
      </w:r>
      <w:r w:rsidR="004F3A7C">
        <w:rPr>
          <w:szCs w:val="24"/>
        </w:rPr>
        <w:t>CE</w:t>
      </w:r>
      <w:r w:rsidR="00765551" w:rsidRPr="00817DA1">
        <w:rPr>
          <w:szCs w:val="24"/>
        </w:rPr>
        <w:t xml:space="preserve"> on health outcomes. In the absence of direct evidence, the resubmission </w:t>
      </w:r>
      <w:r>
        <w:rPr>
          <w:szCs w:val="24"/>
        </w:rPr>
        <w:t>should</w:t>
      </w:r>
      <w:r w:rsidR="00765551" w:rsidRPr="00817DA1">
        <w:rPr>
          <w:szCs w:val="24"/>
        </w:rPr>
        <w:t xml:space="preserve"> present indirect evidence indicating the impact of </w:t>
      </w:r>
      <w:r w:rsidR="004F3A7C">
        <w:rPr>
          <w:szCs w:val="24"/>
        </w:rPr>
        <w:t>CE</w:t>
      </w:r>
      <w:r w:rsidR="00765551" w:rsidRPr="00817DA1">
        <w:rPr>
          <w:szCs w:val="24"/>
        </w:rPr>
        <w:t xml:space="preserve"> on clinical management and patient outcomes. </w:t>
      </w:r>
    </w:p>
    <w:p w14:paraId="6A5F1CC2" w14:textId="77777777" w:rsidR="00765551" w:rsidRPr="00817DA1" w:rsidRDefault="00765551" w:rsidP="00223205">
      <w:pPr>
        <w:autoSpaceDE w:val="0"/>
        <w:autoSpaceDN w:val="0"/>
        <w:adjustRightInd w:val="0"/>
        <w:rPr>
          <w:szCs w:val="24"/>
        </w:rPr>
      </w:pPr>
    </w:p>
    <w:p w14:paraId="5DDF396F" w14:textId="6DE91D3A" w:rsidR="00765551" w:rsidRPr="00817DA1" w:rsidRDefault="00765551" w:rsidP="00223205">
      <w:pPr>
        <w:autoSpaceDE w:val="0"/>
        <w:autoSpaceDN w:val="0"/>
        <w:adjustRightInd w:val="0"/>
        <w:rPr>
          <w:szCs w:val="24"/>
        </w:rPr>
      </w:pPr>
      <w:r w:rsidRPr="00817DA1">
        <w:rPr>
          <w:szCs w:val="24"/>
        </w:rPr>
        <w:t xml:space="preserve">The </w:t>
      </w:r>
      <w:r w:rsidR="002D0E5C" w:rsidRPr="00817DA1">
        <w:rPr>
          <w:szCs w:val="24"/>
        </w:rPr>
        <w:t>re</w:t>
      </w:r>
      <w:r w:rsidRPr="00817DA1">
        <w:rPr>
          <w:szCs w:val="24"/>
        </w:rPr>
        <w:t xml:space="preserve">submission </w:t>
      </w:r>
      <w:r w:rsidR="006E366B">
        <w:rPr>
          <w:szCs w:val="24"/>
        </w:rPr>
        <w:t>identified</w:t>
      </w:r>
      <w:r w:rsidRPr="00817DA1">
        <w:rPr>
          <w:szCs w:val="24"/>
        </w:rPr>
        <w:t xml:space="preserve"> primary evidence on </w:t>
      </w:r>
      <w:r w:rsidR="004F3A7C">
        <w:rPr>
          <w:szCs w:val="24"/>
        </w:rPr>
        <w:t>CE</w:t>
      </w:r>
      <w:r w:rsidRPr="00817DA1">
        <w:rPr>
          <w:szCs w:val="24"/>
        </w:rPr>
        <w:t xml:space="preserve"> most likely to be relevant</w:t>
      </w:r>
      <w:r w:rsidR="001B3F89">
        <w:rPr>
          <w:szCs w:val="24"/>
        </w:rPr>
        <w:t xml:space="preserve"> for the proposed patient </w:t>
      </w:r>
      <w:r w:rsidR="00B00FC9">
        <w:rPr>
          <w:szCs w:val="24"/>
        </w:rPr>
        <w:t>population;</w:t>
      </w:r>
      <w:r w:rsidRPr="00817DA1">
        <w:rPr>
          <w:szCs w:val="24"/>
        </w:rPr>
        <w:t xml:space="preserve"> however the </w:t>
      </w:r>
      <w:r w:rsidR="002D0E5C" w:rsidRPr="00817DA1">
        <w:rPr>
          <w:szCs w:val="24"/>
        </w:rPr>
        <w:t>re</w:t>
      </w:r>
      <w:r w:rsidRPr="00817DA1">
        <w:rPr>
          <w:szCs w:val="24"/>
        </w:rPr>
        <w:t>submission also reiterate</w:t>
      </w:r>
      <w:r w:rsidR="002E7ECD">
        <w:rPr>
          <w:szCs w:val="24"/>
        </w:rPr>
        <w:t>d</w:t>
      </w:r>
      <w:r w:rsidRPr="00817DA1">
        <w:rPr>
          <w:szCs w:val="24"/>
        </w:rPr>
        <w:t xml:space="preserve"> the broader evidence base around </w:t>
      </w:r>
      <w:r w:rsidR="004F3A7C">
        <w:rPr>
          <w:szCs w:val="24"/>
        </w:rPr>
        <w:t>CE</w:t>
      </w:r>
      <w:r w:rsidRPr="00817DA1">
        <w:rPr>
          <w:szCs w:val="24"/>
        </w:rPr>
        <w:t xml:space="preserve"> regardless of its applicability. The </w:t>
      </w:r>
      <w:r w:rsidR="002D0E5C" w:rsidRPr="00817DA1">
        <w:rPr>
          <w:szCs w:val="24"/>
        </w:rPr>
        <w:t>re</w:t>
      </w:r>
      <w:r w:rsidRPr="00817DA1">
        <w:rPr>
          <w:szCs w:val="24"/>
        </w:rPr>
        <w:t>submiss</w:t>
      </w:r>
      <w:r w:rsidR="002E7ECD">
        <w:rPr>
          <w:szCs w:val="24"/>
        </w:rPr>
        <w:t>ion</w:t>
      </w:r>
      <w:r w:rsidRPr="00817DA1">
        <w:rPr>
          <w:szCs w:val="24"/>
        </w:rPr>
        <w:t xml:space="preserve"> also grade</w:t>
      </w:r>
      <w:r w:rsidR="006E366B">
        <w:rPr>
          <w:szCs w:val="24"/>
        </w:rPr>
        <w:t>d</w:t>
      </w:r>
      <w:r w:rsidRPr="00817DA1">
        <w:rPr>
          <w:szCs w:val="24"/>
        </w:rPr>
        <w:t xml:space="preserve"> the applicability of each primary study against research questions outlined in the protocol.</w:t>
      </w:r>
    </w:p>
    <w:p w14:paraId="57AB33EF" w14:textId="77777777" w:rsidR="00765551" w:rsidRDefault="00765551" w:rsidP="00765551">
      <w:pPr>
        <w:rPr>
          <w:rFonts w:ascii="Arial" w:hAnsi="Arial" w:cs="Arial"/>
          <w:color w:val="3366FF"/>
          <w:szCs w:val="24"/>
        </w:rPr>
      </w:pPr>
    </w:p>
    <w:p w14:paraId="4F161A28" w14:textId="50DF5DC5" w:rsidR="00765551" w:rsidRPr="00223205" w:rsidRDefault="00765551" w:rsidP="00BD6015">
      <w:pPr>
        <w:rPr>
          <w:szCs w:val="24"/>
        </w:rPr>
      </w:pPr>
      <w:r w:rsidRPr="00223205">
        <w:rPr>
          <w:szCs w:val="24"/>
        </w:rPr>
        <w:t>No direct evidence o</w:t>
      </w:r>
      <w:r w:rsidR="00245969">
        <w:rPr>
          <w:szCs w:val="24"/>
        </w:rPr>
        <w:t>f</w:t>
      </w:r>
      <w:r w:rsidRPr="00223205">
        <w:rPr>
          <w:szCs w:val="24"/>
        </w:rPr>
        <w:t xml:space="preserve"> </w:t>
      </w:r>
      <w:r w:rsidR="005A2EEC">
        <w:rPr>
          <w:szCs w:val="24"/>
        </w:rPr>
        <w:t>the effect on</w:t>
      </w:r>
      <w:r w:rsidR="005A2EEC" w:rsidRPr="00223205">
        <w:rPr>
          <w:szCs w:val="24"/>
        </w:rPr>
        <w:t xml:space="preserve"> </w:t>
      </w:r>
      <w:r w:rsidRPr="00223205">
        <w:rPr>
          <w:szCs w:val="24"/>
        </w:rPr>
        <w:t xml:space="preserve">health outcomes </w:t>
      </w:r>
      <w:r w:rsidR="005A2EEC">
        <w:rPr>
          <w:szCs w:val="24"/>
        </w:rPr>
        <w:t>was</w:t>
      </w:r>
      <w:r w:rsidR="005A2EEC" w:rsidRPr="00223205">
        <w:rPr>
          <w:szCs w:val="24"/>
        </w:rPr>
        <w:t xml:space="preserve"> </w:t>
      </w:r>
      <w:r w:rsidRPr="00223205">
        <w:rPr>
          <w:szCs w:val="24"/>
        </w:rPr>
        <w:t xml:space="preserve">identified in terms of the incremental value of adding </w:t>
      </w:r>
      <w:r w:rsidR="004F3A7C">
        <w:rPr>
          <w:szCs w:val="24"/>
        </w:rPr>
        <w:t>CE</w:t>
      </w:r>
      <w:r w:rsidRPr="00223205">
        <w:rPr>
          <w:szCs w:val="24"/>
        </w:rPr>
        <w:t xml:space="preserve"> (versus not) at this point in the patient pathway.  Of the primary studies that were identified</w:t>
      </w:r>
      <w:r w:rsidR="00003570" w:rsidRPr="00223205">
        <w:rPr>
          <w:szCs w:val="24"/>
        </w:rPr>
        <w:t>,</w:t>
      </w:r>
      <w:r w:rsidRPr="00223205">
        <w:rPr>
          <w:szCs w:val="24"/>
        </w:rPr>
        <w:t xml:space="preserve"> the majority were in relation to diagnostic performance with one study looking at change in patient management. The systematic reviews that were referred to appeared to </w:t>
      </w:r>
      <w:r w:rsidR="002E7ECD">
        <w:rPr>
          <w:szCs w:val="24"/>
        </w:rPr>
        <w:t>have poor applicability (which wa</w:t>
      </w:r>
      <w:r w:rsidRPr="00223205">
        <w:rPr>
          <w:szCs w:val="24"/>
        </w:rPr>
        <w:t xml:space="preserve">s also the conclusion of the </w:t>
      </w:r>
      <w:r w:rsidR="002D0E5C" w:rsidRPr="00223205">
        <w:rPr>
          <w:szCs w:val="24"/>
        </w:rPr>
        <w:t>re</w:t>
      </w:r>
      <w:r w:rsidRPr="00223205">
        <w:rPr>
          <w:szCs w:val="24"/>
        </w:rPr>
        <w:t>submission).</w:t>
      </w:r>
      <w:r w:rsidR="00BD6015">
        <w:rPr>
          <w:szCs w:val="24"/>
        </w:rPr>
        <w:t xml:space="preserve"> </w:t>
      </w:r>
      <w:r w:rsidRPr="00223205">
        <w:rPr>
          <w:szCs w:val="24"/>
        </w:rPr>
        <w:t xml:space="preserve">The </w:t>
      </w:r>
      <w:r w:rsidR="002D0E5C" w:rsidRPr="00223205">
        <w:rPr>
          <w:szCs w:val="24"/>
        </w:rPr>
        <w:t>re</w:t>
      </w:r>
      <w:r w:rsidR="00BD6015">
        <w:rPr>
          <w:szCs w:val="24"/>
        </w:rPr>
        <w:t>submission</w:t>
      </w:r>
      <w:r w:rsidRPr="00223205">
        <w:rPr>
          <w:szCs w:val="24"/>
        </w:rPr>
        <w:t xml:space="preserve"> primarily </w:t>
      </w:r>
      <w:r w:rsidR="00BD6015">
        <w:rPr>
          <w:szCs w:val="24"/>
        </w:rPr>
        <w:t>presented</w:t>
      </w:r>
      <w:r w:rsidRPr="00223205">
        <w:rPr>
          <w:szCs w:val="24"/>
        </w:rPr>
        <w:t xml:space="preserve"> accuracy data of the ‘capsule arm’ where there </w:t>
      </w:r>
      <w:r w:rsidR="00BD6015">
        <w:rPr>
          <w:szCs w:val="24"/>
        </w:rPr>
        <w:t>wa</w:t>
      </w:r>
      <w:r w:rsidRPr="00223205">
        <w:rPr>
          <w:szCs w:val="24"/>
        </w:rPr>
        <w:t>s a comparison between the capsule and the reference standard wi</w:t>
      </w:r>
      <w:r w:rsidR="00BD6015">
        <w:rPr>
          <w:szCs w:val="24"/>
        </w:rPr>
        <w:t xml:space="preserve">thin this arm of the protocol. </w:t>
      </w:r>
    </w:p>
    <w:p w14:paraId="1DF65B15" w14:textId="77777777" w:rsidR="00765551" w:rsidRPr="00223205" w:rsidRDefault="00765551" w:rsidP="00223205">
      <w:pPr>
        <w:rPr>
          <w:szCs w:val="24"/>
        </w:rPr>
      </w:pPr>
    </w:p>
    <w:p w14:paraId="0F10F359" w14:textId="40A05548" w:rsidR="00765551" w:rsidRPr="00223205" w:rsidRDefault="00765551" w:rsidP="00223205">
      <w:pPr>
        <w:pStyle w:val="Default"/>
        <w:rPr>
          <w:rFonts w:ascii="Times New Roman" w:hAnsi="Times New Roman" w:cs="Times New Roman"/>
          <w:color w:val="auto"/>
        </w:rPr>
      </w:pPr>
      <w:r w:rsidRPr="00223205">
        <w:rPr>
          <w:rFonts w:ascii="Times New Roman" w:hAnsi="Times New Roman" w:cs="Times New Roman"/>
          <w:color w:val="auto"/>
        </w:rPr>
        <w:t xml:space="preserve">In relation </w:t>
      </w:r>
      <w:r w:rsidR="00DD349E">
        <w:rPr>
          <w:rFonts w:ascii="Times New Roman" w:hAnsi="Times New Roman" w:cs="Times New Roman"/>
          <w:color w:val="auto"/>
        </w:rPr>
        <w:t>to the reference standard, the P</w:t>
      </w:r>
      <w:r w:rsidRPr="00223205">
        <w:rPr>
          <w:rFonts w:ascii="Times New Roman" w:hAnsi="Times New Roman" w:cs="Times New Roman"/>
          <w:color w:val="auto"/>
        </w:rPr>
        <w:t>rotocol identified this as ‘follow up at 12 months’.  Of the three accuracy studies co</w:t>
      </w:r>
      <w:r w:rsidR="00DD349E">
        <w:rPr>
          <w:rFonts w:ascii="Times New Roman" w:hAnsi="Times New Roman" w:cs="Times New Roman"/>
          <w:color w:val="auto"/>
        </w:rPr>
        <w:t xml:space="preserve">nsidered most applicable to the resubmission’s proposed patient </w:t>
      </w:r>
      <w:r w:rsidRPr="00223205">
        <w:rPr>
          <w:rFonts w:ascii="Times New Roman" w:hAnsi="Times New Roman" w:cs="Times New Roman"/>
          <w:color w:val="auto"/>
        </w:rPr>
        <w:t xml:space="preserve">population, each had slightly different time horizons for their reference standard. For Figueiredo (2010) the reference standard was diagnosis at follow-up (&gt;6 months), based on contact with the referring physician; for Girelli (2007) the reference standard was final diagnosis after long-term follow-up (median 21 months), including histological confirmation of surgical and enteroscopic tissue samples when available; and for Tukey (2009) the reference standard was diagnosis at 12 months, including radiological, histological or endoscopic abnormalities consistent with </w:t>
      </w:r>
      <w:r w:rsidR="00BA726D" w:rsidRPr="00223205">
        <w:rPr>
          <w:rFonts w:ascii="Times New Roman" w:hAnsi="Times New Roman" w:cs="Times New Roman"/>
          <w:color w:val="auto"/>
        </w:rPr>
        <w:t>Crohn</w:t>
      </w:r>
      <w:r w:rsidRPr="00223205">
        <w:rPr>
          <w:rFonts w:ascii="Times New Roman" w:hAnsi="Times New Roman" w:cs="Times New Roman"/>
          <w:color w:val="auto"/>
        </w:rPr>
        <w:t xml:space="preserve"> disease or treatment for </w:t>
      </w:r>
      <w:r w:rsidR="00BA726D" w:rsidRPr="00223205">
        <w:rPr>
          <w:rFonts w:ascii="Times New Roman" w:hAnsi="Times New Roman" w:cs="Times New Roman"/>
          <w:color w:val="auto"/>
        </w:rPr>
        <w:t>Crohn</w:t>
      </w:r>
      <w:r w:rsidRPr="00223205">
        <w:rPr>
          <w:rFonts w:ascii="Times New Roman" w:hAnsi="Times New Roman" w:cs="Times New Roman"/>
          <w:color w:val="auto"/>
        </w:rPr>
        <w:t xml:space="preserve"> disease on the basis of symptoms and additional objective findings. </w:t>
      </w:r>
    </w:p>
    <w:p w14:paraId="18545216" w14:textId="77777777" w:rsidR="00765551" w:rsidRPr="00223205" w:rsidRDefault="00765551" w:rsidP="00223205">
      <w:pPr>
        <w:rPr>
          <w:szCs w:val="24"/>
        </w:rPr>
      </w:pPr>
    </w:p>
    <w:p w14:paraId="5E4FE309" w14:textId="338722FD" w:rsidR="00394FF9" w:rsidRDefault="00765551" w:rsidP="00223205">
      <w:pPr>
        <w:autoSpaceDE w:val="0"/>
        <w:autoSpaceDN w:val="0"/>
        <w:adjustRightInd w:val="0"/>
        <w:rPr>
          <w:szCs w:val="24"/>
        </w:rPr>
      </w:pPr>
      <w:r w:rsidRPr="00223205">
        <w:rPr>
          <w:szCs w:val="24"/>
        </w:rPr>
        <w:lastRenderedPageBreak/>
        <w:t xml:space="preserve">The </w:t>
      </w:r>
      <w:r w:rsidR="00A328B3">
        <w:rPr>
          <w:szCs w:val="24"/>
        </w:rPr>
        <w:t>resubmission</w:t>
      </w:r>
      <w:r w:rsidR="00AB4FA0">
        <w:rPr>
          <w:szCs w:val="24"/>
        </w:rPr>
        <w:t>’s</w:t>
      </w:r>
      <w:r w:rsidR="00A328B3">
        <w:rPr>
          <w:szCs w:val="24"/>
        </w:rPr>
        <w:t xml:space="preserve"> </w:t>
      </w:r>
      <w:r w:rsidRPr="00223205">
        <w:rPr>
          <w:szCs w:val="24"/>
        </w:rPr>
        <w:t xml:space="preserve">clinical claim </w:t>
      </w:r>
      <w:r w:rsidR="00A328B3">
        <w:rPr>
          <w:szCs w:val="24"/>
        </w:rPr>
        <w:t>was</w:t>
      </w:r>
      <w:r w:rsidRPr="00223205">
        <w:rPr>
          <w:szCs w:val="24"/>
        </w:rPr>
        <w:t xml:space="preserve"> that </w:t>
      </w:r>
      <w:r w:rsidR="004F3A7C">
        <w:rPr>
          <w:szCs w:val="24"/>
        </w:rPr>
        <w:t>CE</w:t>
      </w:r>
      <w:r w:rsidRPr="00223205">
        <w:rPr>
          <w:szCs w:val="24"/>
        </w:rPr>
        <w:t xml:space="preserve"> will identify a subgroup o</w:t>
      </w:r>
      <w:r w:rsidR="00A328B3">
        <w:rPr>
          <w:szCs w:val="24"/>
        </w:rPr>
        <w:t>f</w:t>
      </w:r>
      <w:r w:rsidRPr="00223205">
        <w:rPr>
          <w:szCs w:val="24"/>
        </w:rPr>
        <w:t xml:space="preserve"> tested patients for whom a diagnosis of </w:t>
      </w:r>
      <w:r w:rsidR="00BA726D" w:rsidRPr="00223205">
        <w:rPr>
          <w:szCs w:val="24"/>
        </w:rPr>
        <w:t>Crohn</w:t>
      </w:r>
      <w:r w:rsidRPr="00223205">
        <w:rPr>
          <w:szCs w:val="24"/>
        </w:rPr>
        <w:t xml:space="preserve"> disease is excluded and th</w:t>
      </w:r>
      <w:r w:rsidR="00A328B3">
        <w:rPr>
          <w:szCs w:val="24"/>
        </w:rPr>
        <w:t xml:space="preserve">erefore these patients will </w:t>
      </w:r>
      <w:r w:rsidRPr="00223205">
        <w:rPr>
          <w:szCs w:val="24"/>
        </w:rPr>
        <w:t>a</w:t>
      </w:r>
      <w:r w:rsidR="00E805DD" w:rsidRPr="00223205">
        <w:rPr>
          <w:szCs w:val="24"/>
        </w:rPr>
        <w:t>void inappropriate treatment.</w:t>
      </w:r>
    </w:p>
    <w:p w14:paraId="7299BD9F" w14:textId="77777777" w:rsidR="00394FF9" w:rsidRDefault="00394FF9" w:rsidP="00223205">
      <w:pPr>
        <w:autoSpaceDE w:val="0"/>
        <w:autoSpaceDN w:val="0"/>
        <w:adjustRightInd w:val="0"/>
        <w:rPr>
          <w:szCs w:val="24"/>
        </w:rPr>
      </w:pPr>
    </w:p>
    <w:p w14:paraId="75DDC4AB" w14:textId="1AE01606" w:rsidR="00765551" w:rsidRPr="00223205" w:rsidRDefault="00394FF9" w:rsidP="00223205">
      <w:pPr>
        <w:autoSpaceDE w:val="0"/>
        <w:autoSpaceDN w:val="0"/>
        <w:adjustRightInd w:val="0"/>
        <w:rPr>
          <w:szCs w:val="24"/>
        </w:rPr>
      </w:pPr>
      <w:r>
        <w:rPr>
          <w:szCs w:val="24"/>
        </w:rPr>
        <w:t>MSAC agreed with</w:t>
      </w:r>
      <w:r w:rsidR="00AB4FA0">
        <w:rPr>
          <w:szCs w:val="24"/>
        </w:rPr>
        <w:t xml:space="preserve"> the P</w:t>
      </w:r>
      <w:r w:rsidR="00765551" w:rsidRPr="00223205">
        <w:rPr>
          <w:szCs w:val="24"/>
        </w:rPr>
        <w:t xml:space="preserve">rotocol </w:t>
      </w:r>
      <w:r>
        <w:rPr>
          <w:szCs w:val="24"/>
        </w:rPr>
        <w:t xml:space="preserve">that </w:t>
      </w:r>
      <w:r w:rsidR="00765551" w:rsidRPr="00AB4FA0">
        <w:rPr>
          <w:szCs w:val="24"/>
        </w:rPr>
        <w:t xml:space="preserve">the negative predictive value (NPV) of </w:t>
      </w:r>
      <w:r w:rsidR="004F3A7C">
        <w:rPr>
          <w:szCs w:val="24"/>
        </w:rPr>
        <w:t>CE</w:t>
      </w:r>
      <w:r w:rsidR="004A6BB2" w:rsidRPr="00AB4FA0">
        <w:rPr>
          <w:szCs w:val="24"/>
        </w:rPr>
        <w:t xml:space="preserve"> </w:t>
      </w:r>
      <w:r w:rsidR="00765551" w:rsidRPr="00AB4FA0">
        <w:rPr>
          <w:szCs w:val="24"/>
        </w:rPr>
        <w:t>should be the key measure of diagnostic performance.</w:t>
      </w:r>
      <w:r w:rsidR="00AB4FA0">
        <w:rPr>
          <w:szCs w:val="24"/>
        </w:rPr>
        <w:t xml:space="preserve"> T</w:t>
      </w:r>
      <w:r w:rsidR="00765551" w:rsidRPr="00223205">
        <w:rPr>
          <w:szCs w:val="24"/>
        </w:rPr>
        <w:t xml:space="preserve">he NPV (probability of no disease if a person has a negative test result) is of practical clinical value in making decisions to either discontinue treatment or a decision of “no treatment” (i.e. it is a measure of clinical validity). </w:t>
      </w:r>
      <w:r w:rsidR="00543738">
        <w:rPr>
          <w:szCs w:val="24"/>
        </w:rPr>
        <w:t>However,</w:t>
      </w:r>
      <w:r w:rsidR="00765551" w:rsidRPr="00543738">
        <w:rPr>
          <w:szCs w:val="24"/>
        </w:rPr>
        <w:t xml:space="preserve"> predictive values </w:t>
      </w:r>
      <w:r w:rsidR="00765551" w:rsidRPr="00223205">
        <w:rPr>
          <w:szCs w:val="24"/>
        </w:rPr>
        <w:t xml:space="preserve">cannot readily be transferred to different populations or easily pooled to produce a summary estimate. </w:t>
      </w:r>
    </w:p>
    <w:p w14:paraId="57CEDA8B" w14:textId="77777777" w:rsidR="00765551" w:rsidRPr="00223205" w:rsidRDefault="00765551" w:rsidP="00223205">
      <w:pPr>
        <w:autoSpaceDE w:val="0"/>
        <w:autoSpaceDN w:val="0"/>
        <w:adjustRightInd w:val="0"/>
        <w:rPr>
          <w:szCs w:val="24"/>
        </w:rPr>
      </w:pPr>
    </w:p>
    <w:p w14:paraId="35A2DB3E" w14:textId="0163FCB1" w:rsidR="00765551" w:rsidRPr="00223205" w:rsidRDefault="003E7D9F" w:rsidP="00223205">
      <w:pPr>
        <w:autoSpaceDE w:val="0"/>
        <w:autoSpaceDN w:val="0"/>
        <w:adjustRightInd w:val="0"/>
        <w:rPr>
          <w:szCs w:val="24"/>
        </w:rPr>
      </w:pPr>
      <w:r>
        <w:rPr>
          <w:szCs w:val="24"/>
        </w:rPr>
        <w:t>The</w:t>
      </w:r>
      <w:r w:rsidR="00765551" w:rsidRPr="00223205">
        <w:rPr>
          <w:szCs w:val="24"/>
        </w:rPr>
        <w:t xml:space="preserve"> </w:t>
      </w:r>
      <w:r w:rsidR="002D0E5C" w:rsidRPr="00223205">
        <w:rPr>
          <w:szCs w:val="24"/>
        </w:rPr>
        <w:t>re</w:t>
      </w:r>
      <w:r w:rsidR="00765551" w:rsidRPr="00223205">
        <w:rPr>
          <w:szCs w:val="24"/>
        </w:rPr>
        <w:t>submission pool</w:t>
      </w:r>
      <w:r>
        <w:rPr>
          <w:szCs w:val="24"/>
        </w:rPr>
        <w:t>ed</w:t>
      </w:r>
      <w:r w:rsidR="007A7513">
        <w:rPr>
          <w:szCs w:val="24"/>
        </w:rPr>
        <w:t xml:space="preserve"> the predictive values for th</w:t>
      </w:r>
      <w:r w:rsidR="00765551" w:rsidRPr="00223205">
        <w:rPr>
          <w:szCs w:val="24"/>
        </w:rPr>
        <w:t>e studies with high applicability, that is, studies which contained a subgroup of patients with negative or equivocal results on prior testing. The pooled NPV was 77% (95% CI: 70%-8</w:t>
      </w:r>
      <w:r w:rsidR="007F7265" w:rsidRPr="00223205">
        <w:rPr>
          <w:szCs w:val="24"/>
        </w:rPr>
        <w:t>5</w:t>
      </w:r>
      <w:r w:rsidR="00765551" w:rsidRPr="00223205">
        <w:rPr>
          <w:szCs w:val="24"/>
        </w:rPr>
        <w:t xml:space="preserve">%) </w:t>
      </w:r>
      <w:r w:rsidR="007F7265" w:rsidRPr="00223205">
        <w:rPr>
          <w:szCs w:val="24"/>
        </w:rPr>
        <w:t xml:space="preserve">and </w:t>
      </w:r>
      <w:r w:rsidR="00765551" w:rsidRPr="00223205">
        <w:rPr>
          <w:szCs w:val="24"/>
        </w:rPr>
        <w:t xml:space="preserve">the pooled PPV </w:t>
      </w:r>
      <w:r w:rsidR="007F7265" w:rsidRPr="00223205">
        <w:rPr>
          <w:szCs w:val="24"/>
        </w:rPr>
        <w:t>was</w:t>
      </w:r>
      <w:r w:rsidR="00765551" w:rsidRPr="00223205">
        <w:rPr>
          <w:szCs w:val="24"/>
        </w:rPr>
        <w:t xml:space="preserve"> 92% (</w:t>
      </w:r>
      <w:r w:rsidR="007F7265" w:rsidRPr="00223205">
        <w:rPr>
          <w:szCs w:val="24"/>
        </w:rPr>
        <w:t>95%</w:t>
      </w:r>
      <w:r w:rsidR="005B5427">
        <w:rPr>
          <w:szCs w:val="24"/>
        </w:rPr>
        <w:t> </w:t>
      </w:r>
      <w:r w:rsidR="007F7265" w:rsidRPr="00223205">
        <w:rPr>
          <w:szCs w:val="24"/>
        </w:rPr>
        <w:t xml:space="preserve">CI: </w:t>
      </w:r>
      <w:r w:rsidR="005B5427">
        <w:rPr>
          <w:szCs w:val="24"/>
        </w:rPr>
        <w:t xml:space="preserve">84%-100%). </w:t>
      </w:r>
    </w:p>
    <w:p w14:paraId="43C19DB5" w14:textId="77777777" w:rsidR="00765551" w:rsidRPr="00223205" w:rsidRDefault="00765551" w:rsidP="00223205">
      <w:pPr>
        <w:rPr>
          <w:szCs w:val="24"/>
        </w:rPr>
      </w:pPr>
    </w:p>
    <w:p w14:paraId="303B7F7E" w14:textId="62B8DA61" w:rsidR="00765551" w:rsidRPr="00223205" w:rsidRDefault="005B5427" w:rsidP="00223205">
      <w:pPr>
        <w:rPr>
          <w:szCs w:val="24"/>
        </w:rPr>
      </w:pPr>
      <w:r>
        <w:rPr>
          <w:szCs w:val="24"/>
        </w:rPr>
        <w:t>T</w:t>
      </w:r>
      <w:r w:rsidR="00765551" w:rsidRPr="00223205">
        <w:rPr>
          <w:szCs w:val="24"/>
        </w:rPr>
        <w:t xml:space="preserve">he </w:t>
      </w:r>
      <w:r>
        <w:rPr>
          <w:szCs w:val="24"/>
        </w:rPr>
        <w:t xml:space="preserve">reported </w:t>
      </w:r>
      <w:r w:rsidR="00765551" w:rsidRPr="00223205">
        <w:rPr>
          <w:szCs w:val="24"/>
        </w:rPr>
        <w:t xml:space="preserve">prevalence of </w:t>
      </w:r>
      <w:r w:rsidR="00BA726D" w:rsidRPr="00223205">
        <w:rPr>
          <w:szCs w:val="24"/>
        </w:rPr>
        <w:t>Crohn</w:t>
      </w:r>
      <w:r w:rsidR="00765551" w:rsidRPr="00223205">
        <w:rPr>
          <w:szCs w:val="24"/>
        </w:rPr>
        <w:t xml:space="preserve"> </w:t>
      </w:r>
      <w:r w:rsidR="007F7265" w:rsidRPr="00223205">
        <w:rPr>
          <w:szCs w:val="24"/>
        </w:rPr>
        <w:t xml:space="preserve">disease </w:t>
      </w:r>
      <w:r>
        <w:rPr>
          <w:szCs w:val="24"/>
        </w:rPr>
        <w:t>in</w:t>
      </w:r>
      <w:r w:rsidR="00765551" w:rsidRPr="00223205">
        <w:rPr>
          <w:szCs w:val="24"/>
        </w:rPr>
        <w:t xml:space="preserve"> Figueiredo (2010), Girelli (2007) and Tukey (2009) was 43%, 50% and 13% respectively.  </w:t>
      </w:r>
      <w:r w:rsidR="00120765">
        <w:rPr>
          <w:szCs w:val="24"/>
        </w:rPr>
        <w:t>I</w:t>
      </w:r>
      <w:r w:rsidR="00765551" w:rsidRPr="00223205">
        <w:rPr>
          <w:szCs w:val="24"/>
        </w:rPr>
        <w:t xml:space="preserve">n the subgroup of patients who received prior small bowel radiology, the prevalence of </w:t>
      </w:r>
      <w:r w:rsidR="00BA726D" w:rsidRPr="00223205">
        <w:rPr>
          <w:szCs w:val="24"/>
        </w:rPr>
        <w:t>Crohn</w:t>
      </w:r>
      <w:r w:rsidR="00813878" w:rsidRPr="00223205">
        <w:rPr>
          <w:szCs w:val="24"/>
        </w:rPr>
        <w:t xml:space="preserve"> disease</w:t>
      </w:r>
      <w:r w:rsidR="00120765">
        <w:rPr>
          <w:szCs w:val="24"/>
        </w:rPr>
        <w:t xml:space="preserve"> in each of these studies wa</w:t>
      </w:r>
      <w:r w:rsidR="00765551" w:rsidRPr="00223205">
        <w:rPr>
          <w:szCs w:val="24"/>
        </w:rPr>
        <w:t xml:space="preserve">s calculated as 51%, 56% and 13% respectively.  </w:t>
      </w:r>
      <w:r w:rsidR="00C824FB">
        <w:rPr>
          <w:szCs w:val="24"/>
        </w:rPr>
        <w:t>C</w:t>
      </w:r>
      <w:r w:rsidR="00765551" w:rsidRPr="00223205">
        <w:rPr>
          <w:szCs w:val="24"/>
        </w:rPr>
        <w:t xml:space="preserve">alculation of prevalence includes false negatives (in addition to true positives) </w:t>
      </w:r>
      <w:r w:rsidR="00C824FB">
        <w:rPr>
          <w:szCs w:val="24"/>
        </w:rPr>
        <w:t>in the numerator therefore</w:t>
      </w:r>
      <w:r w:rsidR="00765551" w:rsidRPr="00223205">
        <w:rPr>
          <w:szCs w:val="24"/>
        </w:rPr>
        <w:t xml:space="preserve"> there is a small proportion of prevalent cases of </w:t>
      </w:r>
      <w:r w:rsidR="00BA726D" w:rsidRPr="00223205">
        <w:rPr>
          <w:szCs w:val="24"/>
        </w:rPr>
        <w:t>Crohn</w:t>
      </w:r>
      <w:r w:rsidR="00765551" w:rsidRPr="00223205">
        <w:rPr>
          <w:szCs w:val="24"/>
        </w:rPr>
        <w:t xml:space="preserve"> </w:t>
      </w:r>
      <w:r w:rsidR="00813878" w:rsidRPr="00223205">
        <w:rPr>
          <w:szCs w:val="24"/>
        </w:rPr>
        <w:t xml:space="preserve">disease </w:t>
      </w:r>
      <w:r w:rsidR="00765551" w:rsidRPr="00223205">
        <w:rPr>
          <w:szCs w:val="24"/>
        </w:rPr>
        <w:t xml:space="preserve">not picked up by </w:t>
      </w:r>
      <w:r w:rsidR="004F3A7C">
        <w:rPr>
          <w:szCs w:val="24"/>
        </w:rPr>
        <w:t>CE</w:t>
      </w:r>
      <w:r w:rsidR="002E535E" w:rsidRPr="00223205">
        <w:rPr>
          <w:szCs w:val="24"/>
        </w:rPr>
        <w:t xml:space="preserve"> </w:t>
      </w:r>
      <w:r w:rsidR="0068239D">
        <w:rPr>
          <w:szCs w:val="24"/>
        </w:rPr>
        <w:t xml:space="preserve">and </w:t>
      </w:r>
      <w:r w:rsidR="00765551" w:rsidRPr="00223205">
        <w:rPr>
          <w:szCs w:val="24"/>
        </w:rPr>
        <w:t>miss out o</w:t>
      </w:r>
      <w:r w:rsidR="002E535E" w:rsidRPr="00223205">
        <w:rPr>
          <w:szCs w:val="24"/>
        </w:rPr>
        <w:t>n</w:t>
      </w:r>
      <w:r w:rsidR="00765551" w:rsidRPr="00223205">
        <w:rPr>
          <w:szCs w:val="24"/>
        </w:rPr>
        <w:t xml:space="preserve"> beneficial treatment. </w:t>
      </w:r>
      <w:r w:rsidR="002E535E" w:rsidRPr="00223205">
        <w:rPr>
          <w:szCs w:val="24"/>
        </w:rPr>
        <w:t>However,</w:t>
      </w:r>
      <w:r w:rsidR="00765551" w:rsidRPr="00223205">
        <w:rPr>
          <w:szCs w:val="24"/>
        </w:rPr>
        <w:t xml:space="preserve"> false negatives make up only a small proportion of the numerator and as the prevalence goes up from 13% to over 50% in the three included studies, the NPV of </w:t>
      </w:r>
      <w:r w:rsidR="004F3A7C">
        <w:rPr>
          <w:szCs w:val="24"/>
        </w:rPr>
        <w:t>CE</w:t>
      </w:r>
      <w:r w:rsidR="002E535E" w:rsidRPr="00223205">
        <w:rPr>
          <w:szCs w:val="24"/>
        </w:rPr>
        <w:t xml:space="preserve"> </w:t>
      </w:r>
      <w:r w:rsidR="00765551" w:rsidRPr="00223205">
        <w:rPr>
          <w:szCs w:val="24"/>
        </w:rPr>
        <w:t xml:space="preserve">(although </w:t>
      </w:r>
      <w:r w:rsidR="00C118DD" w:rsidRPr="00223205">
        <w:rPr>
          <w:szCs w:val="24"/>
        </w:rPr>
        <w:t xml:space="preserve">decreasing  </w:t>
      </w:r>
      <w:r w:rsidR="00765551" w:rsidRPr="00223205">
        <w:rPr>
          <w:szCs w:val="24"/>
        </w:rPr>
        <w:t>as predicted as prevalence increases), holds reasonably well above 90% (91% only down from 97%)</w:t>
      </w:r>
      <w:r w:rsidR="009747DB" w:rsidRPr="00223205">
        <w:rPr>
          <w:szCs w:val="24"/>
        </w:rPr>
        <w:t>.</w:t>
      </w:r>
      <w:r w:rsidR="00765551" w:rsidRPr="00223205">
        <w:rPr>
          <w:szCs w:val="24"/>
        </w:rPr>
        <w:t xml:space="preserve"> </w:t>
      </w:r>
    </w:p>
    <w:p w14:paraId="612CBAE1" w14:textId="77777777" w:rsidR="00120765" w:rsidRDefault="00120765" w:rsidP="00223205">
      <w:pPr>
        <w:rPr>
          <w:szCs w:val="24"/>
        </w:rPr>
      </w:pPr>
    </w:p>
    <w:p w14:paraId="7596D9D0" w14:textId="689E9633" w:rsidR="0030582B" w:rsidRPr="00223205" w:rsidRDefault="00765551" w:rsidP="00B9700C">
      <w:pPr>
        <w:rPr>
          <w:szCs w:val="24"/>
        </w:rPr>
      </w:pPr>
      <w:r w:rsidRPr="00223205">
        <w:rPr>
          <w:szCs w:val="24"/>
        </w:rPr>
        <w:t xml:space="preserve">In relation to analytical validity, the resubmission showed that </w:t>
      </w:r>
      <w:r w:rsidR="004F3A7C">
        <w:rPr>
          <w:szCs w:val="24"/>
        </w:rPr>
        <w:t>CE</w:t>
      </w:r>
      <w:r w:rsidRPr="00223205">
        <w:rPr>
          <w:szCs w:val="24"/>
        </w:rPr>
        <w:t xml:space="preserve"> had better sensitivity than specificity.  The pooled results from the three most relevant accuracy studies showed an overall sensitivity of 92% (95% CI: 81%-98%) and specificity of 77% (95% CI: 60% - 79%).</w:t>
      </w:r>
    </w:p>
    <w:p w14:paraId="2CCA6552" w14:textId="77777777" w:rsidR="00223205" w:rsidRDefault="00223205" w:rsidP="00B9700C">
      <w:pPr>
        <w:rPr>
          <w:rFonts w:ascii="Arial" w:hAnsi="Arial" w:cs="Arial"/>
          <w:szCs w:val="24"/>
        </w:rPr>
      </w:pPr>
    </w:p>
    <w:p w14:paraId="1B20BDE0" w14:textId="227391F0" w:rsidR="009E4B3D" w:rsidRDefault="009E4B3D" w:rsidP="00B9700C">
      <w:pPr>
        <w:rPr>
          <w:szCs w:val="24"/>
        </w:rPr>
      </w:pPr>
      <w:r>
        <w:rPr>
          <w:szCs w:val="24"/>
        </w:rPr>
        <w:t xml:space="preserve">Overall, </w:t>
      </w:r>
      <w:r w:rsidRPr="00E153BD">
        <w:rPr>
          <w:szCs w:val="24"/>
        </w:rPr>
        <w:t xml:space="preserve">MSAC </w:t>
      </w:r>
      <w:r>
        <w:rPr>
          <w:szCs w:val="24"/>
        </w:rPr>
        <w:t xml:space="preserve">concluded </w:t>
      </w:r>
      <w:r w:rsidRPr="00E153BD">
        <w:rPr>
          <w:szCs w:val="24"/>
        </w:rPr>
        <w:t>that</w:t>
      </w:r>
      <w:r>
        <w:rPr>
          <w:szCs w:val="24"/>
        </w:rPr>
        <w:t>,</w:t>
      </w:r>
      <w:r w:rsidRPr="00E153BD">
        <w:rPr>
          <w:szCs w:val="24"/>
        </w:rPr>
        <w:t xml:space="preserve"> </w:t>
      </w:r>
      <w:r>
        <w:rPr>
          <w:szCs w:val="24"/>
        </w:rPr>
        <w:t>for</w:t>
      </w:r>
      <w:r w:rsidRPr="00E153BD">
        <w:rPr>
          <w:szCs w:val="24"/>
        </w:rPr>
        <w:t xml:space="preserve"> patients who have had multiple </w:t>
      </w:r>
      <w:r>
        <w:rPr>
          <w:szCs w:val="24"/>
        </w:rPr>
        <w:t>prior investigations,</w:t>
      </w:r>
      <w:r w:rsidRPr="00E153BD">
        <w:rPr>
          <w:szCs w:val="24"/>
        </w:rPr>
        <w:t xml:space="preserve"> </w:t>
      </w:r>
      <w:r>
        <w:rPr>
          <w:szCs w:val="24"/>
        </w:rPr>
        <w:t xml:space="preserve">a negative CE result would exclude the possibility of </w:t>
      </w:r>
      <w:r w:rsidR="004F3A7C" w:rsidRPr="00572617">
        <w:t>Crohn disease</w:t>
      </w:r>
      <w:r w:rsidR="004F3A7C" w:rsidDel="004F3A7C">
        <w:rPr>
          <w:szCs w:val="24"/>
        </w:rPr>
        <w:t xml:space="preserve"> </w:t>
      </w:r>
      <w:r>
        <w:rPr>
          <w:szCs w:val="24"/>
        </w:rPr>
        <w:t>with a reasonable level of confidence</w:t>
      </w:r>
      <w:r w:rsidRPr="00E153BD">
        <w:rPr>
          <w:szCs w:val="24"/>
        </w:rPr>
        <w:t>.</w:t>
      </w:r>
    </w:p>
    <w:p w14:paraId="583708FD" w14:textId="77777777" w:rsidR="009E4B3D" w:rsidRPr="002A34DD" w:rsidRDefault="009E4B3D" w:rsidP="00B9700C">
      <w:pPr>
        <w:rPr>
          <w:rFonts w:ascii="Arial" w:hAnsi="Arial" w:cs="Arial"/>
          <w:szCs w:val="24"/>
        </w:rPr>
      </w:pPr>
    </w:p>
    <w:p w14:paraId="372F06FC" w14:textId="35EC1C9F" w:rsidR="004C0DCE" w:rsidRPr="002A34DD" w:rsidRDefault="006E18AD" w:rsidP="006E18AD">
      <w:pPr>
        <w:pStyle w:val="Heading1"/>
        <w:spacing w:before="0"/>
        <w:ind w:left="709" w:hanging="709"/>
        <w:rPr>
          <w:rFonts w:cs="Arial"/>
          <w:szCs w:val="24"/>
        </w:rPr>
      </w:pPr>
      <w:r>
        <w:rPr>
          <w:rFonts w:cs="Arial"/>
          <w:szCs w:val="24"/>
        </w:rPr>
        <w:t>11.</w:t>
      </w:r>
      <w:r>
        <w:rPr>
          <w:rFonts w:cs="Arial"/>
          <w:szCs w:val="24"/>
        </w:rPr>
        <w:tab/>
      </w:r>
      <w:r w:rsidR="004C0DCE" w:rsidRPr="002A34DD">
        <w:rPr>
          <w:rFonts w:cs="Arial"/>
          <w:szCs w:val="24"/>
        </w:rPr>
        <w:t>Economic evaluation</w:t>
      </w:r>
    </w:p>
    <w:p w14:paraId="4810FA6E" w14:textId="3F8B0AF3" w:rsidR="00094EC2" w:rsidRPr="00223205" w:rsidRDefault="002D3A69" w:rsidP="00B9700C">
      <w:pPr>
        <w:autoSpaceDE w:val="0"/>
        <w:autoSpaceDN w:val="0"/>
        <w:adjustRightInd w:val="0"/>
        <w:rPr>
          <w:i/>
          <w:szCs w:val="24"/>
        </w:rPr>
      </w:pPr>
      <w:r>
        <w:rPr>
          <w:szCs w:val="24"/>
        </w:rPr>
        <w:t>Consistent with the Protocol, t</w:t>
      </w:r>
      <w:r w:rsidR="00B9700C">
        <w:rPr>
          <w:szCs w:val="24"/>
        </w:rPr>
        <w:t xml:space="preserve">he </w:t>
      </w:r>
      <w:r w:rsidR="002D0E5C" w:rsidRPr="00223205">
        <w:rPr>
          <w:szCs w:val="24"/>
        </w:rPr>
        <w:t>re</w:t>
      </w:r>
      <w:r w:rsidR="00094EC2" w:rsidRPr="00223205">
        <w:rPr>
          <w:szCs w:val="24"/>
        </w:rPr>
        <w:t>submission present</w:t>
      </w:r>
      <w:r>
        <w:rPr>
          <w:szCs w:val="24"/>
        </w:rPr>
        <w:t>ed</w:t>
      </w:r>
      <w:r w:rsidR="00094EC2" w:rsidRPr="00223205">
        <w:rPr>
          <w:szCs w:val="24"/>
        </w:rPr>
        <w:t xml:space="preserve"> a cost-effectiveness analysis based on a superiority claim </w:t>
      </w:r>
      <w:r w:rsidR="00165DF1">
        <w:rPr>
          <w:szCs w:val="24"/>
        </w:rPr>
        <w:t>and</w:t>
      </w:r>
      <w:r w:rsidR="00094EC2" w:rsidRPr="00223205">
        <w:rPr>
          <w:szCs w:val="24"/>
        </w:rPr>
        <w:t xml:space="preserve"> a modelled economic evaluation to translate the diagnostic accuracy/effectiveness data into final patient outcomes (quality-adjusted life years, QALYs). Consistent with the previous MSAC assessment report, a healthcare system perspective </w:t>
      </w:r>
      <w:r w:rsidR="00A84934">
        <w:rPr>
          <w:szCs w:val="24"/>
        </w:rPr>
        <w:t>was</w:t>
      </w:r>
      <w:r w:rsidR="00094EC2" w:rsidRPr="00223205">
        <w:rPr>
          <w:szCs w:val="24"/>
        </w:rPr>
        <w:t xml:space="preserve"> used, including the cost to the government and cost to the patient.</w:t>
      </w:r>
    </w:p>
    <w:p w14:paraId="4E642E05" w14:textId="77777777" w:rsidR="00094EC2" w:rsidRPr="00223205" w:rsidRDefault="00094EC2" w:rsidP="00094EC2">
      <w:pPr>
        <w:tabs>
          <w:tab w:val="left" w:pos="284"/>
          <w:tab w:val="left" w:pos="720"/>
        </w:tabs>
        <w:rPr>
          <w:szCs w:val="24"/>
        </w:rPr>
      </w:pPr>
    </w:p>
    <w:p w14:paraId="74464A68" w14:textId="02DEB5E6" w:rsidR="00094EC2" w:rsidRPr="00223205" w:rsidRDefault="00165DF1" w:rsidP="00094EC2">
      <w:pPr>
        <w:tabs>
          <w:tab w:val="left" w:pos="284"/>
          <w:tab w:val="left" w:pos="720"/>
        </w:tabs>
        <w:rPr>
          <w:szCs w:val="24"/>
        </w:rPr>
      </w:pPr>
      <w:r>
        <w:rPr>
          <w:szCs w:val="24"/>
        </w:rPr>
        <w:t>The Protocol also proposed that p</w:t>
      </w:r>
      <w:r w:rsidR="00094EC2" w:rsidRPr="00223205">
        <w:rPr>
          <w:szCs w:val="24"/>
        </w:rPr>
        <w:t xml:space="preserve">atients in whom there remains clinical suspicion of </w:t>
      </w:r>
      <w:r w:rsidR="00BA726D" w:rsidRPr="00223205">
        <w:rPr>
          <w:szCs w:val="24"/>
        </w:rPr>
        <w:t>Crohn</w:t>
      </w:r>
      <w:r w:rsidR="00094EC2" w:rsidRPr="00223205">
        <w:rPr>
          <w:szCs w:val="24"/>
        </w:rPr>
        <w:t xml:space="preserve"> disease but who have received inconclusive results from p</w:t>
      </w:r>
      <w:r>
        <w:rPr>
          <w:szCs w:val="24"/>
        </w:rPr>
        <w:t>rior endoscopy and radiography a</w:t>
      </w:r>
      <w:r w:rsidR="00094EC2" w:rsidRPr="00223205">
        <w:rPr>
          <w:szCs w:val="24"/>
        </w:rPr>
        <w:t xml:space="preserve">re treated under the assumption that they have </w:t>
      </w:r>
      <w:r w:rsidR="00BA726D" w:rsidRPr="00223205">
        <w:rPr>
          <w:szCs w:val="24"/>
        </w:rPr>
        <w:t>Crohn</w:t>
      </w:r>
      <w:r w:rsidR="001C2DBC" w:rsidRPr="00223205">
        <w:rPr>
          <w:szCs w:val="24"/>
        </w:rPr>
        <w:t xml:space="preserve"> disease</w:t>
      </w:r>
      <w:r w:rsidR="00094EC2" w:rsidRPr="00223205">
        <w:rPr>
          <w:szCs w:val="24"/>
        </w:rPr>
        <w:t xml:space="preserve"> in a world without </w:t>
      </w:r>
      <w:r w:rsidR="004F3A7C">
        <w:rPr>
          <w:szCs w:val="24"/>
        </w:rPr>
        <w:t>CE</w:t>
      </w:r>
      <w:r w:rsidR="00094EC2" w:rsidRPr="00223205">
        <w:rPr>
          <w:szCs w:val="24"/>
        </w:rPr>
        <w:t xml:space="preserve">. It </w:t>
      </w:r>
      <w:r w:rsidR="00280261">
        <w:rPr>
          <w:szCs w:val="24"/>
        </w:rPr>
        <w:t>was</w:t>
      </w:r>
      <w:r w:rsidR="00094EC2" w:rsidRPr="00223205">
        <w:rPr>
          <w:szCs w:val="24"/>
        </w:rPr>
        <w:t xml:space="preserve"> assumed in the subsequent economic analysis that all patients in the “no </w:t>
      </w:r>
      <w:r w:rsidR="004F3A7C">
        <w:rPr>
          <w:szCs w:val="24"/>
        </w:rPr>
        <w:t>CE</w:t>
      </w:r>
      <w:r w:rsidR="00094EC2" w:rsidRPr="00223205">
        <w:rPr>
          <w:szCs w:val="24"/>
        </w:rPr>
        <w:t xml:space="preserve">” comparator group will commence empirical treatment </w:t>
      </w:r>
      <w:r w:rsidR="00B25437" w:rsidRPr="00223205">
        <w:rPr>
          <w:szCs w:val="24"/>
        </w:rPr>
        <w:t xml:space="preserve">for Crohn disease </w:t>
      </w:r>
      <w:r w:rsidR="00094EC2" w:rsidRPr="00223205">
        <w:rPr>
          <w:szCs w:val="24"/>
        </w:rPr>
        <w:t xml:space="preserve">and that the incremental value of </w:t>
      </w:r>
      <w:r w:rsidR="004F3A7C">
        <w:rPr>
          <w:szCs w:val="24"/>
        </w:rPr>
        <w:t>CE</w:t>
      </w:r>
      <w:r w:rsidR="00094EC2" w:rsidRPr="00223205">
        <w:rPr>
          <w:szCs w:val="24"/>
        </w:rPr>
        <w:t xml:space="preserve"> is that a proportion of patients who truly do not have </w:t>
      </w:r>
      <w:r w:rsidR="00BA726D" w:rsidRPr="00223205">
        <w:rPr>
          <w:szCs w:val="24"/>
        </w:rPr>
        <w:t>Crohn</w:t>
      </w:r>
      <w:r w:rsidR="00094EC2" w:rsidRPr="00223205">
        <w:rPr>
          <w:szCs w:val="24"/>
        </w:rPr>
        <w:t xml:space="preserve"> disease will avoid treatment </w:t>
      </w:r>
      <w:r w:rsidR="00EB4F5A" w:rsidRPr="00223205">
        <w:rPr>
          <w:szCs w:val="24"/>
        </w:rPr>
        <w:t xml:space="preserve">for Crohn disease </w:t>
      </w:r>
      <w:r w:rsidR="00094EC2" w:rsidRPr="00223205">
        <w:rPr>
          <w:szCs w:val="24"/>
        </w:rPr>
        <w:t xml:space="preserve">because of the </w:t>
      </w:r>
      <w:r w:rsidR="00EB4F5A" w:rsidRPr="00223205">
        <w:rPr>
          <w:szCs w:val="24"/>
        </w:rPr>
        <w:t xml:space="preserve">diagnostic properties </w:t>
      </w:r>
      <w:r w:rsidR="00094EC2" w:rsidRPr="00223205">
        <w:rPr>
          <w:szCs w:val="24"/>
        </w:rPr>
        <w:t xml:space="preserve">of </w:t>
      </w:r>
      <w:r w:rsidR="004F3A7C">
        <w:rPr>
          <w:szCs w:val="24"/>
        </w:rPr>
        <w:t>CE</w:t>
      </w:r>
      <w:r w:rsidR="00094EC2" w:rsidRPr="00223205">
        <w:rPr>
          <w:szCs w:val="24"/>
        </w:rPr>
        <w:t>.</w:t>
      </w:r>
      <w:r w:rsidR="00B25437" w:rsidRPr="00223205">
        <w:rPr>
          <w:szCs w:val="24"/>
        </w:rPr>
        <w:t xml:space="preserve"> Consistent with the </w:t>
      </w:r>
      <w:r w:rsidR="00287251">
        <w:rPr>
          <w:szCs w:val="24"/>
        </w:rPr>
        <w:t>Protocol</w:t>
      </w:r>
      <w:r w:rsidR="00E852D3" w:rsidRPr="00223205">
        <w:rPr>
          <w:szCs w:val="24"/>
        </w:rPr>
        <w:t>, which referred to the published economic evaluation by Levesque et al (2010), patients who have bowel disease other than Crohn disease are assumed to have irritable bowel syndrome (IBS).</w:t>
      </w:r>
    </w:p>
    <w:p w14:paraId="47A17AC1" w14:textId="77777777" w:rsidR="001C2DBC" w:rsidRPr="00223205" w:rsidRDefault="001C2DBC" w:rsidP="00094EC2">
      <w:pPr>
        <w:tabs>
          <w:tab w:val="left" w:pos="284"/>
          <w:tab w:val="left" w:pos="720"/>
        </w:tabs>
        <w:rPr>
          <w:szCs w:val="24"/>
        </w:rPr>
      </w:pPr>
    </w:p>
    <w:p w14:paraId="2C968ECD" w14:textId="0E7B974D" w:rsidR="00094EC2" w:rsidRDefault="00094EC2" w:rsidP="003166F7">
      <w:pPr>
        <w:tabs>
          <w:tab w:val="left" w:pos="284"/>
          <w:tab w:val="left" w:pos="720"/>
        </w:tabs>
        <w:rPr>
          <w:szCs w:val="24"/>
        </w:rPr>
      </w:pPr>
      <w:r w:rsidRPr="00223205">
        <w:rPr>
          <w:szCs w:val="24"/>
        </w:rPr>
        <w:t xml:space="preserve">The </w:t>
      </w:r>
      <w:r w:rsidR="002D0E5C" w:rsidRPr="00223205">
        <w:rPr>
          <w:szCs w:val="24"/>
        </w:rPr>
        <w:t>re</w:t>
      </w:r>
      <w:r w:rsidRPr="00223205">
        <w:rPr>
          <w:szCs w:val="24"/>
        </w:rPr>
        <w:t>submission present</w:t>
      </w:r>
      <w:r w:rsidR="003166F7">
        <w:rPr>
          <w:szCs w:val="24"/>
        </w:rPr>
        <w:t>ed</w:t>
      </w:r>
      <w:r w:rsidR="00070F4C">
        <w:rPr>
          <w:szCs w:val="24"/>
        </w:rPr>
        <w:t xml:space="preserve"> a</w:t>
      </w:r>
      <w:r w:rsidRPr="00223205">
        <w:rPr>
          <w:szCs w:val="24"/>
        </w:rPr>
        <w:t xml:space="preserve"> one year cost-effectiveness analysis, </w:t>
      </w:r>
      <w:r w:rsidR="00070F4C">
        <w:rPr>
          <w:szCs w:val="24"/>
        </w:rPr>
        <w:t xml:space="preserve">which </w:t>
      </w:r>
      <w:r w:rsidRPr="00223205">
        <w:rPr>
          <w:szCs w:val="24"/>
        </w:rPr>
        <w:t>model</w:t>
      </w:r>
      <w:r w:rsidR="00070F4C">
        <w:rPr>
          <w:szCs w:val="24"/>
        </w:rPr>
        <w:t>led</w:t>
      </w:r>
      <w:r w:rsidRPr="00223205">
        <w:rPr>
          <w:szCs w:val="24"/>
        </w:rPr>
        <w:t xml:space="preserve"> the additional diagnostic value offered by </w:t>
      </w:r>
      <w:r w:rsidR="004F3A7C">
        <w:rPr>
          <w:szCs w:val="24"/>
        </w:rPr>
        <w:t>CE</w:t>
      </w:r>
      <w:r w:rsidRPr="00223205">
        <w:rPr>
          <w:szCs w:val="24"/>
        </w:rPr>
        <w:t xml:space="preserve"> when compared with no </w:t>
      </w:r>
      <w:r w:rsidR="004F3A7C">
        <w:rPr>
          <w:szCs w:val="24"/>
        </w:rPr>
        <w:t>CE</w:t>
      </w:r>
      <w:r w:rsidR="00621EA1">
        <w:rPr>
          <w:szCs w:val="24"/>
        </w:rPr>
        <w:t xml:space="preserve">. </w:t>
      </w:r>
      <w:r w:rsidR="004F3A7C">
        <w:rPr>
          <w:szCs w:val="24"/>
        </w:rPr>
        <w:t>CE</w:t>
      </w:r>
      <w:r w:rsidR="00621EA1">
        <w:rPr>
          <w:szCs w:val="24"/>
        </w:rPr>
        <w:t xml:space="preserve"> wa</w:t>
      </w:r>
      <w:r w:rsidRPr="00223205">
        <w:rPr>
          <w:szCs w:val="24"/>
        </w:rPr>
        <w:t>s shown to affect the proportion of patients who received a confirmed diagnosis, thereby improving effectiveness of downstream disease manageme</w:t>
      </w:r>
      <w:r w:rsidR="007859A2">
        <w:rPr>
          <w:szCs w:val="24"/>
        </w:rPr>
        <w:t>nt. The improved effectiveness wa</w:t>
      </w:r>
      <w:r w:rsidRPr="00223205">
        <w:rPr>
          <w:szCs w:val="24"/>
        </w:rPr>
        <w:t xml:space="preserve">s translated into the number of QALYs as well as potential cost savings associated with preventing costly </w:t>
      </w:r>
      <w:r w:rsidR="00BA726D" w:rsidRPr="00223205">
        <w:rPr>
          <w:szCs w:val="24"/>
        </w:rPr>
        <w:t>Crohn</w:t>
      </w:r>
      <w:r w:rsidRPr="00223205">
        <w:rPr>
          <w:szCs w:val="24"/>
        </w:rPr>
        <w:t xml:space="preserve"> disease treatment from being given to patients who in fact do not suffer from the condition.</w:t>
      </w:r>
    </w:p>
    <w:p w14:paraId="563FF7DA" w14:textId="77777777" w:rsidR="00817DA1" w:rsidRPr="00223205" w:rsidRDefault="00817DA1" w:rsidP="00223205">
      <w:pPr>
        <w:tabs>
          <w:tab w:val="left" w:pos="284"/>
          <w:tab w:val="left" w:pos="720"/>
        </w:tabs>
        <w:rPr>
          <w:szCs w:val="24"/>
        </w:rPr>
      </w:pPr>
    </w:p>
    <w:p w14:paraId="2B14B354" w14:textId="119FA159" w:rsidR="00094EC2" w:rsidRPr="00223205" w:rsidRDefault="00F426C7" w:rsidP="00F426C7">
      <w:pPr>
        <w:tabs>
          <w:tab w:val="left" w:pos="284"/>
          <w:tab w:val="left" w:pos="720"/>
        </w:tabs>
        <w:rPr>
          <w:szCs w:val="24"/>
        </w:rPr>
      </w:pPr>
      <w:r>
        <w:rPr>
          <w:szCs w:val="24"/>
        </w:rPr>
        <w:t xml:space="preserve">The base case economic evaluation estimated an incremental cost per extra QALY gained of $23,672. A number of sensitivity analyses were presented which </w:t>
      </w:r>
      <w:r w:rsidR="00094EC2" w:rsidRPr="00223205">
        <w:rPr>
          <w:szCs w:val="24"/>
        </w:rPr>
        <w:t>show</w:t>
      </w:r>
      <w:r>
        <w:rPr>
          <w:szCs w:val="24"/>
        </w:rPr>
        <w:t>ed</w:t>
      </w:r>
      <w:r w:rsidR="00094EC2" w:rsidRPr="00223205">
        <w:rPr>
          <w:szCs w:val="24"/>
        </w:rPr>
        <w:t xml:space="preserve"> that when </w:t>
      </w:r>
      <w:r w:rsidR="001C2DBC" w:rsidRPr="00223205">
        <w:rPr>
          <w:szCs w:val="24"/>
        </w:rPr>
        <w:t>an</w:t>
      </w:r>
      <w:r w:rsidR="00094EC2" w:rsidRPr="00223205">
        <w:rPr>
          <w:szCs w:val="24"/>
        </w:rPr>
        <w:t xml:space="preserve"> assumption </w:t>
      </w:r>
      <w:r>
        <w:rPr>
          <w:szCs w:val="24"/>
        </w:rPr>
        <w:t>wa</w:t>
      </w:r>
      <w:r w:rsidR="001C2DBC" w:rsidRPr="00223205">
        <w:rPr>
          <w:szCs w:val="24"/>
        </w:rPr>
        <w:t xml:space="preserve">s varied </w:t>
      </w:r>
      <w:r w:rsidR="00094EC2" w:rsidRPr="00223205">
        <w:rPr>
          <w:szCs w:val="24"/>
        </w:rPr>
        <w:t>(univariate analysis) based on the uncertainties</w:t>
      </w:r>
      <w:r w:rsidR="001332B6">
        <w:rPr>
          <w:szCs w:val="24"/>
        </w:rPr>
        <w:t xml:space="preserve"> in the cost input and clinical</w:t>
      </w:r>
      <w:r w:rsidR="00094EC2" w:rsidRPr="00223205">
        <w:rPr>
          <w:szCs w:val="24"/>
        </w:rPr>
        <w:t xml:space="preserve">/epidemiological variables, the resultant ICERs </w:t>
      </w:r>
      <w:r w:rsidR="001C2DBC" w:rsidRPr="00223205">
        <w:rPr>
          <w:szCs w:val="24"/>
        </w:rPr>
        <w:t>range</w:t>
      </w:r>
      <w:r>
        <w:rPr>
          <w:szCs w:val="24"/>
        </w:rPr>
        <w:t>d</w:t>
      </w:r>
      <w:r w:rsidR="001C2DBC" w:rsidRPr="00223205">
        <w:rPr>
          <w:szCs w:val="24"/>
        </w:rPr>
        <w:t xml:space="preserve"> </w:t>
      </w:r>
      <w:r w:rsidR="00094EC2" w:rsidRPr="00223205">
        <w:rPr>
          <w:szCs w:val="24"/>
        </w:rPr>
        <w:t>mostly between $20,000 and $30</w:t>
      </w:r>
      <w:r w:rsidR="001332B6">
        <w:rPr>
          <w:szCs w:val="24"/>
        </w:rPr>
        <w:t>,000. The resubmission report did</w:t>
      </w:r>
      <w:r w:rsidR="00094EC2" w:rsidRPr="00223205">
        <w:rPr>
          <w:szCs w:val="24"/>
        </w:rPr>
        <w:t xml:space="preserve"> not present any </w:t>
      </w:r>
      <w:r w:rsidR="00A27149" w:rsidRPr="00223205">
        <w:rPr>
          <w:szCs w:val="24"/>
        </w:rPr>
        <w:t xml:space="preserve">multi-way </w:t>
      </w:r>
      <w:r w:rsidR="00094EC2" w:rsidRPr="00223205">
        <w:rPr>
          <w:szCs w:val="24"/>
        </w:rPr>
        <w:t xml:space="preserve">sensitivity analyses. </w:t>
      </w:r>
      <w:r>
        <w:rPr>
          <w:szCs w:val="24"/>
        </w:rPr>
        <w:t>ESC considered that t</w:t>
      </w:r>
      <w:r w:rsidR="00094EC2" w:rsidRPr="00223205">
        <w:rPr>
          <w:szCs w:val="24"/>
        </w:rPr>
        <w:t xml:space="preserve">here may be some value in performing </w:t>
      </w:r>
      <w:r>
        <w:rPr>
          <w:szCs w:val="24"/>
        </w:rPr>
        <w:t>multi-way sensitivity analyses</w:t>
      </w:r>
      <w:r w:rsidR="00094EC2" w:rsidRPr="00223205">
        <w:rPr>
          <w:szCs w:val="24"/>
        </w:rPr>
        <w:t xml:space="preserve"> </w:t>
      </w:r>
      <w:r w:rsidRPr="00F426C7">
        <w:rPr>
          <w:szCs w:val="24"/>
        </w:rPr>
        <w:t xml:space="preserve">based on utility scores and cost of </w:t>
      </w:r>
      <w:r>
        <w:rPr>
          <w:szCs w:val="24"/>
        </w:rPr>
        <w:t>treatment in the comparator arm</w:t>
      </w:r>
      <w:r w:rsidR="00094EC2" w:rsidRPr="00223205">
        <w:rPr>
          <w:szCs w:val="24"/>
        </w:rPr>
        <w:t>.</w:t>
      </w:r>
    </w:p>
    <w:p w14:paraId="5430661F" w14:textId="77777777" w:rsidR="00094EC2" w:rsidRPr="00223205" w:rsidRDefault="00094EC2" w:rsidP="00D60877">
      <w:pPr>
        <w:tabs>
          <w:tab w:val="left" w:pos="284"/>
          <w:tab w:val="left" w:pos="720"/>
        </w:tabs>
        <w:rPr>
          <w:szCs w:val="24"/>
        </w:rPr>
      </w:pPr>
    </w:p>
    <w:p w14:paraId="39FDD054" w14:textId="36681C7F" w:rsidR="007959AB" w:rsidRDefault="0043299C" w:rsidP="007959AB">
      <w:pPr>
        <w:tabs>
          <w:tab w:val="left" w:pos="284"/>
          <w:tab w:val="left" w:pos="720"/>
        </w:tabs>
        <w:rPr>
          <w:szCs w:val="24"/>
        </w:rPr>
      </w:pPr>
      <w:r>
        <w:rPr>
          <w:szCs w:val="24"/>
        </w:rPr>
        <w:t>T</w:t>
      </w:r>
      <w:r w:rsidR="00094EC2" w:rsidRPr="00223205">
        <w:rPr>
          <w:szCs w:val="24"/>
        </w:rPr>
        <w:t xml:space="preserve">he </w:t>
      </w:r>
      <w:r w:rsidR="002D0E5C" w:rsidRPr="00223205">
        <w:rPr>
          <w:szCs w:val="24"/>
        </w:rPr>
        <w:t>re</w:t>
      </w:r>
      <w:r w:rsidR="00094EC2" w:rsidRPr="00223205">
        <w:rPr>
          <w:szCs w:val="24"/>
        </w:rPr>
        <w:t>submission</w:t>
      </w:r>
      <w:r>
        <w:rPr>
          <w:szCs w:val="24"/>
        </w:rPr>
        <w:t xml:space="preserve"> considered</w:t>
      </w:r>
      <w:r w:rsidR="00094EC2" w:rsidRPr="00223205">
        <w:rPr>
          <w:szCs w:val="24"/>
        </w:rPr>
        <w:t xml:space="preserve"> the lower prevalence generated in </w:t>
      </w:r>
      <w:r w:rsidR="001C2DBC" w:rsidRPr="00223205">
        <w:rPr>
          <w:szCs w:val="24"/>
        </w:rPr>
        <w:t xml:space="preserve">the </w:t>
      </w:r>
      <w:r w:rsidR="00094EC2" w:rsidRPr="00223205">
        <w:rPr>
          <w:szCs w:val="24"/>
        </w:rPr>
        <w:t xml:space="preserve">Tukey </w:t>
      </w:r>
      <w:r w:rsidR="001C2DBC" w:rsidRPr="00223205">
        <w:rPr>
          <w:szCs w:val="24"/>
        </w:rPr>
        <w:t xml:space="preserve">(2009) </w:t>
      </w:r>
      <w:r w:rsidR="00094EC2" w:rsidRPr="00223205">
        <w:rPr>
          <w:szCs w:val="24"/>
        </w:rPr>
        <w:t xml:space="preserve">study as well as the low estimated prevalence calculated from diagnostic yield studies such as Selby </w:t>
      </w:r>
      <w:r w:rsidR="001C2DBC" w:rsidRPr="00223205">
        <w:rPr>
          <w:szCs w:val="24"/>
        </w:rPr>
        <w:t xml:space="preserve">(2008) </w:t>
      </w:r>
      <w:r w:rsidR="00094EC2" w:rsidRPr="00223205">
        <w:rPr>
          <w:szCs w:val="24"/>
        </w:rPr>
        <w:t xml:space="preserve">relevant to inform the base case of the economic model. According to the </w:t>
      </w:r>
      <w:r w:rsidR="002D0E5C" w:rsidRPr="00223205">
        <w:rPr>
          <w:szCs w:val="24"/>
        </w:rPr>
        <w:t>re</w:t>
      </w:r>
      <w:r w:rsidR="00094EC2" w:rsidRPr="00223205">
        <w:rPr>
          <w:szCs w:val="24"/>
        </w:rPr>
        <w:t>submission, the increase</w:t>
      </w:r>
      <w:r>
        <w:rPr>
          <w:szCs w:val="24"/>
        </w:rPr>
        <w:t>d sensitivity in prior testing wa</w:t>
      </w:r>
      <w:r w:rsidR="00094EC2" w:rsidRPr="00223205">
        <w:rPr>
          <w:szCs w:val="24"/>
        </w:rPr>
        <w:t xml:space="preserve">s likely to decrease the prevalence of true </w:t>
      </w:r>
      <w:r w:rsidR="00BA726D" w:rsidRPr="00223205">
        <w:rPr>
          <w:szCs w:val="24"/>
        </w:rPr>
        <w:t>Crohn</w:t>
      </w:r>
      <w:r w:rsidR="00094EC2" w:rsidRPr="00223205">
        <w:rPr>
          <w:szCs w:val="24"/>
        </w:rPr>
        <w:t xml:space="preserve"> disease in the tested population</w:t>
      </w:r>
      <w:r>
        <w:rPr>
          <w:szCs w:val="24"/>
        </w:rPr>
        <w:t xml:space="preserve"> and</w:t>
      </w:r>
      <w:r w:rsidR="0000426C">
        <w:rPr>
          <w:szCs w:val="24"/>
        </w:rPr>
        <w:t xml:space="preserve"> </w:t>
      </w:r>
      <w:r w:rsidR="00094EC2" w:rsidRPr="00223205">
        <w:rPr>
          <w:szCs w:val="24"/>
        </w:rPr>
        <w:t xml:space="preserve">that the underlying evidence base has the potential to overestimate prevalence as the primary studies predominantly used SBFT (versus CTE/MRE). The </w:t>
      </w:r>
      <w:r w:rsidR="002D0E5C" w:rsidRPr="00223205">
        <w:rPr>
          <w:szCs w:val="24"/>
        </w:rPr>
        <w:t>re</w:t>
      </w:r>
      <w:r w:rsidR="0000426C">
        <w:rPr>
          <w:szCs w:val="24"/>
        </w:rPr>
        <w:t>submission also stated</w:t>
      </w:r>
      <w:r w:rsidR="00094EC2" w:rsidRPr="00223205">
        <w:rPr>
          <w:szCs w:val="24"/>
        </w:rPr>
        <w:t xml:space="preserve"> that high baseline prevalence may not make the addition of </w:t>
      </w:r>
      <w:r w:rsidR="004F3A7C">
        <w:rPr>
          <w:szCs w:val="24"/>
        </w:rPr>
        <w:t>CE</w:t>
      </w:r>
      <w:r w:rsidR="00094EC2" w:rsidRPr="00223205">
        <w:rPr>
          <w:szCs w:val="24"/>
        </w:rPr>
        <w:t xml:space="preserve"> a cost-effective strategy because ‘empiric treatment’ would in fact represent a correct and effective treatment for the underlying </w:t>
      </w:r>
      <w:r w:rsidR="00BA726D" w:rsidRPr="00223205">
        <w:rPr>
          <w:szCs w:val="24"/>
        </w:rPr>
        <w:t>Crohn</w:t>
      </w:r>
      <w:r w:rsidR="00094EC2" w:rsidRPr="00223205">
        <w:rPr>
          <w:szCs w:val="24"/>
        </w:rPr>
        <w:t xml:space="preserve"> disease and thus provide a QALY gain in many patients.</w:t>
      </w:r>
      <w:bookmarkStart w:id="1" w:name="_Toc315099770"/>
      <w:bookmarkStart w:id="2" w:name="_Toc367709160"/>
      <w:bookmarkStart w:id="3" w:name="_Toc367713478"/>
    </w:p>
    <w:p w14:paraId="530A492A" w14:textId="77777777" w:rsidR="007959AB" w:rsidRDefault="007959AB" w:rsidP="007959AB">
      <w:pPr>
        <w:tabs>
          <w:tab w:val="left" w:pos="284"/>
          <w:tab w:val="left" w:pos="720"/>
        </w:tabs>
        <w:rPr>
          <w:szCs w:val="24"/>
        </w:rPr>
      </w:pPr>
    </w:p>
    <w:p w14:paraId="52227494" w14:textId="59F02265" w:rsidR="0030582B" w:rsidRDefault="007959AB" w:rsidP="007959AB">
      <w:pPr>
        <w:tabs>
          <w:tab w:val="left" w:pos="284"/>
          <w:tab w:val="left" w:pos="720"/>
        </w:tabs>
      </w:pPr>
      <w:r>
        <w:rPr>
          <w:szCs w:val="24"/>
        </w:rPr>
        <w:t>MSAC considered that</w:t>
      </w:r>
      <w:r w:rsidR="00881DBB" w:rsidRPr="00223205">
        <w:rPr>
          <w:szCs w:val="24"/>
        </w:rPr>
        <w:t xml:space="preserve"> the </w:t>
      </w:r>
      <w:r w:rsidR="00094EC2" w:rsidRPr="00223205">
        <w:rPr>
          <w:szCs w:val="24"/>
        </w:rPr>
        <w:t>main area</w:t>
      </w:r>
      <w:r>
        <w:rPr>
          <w:szCs w:val="24"/>
        </w:rPr>
        <w:t xml:space="preserve"> of economic uncertainty w</w:t>
      </w:r>
      <w:bookmarkEnd w:id="1"/>
      <w:bookmarkEnd w:id="2"/>
      <w:bookmarkEnd w:id="3"/>
      <w:r>
        <w:rPr>
          <w:szCs w:val="24"/>
        </w:rPr>
        <w:t xml:space="preserve">as </w:t>
      </w:r>
      <w:r w:rsidR="00094EC2" w:rsidRPr="00223205">
        <w:t>the appropriateness of the utility weights</w:t>
      </w:r>
      <w:r>
        <w:t xml:space="preserve"> as</w:t>
      </w:r>
      <w:r w:rsidR="008C3834" w:rsidRPr="00223205">
        <w:t xml:space="preserve"> </w:t>
      </w:r>
      <w:r w:rsidR="00094EC2" w:rsidRPr="00223205">
        <w:t xml:space="preserve">the ICER is highly sensitive to the difference in utility weights, </w:t>
      </w:r>
      <w:r>
        <w:t>and that</w:t>
      </w:r>
      <w:r w:rsidR="00094EC2" w:rsidRPr="007959AB">
        <w:t xml:space="preserve"> this issue </w:t>
      </w:r>
      <w:r w:rsidRPr="007959AB">
        <w:t>should be further explored</w:t>
      </w:r>
      <w:r w:rsidR="00094EC2" w:rsidRPr="00223205">
        <w:t xml:space="preserve"> to ensure the assigned scores reflect the best available evidence.</w:t>
      </w:r>
    </w:p>
    <w:p w14:paraId="6C647147" w14:textId="77777777" w:rsidR="007959AB" w:rsidRDefault="007959AB" w:rsidP="007959AB">
      <w:pPr>
        <w:tabs>
          <w:tab w:val="left" w:pos="284"/>
          <w:tab w:val="left" w:pos="720"/>
        </w:tabs>
      </w:pPr>
    </w:p>
    <w:p w14:paraId="042890B3" w14:textId="1C5BECCC" w:rsidR="007959AB" w:rsidRDefault="007959AB" w:rsidP="007959AB">
      <w:r>
        <w:t>MSAC also considered that the following issues with the economic evaluation</w:t>
      </w:r>
      <w:r w:rsidR="0043299C">
        <w:t>,</w:t>
      </w:r>
      <w:r>
        <w:t xml:space="preserve"> which were identified by ESC</w:t>
      </w:r>
      <w:r w:rsidR="0043299C">
        <w:t>,</w:t>
      </w:r>
      <w:r>
        <w:t xml:space="preserve"> should be addressed</w:t>
      </w:r>
      <w:r w:rsidR="0043299C">
        <w:t xml:space="preserve"> in a future submission</w:t>
      </w:r>
      <w:r>
        <w:t>:</w:t>
      </w:r>
    </w:p>
    <w:p w14:paraId="2343E484" w14:textId="7666070C" w:rsidR="007959AB" w:rsidRDefault="007959AB" w:rsidP="007959AB">
      <w:pPr>
        <w:pStyle w:val="ListParagraph"/>
        <w:numPr>
          <w:ilvl w:val="0"/>
          <w:numId w:val="23"/>
        </w:numPr>
      </w:pPr>
      <w:r>
        <w:t>the assumed prevalence may have been biased towards CE because it resulted in patients in the empiric treatment arm not accruing any utility gain during the time horizon of the model;</w:t>
      </w:r>
    </w:p>
    <w:p w14:paraId="7EA26C59" w14:textId="0C85F835" w:rsidR="007959AB" w:rsidRDefault="007959AB" w:rsidP="007959AB">
      <w:pPr>
        <w:pStyle w:val="ListParagraph"/>
        <w:numPr>
          <w:ilvl w:val="0"/>
          <w:numId w:val="23"/>
        </w:numPr>
      </w:pPr>
      <w:r>
        <w:t>the assumption that all therapy lasted the full 12 months’ time horizon of the model irrespective of response which seemed clinically implausible;</w:t>
      </w:r>
    </w:p>
    <w:p w14:paraId="38238EB7" w14:textId="2743FC44" w:rsidR="007959AB" w:rsidRDefault="007959AB" w:rsidP="007959AB">
      <w:pPr>
        <w:pStyle w:val="ListParagraph"/>
        <w:numPr>
          <w:ilvl w:val="0"/>
          <w:numId w:val="23"/>
        </w:numPr>
      </w:pPr>
      <w:r>
        <w:t xml:space="preserve">the assumption that all patients without a clear diagnosis after both endoscopy and radiographic imaging would receive empiric </w:t>
      </w:r>
      <w:r w:rsidR="004F3A7C" w:rsidRPr="004F3A7C">
        <w:t xml:space="preserve"> </w:t>
      </w:r>
      <w:r w:rsidR="004F3A7C" w:rsidRPr="00572617">
        <w:t>Crohn disease</w:t>
      </w:r>
      <w:r w:rsidR="004F3A7C">
        <w:t xml:space="preserve"> </w:t>
      </w:r>
      <w:r>
        <w:t>therapy was not supported with evidence; and</w:t>
      </w:r>
    </w:p>
    <w:p w14:paraId="4726CA09" w14:textId="77777777" w:rsidR="007959AB" w:rsidRDefault="007959AB" w:rsidP="007959AB">
      <w:pPr>
        <w:pStyle w:val="ListParagraph"/>
        <w:numPr>
          <w:ilvl w:val="0"/>
          <w:numId w:val="23"/>
        </w:numPr>
      </w:pPr>
      <w:r>
        <w:t>the 12-month time horizon of the model may have biased against CE by excluding surgery cost offsets and later cost offsets.</w:t>
      </w:r>
    </w:p>
    <w:p w14:paraId="549F69ED" w14:textId="77777777" w:rsidR="007959AB" w:rsidRPr="00223205" w:rsidRDefault="007959AB" w:rsidP="007959AB">
      <w:pPr>
        <w:pStyle w:val="Comment"/>
        <w:numPr>
          <w:ilvl w:val="0"/>
          <w:numId w:val="0"/>
        </w:numPr>
        <w:ind w:left="720"/>
        <w:jc w:val="left"/>
        <w:rPr>
          <w:rFonts w:ascii="Times New Roman" w:hAnsi="Times New Roman"/>
          <w:i w:val="0"/>
          <w:color w:val="auto"/>
          <w:lang w:eastAsia="en-AU"/>
        </w:rPr>
      </w:pPr>
    </w:p>
    <w:p w14:paraId="3BFB3571" w14:textId="73BFBFCA" w:rsidR="00937076" w:rsidRPr="002A34DD" w:rsidRDefault="006E18AD" w:rsidP="006E18AD">
      <w:pPr>
        <w:pStyle w:val="Style1"/>
        <w:keepNext w:val="0"/>
        <w:keepLines w:val="0"/>
        <w:numPr>
          <w:ilvl w:val="0"/>
          <w:numId w:val="0"/>
        </w:numPr>
        <w:spacing w:before="0"/>
        <w:ind w:left="709" w:hanging="709"/>
      </w:pPr>
      <w:r>
        <w:t>12.</w:t>
      </w:r>
      <w:r>
        <w:tab/>
      </w:r>
      <w:r w:rsidR="0095175A" w:rsidRPr="002A34DD">
        <w:t>Financial/budgetary impacts</w:t>
      </w:r>
    </w:p>
    <w:p w14:paraId="77791F3E" w14:textId="763178CB" w:rsidR="00823261" w:rsidRDefault="00094EC2" w:rsidP="002F5BBC">
      <w:pPr>
        <w:rPr>
          <w:b/>
          <w:bCs/>
          <w:iCs/>
        </w:rPr>
      </w:pPr>
      <w:r w:rsidRPr="00223205">
        <w:t>The number o</w:t>
      </w:r>
      <w:r w:rsidR="00FF5C29">
        <w:t xml:space="preserve">f </w:t>
      </w:r>
      <w:r w:rsidR="004F3A7C">
        <w:t>CE</w:t>
      </w:r>
      <w:r w:rsidR="00FF5C29">
        <w:t xml:space="preserve"> procedures wa</w:t>
      </w:r>
      <w:r w:rsidRPr="00223205">
        <w:t xml:space="preserve">s estimated </w:t>
      </w:r>
      <w:r w:rsidR="00FF5C29">
        <w:t xml:space="preserve">to be </w:t>
      </w:r>
      <w:r w:rsidRPr="00223205">
        <w:t>between 714 and 1,538 per year.</w:t>
      </w:r>
    </w:p>
    <w:p w14:paraId="081A84BB" w14:textId="77777777" w:rsidR="002F5BBC" w:rsidRPr="002F5BBC" w:rsidRDefault="002F5BBC" w:rsidP="002F5BBC"/>
    <w:p w14:paraId="286FBA5D" w14:textId="446B287E" w:rsidR="00823261" w:rsidRPr="00223205" w:rsidRDefault="00094EC2" w:rsidP="002F5BBC">
      <w:pPr>
        <w:rPr>
          <w:b/>
          <w:bCs/>
          <w:iCs/>
        </w:rPr>
      </w:pPr>
      <w:r w:rsidRPr="00223205">
        <w:t xml:space="preserve">The proposed MBS schedule fee for </w:t>
      </w:r>
      <w:r w:rsidR="004F3A7C">
        <w:t>CE</w:t>
      </w:r>
      <w:r w:rsidRPr="00223205">
        <w:t xml:space="preserve"> is $2,039.20. This is the same as </w:t>
      </w:r>
      <w:r w:rsidR="004F3A7C">
        <w:t>CE</w:t>
      </w:r>
      <w:r w:rsidRPr="00223205">
        <w:t xml:space="preserve"> for obscure gastrointestinal bleeding (item 11820) and for Peutz-Jeghers syndrome (item 11823).</w:t>
      </w:r>
    </w:p>
    <w:p w14:paraId="674A37A2" w14:textId="77777777" w:rsidR="00223205" w:rsidRPr="002F5BBC" w:rsidRDefault="00223205" w:rsidP="002F5BBC"/>
    <w:p w14:paraId="09DE1AF7" w14:textId="0E02F60A" w:rsidR="00AD02A3" w:rsidRDefault="00FF5C29" w:rsidP="006E18AD">
      <w:pPr>
        <w:pStyle w:val="Comment"/>
        <w:numPr>
          <w:ilvl w:val="0"/>
          <w:numId w:val="0"/>
        </w:numPr>
        <w:jc w:val="left"/>
        <w:rPr>
          <w:rFonts w:ascii="Times New Roman" w:hAnsi="Times New Roman"/>
          <w:i w:val="0"/>
          <w:color w:val="auto"/>
          <w:lang w:eastAsia="en-AU"/>
        </w:rPr>
      </w:pPr>
      <w:r>
        <w:rPr>
          <w:rFonts w:ascii="Times New Roman" w:hAnsi="Times New Roman"/>
          <w:i w:val="0"/>
          <w:color w:val="auto"/>
          <w:lang w:eastAsia="en-AU"/>
        </w:rPr>
        <w:lastRenderedPageBreak/>
        <w:t>T</w:t>
      </w:r>
      <w:r w:rsidRPr="00FF5C29">
        <w:rPr>
          <w:rFonts w:ascii="Times New Roman" w:hAnsi="Times New Roman"/>
          <w:i w:val="0"/>
          <w:color w:val="auto"/>
          <w:lang w:eastAsia="en-AU"/>
        </w:rPr>
        <w:t>he net fina</w:t>
      </w:r>
      <w:r>
        <w:rPr>
          <w:rFonts w:ascii="Times New Roman" w:hAnsi="Times New Roman"/>
          <w:i w:val="0"/>
          <w:color w:val="auto"/>
          <w:lang w:eastAsia="en-AU"/>
        </w:rPr>
        <w:t>ncial costs of the new service we</w:t>
      </w:r>
      <w:r w:rsidRPr="00FF5C29">
        <w:rPr>
          <w:rFonts w:ascii="Times New Roman" w:hAnsi="Times New Roman"/>
          <w:i w:val="0"/>
          <w:color w:val="auto"/>
          <w:lang w:eastAsia="en-AU"/>
        </w:rPr>
        <w:t xml:space="preserve">re </w:t>
      </w:r>
      <w:r>
        <w:rPr>
          <w:rFonts w:ascii="Times New Roman" w:hAnsi="Times New Roman"/>
          <w:i w:val="0"/>
          <w:color w:val="auto"/>
          <w:lang w:eastAsia="en-AU"/>
        </w:rPr>
        <w:t>estimated to be $1.5–3.2 million</w:t>
      </w:r>
      <w:r w:rsidRPr="00FF5C29">
        <w:rPr>
          <w:rFonts w:ascii="Times New Roman" w:hAnsi="Times New Roman"/>
          <w:i w:val="0"/>
          <w:color w:val="auto"/>
          <w:lang w:eastAsia="en-AU"/>
        </w:rPr>
        <w:t xml:space="preserve">/year, based on estimates of the incidence of </w:t>
      </w:r>
      <w:r w:rsidR="004F3A7C" w:rsidRPr="004F3A7C">
        <w:rPr>
          <w:rFonts w:ascii="Times New Roman" w:hAnsi="Times New Roman"/>
          <w:i w:val="0"/>
          <w:color w:val="auto"/>
          <w:lang w:eastAsia="en-AU"/>
        </w:rPr>
        <w:t>Crohn disease</w:t>
      </w:r>
      <w:r w:rsidRPr="00FF5C29">
        <w:rPr>
          <w:rFonts w:ascii="Times New Roman" w:hAnsi="Times New Roman"/>
          <w:i w:val="0"/>
          <w:color w:val="auto"/>
          <w:lang w:eastAsia="en-AU"/>
        </w:rPr>
        <w:t xml:space="preserve">, the number of </w:t>
      </w:r>
      <w:r w:rsidR="004F3A7C" w:rsidRPr="004F3A7C">
        <w:rPr>
          <w:rFonts w:ascii="Times New Roman" w:hAnsi="Times New Roman"/>
          <w:i w:val="0"/>
          <w:color w:val="auto"/>
          <w:lang w:eastAsia="en-AU"/>
        </w:rPr>
        <w:t>Crohn disease</w:t>
      </w:r>
      <w:r w:rsidR="004F3A7C" w:rsidRPr="00FF5C29" w:rsidDel="004F3A7C">
        <w:rPr>
          <w:rFonts w:ascii="Times New Roman" w:hAnsi="Times New Roman"/>
          <w:i w:val="0"/>
          <w:color w:val="auto"/>
          <w:lang w:eastAsia="en-AU"/>
        </w:rPr>
        <w:t xml:space="preserve"> </w:t>
      </w:r>
      <w:r w:rsidRPr="00FF5C29">
        <w:rPr>
          <w:rFonts w:ascii="Times New Roman" w:hAnsi="Times New Roman"/>
          <w:i w:val="0"/>
          <w:color w:val="auto"/>
          <w:lang w:eastAsia="en-AU"/>
        </w:rPr>
        <w:t xml:space="preserve">cases diagnosed by CE and the diagnostic yield in the eligible population. MSAC </w:t>
      </w:r>
      <w:r>
        <w:rPr>
          <w:rFonts w:ascii="Times New Roman" w:hAnsi="Times New Roman"/>
          <w:i w:val="0"/>
          <w:color w:val="auto"/>
          <w:lang w:eastAsia="en-AU"/>
        </w:rPr>
        <w:t>was</w:t>
      </w:r>
      <w:r w:rsidRPr="00FF5C29">
        <w:rPr>
          <w:rFonts w:ascii="Times New Roman" w:hAnsi="Times New Roman"/>
          <w:i w:val="0"/>
          <w:color w:val="auto"/>
          <w:lang w:eastAsia="en-AU"/>
        </w:rPr>
        <w:t xml:space="preserve"> concern</w:t>
      </w:r>
      <w:r>
        <w:rPr>
          <w:rFonts w:ascii="Times New Roman" w:hAnsi="Times New Roman"/>
          <w:i w:val="0"/>
          <w:color w:val="auto"/>
          <w:lang w:eastAsia="en-AU"/>
        </w:rPr>
        <w:t>ed that this may be underestimated.</w:t>
      </w:r>
    </w:p>
    <w:p w14:paraId="3CDE6D81" w14:textId="77777777" w:rsidR="006E18AD" w:rsidRPr="00FF5C29" w:rsidRDefault="006E18AD" w:rsidP="006E18AD">
      <w:pPr>
        <w:pStyle w:val="Comment"/>
        <w:numPr>
          <w:ilvl w:val="0"/>
          <w:numId w:val="0"/>
        </w:numPr>
        <w:jc w:val="left"/>
        <w:rPr>
          <w:rFonts w:ascii="Times New Roman" w:hAnsi="Times New Roman"/>
          <w:i w:val="0"/>
          <w:color w:val="auto"/>
          <w:lang w:eastAsia="en-AU"/>
        </w:rPr>
      </w:pPr>
    </w:p>
    <w:p w14:paraId="276DFA4C" w14:textId="548D4392" w:rsidR="004C0DCE" w:rsidRPr="00474814" w:rsidRDefault="00474814" w:rsidP="006E18AD">
      <w:pPr>
        <w:pStyle w:val="Heading1"/>
        <w:spacing w:before="0"/>
        <w:ind w:left="709" w:hanging="709"/>
      </w:pPr>
      <w:r>
        <w:t>1</w:t>
      </w:r>
      <w:r w:rsidR="006E18AD">
        <w:t>3</w:t>
      </w:r>
      <w:r>
        <w:t>.</w:t>
      </w:r>
      <w:r>
        <w:tab/>
      </w:r>
      <w:r w:rsidR="004C0DCE" w:rsidRPr="00474814">
        <w:t>Other significant factors</w:t>
      </w:r>
    </w:p>
    <w:p w14:paraId="4C1E3DD4" w14:textId="77777777" w:rsidR="009266D5" w:rsidRPr="009266D5" w:rsidRDefault="009266D5" w:rsidP="008C31F5">
      <w:pPr>
        <w:tabs>
          <w:tab w:val="left" w:pos="720"/>
          <w:tab w:val="left" w:pos="1140"/>
        </w:tabs>
        <w:rPr>
          <w:szCs w:val="24"/>
          <w:u w:val="single"/>
        </w:rPr>
      </w:pPr>
      <w:r w:rsidRPr="009266D5">
        <w:rPr>
          <w:szCs w:val="24"/>
          <w:u w:val="single"/>
        </w:rPr>
        <w:t>Issues with the descriptor</w:t>
      </w:r>
    </w:p>
    <w:p w14:paraId="5E5899E8" w14:textId="3F36C828" w:rsidR="008C31F5" w:rsidRPr="00223205" w:rsidRDefault="008C31F5" w:rsidP="008C31F5">
      <w:pPr>
        <w:tabs>
          <w:tab w:val="left" w:pos="720"/>
          <w:tab w:val="left" w:pos="1140"/>
        </w:tabs>
        <w:rPr>
          <w:szCs w:val="24"/>
        </w:rPr>
      </w:pPr>
      <w:r w:rsidRPr="00223205">
        <w:rPr>
          <w:szCs w:val="24"/>
        </w:rPr>
        <w:t xml:space="preserve">ESC agreed that small bowel should be included in </w:t>
      </w:r>
      <w:r w:rsidR="00B743F7">
        <w:rPr>
          <w:szCs w:val="24"/>
        </w:rPr>
        <w:t xml:space="preserve">the </w:t>
      </w:r>
      <w:r w:rsidRPr="00223205">
        <w:rPr>
          <w:szCs w:val="24"/>
        </w:rPr>
        <w:t xml:space="preserve">descriptor </w:t>
      </w:r>
      <w:r w:rsidR="002D0E5C" w:rsidRPr="00223205">
        <w:rPr>
          <w:szCs w:val="24"/>
        </w:rPr>
        <w:t xml:space="preserve">despite being excluded </w:t>
      </w:r>
      <w:r w:rsidRPr="00223205">
        <w:rPr>
          <w:szCs w:val="24"/>
        </w:rPr>
        <w:t xml:space="preserve">in the </w:t>
      </w:r>
      <w:r w:rsidR="00B743F7">
        <w:rPr>
          <w:szCs w:val="24"/>
        </w:rPr>
        <w:t xml:space="preserve">proposed </w:t>
      </w:r>
      <w:r w:rsidR="002D0E5C" w:rsidRPr="00223205">
        <w:rPr>
          <w:szCs w:val="24"/>
        </w:rPr>
        <w:t>descriptor suggested by the re</w:t>
      </w:r>
      <w:r w:rsidRPr="00223205">
        <w:rPr>
          <w:szCs w:val="24"/>
        </w:rPr>
        <w:t>submission.</w:t>
      </w:r>
      <w:r w:rsidR="00B743F7">
        <w:rPr>
          <w:szCs w:val="24"/>
        </w:rPr>
        <w:t xml:space="preserve"> </w:t>
      </w:r>
      <w:r w:rsidRPr="00223205">
        <w:rPr>
          <w:szCs w:val="24"/>
        </w:rPr>
        <w:t>ESC</w:t>
      </w:r>
      <w:r w:rsidR="00B743F7">
        <w:rPr>
          <w:szCs w:val="24"/>
        </w:rPr>
        <w:t xml:space="preserve"> also</w:t>
      </w:r>
      <w:r w:rsidRPr="00223205">
        <w:rPr>
          <w:szCs w:val="24"/>
        </w:rPr>
        <w:t xml:space="preserve"> questioned whether the descriptor should </w:t>
      </w:r>
      <w:r w:rsidR="000318D1">
        <w:rPr>
          <w:szCs w:val="24"/>
        </w:rPr>
        <w:t>include the words</w:t>
      </w:r>
      <w:r w:rsidRPr="00223205">
        <w:rPr>
          <w:szCs w:val="24"/>
        </w:rPr>
        <w:t xml:space="preserve"> ‘not associated with balloon enteroscopy’. The </w:t>
      </w:r>
      <w:r w:rsidR="001753FA">
        <w:rPr>
          <w:szCs w:val="24"/>
        </w:rPr>
        <w:t>Department</w:t>
      </w:r>
      <w:r w:rsidRPr="00223205">
        <w:rPr>
          <w:szCs w:val="24"/>
        </w:rPr>
        <w:t xml:space="preserve"> </w:t>
      </w:r>
      <w:r w:rsidR="004635FC" w:rsidRPr="00223205">
        <w:rPr>
          <w:szCs w:val="24"/>
        </w:rPr>
        <w:t>suggested removal</w:t>
      </w:r>
      <w:r w:rsidRPr="00223205">
        <w:rPr>
          <w:szCs w:val="24"/>
        </w:rPr>
        <w:t xml:space="preserve"> </w:t>
      </w:r>
      <w:r w:rsidR="00B743F7">
        <w:rPr>
          <w:szCs w:val="24"/>
        </w:rPr>
        <w:t xml:space="preserve">from the descriptor </w:t>
      </w:r>
      <w:r w:rsidRPr="00223205">
        <w:rPr>
          <w:szCs w:val="24"/>
        </w:rPr>
        <w:t xml:space="preserve">of “approved by the Therapeutic Goods Administration” as legislatively a product </w:t>
      </w:r>
      <w:r w:rsidR="00786A30" w:rsidRPr="00223205">
        <w:rPr>
          <w:szCs w:val="24"/>
        </w:rPr>
        <w:t xml:space="preserve">cannot </w:t>
      </w:r>
      <w:r w:rsidRPr="00223205">
        <w:rPr>
          <w:szCs w:val="24"/>
        </w:rPr>
        <w:t>be used on a person if it is not TGA approved.</w:t>
      </w:r>
    </w:p>
    <w:p w14:paraId="0815342C" w14:textId="77777777" w:rsidR="008C31F5" w:rsidRPr="00223205" w:rsidRDefault="008C31F5" w:rsidP="008C31F5">
      <w:pPr>
        <w:autoSpaceDE w:val="0"/>
        <w:autoSpaceDN w:val="0"/>
        <w:adjustRightInd w:val="0"/>
        <w:rPr>
          <w:color w:val="000000"/>
          <w:szCs w:val="24"/>
        </w:rPr>
      </w:pPr>
    </w:p>
    <w:p w14:paraId="307F3C20" w14:textId="1086AE38" w:rsidR="008C31F5" w:rsidRPr="00223205" w:rsidRDefault="008C31F5" w:rsidP="008C31F5">
      <w:pPr>
        <w:autoSpaceDE w:val="0"/>
        <w:autoSpaceDN w:val="0"/>
        <w:adjustRightInd w:val="0"/>
        <w:rPr>
          <w:color w:val="000000"/>
          <w:szCs w:val="24"/>
        </w:rPr>
      </w:pPr>
      <w:r w:rsidRPr="00223205">
        <w:rPr>
          <w:color w:val="000000"/>
          <w:szCs w:val="24"/>
        </w:rPr>
        <w:t xml:space="preserve">At </w:t>
      </w:r>
      <w:r w:rsidR="00371040">
        <w:rPr>
          <w:color w:val="000000"/>
          <w:szCs w:val="24"/>
        </w:rPr>
        <w:t xml:space="preserve">the </w:t>
      </w:r>
      <w:r w:rsidRPr="00223205">
        <w:rPr>
          <w:color w:val="000000"/>
          <w:szCs w:val="24"/>
        </w:rPr>
        <w:t>MSAC 59</w:t>
      </w:r>
      <w:r w:rsidRPr="00223205">
        <w:rPr>
          <w:color w:val="000000"/>
          <w:szCs w:val="24"/>
          <w:vertAlign w:val="superscript"/>
        </w:rPr>
        <w:t>th</w:t>
      </w:r>
      <w:r w:rsidRPr="00223205">
        <w:rPr>
          <w:color w:val="000000"/>
          <w:szCs w:val="24"/>
        </w:rPr>
        <w:t xml:space="preserve"> meeting on 1 August 2013</w:t>
      </w:r>
      <w:r w:rsidR="00371040">
        <w:rPr>
          <w:color w:val="000000"/>
          <w:szCs w:val="24"/>
        </w:rPr>
        <w:t>,</w:t>
      </w:r>
      <w:r w:rsidRPr="00223205">
        <w:rPr>
          <w:color w:val="000000"/>
          <w:szCs w:val="24"/>
        </w:rPr>
        <w:t xml:space="preserve"> MSAC recommended </w:t>
      </w:r>
      <w:r w:rsidR="00371040">
        <w:rPr>
          <w:color w:val="000000"/>
          <w:szCs w:val="24"/>
        </w:rPr>
        <w:t>for</w:t>
      </w:r>
      <w:r w:rsidR="00371040" w:rsidRPr="00223205">
        <w:rPr>
          <w:color w:val="000000"/>
          <w:szCs w:val="24"/>
        </w:rPr>
        <w:t xml:space="preserve"> </w:t>
      </w:r>
      <w:r w:rsidRPr="00223205">
        <w:rPr>
          <w:color w:val="000000"/>
          <w:szCs w:val="24"/>
        </w:rPr>
        <w:t xml:space="preserve">Application 1346 (amendments to MBS item 11820): </w:t>
      </w:r>
    </w:p>
    <w:p w14:paraId="1C325DAF" w14:textId="77777777" w:rsidR="008C31F5" w:rsidRPr="00223205" w:rsidRDefault="008C31F5" w:rsidP="000D48AB">
      <w:pPr>
        <w:pStyle w:val="ListParagraph"/>
        <w:numPr>
          <w:ilvl w:val="0"/>
          <w:numId w:val="18"/>
        </w:numPr>
        <w:autoSpaceDE w:val="0"/>
        <w:autoSpaceDN w:val="0"/>
        <w:adjustRightInd w:val="0"/>
        <w:ind w:left="567"/>
        <w:rPr>
          <w:color w:val="000000"/>
        </w:rPr>
      </w:pPr>
      <w:r w:rsidRPr="00223205">
        <w:rPr>
          <w:color w:val="000000"/>
        </w:rPr>
        <w:t xml:space="preserve">removal of: </w:t>
      </w:r>
    </w:p>
    <w:p w14:paraId="5340D60B" w14:textId="77777777" w:rsidR="008C31F5" w:rsidRPr="00223205" w:rsidRDefault="008C31F5" w:rsidP="000D48AB">
      <w:pPr>
        <w:pStyle w:val="ListParagraph"/>
        <w:numPr>
          <w:ilvl w:val="1"/>
          <w:numId w:val="18"/>
        </w:numPr>
        <w:autoSpaceDE w:val="0"/>
        <w:autoSpaceDN w:val="0"/>
        <w:adjustRightInd w:val="0"/>
        <w:ind w:left="1287"/>
        <w:rPr>
          <w:color w:val="000000"/>
        </w:rPr>
      </w:pPr>
      <w:r w:rsidRPr="00223205">
        <w:rPr>
          <w:color w:val="000000"/>
        </w:rPr>
        <w:t xml:space="preserve">age restriction; </w:t>
      </w:r>
    </w:p>
    <w:p w14:paraId="79604B2B" w14:textId="77777777" w:rsidR="008C31F5" w:rsidRPr="00223205" w:rsidRDefault="008C31F5" w:rsidP="000D48AB">
      <w:pPr>
        <w:pStyle w:val="ListParagraph"/>
        <w:numPr>
          <w:ilvl w:val="1"/>
          <w:numId w:val="18"/>
        </w:numPr>
        <w:autoSpaceDE w:val="0"/>
        <w:autoSpaceDN w:val="0"/>
        <w:adjustRightInd w:val="0"/>
        <w:ind w:left="1287"/>
        <w:rPr>
          <w:color w:val="000000"/>
        </w:rPr>
      </w:pPr>
      <w:r w:rsidRPr="00223205">
        <w:rPr>
          <w:color w:val="000000"/>
        </w:rPr>
        <w:t>the services is not associated with double balloon; and</w:t>
      </w:r>
    </w:p>
    <w:p w14:paraId="7E30B564" w14:textId="77777777" w:rsidR="008C31F5" w:rsidRPr="00223205" w:rsidRDefault="008C31F5" w:rsidP="000D48AB">
      <w:pPr>
        <w:pStyle w:val="ListParagraph"/>
        <w:numPr>
          <w:ilvl w:val="1"/>
          <w:numId w:val="18"/>
        </w:numPr>
        <w:ind w:left="1287"/>
        <w:rPr>
          <w:color w:val="000000"/>
        </w:rPr>
      </w:pPr>
      <w:r w:rsidRPr="00223205">
        <w:rPr>
          <w:color w:val="000000"/>
        </w:rPr>
        <w:t>the time restriction for the service - that requires the CE procedure to be performed within six months of the upper gastrointestinal endoscopy and the colonoscopy which did not identify the cause of the gastrointestinal bleeding.</w:t>
      </w:r>
    </w:p>
    <w:p w14:paraId="2DABB870" w14:textId="77777777" w:rsidR="008C31F5" w:rsidRPr="00223205" w:rsidRDefault="008C31F5" w:rsidP="000D48AB">
      <w:pPr>
        <w:pStyle w:val="ListParagraph"/>
        <w:numPr>
          <w:ilvl w:val="0"/>
          <w:numId w:val="18"/>
        </w:numPr>
        <w:autoSpaceDE w:val="0"/>
        <w:autoSpaceDN w:val="0"/>
        <w:adjustRightInd w:val="0"/>
        <w:ind w:left="567"/>
        <w:rPr>
          <w:color w:val="000000"/>
        </w:rPr>
      </w:pPr>
      <w:r w:rsidRPr="00223205">
        <w:rPr>
          <w:color w:val="000000"/>
        </w:rPr>
        <w:t>inclusion of:</w:t>
      </w:r>
    </w:p>
    <w:p w14:paraId="2FCF64F3" w14:textId="5F979CB5" w:rsidR="008C31F5" w:rsidRPr="00223205" w:rsidRDefault="008C31F5" w:rsidP="000D48AB">
      <w:pPr>
        <w:pStyle w:val="ListParagraph"/>
        <w:numPr>
          <w:ilvl w:val="1"/>
          <w:numId w:val="18"/>
        </w:numPr>
        <w:autoSpaceDE w:val="0"/>
        <w:autoSpaceDN w:val="0"/>
        <w:adjustRightInd w:val="0"/>
        <w:ind w:left="1287"/>
        <w:rPr>
          <w:color w:val="000000"/>
        </w:rPr>
      </w:pPr>
      <w:r w:rsidRPr="00223205">
        <w:rPr>
          <w:color w:val="000000"/>
        </w:rPr>
        <w:t>associated endoscopy procedure if required for placement after (including administration of the capsule)</w:t>
      </w:r>
      <w:r w:rsidR="0090630D" w:rsidRPr="00223205">
        <w:rPr>
          <w:color w:val="000000"/>
        </w:rPr>
        <w:t>.</w:t>
      </w:r>
    </w:p>
    <w:p w14:paraId="426083F6" w14:textId="77777777" w:rsidR="0090630D" w:rsidRPr="00223205" w:rsidRDefault="0090630D" w:rsidP="004403A8">
      <w:pPr>
        <w:pStyle w:val="ListParagraph"/>
        <w:numPr>
          <w:ilvl w:val="0"/>
          <w:numId w:val="18"/>
        </w:numPr>
        <w:ind w:left="567" w:hanging="283"/>
        <w:rPr>
          <w:szCs w:val="24"/>
        </w:rPr>
      </w:pPr>
      <w:r w:rsidRPr="00223205">
        <w:rPr>
          <w:szCs w:val="24"/>
        </w:rPr>
        <w:t>MSAC also noted that since CE was first listed on the MBS, the unit cost of the capsule has dropped and therefore the price of the capsule which is included in the fee should be reviewed. This item should also be removed from standard indexation of MBS items.</w:t>
      </w:r>
    </w:p>
    <w:p w14:paraId="6F0E4C3D" w14:textId="77777777" w:rsidR="004403A8" w:rsidRDefault="004403A8" w:rsidP="004403A8">
      <w:pPr>
        <w:tabs>
          <w:tab w:val="left" w:pos="720"/>
          <w:tab w:val="left" w:pos="1140"/>
        </w:tabs>
        <w:rPr>
          <w:szCs w:val="24"/>
        </w:rPr>
      </w:pPr>
    </w:p>
    <w:p w14:paraId="2886E3F9" w14:textId="2FDA8657" w:rsidR="00972DBC" w:rsidRPr="00223205" w:rsidRDefault="00972DBC" w:rsidP="004403A8">
      <w:pPr>
        <w:tabs>
          <w:tab w:val="left" w:pos="720"/>
          <w:tab w:val="left" w:pos="1140"/>
        </w:tabs>
        <w:rPr>
          <w:szCs w:val="24"/>
        </w:rPr>
      </w:pPr>
      <w:r>
        <w:rPr>
          <w:szCs w:val="24"/>
        </w:rPr>
        <w:t xml:space="preserve">The </w:t>
      </w:r>
      <w:r w:rsidR="004403A8">
        <w:rPr>
          <w:szCs w:val="24"/>
        </w:rPr>
        <w:t>Department suggested that the</w:t>
      </w:r>
      <w:r w:rsidR="008D02AC">
        <w:rPr>
          <w:szCs w:val="24"/>
        </w:rPr>
        <w:t>se</w:t>
      </w:r>
      <w:r w:rsidR="004403A8">
        <w:rPr>
          <w:szCs w:val="24"/>
        </w:rPr>
        <w:t xml:space="preserve"> proposed </w:t>
      </w:r>
      <w:r w:rsidR="008D02AC">
        <w:rPr>
          <w:szCs w:val="24"/>
        </w:rPr>
        <w:t xml:space="preserve">descriptor changes for </w:t>
      </w:r>
      <w:r w:rsidR="004403A8">
        <w:rPr>
          <w:szCs w:val="24"/>
        </w:rPr>
        <w:t xml:space="preserve">MBS item </w:t>
      </w:r>
      <w:r w:rsidR="008D02AC">
        <w:rPr>
          <w:szCs w:val="24"/>
        </w:rPr>
        <w:t xml:space="preserve">11820 </w:t>
      </w:r>
      <w:r>
        <w:rPr>
          <w:szCs w:val="24"/>
        </w:rPr>
        <w:t>should also apply to</w:t>
      </w:r>
      <w:r w:rsidR="00452C78">
        <w:rPr>
          <w:szCs w:val="24"/>
        </w:rPr>
        <w:t xml:space="preserve"> the descriptor in</w:t>
      </w:r>
      <w:r>
        <w:rPr>
          <w:szCs w:val="24"/>
        </w:rPr>
        <w:t xml:space="preserve"> this application.</w:t>
      </w:r>
    </w:p>
    <w:p w14:paraId="48ABA22B" w14:textId="77777777" w:rsidR="008C31F5" w:rsidRDefault="008C31F5" w:rsidP="00C75E58">
      <w:pPr>
        <w:tabs>
          <w:tab w:val="left" w:pos="720"/>
          <w:tab w:val="left" w:pos="1140"/>
        </w:tabs>
        <w:rPr>
          <w:rFonts w:ascii="Arial" w:hAnsi="Arial" w:cs="Arial"/>
          <w:szCs w:val="24"/>
        </w:rPr>
      </w:pPr>
    </w:p>
    <w:p w14:paraId="7B79211C" w14:textId="73AFA2AC" w:rsidR="008C31F5" w:rsidRPr="009266D5" w:rsidRDefault="008C31F5" w:rsidP="00C75E58">
      <w:pPr>
        <w:rPr>
          <w:color w:val="000000"/>
          <w:szCs w:val="24"/>
          <w:u w:val="single"/>
        </w:rPr>
      </w:pPr>
      <w:r w:rsidRPr="009266D5">
        <w:rPr>
          <w:color w:val="000000"/>
          <w:szCs w:val="24"/>
          <w:u w:val="single"/>
        </w:rPr>
        <w:t>C</w:t>
      </w:r>
      <w:r w:rsidR="005E7CDD">
        <w:rPr>
          <w:color w:val="000000"/>
          <w:szCs w:val="24"/>
          <w:u w:val="single"/>
        </w:rPr>
        <w:t>apsule c</w:t>
      </w:r>
      <w:r w:rsidRPr="009266D5">
        <w:rPr>
          <w:color w:val="000000"/>
          <w:szCs w:val="24"/>
          <w:u w:val="single"/>
        </w:rPr>
        <w:t>ost</w:t>
      </w:r>
    </w:p>
    <w:p w14:paraId="17586C70" w14:textId="1FA87D41" w:rsidR="008C31F5" w:rsidRPr="00223205" w:rsidRDefault="009266D5" w:rsidP="00C75E58">
      <w:pPr>
        <w:rPr>
          <w:b/>
          <w:szCs w:val="24"/>
        </w:rPr>
      </w:pPr>
      <w:r>
        <w:rPr>
          <w:szCs w:val="24"/>
        </w:rPr>
        <w:t>Concerns were expressed regarding the cost of the capsule, particularly as a</w:t>
      </w:r>
      <w:r w:rsidR="008C31F5" w:rsidRPr="00223205">
        <w:rPr>
          <w:szCs w:val="24"/>
        </w:rPr>
        <w:t>n article from 17</w:t>
      </w:r>
      <w:r>
        <w:rPr>
          <w:szCs w:val="24"/>
        </w:rPr>
        <w:t> </w:t>
      </w:r>
      <w:r w:rsidR="008C31F5" w:rsidRPr="00223205">
        <w:rPr>
          <w:szCs w:val="24"/>
        </w:rPr>
        <w:t xml:space="preserve">June 2013 from the Israeli Foreign Trade Administration stated that Given Imaging, Israeli Manufacturer, seeking FDA Approval for PillCam Colon capsule will sell for approximately </w:t>
      </w:r>
      <w:r w:rsidR="008C31F5" w:rsidRPr="00223205">
        <w:rPr>
          <w:i/>
          <w:szCs w:val="24"/>
        </w:rPr>
        <w:t>US $500</w:t>
      </w:r>
      <w:r w:rsidR="008C31F5" w:rsidRPr="00223205">
        <w:rPr>
          <w:szCs w:val="24"/>
        </w:rPr>
        <w:t>, similar to the price of a PillCam SB capsule.</w:t>
      </w:r>
    </w:p>
    <w:p w14:paraId="469349F6" w14:textId="77777777" w:rsidR="00C75E58" w:rsidRPr="002F5BBC" w:rsidRDefault="00C75E58" w:rsidP="002F5BBC"/>
    <w:p w14:paraId="231ACC38" w14:textId="2D1C2973" w:rsidR="00817DA1" w:rsidRDefault="009266D5" w:rsidP="002F5BBC">
      <w:pPr>
        <w:rPr>
          <w:b/>
          <w:i/>
          <w:lang w:val="en-US"/>
        </w:rPr>
      </w:pPr>
      <w:r>
        <w:rPr>
          <w:lang w:val="en-US"/>
        </w:rPr>
        <w:t xml:space="preserve">Similar to MBS </w:t>
      </w:r>
      <w:r w:rsidR="008C31F5" w:rsidRPr="00223205">
        <w:rPr>
          <w:lang w:val="en-US"/>
        </w:rPr>
        <w:t>Item 11820</w:t>
      </w:r>
      <w:r>
        <w:rPr>
          <w:lang w:val="en-US"/>
        </w:rPr>
        <w:t>, the proposed listing for CE to evaluate suspected small bowel Crohn disease would be</w:t>
      </w:r>
      <w:r w:rsidR="008C31F5" w:rsidRPr="00223205">
        <w:rPr>
          <w:lang w:val="en-US"/>
        </w:rPr>
        <w:t xml:space="preserve"> one of very few items in the MBS which include</w:t>
      </w:r>
      <w:r w:rsidR="00C55CF3">
        <w:rPr>
          <w:lang w:val="en-US"/>
        </w:rPr>
        <w:t>d the</w:t>
      </w:r>
      <w:r w:rsidR="008C31F5" w:rsidRPr="00223205">
        <w:rPr>
          <w:lang w:val="en-US"/>
        </w:rPr>
        <w:t xml:space="preserve"> cost of a device and capital costs. Unlike many devices, the device does not meet the eligibility criteria for listing as a prosthesis, meaning its cost is not required to be met by private health insurance. </w:t>
      </w:r>
    </w:p>
    <w:p w14:paraId="61B8AE31" w14:textId="77777777" w:rsidR="00C75E58" w:rsidRPr="002F5BBC" w:rsidRDefault="00C75E58" w:rsidP="002F5BBC"/>
    <w:p w14:paraId="55118776" w14:textId="2C46EB83" w:rsidR="00AF0F0E" w:rsidRDefault="008C31F5" w:rsidP="002F5BBC">
      <w:pPr>
        <w:rPr>
          <w:b/>
          <w:i/>
          <w:lang w:val="en-US"/>
        </w:rPr>
      </w:pPr>
      <w:r w:rsidRPr="00223205">
        <w:rPr>
          <w:lang w:val="en-US"/>
        </w:rPr>
        <w:t>Incorporating the cost into the Medicare benefit enables some or all of the cost of the device to be covered. Th</w:t>
      </w:r>
      <w:r w:rsidR="00C55CF3">
        <w:rPr>
          <w:lang w:val="en-US"/>
        </w:rPr>
        <w:t>erefore,</w:t>
      </w:r>
      <w:r w:rsidRPr="00223205">
        <w:rPr>
          <w:lang w:val="en-US"/>
        </w:rPr>
        <w:t xml:space="preserve"> a higher amount for this service</w:t>
      </w:r>
      <w:r w:rsidR="00C55CF3">
        <w:rPr>
          <w:lang w:val="en-US"/>
        </w:rPr>
        <w:t xml:space="preserve"> is paid</w:t>
      </w:r>
      <w:r w:rsidRPr="00223205">
        <w:rPr>
          <w:lang w:val="en-US"/>
        </w:rPr>
        <w:t xml:space="preserve"> than would be the case if the item descriptor only covered the professional service.</w:t>
      </w:r>
    </w:p>
    <w:p w14:paraId="7FE65E95" w14:textId="77777777" w:rsidR="006E18AD" w:rsidRDefault="006E18AD" w:rsidP="00C75E58">
      <w:pPr>
        <w:rPr>
          <w:lang w:val="en-US"/>
        </w:rPr>
      </w:pPr>
    </w:p>
    <w:p w14:paraId="016D719F" w14:textId="3330C003" w:rsidR="0018228D" w:rsidRDefault="0018228D" w:rsidP="00C75E58">
      <w:pPr>
        <w:rPr>
          <w:lang w:val="en-US"/>
        </w:rPr>
      </w:pPr>
      <w:r w:rsidRPr="002F5BBC">
        <w:rPr>
          <w:rStyle w:val="Heading1Char"/>
        </w:rPr>
        <w:t>14.</w:t>
      </w:r>
      <w:r w:rsidRPr="002F5BBC">
        <w:rPr>
          <w:rStyle w:val="Heading1Char"/>
        </w:rPr>
        <w:tab/>
        <w:t xml:space="preserve">Key issues for MSAC from ESC </w:t>
      </w:r>
      <w:r w:rsidRPr="002F5BBC">
        <w:rPr>
          <w:rStyle w:val="Heading1Char"/>
        </w:rPr>
        <w:br/>
      </w:r>
      <w:r w:rsidR="00FA0F70" w:rsidRPr="00FA0F70">
        <w:rPr>
          <w:lang w:val="en-US"/>
        </w:rPr>
        <w:t xml:space="preserve">ESC considered that the ICER of $23,672/QALY could not be relied upon, as the structure of </w:t>
      </w:r>
      <w:r w:rsidR="00FA0F70" w:rsidRPr="00FA0F70">
        <w:rPr>
          <w:lang w:val="en-US"/>
        </w:rPr>
        <w:lastRenderedPageBreak/>
        <w:t>the model did not compare clinically plausible scenarios and the assumptions used in the model tend to favour CE.</w:t>
      </w:r>
    </w:p>
    <w:p w14:paraId="18731CAB" w14:textId="77777777" w:rsidR="0018228D" w:rsidRPr="006E18AD" w:rsidRDefault="0018228D" w:rsidP="00C75E58">
      <w:pPr>
        <w:rPr>
          <w:lang w:val="en-US"/>
        </w:rPr>
      </w:pPr>
    </w:p>
    <w:p w14:paraId="4B2A4D5C" w14:textId="61EDD8C0" w:rsidR="00474814" w:rsidRPr="00474814" w:rsidRDefault="006E18AD" w:rsidP="00C75E58">
      <w:pPr>
        <w:pStyle w:val="Heading1"/>
        <w:spacing w:before="0"/>
        <w:ind w:left="709" w:hanging="709"/>
      </w:pPr>
      <w:r>
        <w:t>1</w:t>
      </w:r>
      <w:r w:rsidR="0018228D">
        <w:t>5</w:t>
      </w:r>
      <w:r w:rsidR="00474814" w:rsidRPr="00474814">
        <w:t>.</w:t>
      </w:r>
      <w:r w:rsidR="00474814" w:rsidRPr="00474814">
        <w:tab/>
        <w:t xml:space="preserve">Summary of consideration and rationale for MSAC’s advice </w:t>
      </w:r>
    </w:p>
    <w:p w14:paraId="001355BF" w14:textId="76ED8CB7" w:rsidR="006D7A1E" w:rsidRDefault="006D7A1E" w:rsidP="00C75E58">
      <w:r>
        <w:t>The July 2011 MSAC</w:t>
      </w:r>
      <w:r w:rsidRPr="00572617">
        <w:t xml:space="preserve"> </w:t>
      </w:r>
      <w:r>
        <w:t xml:space="preserve">meeting </w:t>
      </w:r>
      <w:r w:rsidRPr="00572617">
        <w:t xml:space="preserve">did not support public funding of capsule endoscopy </w:t>
      </w:r>
      <w:r>
        <w:t xml:space="preserve">(CE) </w:t>
      </w:r>
      <w:r w:rsidRPr="00572617">
        <w:t>to evaluate suspected small bowel Crohn disease</w:t>
      </w:r>
      <w:r>
        <w:t xml:space="preserve"> (CD) (application 1146)</w:t>
      </w:r>
      <w:r w:rsidRPr="00572617">
        <w:t xml:space="preserve"> in patients who have had some previous tes</w:t>
      </w:r>
      <w:r>
        <w:t xml:space="preserve">ting which remains inconclusive. That decision was based on the applicant’s failure to demonstrate superior comparative diagnostic accuracy or improved health outcomes and acceptable </w:t>
      </w:r>
      <w:r w:rsidRPr="00572617">
        <w:t>cost-effectiveness</w:t>
      </w:r>
      <w:r>
        <w:t xml:space="preserve">, as well as the potential for wider </w:t>
      </w:r>
      <w:r w:rsidRPr="006071C5">
        <w:t xml:space="preserve">use of </w:t>
      </w:r>
      <w:r>
        <w:t>CE</w:t>
      </w:r>
      <w:r w:rsidRPr="006071C5">
        <w:t xml:space="preserve"> to </w:t>
      </w:r>
      <w:r>
        <w:t xml:space="preserve">diagnose </w:t>
      </w:r>
      <w:r w:rsidRPr="006071C5">
        <w:t>ot</w:t>
      </w:r>
      <w:r>
        <w:t>her suspected gastrointestinal conditions</w:t>
      </w:r>
      <w:r w:rsidRPr="00572617">
        <w:t>.</w:t>
      </w:r>
      <w:r>
        <w:t xml:space="preserve"> The applicant resubmitted the application for CE identifying a residual unmet clinical need for a subgroup of patients (5%) with suspected CD, who are defined as having underlying evidence of inflammation, but no definite diagnosis despite prior investigations, firstly </w:t>
      </w:r>
      <w:r w:rsidR="0029315B">
        <w:t xml:space="preserve">with </w:t>
      </w:r>
      <w:r>
        <w:t>colonoscopy with attempted ileoscopy, and secondly with radiographic imaging such as magnetic resonance enterography (MRE), computerised tomography enterography (CTE), or small bowel follow through (SBFT).</w:t>
      </w:r>
      <w:r w:rsidRPr="00E153BD">
        <w:rPr>
          <w:szCs w:val="24"/>
        </w:rPr>
        <w:t xml:space="preserve"> MSAC noted that the target population </w:t>
      </w:r>
      <w:r>
        <w:rPr>
          <w:szCs w:val="24"/>
        </w:rPr>
        <w:t>could be more rigorously defined</w:t>
      </w:r>
      <w:r w:rsidRPr="00E153BD">
        <w:rPr>
          <w:szCs w:val="24"/>
        </w:rPr>
        <w:t xml:space="preserve">, </w:t>
      </w:r>
      <w:r>
        <w:rPr>
          <w:szCs w:val="24"/>
        </w:rPr>
        <w:t xml:space="preserve">for example by specifying thresholds for the </w:t>
      </w:r>
      <w:r w:rsidRPr="00E153BD">
        <w:rPr>
          <w:szCs w:val="24"/>
        </w:rPr>
        <w:t>systemic inflammation markers</w:t>
      </w:r>
      <w:r>
        <w:rPr>
          <w:szCs w:val="24"/>
        </w:rPr>
        <w:t xml:space="preserve"> of elevated erythrocyte sedimentation rate and C-reactive protein</w:t>
      </w:r>
      <w:r w:rsidRPr="00E153BD">
        <w:rPr>
          <w:szCs w:val="24"/>
        </w:rPr>
        <w:t>.</w:t>
      </w:r>
    </w:p>
    <w:p w14:paraId="00CD3D88" w14:textId="77777777" w:rsidR="006D7A1E" w:rsidRDefault="006D7A1E" w:rsidP="006D7A1E"/>
    <w:p w14:paraId="5CBE4646" w14:textId="2D12CDC8" w:rsidR="006D7A1E" w:rsidRPr="00E153BD" w:rsidRDefault="006D7A1E" w:rsidP="006D7A1E">
      <w:pPr>
        <w:rPr>
          <w:szCs w:val="24"/>
        </w:rPr>
      </w:pPr>
      <w:r>
        <w:rPr>
          <w:szCs w:val="24"/>
        </w:rPr>
        <w:t xml:space="preserve">MSAC agreed with the resubmission that, in the absence of CE after failure to make a definite diagnosis of CD after endoscopy and radiographic imaging, the appropriate </w:t>
      </w:r>
      <w:r w:rsidRPr="00E153BD">
        <w:rPr>
          <w:szCs w:val="24"/>
        </w:rPr>
        <w:t xml:space="preserve">comparator is </w:t>
      </w:r>
      <w:r>
        <w:rPr>
          <w:szCs w:val="24"/>
        </w:rPr>
        <w:t>empiric CD therapy (immunosuppressants such as azathioprine, 6-mercaptopurine or methotrexate and tapering doses of corticosteroids).</w:t>
      </w:r>
      <w:r w:rsidRPr="00E153BD">
        <w:rPr>
          <w:szCs w:val="24"/>
        </w:rPr>
        <w:t xml:space="preserve"> </w:t>
      </w:r>
      <w:r>
        <w:rPr>
          <w:szCs w:val="24"/>
        </w:rPr>
        <w:t xml:space="preserve">However, </w:t>
      </w:r>
      <w:r w:rsidRPr="00E153BD">
        <w:rPr>
          <w:szCs w:val="24"/>
        </w:rPr>
        <w:t>MSAC noted that</w:t>
      </w:r>
      <w:r>
        <w:rPr>
          <w:szCs w:val="24"/>
        </w:rPr>
        <w:t>,</w:t>
      </w:r>
      <w:r w:rsidRPr="00E153BD">
        <w:rPr>
          <w:szCs w:val="24"/>
        </w:rPr>
        <w:t xml:space="preserve"> in practice</w:t>
      </w:r>
      <w:r>
        <w:rPr>
          <w:szCs w:val="24"/>
        </w:rPr>
        <w:t>,</w:t>
      </w:r>
      <w:r w:rsidRPr="00E153BD">
        <w:rPr>
          <w:szCs w:val="24"/>
        </w:rPr>
        <w:t xml:space="preserve"> </w:t>
      </w:r>
      <w:r>
        <w:rPr>
          <w:szCs w:val="24"/>
        </w:rPr>
        <w:t xml:space="preserve">some </w:t>
      </w:r>
      <w:r w:rsidRPr="00E153BD">
        <w:rPr>
          <w:szCs w:val="24"/>
        </w:rPr>
        <w:t xml:space="preserve">patients may be observed and not treated rather </w:t>
      </w:r>
      <w:r>
        <w:rPr>
          <w:szCs w:val="24"/>
        </w:rPr>
        <w:t>than</w:t>
      </w:r>
      <w:r w:rsidRPr="00E153BD">
        <w:rPr>
          <w:szCs w:val="24"/>
        </w:rPr>
        <w:t xml:space="preserve"> treated empirically</w:t>
      </w:r>
      <w:r>
        <w:rPr>
          <w:szCs w:val="24"/>
        </w:rPr>
        <w:t>, especially those with milder symptoms</w:t>
      </w:r>
      <w:r w:rsidRPr="00E153BD">
        <w:rPr>
          <w:szCs w:val="24"/>
        </w:rPr>
        <w:t>.</w:t>
      </w:r>
      <w:r>
        <w:rPr>
          <w:szCs w:val="24"/>
        </w:rPr>
        <w:t xml:space="preserve"> </w:t>
      </w:r>
      <w:r w:rsidRPr="00E153BD">
        <w:rPr>
          <w:szCs w:val="24"/>
        </w:rPr>
        <w:t xml:space="preserve">At the beginning of </w:t>
      </w:r>
      <w:r>
        <w:rPr>
          <w:szCs w:val="24"/>
        </w:rPr>
        <w:t xml:space="preserve">CD </w:t>
      </w:r>
      <w:r w:rsidRPr="00E153BD">
        <w:rPr>
          <w:szCs w:val="24"/>
        </w:rPr>
        <w:t>treatment</w:t>
      </w:r>
      <w:r>
        <w:rPr>
          <w:szCs w:val="24"/>
        </w:rPr>
        <w:t>,</w:t>
      </w:r>
      <w:r w:rsidRPr="00E153BD">
        <w:rPr>
          <w:szCs w:val="24"/>
        </w:rPr>
        <w:t xml:space="preserve"> </w:t>
      </w:r>
      <w:r>
        <w:rPr>
          <w:szCs w:val="24"/>
        </w:rPr>
        <w:t xml:space="preserve">the resubmission assumed that </w:t>
      </w:r>
      <w:r w:rsidRPr="00E153BD">
        <w:rPr>
          <w:szCs w:val="24"/>
        </w:rPr>
        <w:t xml:space="preserve">patients </w:t>
      </w:r>
      <w:r>
        <w:rPr>
          <w:szCs w:val="24"/>
        </w:rPr>
        <w:t xml:space="preserve">would </w:t>
      </w:r>
      <w:r w:rsidRPr="00E153BD">
        <w:rPr>
          <w:szCs w:val="24"/>
        </w:rPr>
        <w:t>have a ‘working’ (but not a confirm</w:t>
      </w:r>
      <w:r>
        <w:rPr>
          <w:szCs w:val="24"/>
        </w:rPr>
        <w:t>ed</w:t>
      </w:r>
      <w:r w:rsidRPr="00E153BD">
        <w:rPr>
          <w:szCs w:val="24"/>
        </w:rPr>
        <w:t xml:space="preserve">) diagnosis of </w:t>
      </w:r>
      <w:r>
        <w:rPr>
          <w:szCs w:val="24"/>
        </w:rPr>
        <w:t>CD</w:t>
      </w:r>
      <w:r w:rsidRPr="00E153BD">
        <w:rPr>
          <w:szCs w:val="24"/>
        </w:rPr>
        <w:t xml:space="preserve">. </w:t>
      </w:r>
      <w:r>
        <w:rPr>
          <w:szCs w:val="24"/>
        </w:rPr>
        <w:t xml:space="preserve">The resubmission </w:t>
      </w:r>
      <w:r w:rsidRPr="00E153BD">
        <w:rPr>
          <w:szCs w:val="24"/>
        </w:rPr>
        <w:t xml:space="preserve">also assumed that a subsequent clinical response to </w:t>
      </w:r>
      <w:r>
        <w:rPr>
          <w:szCs w:val="24"/>
        </w:rPr>
        <w:t xml:space="preserve">empiric CD </w:t>
      </w:r>
      <w:r w:rsidRPr="00E153BD">
        <w:rPr>
          <w:szCs w:val="24"/>
        </w:rPr>
        <w:t xml:space="preserve">treatment </w:t>
      </w:r>
      <w:r>
        <w:rPr>
          <w:szCs w:val="24"/>
        </w:rPr>
        <w:t xml:space="preserve">would </w:t>
      </w:r>
      <w:r w:rsidRPr="00E153BD">
        <w:rPr>
          <w:szCs w:val="24"/>
        </w:rPr>
        <w:t xml:space="preserve">confirm </w:t>
      </w:r>
      <w:r>
        <w:rPr>
          <w:szCs w:val="24"/>
        </w:rPr>
        <w:t xml:space="preserve">that </w:t>
      </w:r>
      <w:r w:rsidRPr="00E153BD">
        <w:rPr>
          <w:szCs w:val="24"/>
        </w:rPr>
        <w:t xml:space="preserve">the underlying diagnosis is </w:t>
      </w:r>
      <w:r>
        <w:rPr>
          <w:szCs w:val="24"/>
        </w:rPr>
        <w:t>CD.</w:t>
      </w:r>
    </w:p>
    <w:p w14:paraId="0A9AD7F3" w14:textId="77777777" w:rsidR="006D7A1E" w:rsidRPr="00E153BD" w:rsidRDefault="006D7A1E" w:rsidP="006D7A1E">
      <w:pPr>
        <w:rPr>
          <w:szCs w:val="24"/>
        </w:rPr>
      </w:pPr>
    </w:p>
    <w:p w14:paraId="715B2BCA" w14:textId="7E375582" w:rsidR="006D7A1E" w:rsidRPr="00E153BD" w:rsidRDefault="006D7A1E" w:rsidP="006D7A1E">
      <w:pPr>
        <w:rPr>
          <w:szCs w:val="24"/>
        </w:rPr>
      </w:pPr>
      <w:r w:rsidRPr="00E153BD">
        <w:rPr>
          <w:szCs w:val="24"/>
        </w:rPr>
        <w:t xml:space="preserve">The </w:t>
      </w:r>
      <w:r>
        <w:rPr>
          <w:szCs w:val="24"/>
        </w:rPr>
        <w:t xml:space="preserve">resubmission argued that the </w:t>
      </w:r>
      <w:r w:rsidRPr="00E153BD">
        <w:rPr>
          <w:szCs w:val="24"/>
        </w:rPr>
        <w:t xml:space="preserve">risk of capsule retention </w:t>
      </w:r>
      <w:r>
        <w:rPr>
          <w:szCs w:val="24"/>
        </w:rPr>
        <w:t xml:space="preserve">due to strictures </w:t>
      </w:r>
      <w:r w:rsidRPr="00E153BD">
        <w:rPr>
          <w:szCs w:val="24"/>
        </w:rPr>
        <w:t>was overstated in the previous assessment report</w:t>
      </w:r>
      <w:r>
        <w:rPr>
          <w:szCs w:val="24"/>
        </w:rPr>
        <w:t xml:space="preserve"> and </w:t>
      </w:r>
      <w:r w:rsidRPr="00E153BD">
        <w:rPr>
          <w:szCs w:val="24"/>
        </w:rPr>
        <w:t xml:space="preserve">identified </w:t>
      </w:r>
      <w:r>
        <w:rPr>
          <w:szCs w:val="24"/>
        </w:rPr>
        <w:t>six</w:t>
      </w:r>
      <w:r w:rsidRPr="00E153BD">
        <w:rPr>
          <w:szCs w:val="24"/>
        </w:rPr>
        <w:t xml:space="preserve"> studies that are applicable for the eligible population under consideration. Selby (2008)</w:t>
      </w:r>
      <w:r>
        <w:rPr>
          <w:szCs w:val="24"/>
        </w:rPr>
        <w:t>, which reported a retention rate of 0.8%,</w:t>
      </w:r>
      <w:r w:rsidRPr="00E153BD">
        <w:rPr>
          <w:szCs w:val="24"/>
        </w:rPr>
        <w:t xml:space="preserve"> was cited as the most applicable as it was generated in the Australian healthcare setting. </w:t>
      </w:r>
      <w:r>
        <w:rPr>
          <w:szCs w:val="24"/>
        </w:rPr>
        <w:t xml:space="preserve">MSAC agreed that the rate of capsule retention was likely to be less than the 15% the committee had emphasised previously, but </w:t>
      </w:r>
      <w:r w:rsidRPr="00CA4018">
        <w:rPr>
          <w:szCs w:val="24"/>
        </w:rPr>
        <w:t xml:space="preserve">the assumed CE retention rate of 1% </w:t>
      </w:r>
      <w:r>
        <w:rPr>
          <w:szCs w:val="24"/>
        </w:rPr>
        <w:t xml:space="preserve">in the model </w:t>
      </w:r>
      <w:r w:rsidRPr="00CA4018">
        <w:rPr>
          <w:szCs w:val="24"/>
        </w:rPr>
        <w:t xml:space="preserve">was at the low end of the range of estimates </w:t>
      </w:r>
      <w:r>
        <w:rPr>
          <w:szCs w:val="24"/>
        </w:rPr>
        <w:t>from across</w:t>
      </w:r>
      <w:r w:rsidRPr="00CA4018">
        <w:rPr>
          <w:szCs w:val="24"/>
        </w:rPr>
        <w:t xml:space="preserve"> </w:t>
      </w:r>
      <w:r>
        <w:rPr>
          <w:szCs w:val="24"/>
        </w:rPr>
        <w:t xml:space="preserve">all </w:t>
      </w:r>
      <w:r w:rsidRPr="00CA4018">
        <w:rPr>
          <w:szCs w:val="24"/>
        </w:rPr>
        <w:t>the studies provided</w:t>
      </w:r>
      <w:r>
        <w:rPr>
          <w:szCs w:val="24"/>
        </w:rPr>
        <w:t xml:space="preserve">. </w:t>
      </w:r>
      <w:r w:rsidRPr="00E153BD">
        <w:rPr>
          <w:szCs w:val="24"/>
        </w:rPr>
        <w:t>In patients who are suspected of having strictures, Pillcam</w:t>
      </w:r>
      <w:r w:rsidRPr="00E153BD">
        <w:rPr>
          <w:szCs w:val="24"/>
          <w:vertAlign w:val="superscript"/>
        </w:rPr>
        <w:t>®</w:t>
      </w:r>
      <w:r w:rsidRPr="00E153BD">
        <w:rPr>
          <w:szCs w:val="24"/>
        </w:rPr>
        <w:t xml:space="preserve"> SB comes with a dissolvable capsule (Agile™) to test the patency of the gastrointestinal tract before CE. However</w:t>
      </w:r>
      <w:r>
        <w:rPr>
          <w:szCs w:val="24"/>
        </w:rPr>
        <w:t>,</w:t>
      </w:r>
      <w:r w:rsidRPr="00E153BD">
        <w:rPr>
          <w:szCs w:val="24"/>
        </w:rPr>
        <w:t xml:space="preserve"> no studies were presented to confirm a reduced incidence of capsule retention when Agile™ is used. </w:t>
      </w:r>
      <w:r w:rsidRPr="00F32558">
        <w:rPr>
          <w:szCs w:val="24"/>
        </w:rPr>
        <w:t>On balance, MSAC concluded that CE is safer than empiric CD treatment for the proposed population without confirmed CD.</w:t>
      </w:r>
    </w:p>
    <w:p w14:paraId="51ABCC28" w14:textId="77777777" w:rsidR="006D7A1E" w:rsidRPr="00E153BD" w:rsidRDefault="006D7A1E" w:rsidP="006D7A1E">
      <w:pPr>
        <w:rPr>
          <w:szCs w:val="24"/>
        </w:rPr>
      </w:pPr>
    </w:p>
    <w:p w14:paraId="46C40A66" w14:textId="2BD864E6" w:rsidR="006D7A1E" w:rsidRPr="00E153BD" w:rsidRDefault="006D7A1E" w:rsidP="006D7A1E">
      <w:pPr>
        <w:rPr>
          <w:szCs w:val="24"/>
        </w:rPr>
      </w:pPr>
      <w:r w:rsidRPr="00E153BD">
        <w:rPr>
          <w:szCs w:val="24"/>
        </w:rPr>
        <w:t>Diagnostic accuracy in patients with prior negative</w:t>
      </w:r>
      <w:r>
        <w:rPr>
          <w:szCs w:val="24"/>
        </w:rPr>
        <w:t xml:space="preserve"> or </w:t>
      </w:r>
      <w:r w:rsidRPr="00E153BD">
        <w:rPr>
          <w:szCs w:val="24"/>
        </w:rPr>
        <w:t xml:space="preserve">equivocal tests </w:t>
      </w:r>
      <w:r>
        <w:rPr>
          <w:szCs w:val="24"/>
        </w:rPr>
        <w:t xml:space="preserve">for CD </w:t>
      </w:r>
      <w:r w:rsidRPr="00E153BD">
        <w:rPr>
          <w:szCs w:val="24"/>
        </w:rPr>
        <w:t>showed CE had better sensitivity than specificity. The pooled results from the three most relevant accuracy studies showed an overall sensitivity of 92% and specificity of 77%</w:t>
      </w:r>
      <w:r>
        <w:rPr>
          <w:szCs w:val="24"/>
        </w:rPr>
        <w:t xml:space="preserve"> using clinical follow-up at 6 months, 12 months or to a median of 21 months as the reference standard</w:t>
      </w:r>
      <w:r w:rsidRPr="00E153BD">
        <w:rPr>
          <w:szCs w:val="24"/>
        </w:rPr>
        <w:t>. The diagnostic yield was 29</w:t>
      </w:r>
      <w:r>
        <w:rPr>
          <w:szCs w:val="24"/>
        </w:rPr>
        <w:t>–</w:t>
      </w:r>
      <w:r w:rsidRPr="00E153BD">
        <w:rPr>
          <w:szCs w:val="24"/>
        </w:rPr>
        <w:t xml:space="preserve">54% (29% in Selby (2008)). MSAC questioned what happens to patients with negative </w:t>
      </w:r>
      <w:r>
        <w:rPr>
          <w:szCs w:val="24"/>
        </w:rPr>
        <w:t xml:space="preserve">CE </w:t>
      </w:r>
      <w:r w:rsidRPr="00E153BD">
        <w:rPr>
          <w:szCs w:val="24"/>
        </w:rPr>
        <w:t xml:space="preserve">findings when considering </w:t>
      </w:r>
      <w:r>
        <w:rPr>
          <w:szCs w:val="24"/>
        </w:rPr>
        <w:t xml:space="preserve">that only </w:t>
      </w:r>
      <w:r w:rsidRPr="00E153BD">
        <w:rPr>
          <w:szCs w:val="24"/>
        </w:rPr>
        <w:t>one low</w:t>
      </w:r>
      <w:r>
        <w:rPr>
          <w:szCs w:val="24"/>
        </w:rPr>
        <w:t>-</w:t>
      </w:r>
      <w:r w:rsidRPr="00E153BD">
        <w:rPr>
          <w:szCs w:val="24"/>
        </w:rPr>
        <w:t>quality study document</w:t>
      </w:r>
      <w:r>
        <w:rPr>
          <w:szCs w:val="24"/>
        </w:rPr>
        <w:t>ed</w:t>
      </w:r>
      <w:r w:rsidRPr="00E153BD">
        <w:rPr>
          <w:szCs w:val="24"/>
        </w:rPr>
        <w:t xml:space="preserve"> </w:t>
      </w:r>
      <w:r>
        <w:rPr>
          <w:szCs w:val="24"/>
        </w:rPr>
        <w:t xml:space="preserve">any </w:t>
      </w:r>
      <w:r w:rsidRPr="00E153BD">
        <w:rPr>
          <w:szCs w:val="24"/>
        </w:rPr>
        <w:t xml:space="preserve">change in </w:t>
      </w:r>
      <w:r>
        <w:rPr>
          <w:szCs w:val="24"/>
        </w:rPr>
        <w:t xml:space="preserve">clinical </w:t>
      </w:r>
      <w:r w:rsidRPr="00E153BD">
        <w:rPr>
          <w:szCs w:val="24"/>
        </w:rPr>
        <w:t>management</w:t>
      </w:r>
      <w:r>
        <w:rPr>
          <w:szCs w:val="24"/>
        </w:rPr>
        <w:t xml:space="preserve"> and so a linked evidence approach was required</w:t>
      </w:r>
      <w:r w:rsidRPr="00E153BD">
        <w:rPr>
          <w:szCs w:val="24"/>
        </w:rPr>
        <w:t>.</w:t>
      </w:r>
    </w:p>
    <w:p w14:paraId="69CFCC29" w14:textId="77777777" w:rsidR="006D7A1E" w:rsidRPr="00E153BD" w:rsidRDefault="006D7A1E" w:rsidP="006D7A1E">
      <w:pPr>
        <w:rPr>
          <w:szCs w:val="24"/>
        </w:rPr>
      </w:pPr>
    </w:p>
    <w:p w14:paraId="63D82A51" w14:textId="04F660AA" w:rsidR="006D7A1E" w:rsidRPr="00E153BD" w:rsidRDefault="006D7A1E" w:rsidP="006D7A1E">
      <w:pPr>
        <w:rPr>
          <w:szCs w:val="24"/>
        </w:rPr>
      </w:pPr>
      <w:r w:rsidRPr="00E153BD">
        <w:rPr>
          <w:szCs w:val="24"/>
        </w:rPr>
        <w:t xml:space="preserve">MSAC </w:t>
      </w:r>
      <w:r>
        <w:rPr>
          <w:szCs w:val="24"/>
        </w:rPr>
        <w:t xml:space="preserve">examined </w:t>
      </w:r>
      <w:r w:rsidRPr="00E153BD">
        <w:rPr>
          <w:szCs w:val="24"/>
        </w:rPr>
        <w:t xml:space="preserve">the clinical claim that </w:t>
      </w:r>
      <w:r>
        <w:rPr>
          <w:szCs w:val="24"/>
        </w:rPr>
        <w:t xml:space="preserve">a negative </w:t>
      </w:r>
      <w:r w:rsidRPr="00E153BD">
        <w:rPr>
          <w:szCs w:val="24"/>
        </w:rPr>
        <w:t xml:space="preserve">CE </w:t>
      </w:r>
      <w:r>
        <w:rPr>
          <w:szCs w:val="24"/>
        </w:rPr>
        <w:t xml:space="preserve">result </w:t>
      </w:r>
      <w:r w:rsidRPr="00E153BD">
        <w:rPr>
          <w:szCs w:val="24"/>
        </w:rPr>
        <w:t>w</w:t>
      </w:r>
      <w:r>
        <w:rPr>
          <w:szCs w:val="24"/>
        </w:rPr>
        <w:t>ould</w:t>
      </w:r>
      <w:r w:rsidRPr="00E153BD">
        <w:rPr>
          <w:szCs w:val="24"/>
        </w:rPr>
        <w:t xml:space="preserve"> </w:t>
      </w:r>
      <w:r>
        <w:rPr>
          <w:szCs w:val="24"/>
        </w:rPr>
        <w:t xml:space="preserve">confidently </w:t>
      </w:r>
      <w:r w:rsidRPr="00E153BD">
        <w:rPr>
          <w:szCs w:val="24"/>
        </w:rPr>
        <w:t>exclude CD in a subgroup of patients (</w:t>
      </w:r>
      <w:r>
        <w:rPr>
          <w:szCs w:val="24"/>
        </w:rPr>
        <w:t>and thus tho</w:t>
      </w:r>
      <w:r w:rsidRPr="00E153BD">
        <w:rPr>
          <w:szCs w:val="24"/>
        </w:rPr>
        <w:t xml:space="preserve">se patients </w:t>
      </w:r>
      <w:r>
        <w:rPr>
          <w:szCs w:val="24"/>
        </w:rPr>
        <w:t>would</w:t>
      </w:r>
      <w:r w:rsidRPr="00E153BD">
        <w:rPr>
          <w:szCs w:val="24"/>
        </w:rPr>
        <w:t xml:space="preserve"> then </w:t>
      </w:r>
      <w:r>
        <w:rPr>
          <w:szCs w:val="24"/>
        </w:rPr>
        <w:t xml:space="preserve">get appropriate non-CD </w:t>
      </w:r>
      <w:r>
        <w:rPr>
          <w:szCs w:val="24"/>
        </w:rPr>
        <w:lastRenderedPageBreak/>
        <w:t xml:space="preserve">treatment and </w:t>
      </w:r>
      <w:r w:rsidRPr="00E153BD">
        <w:rPr>
          <w:szCs w:val="24"/>
        </w:rPr>
        <w:t xml:space="preserve">avoid inappropriate </w:t>
      </w:r>
      <w:r>
        <w:rPr>
          <w:szCs w:val="24"/>
        </w:rPr>
        <w:t xml:space="preserve">CD </w:t>
      </w:r>
      <w:r w:rsidRPr="00E153BD">
        <w:rPr>
          <w:szCs w:val="24"/>
        </w:rPr>
        <w:t>treatment). According to the protocol finalised by PASC</w:t>
      </w:r>
      <w:r>
        <w:rPr>
          <w:szCs w:val="24"/>
        </w:rPr>
        <w:t>,</w:t>
      </w:r>
      <w:r w:rsidRPr="00E153BD">
        <w:rPr>
          <w:szCs w:val="24"/>
        </w:rPr>
        <w:t xml:space="preserve"> the negative predictive value (NPV)</w:t>
      </w:r>
      <w:r>
        <w:rPr>
          <w:szCs w:val="24"/>
        </w:rPr>
        <w:t xml:space="preserve"> </w:t>
      </w:r>
      <w:r w:rsidRPr="00E153BD">
        <w:rPr>
          <w:szCs w:val="24"/>
        </w:rPr>
        <w:t>(</w:t>
      </w:r>
      <w:r>
        <w:rPr>
          <w:szCs w:val="24"/>
        </w:rPr>
        <w:t xml:space="preserve">the </w:t>
      </w:r>
      <w:r w:rsidRPr="00E153BD">
        <w:rPr>
          <w:szCs w:val="24"/>
        </w:rPr>
        <w:t xml:space="preserve">probability of no disease if a person has a negative test result) of </w:t>
      </w:r>
      <w:r>
        <w:rPr>
          <w:szCs w:val="24"/>
        </w:rPr>
        <w:t xml:space="preserve">CE </w:t>
      </w:r>
      <w:r w:rsidRPr="00E153BD">
        <w:rPr>
          <w:szCs w:val="24"/>
        </w:rPr>
        <w:t xml:space="preserve">should be the key measure of diagnostic performance. In this small target population where the baseline prevalence </w:t>
      </w:r>
      <w:r>
        <w:rPr>
          <w:szCs w:val="24"/>
        </w:rPr>
        <w:t xml:space="preserve">tends to </w:t>
      </w:r>
      <w:r w:rsidRPr="00E153BD">
        <w:rPr>
          <w:szCs w:val="24"/>
        </w:rPr>
        <w:t>decrease, the NPV tends to increase. NPV cannot readily be transferred to different populations or easily pooled to produce</w:t>
      </w:r>
      <w:r>
        <w:rPr>
          <w:szCs w:val="24"/>
        </w:rPr>
        <w:t xml:space="preserve"> an overall </w:t>
      </w:r>
      <w:r w:rsidRPr="00E153BD">
        <w:rPr>
          <w:szCs w:val="24"/>
        </w:rPr>
        <w:t>estimate</w:t>
      </w:r>
      <w:r>
        <w:rPr>
          <w:szCs w:val="24"/>
        </w:rPr>
        <w:t>, but the estimates from the three studies presented ranged between 91% and 97%</w:t>
      </w:r>
      <w:r w:rsidRPr="00E153BD">
        <w:rPr>
          <w:szCs w:val="24"/>
        </w:rPr>
        <w:t>.</w:t>
      </w:r>
      <w:r>
        <w:rPr>
          <w:szCs w:val="24"/>
        </w:rPr>
        <w:t xml:space="preserve"> Overall, </w:t>
      </w:r>
      <w:r w:rsidRPr="00E153BD">
        <w:rPr>
          <w:szCs w:val="24"/>
        </w:rPr>
        <w:t xml:space="preserve">MSAC </w:t>
      </w:r>
      <w:r>
        <w:rPr>
          <w:szCs w:val="24"/>
        </w:rPr>
        <w:t xml:space="preserve">concluded </w:t>
      </w:r>
      <w:r w:rsidRPr="00E153BD">
        <w:rPr>
          <w:szCs w:val="24"/>
        </w:rPr>
        <w:t>that</w:t>
      </w:r>
      <w:r>
        <w:rPr>
          <w:szCs w:val="24"/>
        </w:rPr>
        <w:t>,</w:t>
      </w:r>
      <w:r w:rsidRPr="00E153BD">
        <w:rPr>
          <w:szCs w:val="24"/>
        </w:rPr>
        <w:t xml:space="preserve"> </w:t>
      </w:r>
      <w:r>
        <w:rPr>
          <w:szCs w:val="24"/>
        </w:rPr>
        <w:t>for</w:t>
      </w:r>
      <w:r w:rsidRPr="00E153BD">
        <w:rPr>
          <w:szCs w:val="24"/>
        </w:rPr>
        <w:t xml:space="preserve"> patients who have had multiple </w:t>
      </w:r>
      <w:r>
        <w:rPr>
          <w:szCs w:val="24"/>
        </w:rPr>
        <w:t>prior investigations,</w:t>
      </w:r>
      <w:r w:rsidRPr="00E153BD">
        <w:rPr>
          <w:szCs w:val="24"/>
        </w:rPr>
        <w:t xml:space="preserve"> </w:t>
      </w:r>
      <w:r>
        <w:rPr>
          <w:szCs w:val="24"/>
        </w:rPr>
        <w:t>a negative CE result would exclude the possibility of CD with a reasonable level of confidence</w:t>
      </w:r>
      <w:r w:rsidRPr="00E153BD">
        <w:rPr>
          <w:szCs w:val="24"/>
        </w:rPr>
        <w:t>.</w:t>
      </w:r>
    </w:p>
    <w:p w14:paraId="76DC5511" w14:textId="77777777" w:rsidR="006D7A1E" w:rsidRPr="00E153BD" w:rsidRDefault="006D7A1E" w:rsidP="006D7A1E">
      <w:pPr>
        <w:rPr>
          <w:szCs w:val="24"/>
        </w:rPr>
      </w:pPr>
    </w:p>
    <w:p w14:paraId="7DB85FBD" w14:textId="7AE71732" w:rsidR="006D7A1E" w:rsidRPr="00E153BD" w:rsidRDefault="006D7A1E" w:rsidP="006D7A1E">
      <w:pPr>
        <w:rPr>
          <w:szCs w:val="24"/>
        </w:rPr>
      </w:pPr>
      <w:r>
        <w:rPr>
          <w:szCs w:val="24"/>
        </w:rPr>
        <w:t xml:space="preserve">When considering </w:t>
      </w:r>
      <w:r w:rsidRPr="00E153BD">
        <w:rPr>
          <w:szCs w:val="24"/>
        </w:rPr>
        <w:t>the economic evaluation</w:t>
      </w:r>
      <w:r>
        <w:rPr>
          <w:szCs w:val="24"/>
        </w:rPr>
        <w:t>,</w:t>
      </w:r>
      <w:r w:rsidRPr="00E153BD">
        <w:rPr>
          <w:szCs w:val="24"/>
        </w:rPr>
        <w:t xml:space="preserve"> MSAC w</w:t>
      </w:r>
      <w:r>
        <w:rPr>
          <w:szCs w:val="24"/>
        </w:rPr>
        <w:t>as</w:t>
      </w:r>
      <w:r w:rsidRPr="00E153BD">
        <w:rPr>
          <w:szCs w:val="24"/>
        </w:rPr>
        <w:t xml:space="preserve"> </w:t>
      </w:r>
      <w:r>
        <w:rPr>
          <w:szCs w:val="24"/>
        </w:rPr>
        <w:t xml:space="preserve">primarily </w:t>
      </w:r>
      <w:r w:rsidRPr="00E153BD">
        <w:rPr>
          <w:szCs w:val="24"/>
        </w:rPr>
        <w:t>concerned about the arbitrary nature of the utility weights</w:t>
      </w:r>
      <w:r>
        <w:rPr>
          <w:szCs w:val="24"/>
        </w:rPr>
        <w:t xml:space="preserve"> for correctly diagnosed and treated disease (0.766) and for incorrectly diagnosed and treated disease (0.68)</w:t>
      </w:r>
      <w:r w:rsidRPr="00E153BD">
        <w:rPr>
          <w:szCs w:val="24"/>
        </w:rPr>
        <w:t>. T</w:t>
      </w:r>
      <w:r w:rsidRPr="00E153BD">
        <w:rPr>
          <w:szCs w:val="24"/>
          <w:lang w:val="en-US"/>
        </w:rPr>
        <w:t xml:space="preserve">he application’s utility estimates </w:t>
      </w:r>
      <w:r>
        <w:rPr>
          <w:szCs w:val="24"/>
          <w:lang w:val="en-US"/>
        </w:rPr>
        <w:t>were the same regardless of whether the disease was CD or irritable bowel syndrome (</w:t>
      </w:r>
      <w:r w:rsidRPr="00E153BD">
        <w:rPr>
          <w:szCs w:val="24"/>
          <w:lang w:val="en-US"/>
        </w:rPr>
        <w:t>IBS</w:t>
      </w:r>
      <w:r>
        <w:rPr>
          <w:szCs w:val="24"/>
          <w:lang w:val="en-US"/>
        </w:rPr>
        <w:t>),</w:t>
      </w:r>
      <w:r w:rsidRPr="00E153BD">
        <w:rPr>
          <w:szCs w:val="24"/>
          <w:lang w:val="en-US"/>
        </w:rPr>
        <w:t xml:space="preserve"> </w:t>
      </w:r>
      <w:r>
        <w:rPr>
          <w:szCs w:val="24"/>
          <w:lang w:val="en-US"/>
        </w:rPr>
        <w:t>the alternative diagnosis for these patients. The utilities</w:t>
      </w:r>
      <w:r w:rsidRPr="00E153BD">
        <w:rPr>
          <w:szCs w:val="24"/>
          <w:lang w:val="en-US"/>
        </w:rPr>
        <w:t xml:space="preserve"> were </w:t>
      </w:r>
      <w:r>
        <w:rPr>
          <w:szCs w:val="24"/>
          <w:lang w:val="en-US"/>
        </w:rPr>
        <w:t xml:space="preserve">also </w:t>
      </w:r>
      <w:r w:rsidRPr="00E153BD">
        <w:rPr>
          <w:szCs w:val="24"/>
          <w:lang w:val="en-US"/>
        </w:rPr>
        <w:t xml:space="preserve">inconsistent with those of Levesque </w:t>
      </w:r>
      <w:r w:rsidRPr="009248BE">
        <w:rPr>
          <w:i/>
          <w:szCs w:val="24"/>
          <w:lang w:val="en-US"/>
        </w:rPr>
        <w:t>et al.</w:t>
      </w:r>
      <w:r w:rsidRPr="00E153BD">
        <w:rPr>
          <w:szCs w:val="24"/>
          <w:lang w:val="en-US"/>
        </w:rPr>
        <w:t xml:space="preserve"> (2010), </w:t>
      </w:r>
      <w:r>
        <w:rPr>
          <w:szCs w:val="24"/>
          <w:lang w:val="en-US"/>
        </w:rPr>
        <w:t>in which</w:t>
      </w:r>
      <w:r w:rsidRPr="00E153BD">
        <w:rPr>
          <w:szCs w:val="24"/>
          <w:lang w:val="en-US"/>
        </w:rPr>
        <w:t xml:space="preserve"> the difference between </w:t>
      </w:r>
      <w:r>
        <w:rPr>
          <w:szCs w:val="24"/>
          <w:lang w:val="en-US"/>
        </w:rPr>
        <w:t xml:space="preserve">these </w:t>
      </w:r>
      <w:r w:rsidRPr="00E153BD">
        <w:rPr>
          <w:szCs w:val="24"/>
          <w:lang w:val="en-US"/>
        </w:rPr>
        <w:t xml:space="preserve">utility weights was </w:t>
      </w:r>
      <w:r>
        <w:rPr>
          <w:szCs w:val="24"/>
          <w:lang w:val="en-US"/>
        </w:rPr>
        <w:t>less</w:t>
      </w:r>
      <w:r w:rsidRPr="00E153BD">
        <w:rPr>
          <w:szCs w:val="24"/>
          <w:lang w:val="en-US"/>
        </w:rPr>
        <w:t xml:space="preserve"> (0.02). </w:t>
      </w:r>
      <w:r>
        <w:rPr>
          <w:szCs w:val="24"/>
          <w:lang w:val="en-US"/>
        </w:rPr>
        <w:t xml:space="preserve">Although </w:t>
      </w:r>
      <w:r w:rsidRPr="00E153BD">
        <w:rPr>
          <w:szCs w:val="24"/>
        </w:rPr>
        <w:t xml:space="preserve">Levesque </w:t>
      </w:r>
      <w:r w:rsidRPr="009248BE">
        <w:rPr>
          <w:i/>
          <w:szCs w:val="24"/>
        </w:rPr>
        <w:t>et al.</w:t>
      </w:r>
      <w:r w:rsidRPr="00E153BD">
        <w:rPr>
          <w:szCs w:val="24"/>
        </w:rPr>
        <w:t xml:space="preserve"> (2</w:t>
      </w:r>
      <w:r>
        <w:rPr>
          <w:szCs w:val="24"/>
        </w:rPr>
        <w:t>010) had been cited by PASC and ESC as a potentially informative economic evaluation conducted in the United States addressing similar questions, t</w:t>
      </w:r>
      <w:r w:rsidRPr="00E153BD">
        <w:rPr>
          <w:szCs w:val="24"/>
        </w:rPr>
        <w:t>he applicant</w:t>
      </w:r>
      <w:r>
        <w:rPr>
          <w:szCs w:val="24"/>
        </w:rPr>
        <w:t>’s Pre-MSAC Response</w:t>
      </w:r>
      <w:r w:rsidRPr="00E153BD">
        <w:rPr>
          <w:szCs w:val="24"/>
        </w:rPr>
        <w:t xml:space="preserve"> attempted to dismiss </w:t>
      </w:r>
      <w:r>
        <w:rPr>
          <w:szCs w:val="24"/>
        </w:rPr>
        <w:t xml:space="preserve">it, arguing that the study assessed </w:t>
      </w:r>
      <w:r w:rsidRPr="00E153BD">
        <w:rPr>
          <w:szCs w:val="24"/>
        </w:rPr>
        <w:t>patients with less severe symptoms</w:t>
      </w:r>
      <w:r>
        <w:rPr>
          <w:szCs w:val="24"/>
        </w:rPr>
        <w:t xml:space="preserve"> than the proposed target population.</w:t>
      </w:r>
      <w:r w:rsidRPr="00E153BD">
        <w:rPr>
          <w:szCs w:val="24"/>
        </w:rPr>
        <w:t xml:space="preserve"> </w:t>
      </w:r>
      <w:r>
        <w:rPr>
          <w:szCs w:val="24"/>
        </w:rPr>
        <w:t>H</w:t>
      </w:r>
      <w:r w:rsidRPr="00E153BD">
        <w:rPr>
          <w:szCs w:val="24"/>
        </w:rPr>
        <w:t>owever</w:t>
      </w:r>
      <w:r>
        <w:rPr>
          <w:szCs w:val="24"/>
        </w:rPr>
        <w:t>,</w:t>
      </w:r>
      <w:r w:rsidRPr="00E153BD">
        <w:rPr>
          <w:szCs w:val="24"/>
        </w:rPr>
        <w:t xml:space="preserve"> MSAC commented </w:t>
      </w:r>
      <w:r>
        <w:rPr>
          <w:szCs w:val="24"/>
        </w:rPr>
        <w:t xml:space="preserve">that the comparison examining the inclusion of CE in </w:t>
      </w:r>
      <w:r w:rsidRPr="00E153BD">
        <w:rPr>
          <w:szCs w:val="24"/>
        </w:rPr>
        <w:t xml:space="preserve">the Levesque </w:t>
      </w:r>
      <w:r w:rsidRPr="009248BE">
        <w:rPr>
          <w:i/>
          <w:szCs w:val="24"/>
        </w:rPr>
        <w:t>et al.</w:t>
      </w:r>
      <w:r w:rsidRPr="00E153BD">
        <w:rPr>
          <w:szCs w:val="24"/>
        </w:rPr>
        <w:t xml:space="preserve"> (2</w:t>
      </w:r>
      <w:r>
        <w:rPr>
          <w:szCs w:val="24"/>
        </w:rPr>
        <w:t xml:space="preserve">010) </w:t>
      </w:r>
      <w:r w:rsidRPr="00E153BD">
        <w:rPr>
          <w:szCs w:val="24"/>
        </w:rPr>
        <w:t xml:space="preserve">paper </w:t>
      </w:r>
      <w:r>
        <w:rPr>
          <w:szCs w:val="24"/>
        </w:rPr>
        <w:t>also related to its use as a third test in patients for whom a high suspicion of disease remains after two previous negative tests</w:t>
      </w:r>
      <w:r w:rsidRPr="00E153BD">
        <w:rPr>
          <w:szCs w:val="24"/>
        </w:rPr>
        <w:t>.</w:t>
      </w:r>
    </w:p>
    <w:p w14:paraId="253DCB86" w14:textId="77777777" w:rsidR="006D7A1E" w:rsidRPr="00E153BD" w:rsidRDefault="006D7A1E" w:rsidP="006D7A1E">
      <w:pPr>
        <w:rPr>
          <w:szCs w:val="24"/>
        </w:rPr>
      </w:pPr>
    </w:p>
    <w:p w14:paraId="4EB5A2E1" w14:textId="77777777" w:rsidR="006D7A1E" w:rsidRDefault="006D7A1E" w:rsidP="006D7A1E">
      <w:r>
        <w:t xml:space="preserve">MSAC noted that </w:t>
      </w:r>
      <w:r>
        <w:rPr>
          <w:szCs w:val="24"/>
        </w:rPr>
        <w:t>leaving all other aspects of the economic evaluation unchanged</w:t>
      </w:r>
      <w:r>
        <w:t xml:space="preserve"> and replacing the submission’s estimate of the utility difference between successful and unsuccessful treatment with the estimate from </w:t>
      </w:r>
      <w:r w:rsidRPr="00E153BD">
        <w:rPr>
          <w:szCs w:val="24"/>
        </w:rPr>
        <w:t xml:space="preserve">Levesque </w:t>
      </w:r>
      <w:r w:rsidRPr="009248BE">
        <w:rPr>
          <w:i/>
          <w:szCs w:val="24"/>
        </w:rPr>
        <w:t>et al.</w:t>
      </w:r>
      <w:r w:rsidRPr="00E153BD">
        <w:rPr>
          <w:szCs w:val="24"/>
        </w:rPr>
        <w:t xml:space="preserve"> (2</w:t>
      </w:r>
      <w:r>
        <w:rPr>
          <w:szCs w:val="24"/>
        </w:rPr>
        <w:t>010) would increase the incremental cost per extra quality-adjusted life-year gained from $23,672 to $115,903.</w:t>
      </w:r>
    </w:p>
    <w:p w14:paraId="29366B5B" w14:textId="77777777" w:rsidR="006D7A1E" w:rsidRDefault="006D7A1E" w:rsidP="006D7A1E"/>
    <w:p w14:paraId="27C13ED4" w14:textId="0E71D746" w:rsidR="006D7A1E" w:rsidRDefault="006D7A1E" w:rsidP="006D7A1E">
      <w:r w:rsidRPr="00E153BD">
        <w:rPr>
          <w:szCs w:val="24"/>
        </w:rPr>
        <w:t xml:space="preserve">MSAC queried why the utility would improve with symptomatic treatments </w:t>
      </w:r>
      <w:r>
        <w:rPr>
          <w:szCs w:val="24"/>
        </w:rPr>
        <w:t xml:space="preserve">for IBS given </w:t>
      </w:r>
      <w:r w:rsidRPr="00E153BD">
        <w:rPr>
          <w:szCs w:val="24"/>
        </w:rPr>
        <w:t xml:space="preserve">that </w:t>
      </w:r>
      <w:r>
        <w:rPr>
          <w:szCs w:val="24"/>
        </w:rPr>
        <w:t xml:space="preserve">these medicines </w:t>
      </w:r>
      <w:r w:rsidRPr="00E153BD">
        <w:rPr>
          <w:szCs w:val="24"/>
        </w:rPr>
        <w:t xml:space="preserve">would have </w:t>
      </w:r>
      <w:r>
        <w:rPr>
          <w:szCs w:val="24"/>
        </w:rPr>
        <w:t xml:space="preserve">been </w:t>
      </w:r>
      <w:r w:rsidRPr="00E153BD">
        <w:rPr>
          <w:szCs w:val="24"/>
        </w:rPr>
        <w:t>trialled</w:t>
      </w:r>
      <w:r w:rsidRPr="00D876E7">
        <w:rPr>
          <w:szCs w:val="24"/>
        </w:rPr>
        <w:t xml:space="preserve"> </w:t>
      </w:r>
      <w:r w:rsidRPr="00E153BD">
        <w:rPr>
          <w:szCs w:val="24"/>
        </w:rPr>
        <w:t>previously</w:t>
      </w:r>
      <w:r>
        <w:rPr>
          <w:szCs w:val="24"/>
        </w:rPr>
        <w:t xml:space="preserve"> </w:t>
      </w:r>
      <w:r>
        <w:t>and those responding would have been eliminated from this arm</w:t>
      </w:r>
      <w:r w:rsidRPr="00E153BD">
        <w:rPr>
          <w:szCs w:val="24"/>
        </w:rPr>
        <w:t>. T</w:t>
      </w:r>
      <w:r w:rsidRPr="00E153BD">
        <w:rPr>
          <w:szCs w:val="24"/>
          <w:lang w:val="en-US"/>
        </w:rPr>
        <w:t>he sensitivity analys</w:t>
      </w:r>
      <w:r>
        <w:rPr>
          <w:szCs w:val="24"/>
          <w:lang w:val="en-US"/>
        </w:rPr>
        <w:t>e</w:t>
      </w:r>
      <w:r w:rsidRPr="00E153BD">
        <w:rPr>
          <w:szCs w:val="24"/>
          <w:lang w:val="en-US"/>
        </w:rPr>
        <w:t xml:space="preserve">s did not test variation in utility for correct diagnosis of </w:t>
      </w:r>
      <w:r>
        <w:rPr>
          <w:szCs w:val="24"/>
          <w:lang w:val="en-US"/>
        </w:rPr>
        <w:t>IBS</w:t>
      </w:r>
      <w:r w:rsidRPr="00E153BD">
        <w:rPr>
          <w:szCs w:val="24"/>
          <w:lang w:val="en-US"/>
        </w:rPr>
        <w:t>.</w:t>
      </w:r>
      <w:r w:rsidRPr="00E153BD">
        <w:rPr>
          <w:szCs w:val="24"/>
        </w:rPr>
        <w:t xml:space="preserve"> As the utility gain </w:t>
      </w:r>
      <w:r>
        <w:rPr>
          <w:szCs w:val="24"/>
        </w:rPr>
        <w:t xml:space="preserve">for CE in the model </w:t>
      </w:r>
      <w:r w:rsidRPr="00E153BD">
        <w:rPr>
          <w:szCs w:val="24"/>
        </w:rPr>
        <w:t xml:space="preserve">was mostly determined by IBS patients avoiding </w:t>
      </w:r>
      <w:r>
        <w:rPr>
          <w:szCs w:val="24"/>
        </w:rPr>
        <w:t xml:space="preserve">ineffective CD </w:t>
      </w:r>
      <w:r w:rsidRPr="00E153BD">
        <w:rPr>
          <w:szCs w:val="24"/>
        </w:rPr>
        <w:t xml:space="preserve">medicines </w:t>
      </w:r>
      <w:r>
        <w:rPr>
          <w:szCs w:val="24"/>
        </w:rPr>
        <w:t>used to treat</w:t>
      </w:r>
      <w:r w:rsidRPr="00E153BD">
        <w:rPr>
          <w:szCs w:val="24"/>
        </w:rPr>
        <w:t xml:space="preserve"> a condition they do not have</w:t>
      </w:r>
      <w:r>
        <w:rPr>
          <w:szCs w:val="24"/>
        </w:rPr>
        <w:t>,</w:t>
      </w:r>
      <w:r w:rsidRPr="00E153BD">
        <w:rPr>
          <w:szCs w:val="24"/>
        </w:rPr>
        <w:t xml:space="preserve"> MSAC agreed </w:t>
      </w:r>
      <w:r>
        <w:rPr>
          <w:szCs w:val="24"/>
        </w:rPr>
        <w:t xml:space="preserve">that </w:t>
      </w:r>
      <w:r w:rsidRPr="00E153BD">
        <w:rPr>
          <w:szCs w:val="24"/>
        </w:rPr>
        <w:t>the model was biased in favour of CE</w:t>
      </w:r>
      <w:r>
        <w:rPr>
          <w:szCs w:val="24"/>
        </w:rPr>
        <w:t>.</w:t>
      </w:r>
    </w:p>
    <w:p w14:paraId="3B940A68" w14:textId="77777777" w:rsidR="006D7A1E" w:rsidRDefault="006D7A1E" w:rsidP="006D7A1E"/>
    <w:p w14:paraId="396004E2" w14:textId="77777777" w:rsidR="006D7A1E" w:rsidRDefault="006D7A1E" w:rsidP="006D7A1E">
      <w:r>
        <w:t>MSAC noted the other following matters with the economic evaluation which were not all addressed by the applicant’s Pre-MSAC Response even though they were identified by ESC:</w:t>
      </w:r>
    </w:p>
    <w:p w14:paraId="33A8286C" w14:textId="77777777" w:rsidR="006D7A1E" w:rsidRDefault="006D7A1E" w:rsidP="006D7A1E">
      <w:pPr>
        <w:pStyle w:val="ListParagraph"/>
        <w:numPr>
          <w:ilvl w:val="0"/>
          <w:numId w:val="23"/>
        </w:numPr>
      </w:pPr>
      <w:r>
        <w:t>the assumed prevalence of 13% may have been biased towards CE because it resulted in 87% of patients in the empiric treatment arm not accruing any utility gain during the time horizon of the model – MSAC noted (a) the sensitivity of the model to this parameter, and (b) the fact that the other two studies estimated prevalence in these patients as 51% and 56% reflected a high index of suspicion by the treating clinician sufficient to warrant further investigation in this patient group;</w:t>
      </w:r>
    </w:p>
    <w:p w14:paraId="5523744D" w14:textId="329F8EA7" w:rsidR="006D7A1E" w:rsidRDefault="006D7A1E" w:rsidP="006D7A1E">
      <w:pPr>
        <w:pStyle w:val="ListParagraph"/>
        <w:numPr>
          <w:ilvl w:val="0"/>
          <w:numId w:val="23"/>
        </w:numPr>
      </w:pPr>
      <w:r>
        <w:t>the assumption that all therapy lasted the full 12 months’ time horizon of the model irrespective of response which seemed clinically implausible – MSAC considered that this (a) was biased towards CE in the empiric treatment arm because the costs of CD treatment were applied for all patients for the full 12 months, but utility gains only accrued for the 13% with CD based on the assumed prevalence; and (b) may have been biased to a lesser extent against CE in the CE arm because the estimated cost per patient of IBS treatment is less than the estimated cost per patient of CD treatment;</w:t>
      </w:r>
    </w:p>
    <w:p w14:paraId="4C31893C" w14:textId="2E305850" w:rsidR="006D7A1E" w:rsidRDefault="006D7A1E" w:rsidP="006D7A1E">
      <w:pPr>
        <w:pStyle w:val="ListParagraph"/>
        <w:numPr>
          <w:ilvl w:val="0"/>
          <w:numId w:val="23"/>
        </w:numPr>
      </w:pPr>
      <w:r>
        <w:lastRenderedPageBreak/>
        <w:t>the assumption that all patients without a clear diagnosis after both endoscopy and radiographic imaging would receive empiric CD therapy was not supported with evidence;</w:t>
      </w:r>
    </w:p>
    <w:p w14:paraId="236AA5C7" w14:textId="77777777" w:rsidR="006D7A1E" w:rsidRDefault="006D7A1E" w:rsidP="006D7A1E">
      <w:pPr>
        <w:pStyle w:val="ListParagraph"/>
        <w:numPr>
          <w:ilvl w:val="0"/>
          <w:numId w:val="23"/>
        </w:numPr>
      </w:pPr>
      <w:r>
        <w:t>the 12-month time horizon of the model may have biased against CE by excluding surgery cost offsets and later cost offsets.</w:t>
      </w:r>
    </w:p>
    <w:p w14:paraId="4D669B1C" w14:textId="77777777" w:rsidR="006D7A1E" w:rsidRDefault="006D7A1E" w:rsidP="006D7A1E"/>
    <w:p w14:paraId="74595683" w14:textId="77777777" w:rsidR="006D7A1E" w:rsidRDefault="006D7A1E" w:rsidP="006D7A1E">
      <w:r>
        <w:t>MSAC commented that its considerations regarding the fee had not changed since its previous appraisal of CE in August 2013.</w:t>
      </w:r>
    </w:p>
    <w:p w14:paraId="2258DB86" w14:textId="77777777" w:rsidR="006D7A1E" w:rsidRDefault="006D7A1E" w:rsidP="006D7A1E"/>
    <w:p w14:paraId="45EA67F0" w14:textId="2DB8DA6D" w:rsidR="006D7A1E" w:rsidRDefault="006D7A1E" w:rsidP="006D7A1E">
      <w:r>
        <w:t>MSAC noted that the net financial costs of the new service are $1.5–3.2M/year, based on estimates of the incidence of CD, the number of CD cases diagnosed by CE and the diagnostic yield in the eligible population. MSAC raised a concern that these may be underestimates because of the r</w:t>
      </w:r>
      <w:r w:rsidRPr="006071C5">
        <w:t>isk</w:t>
      </w:r>
      <w:r>
        <w:t>s</w:t>
      </w:r>
      <w:r w:rsidRPr="006071C5">
        <w:t xml:space="preserve"> of </w:t>
      </w:r>
      <w:r>
        <w:t xml:space="preserve">wider usage </w:t>
      </w:r>
      <w:r w:rsidRPr="006071C5">
        <w:t xml:space="preserve">to </w:t>
      </w:r>
      <w:r>
        <w:t xml:space="preserve">diagnose </w:t>
      </w:r>
      <w:r w:rsidRPr="006071C5">
        <w:t>ot</w:t>
      </w:r>
      <w:r>
        <w:t>her gastrointestinal conditions and of repeat uses of CE in a patient for surveillance or monitoring purposes.</w:t>
      </w:r>
    </w:p>
    <w:p w14:paraId="4CA24E3C" w14:textId="77777777" w:rsidR="006D7A1E" w:rsidRDefault="006D7A1E" w:rsidP="006D7A1E">
      <w:pPr>
        <w:tabs>
          <w:tab w:val="left" w:pos="720"/>
        </w:tabs>
      </w:pPr>
    </w:p>
    <w:p w14:paraId="442FFD40" w14:textId="09A02ACB" w:rsidR="006D7A1E" w:rsidRDefault="006D7A1E" w:rsidP="000604FF">
      <w:pPr>
        <w:tabs>
          <w:tab w:val="left" w:pos="720"/>
        </w:tabs>
      </w:pPr>
      <w:r>
        <w:t xml:space="preserve">In conclusion, MSAC accepted that CE appears safe and sufficiently diagnostically accurate in the investigation of these patients, with an expected improvement in subsequent clinical management, </w:t>
      </w:r>
      <w:r w:rsidRPr="00F32558">
        <w:t>but did not accept the economic evaluation pre</w:t>
      </w:r>
      <w:r>
        <w:t>sented</w:t>
      </w:r>
      <w:r w:rsidRPr="00F32558">
        <w:t xml:space="preserve"> a sufficiently robust basis to determine its cost-effectiveness.</w:t>
      </w:r>
    </w:p>
    <w:p w14:paraId="3ED18434" w14:textId="77777777" w:rsidR="00AD3665" w:rsidRDefault="00AD3665" w:rsidP="000604FF">
      <w:pPr>
        <w:tabs>
          <w:tab w:val="left" w:pos="720"/>
        </w:tabs>
      </w:pPr>
    </w:p>
    <w:p w14:paraId="5D6686F7" w14:textId="77777777" w:rsidR="00AD3665" w:rsidRDefault="00AD3665" w:rsidP="000604FF">
      <w:pPr>
        <w:tabs>
          <w:tab w:val="left" w:pos="720"/>
        </w:tabs>
        <w:rPr>
          <w:b/>
        </w:rPr>
      </w:pPr>
      <w:r>
        <w:rPr>
          <w:b/>
        </w:rPr>
        <w:t>Lay</w:t>
      </w:r>
      <w:r w:rsidRPr="005371DC">
        <w:rPr>
          <w:b/>
        </w:rPr>
        <w:t xml:space="preserve"> summary</w:t>
      </w:r>
    </w:p>
    <w:p w14:paraId="4154A0ED" w14:textId="25C0F4BB" w:rsidR="00AD3665" w:rsidRDefault="00AD3665" w:rsidP="000604FF">
      <w:pPr>
        <w:tabs>
          <w:tab w:val="left" w:pos="720"/>
        </w:tabs>
      </w:pPr>
      <w:r w:rsidRPr="00334DA5">
        <w:rPr>
          <w:bCs/>
        </w:rPr>
        <w:t>Capsule endoscopy</w:t>
      </w:r>
      <w:r>
        <w:t xml:space="preserve"> is a way to record images of the </w:t>
      </w:r>
      <w:r w:rsidRPr="00AC0C2D">
        <w:t>gastrointestinal tract</w:t>
      </w:r>
      <w:r>
        <w:t xml:space="preserve">. The capsule is the size and shape of a pill and contains a tiny camera. Capsule endoscopy is generally used to examine areas of the small intestine that cannot be seen by other types of endoscopy. </w:t>
      </w:r>
    </w:p>
    <w:p w14:paraId="66AE6CDA" w14:textId="77777777" w:rsidR="00AD3665" w:rsidRDefault="00AD3665" w:rsidP="000604FF">
      <w:pPr>
        <w:tabs>
          <w:tab w:val="left" w:pos="720"/>
        </w:tabs>
      </w:pPr>
    </w:p>
    <w:p w14:paraId="4C92CF58" w14:textId="4CA1D00F" w:rsidR="00AD3665" w:rsidRDefault="00AD3665" w:rsidP="000604FF">
      <w:pPr>
        <w:tabs>
          <w:tab w:val="left" w:pos="720"/>
        </w:tabs>
        <w:rPr>
          <w:szCs w:val="24"/>
        </w:rPr>
      </w:pPr>
      <w:r>
        <w:t xml:space="preserve">The applicant has resubmitted an application for capsule endoscopy (CE) </w:t>
      </w:r>
      <w:r w:rsidRPr="00572617">
        <w:t xml:space="preserve">to evaluate suspected small bowel </w:t>
      </w:r>
      <w:r>
        <w:t xml:space="preserve">Crohn disease (CD) in patients with an unconfirmed diagnosis despite multiple prior investigations. This intervention was compared against using </w:t>
      </w:r>
      <w:r>
        <w:rPr>
          <w:szCs w:val="24"/>
        </w:rPr>
        <w:t xml:space="preserve">medicines </w:t>
      </w:r>
      <w:r w:rsidRPr="00E153BD">
        <w:rPr>
          <w:szCs w:val="24"/>
        </w:rPr>
        <w:t>for CD</w:t>
      </w:r>
      <w:r>
        <w:rPr>
          <w:szCs w:val="24"/>
        </w:rPr>
        <w:t xml:space="preserve"> in patients with unconfirmed disease, who may have other causes for their symptoms. </w:t>
      </w:r>
    </w:p>
    <w:p w14:paraId="37294F3E" w14:textId="77777777" w:rsidR="00AD3665" w:rsidRDefault="00AD3665" w:rsidP="000604FF">
      <w:pPr>
        <w:tabs>
          <w:tab w:val="left" w:pos="720"/>
        </w:tabs>
        <w:rPr>
          <w:szCs w:val="24"/>
        </w:rPr>
      </w:pPr>
    </w:p>
    <w:p w14:paraId="46D1C30F" w14:textId="76B7BCB1" w:rsidR="00AD3665" w:rsidRDefault="00AD3665" w:rsidP="000604FF">
      <w:pPr>
        <w:tabs>
          <w:tab w:val="left" w:pos="720"/>
        </w:tabs>
        <w:rPr>
          <w:szCs w:val="24"/>
        </w:rPr>
      </w:pPr>
      <w:r>
        <w:t xml:space="preserve">MSAC accepted that CE appears safe and sufficiently diagnostically accurate in the investigation of these patients </w:t>
      </w:r>
      <w:r w:rsidRPr="00F32558">
        <w:t>but did not accept the economic evaluation pre</w:t>
      </w:r>
      <w:r>
        <w:t>sented.</w:t>
      </w:r>
      <w:r w:rsidRPr="00F32558">
        <w:t xml:space="preserve"> </w:t>
      </w:r>
      <w:r>
        <w:rPr>
          <w:szCs w:val="24"/>
        </w:rPr>
        <w:t xml:space="preserve">Therefore, MSAC did not support public funding and suggested that the applicant review the assumptions proposed in the economic evaluation. </w:t>
      </w:r>
    </w:p>
    <w:p w14:paraId="1F0CD6FB" w14:textId="77777777" w:rsidR="000604FF" w:rsidRPr="005371DC" w:rsidRDefault="000604FF" w:rsidP="000604FF">
      <w:pPr>
        <w:tabs>
          <w:tab w:val="left" w:pos="720"/>
        </w:tabs>
      </w:pPr>
    </w:p>
    <w:p w14:paraId="61DF6831" w14:textId="4E1DCA7B" w:rsidR="00AD3665" w:rsidRDefault="000604FF" w:rsidP="000604FF">
      <w:pPr>
        <w:pStyle w:val="Heading1"/>
        <w:spacing w:before="0"/>
      </w:pPr>
      <w:r>
        <w:t>1</w:t>
      </w:r>
      <w:r w:rsidR="0018228D">
        <w:t>6</w:t>
      </w:r>
      <w:r w:rsidR="00474814" w:rsidRPr="00474814">
        <w:t>.</w:t>
      </w:r>
      <w:r w:rsidR="00474814" w:rsidRPr="00474814">
        <w:tab/>
        <w:t>MSAC’s advice to the Minister</w:t>
      </w:r>
    </w:p>
    <w:p w14:paraId="383845ED" w14:textId="4871B491" w:rsidR="00AD3665" w:rsidRDefault="00AD3665" w:rsidP="000604FF">
      <w:pPr>
        <w:tabs>
          <w:tab w:val="left" w:pos="720"/>
        </w:tabs>
      </w:pPr>
      <w:r>
        <w:t xml:space="preserve">After considering the strength of the available evidence in relation to the safety, clinical effectiveness and cost-effectiveness of capsule endoscopy </w:t>
      </w:r>
      <w:r w:rsidRPr="00572617">
        <w:t xml:space="preserve">to evaluate suspected small bowel </w:t>
      </w:r>
      <w:r>
        <w:t xml:space="preserve">Crohn disease </w:t>
      </w:r>
      <w:r w:rsidRPr="00572617">
        <w:t xml:space="preserve">in patients who have had </w:t>
      </w:r>
      <w:r>
        <w:t xml:space="preserve">both endoscopic and radiographic imaging </w:t>
      </w:r>
      <w:r w:rsidRPr="00572617">
        <w:t>which remains inconclusive</w:t>
      </w:r>
      <w:r>
        <w:t>, MSAC does not support its public funding.</w:t>
      </w:r>
    </w:p>
    <w:p w14:paraId="0940B8DE" w14:textId="77777777" w:rsidR="0018228D" w:rsidRPr="002F5BBC" w:rsidRDefault="0018228D" w:rsidP="002F5BBC"/>
    <w:p w14:paraId="64873BA9" w14:textId="2301705F" w:rsidR="00474814" w:rsidRPr="00474814" w:rsidRDefault="00474814" w:rsidP="00545D2C">
      <w:pPr>
        <w:pStyle w:val="Heading1"/>
        <w:spacing w:before="0"/>
      </w:pPr>
      <w:r w:rsidRPr="00474814">
        <w:t>1</w:t>
      </w:r>
      <w:r w:rsidR="0018228D">
        <w:t>7</w:t>
      </w:r>
      <w:r w:rsidRPr="00474814">
        <w:t>.</w:t>
      </w:r>
      <w:r w:rsidRPr="00474814">
        <w:tab/>
        <w:t>Applicant’s comments on MSAC’s Public Summary Document</w:t>
      </w:r>
    </w:p>
    <w:p w14:paraId="63F0A480" w14:textId="20111296" w:rsidR="00FD5269" w:rsidRPr="005D32FE" w:rsidRDefault="005D32FE" w:rsidP="00FD5269">
      <w:pPr>
        <w:rPr>
          <w:szCs w:val="24"/>
        </w:rPr>
      </w:pPr>
      <w:r w:rsidRPr="005D32FE">
        <w:rPr>
          <w:szCs w:val="24"/>
        </w:rPr>
        <w:t>No comment.</w:t>
      </w:r>
    </w:p>
    <w:p w14:paraId="21E3BCEF" w14:textId="77777777" w:rsidR="00FD5269" w:rsidRDefault="00FD5269" w:rsidP="00545D2C">
      <w:pPr>
        <w:pStyle w:val="Heading1"/>
        <w:spacing w:before="0"/>
      </w:pPr>
    </w:p>
    <w:p w14:paraId="71C7FD22" w14:textId="21C44738" w:rsidR="00474814" w:rsidRPr="00474814" w:rsidRDefault="000604FF" w:rsidP="00545D2C">
      <w:pPr>
        <w:pStyle w:val="Heading1"/>
        <w:spacing w:before="0"/>
      </w:pPr>
      <w:r>
        <w:t>1</w:t>
      </w:r>
      <w:r w:rsidR="0018228D">
        <w:t>8</w:t>
      </w:r>
      <w:r w:rsidR="00474814" w:rsidRPr="00474814">
        <w:t>.</w:t>
      </w:r>
      <w:r w:rsidR="00474814" w:rsidRPr="00474814">
        <w:tab/>
        <w:t xml:space="preserve">Context for decision </w:t>
      </w:r>
    </w:p>
    <w:p w14:paraId="2046E349" w14:textId="77777777" w:rsidR="00474814" w:rsidRPr="00BB418D" w:rsidRDefault="00474814" w:rsidP="00545D2C">
      <w:pPr>
        <w:tabs>
          <w:tab w:val="left" w:pos="720"/>
        </w:tabs>
        <w:rPr>
          <w:szCs w:val="24"/>
        </w:rPr>
      </w:pPr>
      <w:r w:rsidRPr="00BB418D">
        <w:rPr>
          <w:szCs w:val="24"/>
        </w:rPr>
        <w:t>This advice was made under the MSAC Terms of Reference.</w:t>
      </w:r>
    </w:p>
    <w:p w14:paraId="5A8A2A94" w14:textId="77777777" w:rsidR="00474814" w:rsidRPr="00BB418D" w:rsidRDefault="00474814" w:rsidP="00545D2C">
      <w:pPr>
        <w:rPr>
          <w:szCs w:val="24"/>
          <w:lang w:val="en-US" w:eastAsia="en-US"/>
        </w:rPr>
      </w:pPr>
      <w:r w:rsidRPr="00BB418D">
        <w:rPr>
          <w:szCs w:val="24"/>
          <w:lang w:val="en-US" w:eastAsia="en-US"/>
        </w:rPr>
        <w:t xml:space="preserve">MSAC is to: </w:t>
      </w:r>
    </w:p>
    <w:p w14:paraId="01905F6A" w14:textId="0632C4E8" w:rsidR="00474814" w:rsidRPr="00BB418D" w:rsidRDefault="00474814" w:rsidP="00474814">
      <w:pPr>
        <w:spacing w:before="100" w:beforeAutospacing="1" w:after="100" w:afterAutospacing="1"/>
        <w:rPr>
          <w:szCs w:val="24"/>
          <w:lang w:val="en-US" w:eastAsia="en-US"/>
        </w:rPr>
      </w:pPr>
      <w:r w:rsidRPr="00BB418D">
        <w:rPr>
          <w:szCs w:val="24"/>
          <w:lang w:val="en-US" w:eastAsia="en-US"/>
        </w:rPr>
        <w:t>Advise the Minister for Health on medical services that involve new or emerging technologies and procedures</w:t>
      </w:r>
      <w:r w:rsidRPr="00BB418D">
        <w:rPr>
          <w:szCs w:val="24"/>
        </w:rPr>
        <w:t xml:space="preserve"> and, where relevant, amendment to existing MBS items</w:t>
      </w:r>
      <w:r w:rsidRPr="00BB418D">
        <w:rPr>
          <w:szCs w:val="24"/>
          <w:lang w:val="en-US" w:eastAsia="en-US"/>
        </w:rPr>
        <w:t xml:space="preserve">, in relation to: </w:t>
      </w:r>
    </w:p>
    <w:p w14:paraId="1AA90B59" w14:textId="77777777" w:rsidR="00474814" w:rsidRPr="00BB418D" w:rsidRDefault="00474814" w:rsidP="00474814">
      <w:pPr>
        <w:numPr>
          <w:ilvl w:val="0"/>
          <w:numId w:val="20"/>
        </w:numPr>
        <w:tabs>
          <w:tab w:val="clear" w:pos="1080"/>
          <w:tab w:val="num" w:pos="360"/>
          <w:tab w:val="left" w:pos="810"/>
          <w:tab w:val="left" w:pos="1170"/>
        </w:tabs>
        <w:ind w:left="360"/>
        <w:rPr>
          <w:szCs w:val="24"/>
          <w:lang w:val="en-US" w:eastAsia="en-US"/>
        </w:rPr>
      </w:pPr>
      <w:r w:rsidRPr="00BB418D">
        <w:rPr>
          <w:szCs w:val="24"/>
          <w:lang w:val="en-US" w:eastAsia="en-US"/>
        </w:rPr>
        <w:lastRenderedPageBreak/>
        <w:t xml:space="preserve">the strength of evidence in relation to the comparative safety, effectiveness, cost-effectiveness and total cost of the medical service; </w:t>
      </w:r>
    </w:p>
    <w:p w14:paraId="622524C1" w14:textId="77777777" w:rsidR="00474814" w:rsidRPr="00BB418D" w:rsidRDefault="00474814" w:rsidP="00474814">
      <w:pPr>
        <w:numPr>
          <w:ilvl w:val="0"/>
          <w:numId w:val="20"/>
        </w:numPr>
        <w:tabs>
          <w:tab w:val="clear" w:pos="1080"/>
          <w:tab w:val="num" w:pos="360"/>
          <w:tab w:val="left" w:pos="810"/>
          <w:tab w:val="left" w:pos="1170"/>
        </w:tabs>
        <w:spacing w:before="100" w:beforeAutospacing="1"/>
        <w:ind w:left="360"/>
        <w:rPr>
          <w:szCs w:val="24"/>
          <w:lang w:val="en-US" w:eastAsia="en-US"/>
        </w:rPr>
      </w:pPr>
      <w:r w:rsidRPr="00BB418D">
        <w:rPr>
          <w:szCs w:val="24"/>
          <w:lang w:val="en-US" w:eastAsia="en-US"/>
        </w:rPr>
        <w:t xml:space="preserve">whether public funding should be supported for the medical service and, if so, the circumstances under which public funding should be supported; </w:t>
      </w:r>
    </w:p>
    <w:p w14:paraId="45FFFA22" w14:textId="77777777" w:rsidR="00474814" w:rsidRPr="00BB418D" w:rsidRDefault="00474814" w:rsidP="00474814">
      <w:pPr>
        <w:numPr>
          <w:ilvl w:val="0"/>
          <w:numId w:val="20"/>
        </w:numPr>
        <w:tabs>
          <w:tab w:val="clear" w:pos="1080"/>
          <w:tab w:val="num" w:pos="360"/>
          <w:tab w:val="left" w:pos="810"/>
          <w:tab w:val="left" w:pos="1170"/>
        </w:tabs>
        <w:spacing w:before="100" w:beforeAutospacing="1"/>
        <w:ind w:left="360"/>
        <w:rPr>
          <w:szCs w:val="24"/>
          <w:lang w:val="en-US" w:eastAsia="en-US"/>
        </w:rPr>
      </w:pPr>
      <w:r w:rsidRPr="00BB418D">
        <w:rPr>
          <w:szCs w:val="24"/>
          <w:lang w:val="en-US" w:eastAsia="en-US"/>
        </w:rPr>
        <w:t xml:space="preserve">the proposed Medicare Benefits Schedule (MBS) item descriptor and fee for the service where funding through the MBS is supported; </w:t>
      </w:r>
    </w:p>
    <w:p w14:paraId="082BCFCF" w14:textId="77777777" w:rsidR="00474814" w:rsidRPr="00BB418D" w:rsidRDefault="00474814" w:rsidP="00474814">
      <w:pPr>
        <w:numPr>
          <w:ilvl w:val="0"/>
          <w:numId w:val="20"/>
        </w:numPr>
        <w:tabs>
          <w:tab w:val="clear" w:pos="1080"/>
          <w:tab w:val="num" w:pos="360"/>
          <w:tab w:val="left" w:pos="810"/>
          <w:tab w:val="left" w:pos="1170"/>
        </w:tabs>
        <w:spacing w:before="100" w:beforeAutospacing="1"/>
        <w:ind w:left="360"/>
        <w:rPr>
          <w:szCs w:val="24"/>
          <w:lang w:val="en-US" w:eastAsia="en-US"/>
        </w:rPr>
      </w:pPr>
      <w:r w:rsidRPr="00BB418D">
        <w:rPr>
          <w:szCs w:val="24"/>
          <w:lang w:val="en-US" w:eastAsia="en-US"/>
        </w:rPr>
        <w:t>the circumstances, where there is uncertainty in relation to the clinical or cost-effectiveness of a service, under which interim public funding of a service should be supported for a specified period, during which defined data collections under agreed clinical protocols would be collected to inform a re-assessment of the service by MSAC at the conclusion of that period;</w:t>
      </w:r>
    </w:p>
    <w:p w14:paraId="13CFE96E" w14:textId="77777777" w:rsidR="00474814" w:rsidRPr="00BB418D" w:rsidRDefault="00474814" w:rsidP="00474814">
      <w:pPr>
        <w:numPr>
          <w:ilvl w:val="0"/>
          <w:numId w:val="20"/>
        </w:numPr>
        <w:tabs>
          <w:tab w:val="clear" w:pos="1080"/>
          <w:tab w:val="num" w:pos="360"/>
          <w:tab w:val="left" w:pos="810"/>
          <w:tab w:val="left" w:pos="1170"/>
        </w:tabs>
        <w:spacing w:before="100" w:beforeAutospacing="1" w:after="100" w:afterAutospacing="1"/>
        <w:ind w:left="360"/>
        <w:rPr>
          <w:szCs w:val="24"/>
          <w:lang w:val="en-US" w:eastAsia="en-US"/>
        </w:rPr>
      </w:pPr>
      <w:r w:rsidRPr="00BB418D">
        <w:rPr>
          <w:szCs w:val="24"/>
          <w:lang w:val="en-US" w:eastAsia="en-US"/>
        </w:rPr>
        <w:t>other matters related to the public funding of health services referred by the Minister.</w:t>
      </w:r>
    </w:p>
    <w:p w14:paraId="2A3AE167" w14:textId="77777777" w:rsidR="00474814" w:rsidRPr="00BB418D" w:rsidRDefault="00474814" w:rsidP="00474814">
      <w:pPr>
        <w:rPr>
          <w:szCs w:val="24"/>
          <w:lang w:val="en-US" w:eastAsia="en-US"/>
        </w:rPr>
      </w:pPr>
      <w:r w:rsidRPr="00BB418D">
        <w:rPr>
          <w:szCs w:val="24"/>
          <w:lang w:val="en-US" w:eastAsia="en-US"/>
        </w:rPr>
        <w:t xml:space="preserve">Advise the Australian Health Ministers’ Advisory Council (AHMAC) on health technology assessments referred under AHMAC arrangements. </w:t>
      </w:r>
    </w:p>
    <w:p w14:paraId="2FE5E7FD" w14:textId="77777777" w:rsidR="00474814" w:rsidRPr="00BB418D" w:rsidRDefault="00474814" w:rsidP="00474814">
      <w:pPr>
        <w:spacing w:before="100" w:beforeAutospacing="1" w:after="100" w:afterAutospacing="1"/>
        <w:rPr>
          <w:szCs w:val="24"/>
          <w:lang w:val="en-US" w:eastAsia="en-US"/>
        </w:rPr>
      </w:pPr>
      <w:r w:rsidRPr="00BB418D">
        <w:rPr>
          <w:szCs w:val="24"/>
          <w:lang w:val="en-US" w:eastAsia="en-US"/>
        </w:rPr>
        <w:t>MSAC may also establish sub-committees to assist MSAC to effectively undertake its role. MSAC may delegate some of its functions to its Executive sub-committee.</w:t>
      </w:r>
    </w:p>
    <w:p w14:paraId="220197E6" w14:textId="7D2D05C0" w:rsidR="00474814" w:rsidRPr="00474814" w:rsidRDefault="000604FF" w:rsidP="000604FF">
      <w:pPr>
        <w:pStyle w:val="Heading1"/>
        <w:spacing w:before="0"/>
      </w:pPr>
      <w:r>
        <w:t>1</w:t>
      </w:r>
      <w:r w:rsidR="0018228D">
        <w:t>9</w:t>
      </w:r>
      <w:r w:rsidR="00474814" w:rsidRPr="00474814">
        <w:t>.</w:t>
      </w:r>
      <w:r w:rsidR="00474814" w:rsidRPr="00474814">
        <w:tab/>
        <w:t xml:space="preserve">Linkages to other documents </w:t>
      </w:r>
    </w:p>
    <w:p w14:paraId="322D14DE" w14:textId="12F6FBB0" w:rsidR="00474814" w:rsidRPr="00BB418D" w:rsidRDefault="00474814" w:rsidP="000604FF">
      <w:pPr>
        <w:tabs>
          <w:tab w:val="left" w:pos="720"/>
        </w:tabs>
        <w:ind w:left="706" w:hanging="706"/>
        <w:rPr>
          <w:szCs w:val="24"/>
        </w:rPr>
      </w:pPr>
      <w:r w:rsidRPr="00BB418D">
        <w:rPr>
          <w:szCs w:val="24"/>
        </w:rPr>
        <w:t xml:space="preserve">MSAC’s processes are detailed on the MSAC Website at: </w:t>
      </w:r>
      <w:hyperlink r:id="rId11" w:tooltip="Medical services advisory committee website" w:history="1">
        <w:r w:rsidRPr="00BB418D">
          <w:rPr>
            <w:rStyle w:val="Hyperlink"/>
            <w:szCs w:val="24"/>
          </w:rPr>
          <w:t>www.msac.gov.au</w:t>
        </w:r>
      </w:hyperlink>
      <w:r w:rsidRPr="00BB418D">
        <w:rPr>
          <w:szCs w:val="24"/>
        </w:rPr>
        <w:t>.</w:t>
      </w:r>
    </w:p>
    <w:p w14:paraId="1C86901D" w14:textId="77777777" w:rsidR="001E67A4" w:rsidRPr="00BB418D" w:rsidRDefault="001E67A4" w:rsidP="001F6220">
      <w:pPr>
        <w:tabs>
          <w:tab w:val="left" w:pos="720"/>
        </w:tabs>
        <w:spacing w:before="120"/>
        <w:ind w:left="720"/>
        <w:rPr>
          <w:szCs w:val="24"/>
        </w:rPr>
      </w:pPr>
    </w:p>
    <w:sectPr w:rsidR="001E67A4" w:rsidRPr="00BB418D" w:rsidSect="00610322">
      <w:footerReference w:type="even" r:id="rId12"/>
      <w:footerReference w:type="default" r:id="rId13"/>
      <w:pgSz w:w="11906" w:h="16838" w:code="9"/>
      <w:pgMar w:top="993" w:right="1440" w:bottom="1296"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C21F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398BF" w14:textId="77777777" w:rsidR="00BF0F4D" w:rsidRDefault="00BF0F4D">
      <w:r>
        <w:separator/>
      </w:r>
    </w:p>
  </w:endnote>
  <w:endnote w:type="continuationSeparator" w:id="0">
    <w:p w14:paraId="4A74AE77" w14:textId="77777777" w:rsidR="00BF0F4D" w:rsidRDefault="00BF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6084E" w14:textId="77777777" w:rsidR="00DC2BFF" w:rsidRDefault="00DC2BFF" w:rsidP="003A5C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397FF6" w14:textId="77777777" w:rsidR="00DC2BFF" w:rsidRDefault="00DC2BFF" w:rsidP="003A5C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98717" w14:textId="77777777" w:rsidR="00DC2BFF" w:rsidRPr="00712AB3" w:rsidRDefault="00DC2BFF" w:rsidP="00AE503E">
    <w:pPr>
      <w:pStyle w:val="Footer"/>
      <w:tabs>
        <w:tab w:val="clear" w:pos="8306"/>
        <w:tab w:val="right" w:pos="9000"/>
      </w:tabs>
      <w:ind w:right="566"/>
      <w:rPr>
        <w:rFonts w:ascii="Arial Narrow" w:hAnsi="Arial Narrow"/>
      </w:rPr>
    </w:pPr>
    <w:r>
      <w:rPr>
        <w:rFonts w:ascii="Arial Narrow" w:hAnsi="Arial Narrow"/>
        <w:sz w:val="14"/>
        <w:szCs w:val="14"/>
      </w:rPr>
      <w:tab/>
    </w:r>
    <w:r w:rsidRPr="00712AB3">
      <w:rPr>
        <w:rFonts w:ascii="Arial Narrow" w:hAnsi="Arial Narrow"/>
      </w:rPr>
      <w:fldChar w:fldCharType="begin"/>
    </w:r>
    <w:r w:rsidRPr="00712AB3">
      <w:rPr>
        <w:rFonts w:ascii="Arial Narrow" w:hAnsi="Arial Narrow"/>
      </w:rPr>
      <w:instrText xml:space="preserve"> PAGE </w:instrText>
    </w:r>
    <w:r w:rsidRPr="00712AB3">
      <w:rPr>
        <w:rFonts w:ascii="Arial Narrow" w:hAnsi="Arial Narrow"/>
      </w:rPr>
      <w:fldChar w:fldCharType="separate"/>
    </w:r>
    <w:r w:rsidR="006D15AC">
      <w:rPr>
        <w:rFonts w:ascii="Arial Narrow" w:hAnsi="Arial Narrow"/>
        <w:noProof/>
      </w:rPr>
      <w:t>2</w:t>
    </w:r>
    <w:r w:rsidRPr="00712AB3">
      <w:rPr>
        <w:rFonts w:ascii="Arial Narrow" w:hAnsi="Arial Narrow"/>
      </w:rPr>
      <w:fldChar w:fldCharType="end"/>
    </w:r>
    <w:r w:rsidRPr="00712AB3">
      <w:rPr>
        <w:rFonts w:ascii="Arial Narrow" w:hAnsi="Arial Narrow"/>
      </w:rPr>
      <w:t>/</w:t>
    </w:r>
    <w:r w:rsidRPr="00712AB3">
      <w:rPr>
        <w:rFonts w:ascii="Arial Narrow" w:hAnsi="Arial Narrow"/>
      </w:rPr>
      <w:fldChar w:fldCharType="begin"/>
    </w:r>
    <w:r w:rsidRPr="00712AB3">
      <w:rPr>
        <w:rFonts w:ascii="Arial Narrow" w:hAnsi="Arial Narrow"/>
      </w:rPr>
      <w:instrText xml:space="preserve"> NUMPAGES </w:instrText>
    </w:r>
    <w:r w:rsidRPr="00712AB3">
      <w:rPr>
        <w:rFonts w:ascii="Arial Narrow" w:hAnsi="Arial Narrow"/>
      </w:rPr>
      <w:fldChar w:fldCharType="separate"/>
    </w:r>
    <w:r w:rsidR="006D15AC">
      <w:rPr>
        <w:rFonts w:ascii="Arial Narrow" w:hAnsi="Arial Narrow"/>
        <w:noProof/>
      </w:rPr>
      <w:t>13</w:t>
    </w:r>
    <w:r w:rsidRPr="00712AB3">
      <w:rP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706BA" w14:textId="77777777" w:rsidR="00BF0F4D" w:rsidRDefault="00BF0F4D">
      <w:r>
        <w:separator/>
      </w:r>
    </w:p>
  </w:footnote>
  <w:footnote w:type="continuationSeparator" w:id="0">
    <w:p w14:paraId="2D3FD5FD" w14:textId="77777777" w:rsidR="00BF0F4D" w:rsidRDefault="00BF0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63787F"/>
    <w:multiLevelType w:val="hybridMultilevel"/>
    <w:tmpl w:val="15E2D684"/>
    <w:lvl w:ilvl="0" w:tplc="FECEB850">
      <w:start w:val="1"/>
      <w:numFmt w:val="decimal"/>
      <w:pStyle w:val="Style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3377AA"/>
    <w:multiLevelType w:val="hybridMultilevel"/>
    <w:tmpl w:val="C304F574"/>
    <w:lvl w:ilvl="0" w:tplc="0C090001">
      <w:start w:val="1"/>
      <w:numFmt w:val="bullet"/>
      <w:lvlText w:val=""/>
      <w:lvlJc w:val="left"/>
      <w:pPr>
        <w:ind w:left="927" w:hanging="360"/>
      </w:pPr>
      <w:rPr>
        <w:rFonts w:ascii="Symbol" w:hAnsi="Symbol" w:hint="default"/>
      </w:rPr>
    </w:lvl>
    <w:lvl w:ilvl="1" w:tplc="0C090019">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5">
    <w:nsid w:val="2B650263"/>
    <w:multiLevelType w:val="hybridMultilevel"/>
    <w:tmpl w:val="5EA40C78"/>
    <w:lvl w:ilvl="0" w:tplc="C638E278">
      <w:numFmt w:val="bullet"/>
      <w:pStyle w:val="Guidelines"/>
      <w:lvlText w:val="-"/>
      <w:lvlJc w:val="left"/>
      <w:pPr>
        <w:tabs>
          <w:tab w:val="num" w:pos="720"/>
        </w:tabs>
        <w:ind w:left="720" w:hanging="360"/>
      </w:pPr>
      <w:rPr>
        <w:rFonts w:ascii="Times New Roman" w:eastAsia="Times New Roman" w:hAnsi="Times New Roman" w:cs="Times New Roman" w:hint="default"/>
      </w:rPr>
    </w:lvl>
    <w:lvl w:ilvl="1" w:tplc="4446BC16">
      <w:start w:val="1"/>
      <w:numFmt w:val="bullet"/>
      <w:lvlText w:val="o"/>
      <w:lvlJc w:val="left"/>
      <w:pPr>
        <w:tabs>
          <w:tab w:val="num" w:pos="1440"/>
        </w:tabs>
        <w:ind w:left="1440" w:hanging="360"/>
      </w:pPr>
      <w:rPr>
        <w:rFonts w:ascii="Courier New" w:hAnsi="Courier New" w:cs="Courier New" w:hint="default"/>
      </w:rPr>
    </w:lvl>
    <w:lvl w:ilvl="2" w:tplc="1A048B04" w:tentative="1">
      <w:start w:val="1"/>
      <w:numFmt w:val="bullet"/>
      <w:lvlText w:val=""/>
      <w:lvlJc w:val="left"/>
      <w:pPr>
        <w:tabs>
          <w:tab w:val="num" w:pos="2160"/>
        </w:tabs>
        <w:ind w:left="2160" w:hanging="360"/>
      </w:pPr>
      <w:rPr>
        <w:rFonts w:ascii="Wingdings" w:hAnsi="Wingdings" w:hint="default"/>
      </w:rPr>
    </w:lvl>
    <w:lvl w:ilvl="3" w:tplc="90BE3F90" w:tentative="1">
      <w:start w:val="1"/>
      <w:numFmt w:val="bullet"/>
      <w:lvlText w:val=""/>
      <w:lvlJc w:val="left"/>
      <w:pPr>
        <w:tabs>
          <w:tab w:val="num" w:pos="2880"/>
        </w:tabs>
        <w:ind w:left="2880" w:hanging="360"/>
      </w:pPr>
      <w:rPr>
        <w:rFonts w:ascii="Symbol" w:hAnsi="Symbol" w:hint="default"/>
      </w:rPr>
    </w:lvl>
    <w:lvl w:ilvl="4" w:tplc="CC8EDEF2" w:tentative="1">
      <w:start w:val="1"/>
      <w:numFmt w:val="bullet"/>
      <w:lvlText w:val="o"/>
      <w:lvlJc w:val="left"/>
      <w:pPr>
        <w:tabs>
          <w:tab w:val="num" w:pos="3600"/>
        </w:tabs>
        <w:ind w:left="3600" w:hanging="360"/>
      </w:pPr>
      <w:rPr>
        <w:rFonts w:ascii="Courier New" w:hAnsi="Courier New" w:cs="Courier New" w:hint="default"/>
      </w:rPr>
    </w:lvl>
    <w:lvl w:ilvl="5" w:tplc="AEE4F300" w:tentative="1">
      <w:start w:val="1"/>
      <w:numFmt w:val="bullet"/>
      <w:lvlText w:val=""/>
      <w:lvlJc w:val="left"/>
      <w:pPr>
        <w:tabs>
          <w:tab w:val="num" w:pos="4320"/>
        </w:tabs>
        <w:ind w:left="4320" w:hanging="360"/>
      </w:pPr>
      <w:rPr>
        <w:rFonts w:ascii="Wingdings" w:hAnsi="Wingdings" w:hint="default"/>
      </w:rPr>
    </w:lvl>
    <w:lvl w:ilvl="6" w:tplc="0FF482F8" w:tentative="1">
      <w:start w:val="1"/>
      <w:numFmt w:val="bullet"/>
      <w:lvlText w:val=""/>
      <w:lvlJc w:val="left"/>
      <w:pPr>
        <w:tabs>
          <w:tab w:val="num" w:pos="5040"/>
        </w:tabs>
        <w:ind w:left="5040" w:hanging="360"/>
      </w:pPr>
      <w:rPr>
        <w:rFonts w:ascii="Symbol" w:hAnsi="Symbol" w:hint="default"/>
      </w:rPr>
    </w:lvl>
    <w:lvl w:ilvl="7" w:tplc="C4F0A61E" w:tentative="1">
      <w:start w:val="1"/>
      <w:numFmt w:val="bullet"/>
      <w:lvlText w:val="o"/>
      <w:lvlJc w:val="left"/>
      <w:pPr>
        <w:tabs>
          <w:tab w:val="num" w:pos="5760"/>
        </w:tabs>
        <w:ind w:left="5760" w:hanging="360"/>
      </w:pPr>
      <w:rPr>
        <w:rFonts w:ascii="Courier New" w:hAnsi="Courier New" w:cs="Courier New" w:hint="default"/>
      </w:rPr>
    </w:lvl>
    <w:lvl w:ilvl="8" w:tplc="3E000A1C" w:tentative="1">
      <w:start w:val="1"/>
      <w:numFmt w:val="bullet"/>
      <w:lvlText w:val=""/>
      <w:lvlJc w:val="left"/>
      <w:pPr>
        <w:tabs>
          <w:tab w:val="num" w:pos="6480"/>
        </w:tabs>
        <w:ind w:left="6480" w:hanging="360"/>
      </w:pPr>
      <w:rPr>
        <w:rFonts w:ascii="Wingdings" w:hAnsi="Wingdings" w:hint="default"/>
      </w:rPr>
    </w:lvl>
  </w:abstractNum>
  <w:abstractNum w:abstractNumId="6">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7304FF3"/>
    <w:multiLevelType w:val="hybridMultilevel"/>
    <w:tmpl w:val="C608C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772005"/>
    <w:multiLevelType w:val="hybridMultilevel"/>
    <w:tmpl w:val="296C9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59469A6"/>
    <w:multiLevelType w:val="hybridMultilevel"/>
    <w:tmpl w:val="A7748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19">
      <w:start w:val="1"/>
      <w:numFmt w:val="lowerLetter"/>
      <w:lvlText w:val="%2."/>
      <w:lvlJc w:val="left"/>
      <w:pPr>
        <w:tabs>
          <w:tab w:val="num" w:pos="1080"/>
        </w:tabs>
        <w:ind w:left="1080" w:hanging="360"/>
      </w:pPr>
    </w:lvl>
    <w:lvl w:ilvl="2" w:tplc="DBFA83DC">
      <w:start w:val="1"/>
      <w:numFmt w:val="bullet"/>
      <w:lvlText w:val=""/>
      <w:lvlJc w:val="left"/>
      <w:pPr>
        <w:tabs>
          <w:tab w:val="num" w:pos="360"/>
        </w:tabs>
        <w:ind w:left="360" w:hanging="360"/>
      </w:pPr>
      <w:rPr>
        <w:rFonts w:ascii="Symbol" w:hAnsi="Symbol" w:hint="default"/>
        <w:color w:val="auto"/>
        <w:sz w:val="22"/>
        <w:szCs w:val="22"/>
      </w:rPr>
    </w:lvl>
    <w:lvl w:ilvl="3" w:tplc="DBFA83DC">
      <w:start w:val="1"/>
      <w:numFmt w:val="bullet"/>
      <w:lvlText w:val=""/>
      <w:lvlJc w:val="left"/>
      <w:pPr>
        <w:tabs>
          <w:tab w:val="num" w:pos="360"/>
        </w:tabs>
        <w:ind w:left="360" w:hanging="360"/>
      </w:pPr>
      <w:rPr>
        <w:rFonts w:ascii="Symbol" w:hAnsi="Symbol" w:hint="default"/>
        <w:color w:val="auto"/>
        <w:sz w:val="22"/>
        <w:szCs w:val="22"/>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9937DE2"/>
    <w:multiLevelType w:val="hybridMultilevel"/>
    <w:tmpl w:val="12C6A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szCs w:val="22"/>
      </w:rPr>
    </w:lvl>
    <w:lvl w:ilvl="1" w:tplc="69B0DAB4">
      <w:start w:val="1"/>
      <w:numFmt w:val="bullet"/>
      <w:lvlText w:val=""/>
      <w:lvlJc w:val="left"/>
      <w:pPr>
        <w:tabs>
          <w:tab w:val="num" w:pos="1800"/>
        </w:tabs>
        <w:ind w:left="1800" w:hanging="360"/>
      </w:pPr>
      <w:rPr>
        <w:rFonts w:ascii="Symbol" w:hAnsi="Symbol" w:hint="default"/>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F4A05C8"/>
    <w:multiLevelType w:val="hybridMultilevel"/>
    <w:tmpl w:val="D316B50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1"/>
  </w:num>
  <w:num w:numId="3">
    <w:abstractNumId w:val="1"/>
  </w:num>
  <w:num w:numId="4">
    <w:abstractNumId w:val="14"/>
  </w:num>
  <w:num w:numId="5">
    <w:abstractNumId w:val="6"/>
  </w:num>
  <w:num w:numId="6">
    <w:abstractNumId w:val="13"/>
  </w:num>
  <w:num w:numId="7">
    <w:abstractNumId w:val="16"/>
  </w:num>
  <w:num w:numId="8">
    <w:abstractNumId w:val="7"/>
  </w:num>
  <w:num w:numId="9">
    <w:abstractNumId w:val="21"/>
  </w:num>
  <w:num w:numId="10">
    <w:abstractNumId w:val="0"/>
  </w:num>
  <w:num w:numId="11">
    <w:abstractNumId w:val="15"/>
  </w:num>
  <w:num w:numId="12">
    <w:abstractNumId w:val="17"/>
  </w:num>
  <w:num w:numId="13">
    <w:abstractNumId w:val="2"/>
  </w:num>
  <w:num w:numId="14">
    <w:abstractNumId w:val="12"/>
  </w:num>
  <w:num w:numId="15">
    <w:abstractNumId w:val="18"/>
  </w:num>
  <w:num w:numId="16">
    <w:abstractNumId w:val="22"/>
  </w:num>
  <w:num w:numId="17">
    <w:abstractNumId w:val="5"/>
  </w:num>
  <w:num w:numId="18">
    <w:abstractNumId w:val="4"/>
  </w:num>
  <w:num w:numId="19">
    <w:abstractNumId w:val="10"/>
  </w:num>
  <w:num w:numId="20">
    <w:abstractNumId w:val="20"/>
  </w:num>
  <w:num w:numId="21">
    <w:abstractNumId w:val="9"/>
  </w:num>
  <w:num w:numId="22">
    <w:abstractNumId w:val="19"/>
  </w:num>
  <w:num w:numId="23">
    <w:abstractNumId w:val="8"/>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Butler">
    <w15:presenceInfo w15:providerId="None" w15:userId="Jim But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8F"/>
    <w:rsid w:val="00001C90"/>
    <w:rsid w:val="0000291D"/>
    <w:rsid w:val="00002D54"/>
    <w:rsid w:val="00003570"/>
    <w:rsid w:val="0000426C"/>
    <w:rsid w:val="000107CC"/>
    <w:rsid w:val="00017F63"/>
    <w:rsid w:val="000261E5"/>
    <w:rsid w:val="000318D1"/>
    <w:rsid w:val="00031A9E"/>
    <w:rsid w:val="00032F20"/>
    <w:rsid w:val="00034C3A"/>
    <w:rsid w:val="00035317"/>
    <w:rsid w:val="00042C59"/>
    <w:rsid w:val="0005143D"/>
    <w:rsid w:val="00051FAB"/>
    <w:rsid w:val="00052A77"/>
    <w:rsid w:val="0005477F"/>
    <w:rsid w:val="00056D5D"/>
    <w:rsid w:val="000604FF"/>
    <w:rsid w:val="00060966"/>
    <w:rsid w:val="00070F4C"/>
    <w:rsid w:val="00070F80"/>
    <w:rsid w:val="00075448"/>
    <w:rsid w:val="00081658"/>
    <w:rsid w:val="0008605A"/>
    <w:rsid w:val="00094129"/>
    <w:rsid w:val="00094264"/>
    <w:rsid w:val="00094EC2"/>
    <w:rsid w:val="0009546B"/>
    <w:rsid w:val="00095816"/>
    <w:rsid w:val="000A185D"/>
    <w:rsid w:val="000B5B05"/>
    <w:rsid w:val="000C1671"/>
    <w:rsid w:val="000C3A2B"/>
    <w:rsid w:val="000C7402"/>
    <w:rsid w:val="000D0603"/>
    <w:rsid w:val="000D48AB"/>
    <w:rsid w:val="000E6C30"/>
    <w:rsid w:val="000F0EB8"/>
    <w:rsid w:val="000F2579"/>
    <w:rsid w:val="000F6455"/>
    <w:rsid w:val="00105349"/>
    <w:rsid w:val="001055A9"/>
    <w:rsid w:val="0011558F"/>
    <w:rsid w:val="001206C8"/>
    <w:rsid w:val="00120765"/>
    <w:rsid w:val="001213EF"/>
    <w:rsid w:val="00124011"/>
    <w:rsid w:val="0012732A"/>
    <w:rsid w:val="001332B6"/>
    <w:rsid w:val="00133D8B"/>
    <w:rsid w:val="00133E99"/>
    <w:rsid w:val="00143F8F"/>
    <w:rsid w:val="0015006C"/>
    <w:rsid w:val="00150A5D"/>
    <w:rsid w:val="0015177B"/>
    <w:rsid w:val="001609DA"/>
    <w:rsid w:val="001616F0"/>
    <w:rsid w:val="0016184B"/>
    <w:rsid w:val="001630F5"/>
    <w:rsid w:val="0016524E"/>
    <w:rsid w:val="001654ED"/>
    <w:rsid w:val="00165DF1"/>
    <w:rsid w:val="001746AD"/>
    <w:rsid w:val="001753FA"/>
    <w:rsid w:val="0017654F"/>
    <w:rsid w:val="00181612"/>
    <w:rsid w:val="0018228D"/>
    <w:rsid w:val="0018639D"/>
    <w:rsid w:val="0018656C"/>
    <w:rsid w:val="00190459"/>
    <w:rsid w:val="00190DBB"/>
    <w:rsid w:val="001910D3"/>
    <w:rsid w:val="001918E6"/>
    <w:rsid w:val="001925B2"/>
    <w:rsid w:val="001A03E3"/>
    <w:rsid w:val="001A059B"/>
    <w:rsid w:val="001A7DEE"/>
    <w:rsid w:val="001B0E51"/>
    <w:rsid w:val="001B3F89"/>
    <w:rsid w:val="001B4017"/>
    <w:rsid w:val="001C2532"/>
    <w:rsid w:val="001C2DBC"/>
    <w:rsid w:val="001C5E73"/>
    <w:rsid w:val="001C6543"/>
    <w:rsid w:val="001D1274"/>
    <w:rsid w:val="001E2C40"/>
    <w:rsid w:val="001E45E7"/>
    <w:rsid w:val="001E67A4"/>
    <w:rsid w:val="001F2A94"/>
    <w:rsid w:val="001F4534"/>
    <w:rsid w:val="001F6220"/>
    <w:rsid w:val="00201963"/>
    <w:rsid w:val="00213C76"/>
    <w:rsid w:val="00215DE0"/>
    <w:rsid w:val="0021695B"/>
    <w:rsid w:val="00220070"/>
    <w:rsid w:val="00223205"/>
    <w:rsid w:val="002278D0"/>
    <w:rsid w:val="002303BF"/>
    <w:rsid w:val="002318CC"/>
    <w:rsid w:val="002418A7"/>
    <w:rsid w:val="00245969"/>
    <w:rsid w:val="00245EB1"/>
    <w:rsid w:val="00260379"/>
    <w:rsid w:val="00266C75"/>
    <w:rsid w:val="002679B1"/>
    <w:rsid w:val="00270369"/>
    <w:rsid w:val="00271AFB"/>
    <w:rsid w:val="00280261"/>
    <w:rsid w:val="00282BE5"/>
    <w:rsid w:val="002832E3"/>
    <w:rsid w:val="00285AE8"/>
    <w:rsid w:val="00287251"/>
    <w:rsid w:val="0028729B"/>
    <w:rsid w:val="002879B7"/>
    <w:rsid w:val="0029315B"/>
    <w:rsid w:val="002944A7"/>
    <w:rsid w:val="00295F6B"/>
    <w:rsid w:val="002A34DD"/>
    <w:rsid w:val="002B31E4"/>
    <w:rsid w:val="002B70CE"/>
    <w:rsid w:val="002C134D"/>
    <w:rsid w:val="002C4953"/>
    <w:rsid w:val="002C5AC5"/>
    <w:rsid w:val="002C6BF4"/>
    <w:rsid w:val="002D0E5C"/>
    <w:rsid w:val="002D3A69"/>
    <w:rsid w:val="002D5A59"/>
    <w:rsid w:val="002D5FD2"/>
    <w:rsid w:val="002E535E"/>
    <w:rsid w:val="002E7ECD"/>
    <w:rsid w:val="002F289C"/>
    <w:rsid w:val="002F3450"/>
    <w:rsid w:val="002F5BBC"/>
    <w:rsid w:val="002F6507"/>
    <w:rsid w:val="00304C28"/>
    <w:rsid w:val="0030582B"/>
    <w:rsid w:val="003062CB"/>
    <w:rsid w:val="003166F7"/>
    <w:rsid w:val="00317D0E"/>
    <w:rsid w:val="0032021B"/>
    <w:rsid w:val="003210C4"/>
    <w:rsid w:val="00322DDB"/>
    <w:rsid w:val="00323C78"/>
    <w:rsid w:val="00324E38"/>
    <w:rsid w:val="00325FB2"/>
    <w:rsid w:val="0033148F"/>
    <w:rsid w:val="0033175F"/>
    <w:rsid w:val="00333DB2"/>
    <w:rsid w:val="0033624E"/>
    <w:rsid w:val="00343CE3"/>
    <w:rsid w:val="00344039"/>
    <w:rsid w:val="00344A7E"/>
    <w:rsid w:val="00350693"/>
    <w:rsid w:val="00355D1F"/>
    <w:rsid w:val="003568CA"/>
    <w:rsid w:val="00360424"/>
    <w:rsid w:val="00361D4E"/>
    <w:rsid w:val="003667BB"/>
    <w:rsid w:val="00371040"/>
    <w:rsid w:val="00375668"/>
    <w:rsid w:val="00383CC3"/>
    <w:rsid w:val="00387B37"/>
    <w:rsid w:val="0039128A"/>
    <w:rsid w:val="00391C38"/>
    <w:rsid w:val="00392AD4"/>
    <w:rsid w:val="003944CD"/>
    <w:rsid w:val="00394FF9"/>
    <w:rsid w:val="00396FC8"/>
    <w:rsid w:val="003A5CBC"/>
    <w:rsid w:val="003B1F82"/>
    <w:rsid w:val="003B208B"/>
    <w:rsid w:val="003B4B04"/>
    <w:rsid w:val="003B4FF5"/>
    <w:rsid w:val="003B778A"/>
    <w:rsid w:val="003C0DDF"/>
    <w:rsid w:val="003C2BE1"/>
    <w:rsid w:val="003C366C"/>
    <w:rsid w:val="003C3A6F"/>
    <w:rsid w:val="003C4EEC"/>
    <w:rsid w:val="003C6BF5"/>
    <w:rsid w:val="003D0F7D"/>
    <w:rsid w:val="003D2D5B"/>
    <w:rsid w:val="003D7893"/>
    <w:rsid w:val="003E2B1F"/>
    <w:rsid w:val="003E74BC"/>
    <w:rsid w:val="003E7D9F"/>
    <w:rsid w:val="003F36EE"/>
    <w:rsid w:val="00402A9A"/>
    <w:rsid w:val="004044A8"/>
    <w:rsid w:val="00405950"/>
    <w:rsid w:val="004123CE"/>
    <w:rsid w:val="00413CB6"/>
    <w:rsid w:val="00420699"/>
    <w:rsid w:val="00422B7E"/>
    <w:rsid w:val="00426F5C"/>
    <w:rsid w:val="00430E83"/>
    <w:rsid w:val="0043299C"/>
    <w:rsid w:val="00435710"/>
    <w:rsid w:val="004403A8"/>
    <w:rsid w:val="00440B40"/>
    <w:rsid w:val="004410E3"/>
    <w:rsid w:val="004415B4"/>
    <w:rsid w:val="00444D93"/>
    <w:rsid w:val="00452C78"/>
    <w:rsid w:val="00455070"/>
    <w:rsid w:val="00461AD0"/>
    <w:rsid w:val="004635FC"/>
    <w:rsid w:val="00464C56"/>
    <w:rsid w:val="00474814"/>
    <w:rsid w:val="00476451"/>
    <w:rsid w:val="00485642"/>
    <w:rsid w:val="00487CC2"/>
    <w:rsid w:val="0049150D"/>
    <w:rsid w:val="0049376B"/>
    <w:rsid w:val="004A1221"/>
    <w:rsid w:val="004A158D"/>
    <w:rsid w:val="004A6BB2"/>
    <w:rsid w:val="004A772F"/>
    <w:rsid w:val="004B4C24"/>
    <w:rsid w:val="004B7FC2"/>
    <w:rsid w:val="004C0814"/>
    <w:rsid w:val="004C0DCE"/>
    <w:rsid w:val="004C284F"/>
    <w:rsid w:val="004C2F3A"/>
    <w:rsid w:val="004C4926"/>
    <w:rsid w:val="004C6285"/>
    <w:rsid w:val="004E2CF8"/>
    <w:rsid w:val="004E31A3"/>
    <w:rsid w:val="004E57D7"/>
    <w:rsid w:val="004E6F63"/>
    <w:rsid w:val="004F1AC1"/>
    <w:rsid w:val="004F286E"/>
    <w:rsid w:val="004F3A7C"/>
    <w:rsid w:val="004F58E9"/>
    <w:rsid w:val="00502428"/>
    <w:rsid w:val="00504C9D"/>
    <w:rsid w:val="00504FB9"/>
    <w:rsid w:val="0051150B"/>
    <w:rsid w:val="00512794"/>
    <w:rsid w:val="005134DF"/>
    <w:rsid w:val="00513B60"/>
    <w:rsid w:val="0051735D"/>
    <w:rsid w:val="005259E4"/>
    <w:rsid w:val="00536E59"/>
    <w:rsid w:val="00537804"/>
    <w:rsid w:val="00540975"/>
    <w:rsid w:val="00542887"/>
    <w:rsid w:val="00543738"/>
    <w:rsid w:val="005440ED"/>
    <w:rsid w:val="00545D2C"/>
    <w:rsid w:val="0055118D"/>
    <w:rsid w:val="00556B74"/>
    <w:rsid w:val="00561E03"/>
    <w:rsid w:val="00564298"/>
    <w:rsid w:val="00565BFB"/>
    <w:rsid w:val="00566494"/>
    <w:rsid w:val="0057080E"/>
    <w:rsid w:val="00571624"/>
    <w:rsid w:val="00572C34"/>
    <w:rsid w:val="00580346"/>
    <w:rsid w:val="00580C5F"/>
    <w:rsid w:val="005865A8"/>
    <w:rsid w:val="0058665D"/>
    <w:rsid w:val="00597298"/>
    <w:rsid w:val="005A1883"/>
    <w:rsid w:val="005A1C6E"/>
    <w:rsid w:val="005A2EEC"/>
    <w:rsid w:val="005B5427"/>
    <w:rsid w:val="005C068C"/>
    <w:rsid w:val="005C5BB6"/>
    <w:rsid w:val="005D32FE"/>
    <w:rsid w:val="005D52A1"/>
    <w:rsid w:val="005E7CDD"/>
    <w:rsid w:val="005F021A"/>
    <w:rsid w:val="005F1591"/>
    <w:rsid w:val="005F3F55"/>
    <w:rsid w:val="00601648"/>
    <w:rsid w:val="00602287"/>
    <w:rsid w:val="0060742E"/>
    <w:rsid w:val="00610322"/>
    <w:rsid w:val="00610609"/>
    <w:rsid w:val="00612C82"/>
    <w:rsid w:val="006132E9"/>
    <w:rsid w:val="006156C1"/>
    <w:rsid w:val="0062054F"/>
    <w:rsid w:val="00621463"/>
    <w:rsid w:val="0062170D"/>
    <w:rsid w:val="00621EA1"/>
    <w:rsid w:val="00633FBE"/>
    <w:rsid w:val="0064218D"/>
    <w:rsid w:val="00647464"/>
    <w:rsid w:val="00653D30"/>
    <w:rsid w:val="0065444D"/>
    <w:rsid w:val="0068055B"/>
    <w:rsid w:val="0068239D"/>
    <w:rsid w:val="00685063"/>
    <w:rsid w:val="00686A6C"/>
    <w:rsid w:val="00692619"/>
    <w:rsid w:val="006956E3"/>
    <w:rsid w:val="006966E6"/>
    <w:rsid w:val="00696C68"/>
    <w:rsid w:val="006A487C"/>
    <w:rsid w:val="006A5768"/>
    <w:rsid w:val="006A6F67"/>
    <w:rsid w:val="006C0612"/>
    <w:rsid w:val="006D0A45"/>
    <w:rsid w:val="006D0B74"/>
    <w:rsid w:val="006D15AC"/>
    <w:rsid w:val="006D596A"/>
    <w:rsid w:val="006D7A1E"/>
    <w:rsid w:val="006E18AD"/>
    <w:rsid w:val="006E366B"/>
    <w:rsid w:val="006F0F76"/>
    <w:rsid w:val="00700761"/>
    <w:rsid w:val="00710028"/>
    <w:rsid w:val="00712AB3"/>
    <w:rsid w:val="00722A50"/>
    <w:rsid w:val="00724BFA"/>
    <w:rsid w:val="00730735"/>
    <w:rsid w:val="0073398D"/>
    <w:rsid w:val="00733A84"/>
    <w:rsid w:val="00735264"/>
    <w:rsid w:val="007379F7"/>
    <w:rsid w:val="00741948"/>
    <w:rsid w:val="00741C3E"/>
    <w:rsid w:val="00747134"/>
    <w:rsid w:val="007503F6"/>
    <w:rsid w:val="007532F9"/>
    <w:rsid w:val="007567F5"/>
    <w:rsid w:val="00765551"/>
    <w:rsid w:val="00766953"/>
    <w:rsid w:val="00770D39"/>
    <w:rsid w:val="007710B8"/>
    <w:rsid w:val="007775EE"/>
    <w:rsid w:val="00777862"/>
    <w:rsid w:val="00781E40"/>
    <w:rsid w:val="00784E7A"/>
    <w:rsid w:val="00785592"/>
    <w:rsid w:val="007859A2"/>
    <w:rsid w:val="00786A30"/>
    <w:rsid w:val="00786F37"/>
    <w:rsid w:val="00790C34"/>
    <w:rsid w:val="00791153"/>
    <w:rsid w:val="0079412A"/>
    <w:rsid w:val="007959AB"/>
    <w:rsid w:val="007969BF"/>
    <w:rsid w:val="007A14CC"/>
    <w:rsid w:val="007A18B0"/>
    <w:rsid w:val="007A4CDC"/>
    <w:rsid w:val="007A7513"/>
    <w:rsid w:val="007B47D4"/>
    <w:rsid w:val="007B64B9"/>
    <w:rsid w:val="007B6BE0"/>
    <w:rsid w:val="007C0589"/>
    <w:rsid w:val="007C7B43"/>
    <w:rsid w:val="007D21A1"/>
    <w:rsid w:val="007D4080"/>
    <w:rsid w:val="007D60CD"/>
    <w:rsid w:val="007E041E"/>
    <w:rsid w:val="007E046E"/>
    <w:rsid w:val="007E19A9"/>
    <w:rsid w:val="007E60CD"/>
    <w:rsid w:val="007F1D42"/>
    <w:rsid w:val="007F47D7"/>
    <w:rsid w:val="007F6884"/>
    <w:rsid w:val="007F7265"/>
    <w:rsid w:val="008013CB"/>
    <w:rsid w:val="008055D9"/>
    <w:rsid w:val="00810926"/>
    <w:rsid w:val="0081209B"/>
    <w:rsid w:val="00813878"/>
    <w:rsid w:val="00817CE6"/>
    <w:rsid w:val="00817DA1"/>
    <w:rsid w:val="00823261"/>
    <w:rsid w:val="00823538"/>
    <w:rsid w:val="00825F8A"/>
    <w:rsid w:val="00832BD3"/>
    <w:rsid w:val="00837157"/>
    <w:rsid w:val="00851099"/>
    <w:rsid w:val="00851687"/>
    <w:rsid w:val="00852D13"/>
    <w:rsid w:val="0085765A"/>
    <w:rsid w:val="00861F8F"/>
    <w:rsid w:val="00865C26"/>
    <w:rsid w:val="008757DD"/>
    <w:rsid w:val="008773C9"/>
    <w:rsid w:val="00877FE3"/>
    <w:rsid w:val="008814E3"/>
    <w:rsid w:val="00881DBB"/>
    <w:rsid w:val="0088330C"/>
    <w:rsid w:val="008925DA"/>
    <w:rsid w:val="008955BB"/>
    <w:rsid w:val="008A22AD"/>
    <w:rsid w:val="008A62BC"/>
    <w:rsid w:val="008A6F0A"/>
    <w:rsid w:val="008B510F"/>
    <w:rsid w:val="008C31F5"/>
    <w:rsid w:val="008C3834"/>
    <w:rsid w:val="008C5A13"/>
    <w:rsid w:val="008C66BE"/>
    <w:rsid w:val="008D015F"/>
    <w:rsid w:val="008D02AC"/>
    <w:rsid w:val="008D4282"/>
    <w:rsid w:val="008E0B5E"/>
    <w:rsid w:val="008F04B0"/>
    <w:rsid w:val="009060E4"/>
    <w:rsid w:val="0090630D"/>
    <w:rsid w:val="009109B9"/>
    <w:rsid w:val="00912778"/>
    <w:rsid w:val="00913C7F"/>
    <w:rsid w:val="009140DF"/>
    <w:rsid w:val="009266D5"/>
    <w:rsid w:val="00937076"/>
    <w:rsid w:val="00937BCC"/>
    <w:rsid w:val="00940AEB"/>
    <w:rsid w:val="009446ED"/>
    <w:rsid w:val="0095026F"/>
    <w:rsid w:val="0095175A"/>
    <w:rsid w:val="00955306"/>
    <w:rsid w:val="009578F4"/>
    <w:rsid w:val="00960C94"/>
    <w:rsid w:val="009637F2"/>
    <w:rsid w:val="0096547C"/>
    <w:rsid w:val="00972DBC"/>
    <w:rsid w:val="009747DB"/>
    <w:rsid w:val="0098039F"/>
    <w:rsid w:val="00981F60"/>
    <w:rsid w:val="00981FFD"/>
    <w:rsid w:val="00984189"/>
    <w:rsid w:val="0099105C"/>
    <w:rsid w:val="00992CFF"/>
    <w:rsid w:val="00994BBC"/>
    <w:rsid w:val="009955EE"/>
    <w:rsid w:val="009A5783"/>
    <w:rsid w:val="009B0938"/>
    <w:rsid w:val="009B1648"/>
    <w:rsid w:val="009B596B"/>
    <w:rsid w:val="009B683B"/>
    <w:rsid w:val="009C31AC"/>
    <w:rsid w:val="009C32BA"/>
    <w:rsid w:val="009C5963"/>
    <w:rsid w:val="009C6E6E"/>
    <w:rsid w:val="009D09F3"/>
    <w:rsid w:val="009D1FF0"/>
    <w:rsid w:val="009D2BAD"/>
    <w:rsid w:val="009D33C4"/>
    <w:rsid w:val="009E0DF2"/>
    <w:rsid w:val="009E4B3D"/>
    <w:rsid w:val="009F47B9"/>
    <w:rsid w:val="009F5952"/>
    <w:rsid w:val="00A01697"/>
    <w:rsid w:val="00A03552"/>
    <w:rsid w:val="00A10960"/>
    <w:rsid w:val="00A112D1"/>
    <w:rsid w:val="00A11852"/>
    <w:rsid w:val="00A14378"/>
    <w:rsid w:val="00A16C44"/>
    <w:rsid w:val="00A17680"/>
    <w:rsid w:val="00A20A17"/>
    <w:rsid w:val="00A2122C"/>
    <w:rsid w:val="00A23360"/>
    <w:rsid w:val="00A27149"/>
    <w:rsid w:val="00A328B3"/>
    <w:rsid w:val="00A34BD3"/>
    <w:rsid w:val="00A37C74"/>
    <w:rsid w:val="00A45528"/>
    <w:rsid w:val="00A46F4B"/>
    <w:rsid w:val="00A50A8E"/>
    <w:rsid w:val="00A5399B"/>
    <w:rsid w:val="00A55F58"/>
    <w:rsid w:val="00A569E2"/>
    <w:rsid w:val="00A72451"/>
    <w:rsid w:val="00A75C14"/>
    <w:rsid w:val="00A77860"/>
    <w:rsid w:val="00A83666"/>
    <w:rsid w:val="00A84934"/>
    <w:rsid w:val="00A8632A"/>
    <w:rsid w:val="00A86E44"/>
    <w:rsid w:val="00A901F1"/>
    <w:rsid w:val="00AA30A8"/>
    <w:rsid w:val="00AA3C35"/>
    <w:rsid w:val="00AA424A"/>
    <w:rsid w:val="00AA440E"/>
    <w:rsid w:val="00AA4F9F"/>
    <w:rsid w:val="00AA71D6"/>
    <w:rsid w:val="00AB3B51"/>
    <w:rsid w:val="00AB4085"/>
    <w:rsid w:val="00AB4FA0"/>
    <w:rsid w:val="00AB7826"/>
    <w:rsid w:val="00AC01FF"/>
    <w:rsid w:val="00AC066F"/>
    <w:rsid w:val="00AD00A8"/>
    <w:rsid w:val="00AD02A3"/>
    <w:rsid w:val="00AD3665"/>
    <w:rsid w:val="00AD3DDA"/>
    <w:rsid w:val="00AD4063"/>
    <w:rsid w:val="00AE0187"/>
    <w:rsid w:val="00AE09E8"/>
    <w:rsid w:val="00AE503E"/>
    <w:rsid w:val="00AF0F0E"/>
    <w:rsid w:val="00AF3808"/>
    <w:rsid w:val="00AF5337"/>
    <w:rsid w:val="00B006E6"/>
    <w:rsid w:val="00B00FC9"/>
    <w:rsid w:val="00B1057B"/>
    <w:rsid w:val="00B125B9"/>
    <w:rsid w:val="00B13090"/>
    <w:rsid w:val="00B149C6"/>
    <w:rsid w:val="00B153B9"/>
    <w:rsid w:val="00B1606F"/>
    <w:rsid w:val="00B16BE7"/>
    <w:rsid w:val="00B219D1"/>
    <w:rsid w:val="00B22DA5"/>
    <w:rsid w:val="00B25437"/>
    <w:rsid w:val="00B30021"/>
    <w:rsid w:val="00B33308"/>
    <w:rsid w:val="00B36551"/>
    <w:rsid w:val="00B40A4B"/>
    <w:rsid w:val="00B7306D"/>
    <w:rsid w:val="00B743F7"/>
    <w:rsid w:val="00B80B98"/>
    <w:rsid w:val="00B86140"/>
    <w:rsid w:val="00B87A9B"/>
    <w:rsid w:val="00B93B40"/>
    <w:rsid w:val="00B94B8B"/>
    <w:rsid w:val="00B9632B"/>
    <w:rsid w:val="00B9700C"/>
    <w:rsid w:val="00BA0568"/>
    <w:rsid w:val="00BA1E74"/>
    <w:rsid w:val="00BA6FE7"/>
    <w:rsid w:val="00BA726D"/>
    <w:rsid w:val="00BB1060"/>
    <w:rsid w:val="00BB418D"/>
    <w:rsid w:val="00BB4BAD"/>
    <w:rsid w:val="00BB5E41"/>
    <w:rsid w:val="00BB62F3"/>
    <w:rsid w:val="00BB74D8"/>
    <w:rsid w:val="00BC0801"/>
    <w:rsid w:val="00BD5FC6"/>
    <w:rsid w:val="00BD6015"/>
    <w:rsid w:val="00BD6FC6"/>
    <w:rsid w:val="00BE0593"/>
    <w:rsid w:val="00BE09FF"/>
    <w:rsid w:val="00BE4593"/>
    <w:rsid w:val="00BE7C04"/>
    <w:rsid w:val="00BF0F4D"/>
    <w:rsid w:val="00BF1BB0"/>
    <w:rsid w:val="00BF28F9"/>
    <w:rsid w:val="00BF40B0"/>
    <w:rsid w:val="00BF6398"/>
    <w:rsid w:val="00C118DD"/>
    <w:rsid w:val="00C11EEB"/>
    <w:rsid w:val="00C11F69"/>
    <w:rsid w:val="00C23F58"/>
    <w:rsid w:val="00C334F0"/>
    <w:rsid w:val="00C41346"/>
    <w:rsid w:val="00C51BBA"/>
    <w:rsid w:val="00C51F91"/>
    <w:rsid w:val="00C538B9"/>
    <w:rsid w:val="00C55CF3"/>
    <w:rsid w:val="00C61ACD"/>
    <w:rsid w:val="00C627A8"/>
    <w:rsid w:val="00C73B86"/>
    <w:rsid w:val="00C7572B"/>
    <w:rsid w:val="00C75E58"/>
    <w:rsid w:val="00C7795B"/>
    <w:rsid w:val="00C80CC7"/>
    <w:rsid w:val="00C81B89"/>
    <w:rsid w:val="00C824FB"/>
    <w:rsid w:val="00C82BE2"/>
    <w:rsid w:val="00C83FA9"/>
    <w:rsid w:val="00C91E46"/>
    <w:rsid w:val="00C92DE2"/>
    <w:rsid w:val="00C93A35"/>
    <w:rsid w:val="00CA2445"/>
    <w:rsid w:val="00CA281B"/>
    <w:rsid w:val="00CA66DC"/>
    <w:rsid w:val="00CA7588"/>
    <w:rsid w:val="00CA7B4D"/>
    <w:rsid w:val="00CB4897"/>
    <w:rsid w:val="00CD203C"/>
    <w:rsid w:val="00CD3E99"/>
    <w:rsid w:val="00CD4624"/>
    <w:rsid w:val="00CE0039"/>
    <w:rsid w:val="00CE0914"/>
    <w:rsid w:val="00CE1D7F"/>
    <w:rsid w:val="00CF296E"/>
    <w:rsid w:val="00CF6DAA"/>
    <w:rsid w:val="00D003A5"/>
    <w:rsid w:val="00D00C2F"/>
    <w:rsid w:val="00D03BC1"/>
    <w:rsid w:val="00D0483F"/>
    <w:rsid w:val="00D12AB9"/>
    <w:rsid w:val="00D15815"/>
    <w:rsid w:val="00D16916"/>
    <w:rsid w:val="00D217B8"/>
    <w:rsid w:val="00D26C3E"/>
    <w:rsid w:val="00D27E86"/>
    <w:rsid w:val="00D32311"/>
    <w:rsid w:val="00D36031"/>
    <w:rsid w:val="00D378CE"/>
    <w:rsid w:val="00D37E55"/>
    <w:rsid w:val="00D4627E"/>
    <w:rsid w:val="00D51CC3"/>
    <w:rsid w:val="00D53170"/>
    <w:rsid w:val="00D537D5"/>
    <w:rsid w:val="00D56FC5"/>
    <w:rsid w:val="00D574D1"/>
    <w:rsid w:val="00D6007D"/>
    <w:rsid w:val="00D60877"/>
    <w:rsid w:val="00D61DF6"/>
    <w:rsid w:val="00D66F58"/>
    <w:rsid w:val="00D84C76"/>
    <w:rsid w:val="00D87E90"/>
    <w:rsid w:val="00D9229A"/>
    <w:rsid w:val="00D92AD4"/>
    <w:rsid w:val="00D96846"/>
    <w:rsid w:val="00D974A7"/>
    <w:rsid w:val="00DA3251"/>
    <w:rsid w:val="00DA50A4"/>
    <w:rsid w:val="00DB140F"/>
    <w:rsid w:val="00DB42E0"/>
    <w:rsid w:val="00DB6645"/>
    <w:rsid w:val="00DC2BFF"/>
    <w:rsid w:val="00DD349E"/>
    <w:rsid w:val="00DD3ADA"/>
    <w:rsid w:val="00DE087E"/>
    <w:rsid w:val="00DE11C4"/>
    <w:rsid w:val="00DE20C1"/>
    <w:rsid w:val="00DE5644"/>
    <w:rsid w:val="00DE6B5A"/>
    <w:rsid w:val="00DF0151"/>
    <w:rsid w:val="00DF4B27"/>
    <w:rsid w:val="00DF7E83"/>
    <w:rsid w:val="00E00AF8"/>
    <w:rsid w:val="00E029D4"/>
    <w:rsid w:val="00E0415C"/>
    <w:rsid w:val="00E155BD"/>
    <w:rsid w:val="00E17959"/>
    <w:rsid w:val="00E17ED2"/>
    <w:rsid w:val="00E2038B"/>
    <w:rsid w:val="00E22626"/>
    <w:rsid w:val="00E25F6D"/>
    <w:rsid w:val="00E26286"/>
    <w:rsid w:val="00E360ED"/>
    <w:rsid w:val="00E418D6"/>
    <w:rsid w:val="00E41FC3"/>
    <w:rsid w:val="00E5044D"/>
    <w:rsid w:val="00E53837"/>
    <w:rsid w:val="00E53CAC"/>
    <w:rsid w:val="00E569AC"/>
    <w:rsid w:val="00E62708"/>
    <w:rsid w:val="00E67C5A"/>
    <w:rsid w:val="00E7181B"/>
    <w:rsid w:val="00E7419C"/>
    <w:rsid w:val="00E805DD"/>
    <w:rsid w:val="00E818CE"/>
    <w:rsid w:val="00E8253A"/>
    <w:rsid w:val="00E84C5A"/>
    <w:rsid w:val="00E852D3"/>
    <w:rsid w:val="00E857D4"/>
    <w:rsid w:val="00E86E50"/>
    <w:rsid w:val="00E86EA2"/>
    <w:rsid w:val="00E92995"/>
    <w:rsid w:val="00EA2D8E"/>
    <w:rsid w:val="00EA37F2"/>
    <w:rsid w:val="00EB08CC"/>
    <w:rsid w:val="00EB4F5A"/>
    <w:rsid w:val="00EB5BBE"/>
    <w:rsid w:val="00EC2F58"/>
    <w:rsid w:val="00EC6858"/>
    <w:rsid w:val="00ED0A01"/>
    <w:rsid w:val="00ED3635"/>
    <w:rsid w:val="00EE6575"/>
    <w:rsid w:val="00EF4014"/>
    <w:rsid w:val="00EF4E85"/>
    <w:rsid w:val="00F0752C"/>
    <w:rsid w:val="00F15A47"/>
    <w:rsid w:val="00F41FD4"/>
    <w:rsid w:val="00F426C7"/>
    <w:rsid w:val="00F44F36"/>
    <w:rsid w:val="00F46041"/>
    <w:rsid w:val="00F5279A"/>
    <w:rsid w:val="00F562B7"/>
    <w:rsid w:val="00F6145E"/>
    <w:rsid w:val="00F64553"/>
    <w:rsid w:val="00F649EC"/>
    <w:rsid w:val="00F710CB"/>
    <w:rsid w:val="00F7405B"/>
    <w:rsid w:val="00F77178"/>
    <w:rsid w:val="00F86697"/>
    <w:rsid w:val="00F90FB6"/>
    <w:rsid w:val="00F94CD4"/>
    <w:rsid w:val="00F9546C"/>
    <w:rsid w:val="00FA0F70"/>
    <w:rsid w:val="00FA2AF8"/>
    <w:rsid w:val="00FA3CC0"/>
    <w:rsid w:val="00FB0F31"/>
    <w:rsid w:val="00FB7E6D"/>
    <w:rsid w:val="00FD2B3D"/>
    <w:rsid w:val="00FD36AD"/>
    <w:rsid w:val="00FD5269"/>
    <w:rsid w:val="00FE4F81"/>
    <w:rsid w:val="00FE7310"/>
    <w:rsid w:val="00FF05DA"/>
    <w:rsid w:val="00FF3077"/>
    <w:rsid w:val="00FF5C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E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2F5BBC"/>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2F5BBC"/>
    <w:rPr>
      <w:rFonts w:ascii="Arial" w:eastAsiaTheme="majorEastAsia" w:hAnsi="Arial" w:cstheme="majorBidi"/>
      <w:b/>
      <w:bCs/>
      <w:sz w:val="24"/>
      <w:szCs w:val="28"/>
    </w:rPr>
  </w:style>
  <w:style w:type="paragraph" w:styleId="Title">
    <w:name w:val="Title"/>
    <w:basedOn w:val="Normal"/>
    <w:next w:val="Normal"/>
    <w:link w:val="TitleChar"/>
    <w:qFormat/>
    <w:rsid w:val="00060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609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99"/>
    <w:qFormat/>
    <w:rsid w:val="003568CA"/>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unhideWhenUsed/>
    <w:qFormat/>
    <w:rsid w:val="00FF3077"/>
    <w:pPr>
      <w:keepNext/>
      <w:jc w:val="both"/>
      <w:outlineLvl w:val="4"/>
    </w:pPr>
    <w:rPr>
      <w:rFonts w:ascii="Arial Narrow" w:hAnsi="Arial Narrow" w:cs="Arial"/>
      <w:b/>
      <w:bCs/>
      <w:iCs/>
      <w:sz w:val="20"/>
      <w:lang w:eastAsia="en-U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99"/>
    <w:rsid w:val="00FF3077"/>
    <w:rPr>
      <w:rFonts w:ascii="Arial Narrow" w:hAnsi="Arial Narrow" w:cs="Arial"/>
      <w:b/>
      <w:bCs/>
      <w:iCs/>
      <w:lang w:eastAsia="en-US"/>
    </w:rPr>
  </w:style>
  <w:style w:type="paragraph" w:customStyle="1" w:styleId="Default">
    <w:name w:val="Default"/>
    <w:rsid w:val="00765551"/>
    <w:pPr>
      <w:autoSpaceDE w:val="0"/>
      <w:autoSpaceDN w:val="0"/>
      <w:adjustRightInd w:val="0"/>
    </w:pPr>
    <w:rPr>
      <w:rFonts w:ascii="Arial" w:hAnsi="Arial" w:cs="Arial"/>
      <w:color w:val="000000"/>
      <w:sz w:val="24"/>
      <w:szCs w:val="24"/>
    </w:rPr>
  </w:style>
  <w:style w:type="paragraph" w:customStyle="1" w:styleId="Normalbeforebullet">
    <w:name w:val="Normal (before bullet)"/>
    <w:basedOn w:val="Normal"/>
    <w:rsid w:val="00765551"/>
    <w:pPr>
      <w:keepNext/>
      <w:spacing w:after="120"/>
      <w:ind w:left="720"/>
    </w:pPr>
    <w:rPr>
      <w:color w:val="000000"/>
      <w:sz w:val="23"/>
    </w:rPr>
  </w:style>
  <w:style w:type="paragraph" w:customStyle="1" w:styleId="Tabletext">
    <w:name w:val="Table text"/>
    <w:basedOn w:val="Normal"/>
    <w:link w:val="TabletextChar"/>
    <w:qFormat/>
    <w:rsid w:val="00094EC2"/>
    <w:rPr>
      <w:rFonts w:ascii="Arial Narrow" w:hAnsi="Arial Narrow"/>
      <w:sz w:val="20"/>
      <w:szCs w:val="24"/>
      <w:lang w:eastAsia="en-US"/>
    </w:rPr>
  </w:style>
  <w:style w:type="character" w:customStyle="1" w:styleId="TabletextChar">
    <w:name w:val="Table text Char"/>
    <w:basedOn w:val="DefaultParagraphFont"/>
    <w:link w:val="Tabletext"/>
    <w:rsid w:val="00094EC2"/>
    <w:rPr>
      <w:rFonts w:ascii="Arial Narrow" w:hAnsi="Arial Narrow"/>
      <w:szCs w:val="24"/>
      <w:lang w:eastAsia="en-US"/>
    </w:rPr>
  </w:style>
  <w:style w:type="paragraph" w:customStyle="1" w:styleId="Tabletextboldleft">
    <w:name w:val="Table text bold left"/>
    <w:basedOn w:val="Normal"/>
    <w:link w:val="TabletextboldleftChar"/>
    <w:qFormat/>
    <w:rsid w:val="00094EC2"/>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094EC2"/>
    <w:rPr>
      <w:rFonts w:ascii="Arial Narrow" w:hAnsi="Arial Narrow" w:cs="Arial"/>
      <w:b/>
      <w:lang w:eastAsia="en-US"/>
    </w:rPr>
  </w:style>
  <w:style w:type="paragraph" w:customStyle="1" w:styleId="Tabletextbold">
    <w:name w:val="Table text bold"/>
    <w:basedOn w:val="Normal"/>
    <w:link w:val="TabletextboldChar"/>
    <w:qFormat/>
    <w:rsid w:val="00094EC2"/>
    <w:pPr>
      <w:keepNext/>
      <w:jc w:val="center"/>
    </w:pPr>
    <w:rPr>
      <w:rFonts w:ascii="Arial Narrow" w:hAnsi="Arial Narrow" w:cs="Arial"/>
      <w:b/>
      <w:sz w:val="20"/>
      <w:lang w:eastAsia="en-US"/>
    </w:rPr>
  </w:style>
  <w:style w:type="character" w:customStyle="1" w:styleId="TabletextboldChar">
    <w:name w:val="Table text bold Char"/>
    <w:link w:val="Tabletextbold"/>
    <w:rsid w:val="00094EC2"/>
    <w:rPr>
      <w:rFonts w:ascii="Arial Narrow" w:hAnsi="Arial Narrow" w:cs="Arial"/>
      <w:b/>
      <w:lang w:eastAsia="en-US"/>
    </w:rPr>
  </w:style>
  <w:style w:type="paragraph" w:customStyle="1" w:styleId="Tabletextcentred">
    <w:name w:val="Table text centred"/>
    <w:basedOn w:val="Tabletext"/>
    <w:link w:val="TabletextcentredChar"/>
    <w:qFormat/>
    <w:rsid w:val="00094EC2"/>
    <w:pPr>
      <w:jc w:val="center"/>
    </w:pPr>
  </w:style>
  <w:style w:type="character" w:customStyle="1" w:styleId="TabletextcentredChar">
    <w:name w:val="Table text centred Char"/>
    <w:link w:val="Tabletextcentred"/>
    <w:rsid w:val="00094EC2"/>
    <w:rPr>
      <w:rFonts w:ascii="Arial Narrow" w:hAnsi="Arial Narrow"/>
      <w:szCs w:val="24"/>
      <w:lang w:eastAsia="en-US"/>
    </w:rPr>
  </w:style>
  <w:style w:type="paragraph" w:customStyle="1" w:styleId="Guidelines">
    <w:name w:val="Guidelines"/>
    <w:basedOn w:val="Normal"/>
    <w:qFormat/>
    <w:rsid w:val="00094EC2"/>
    <w:pPr>
      <w:numPr>
        <w:numId w:val="17"/>
      </w:numPr>
      <w:tabs>
        <w:tab w:val="clear" w:pos="720"/>
        <w:tab w:val="num" w:pos="1080"/>
      </w:tabs>
      <w:jc w:val="both"/>
    </w:pPr>
    <w:rPr>
      <w:rFonts w:ascii="Garamond" w:hAnsi="Garamond"/>
      <w:color w:val="548DD4"/>
      <w:szCs w:val="24"/>
      <w:lang w:eastAsia="en-US"/>
    </w:rPr>
  </w:style>
  <w:style w:type="paragraph" w:customStyle="1" w:styleId="Comment">
    <w:name w:val="Comment"/>
    <w:basedOn w:val="Guidelines"/>
    <w:link w:val="CommentChar"/>
    <w:qFormat/>
    <w:rsid w:val="00094EC2"/>
    <w:pPr>
      <w:tabs>
        <w:tab w:val="clear" w:pos="1080"/>
        <w:tab w:val="num" w:pos="720"/>
      </w:tabs>
    </w:pPr>
    <w:rPr>
      <w:i/>
    </w:rPr>
  </w:style>
  <w:style w:type="character" w:customStyle="1" w:styleId="CommentChar">
    <w:name w:val="Comment Char"/>
    <w:link w:val="Comment"/>
    <w:rsid w:val="00094EC2"/>
    <w:rPr>
      <w:rFonts w:ascii="Garamond" w:hAnsi="Garamond"/>
      <w:i/>
      <w:color w:val="548DD4"/>
      <w:sz w:val="24"/>
      <w:szCs w:val="24"/>
      <w:lang w:eastAsia="en-US"/>
    </w:rPr>
  </w:style>
  <w:style w:type="paragraph" w:customStyle="1" w:styleId="ESHeading2">
    <w:name w:val="ES Heading 2"/>
    <w:basedOn w:val="Heading2"/>
    <w:link w:val="ESHeading2Char"/>
    <w:qFormat/>
    <w:rsid w:val="00094EC2"/>
    <w:pPr>
      <w:spacing w:before="0" w:after="0"/>
      <w:ind w:left="576" w:hanging="576"/>
      <w:jc w:val="both"/>
    </w:pPr>
    <w:rPr>
      <w:rFonts w:ascii="Garamond" w:hAnsi="Garamond" w:cs="Times New Roman"/>
      <w:i w:val="0"/>
      <w:sz w:val="24"/>
      <w:lang w:eastAsia="en-US"/>
    </w:rPr>
  </w:style>
  <w:style w:type="character" w:customStyle="1" w:styleId="ESHeading2Char">
    <w:name w:val="ES Heading 2 Char"/>
    <w:link w:val="ESHeading2"/>
    <w:rsid w:val="00094EC2"/>
    <w:rPr>
      <w:rFonts w:ascii="Garamond" w:hAnsi="Garamond"/>
      <w:b/>
      <w:bCs/>
      <w:iCs/>
      <w:sz w:val="24"/>
      <w:szCs w:val="28"/>
      <w:lang w:eastAsia="en-US"/>
    </w:rPr>
  </w:style>
  <w:style w:type="character" w:customStyle="1" w:styleId="TableTextChar0">
    <w:name w:val="Table Text Char"/>
    <w:link w:val="TableText0"/>
    <w:locked/>
    <w:rsid w:val="008C31F5"/>
    <w:rPr>
      <w:rFonts w:ascii="Arial" w:hAnsi="Arial" w:cs="Arial"/>
    </w:rPr>
  </w:style>
  <w:style w:type="paragraph" w:customStyle="1" w:styleId="TableText0">
    <w:name w:val="Table Text"/>
    <w:basedOn w:val="Normal"/>
    <w:link w:val="TableTextChar0"/>
    <w:qFormat/>
    <w:rsid w:val="008C31F5"/>
    <w:pPr>
      <w:keepNext/>
      <w:keepLines/>
      <w:spacing w:after="120"/>
    </w:pPr>
    <w:rPr>
      <w:rFonts w:ascii="Arial" w:hAnsi="Arial" w:cs="Arial"/>
      <w:sz w:val="20"/>
    </w:rPr>
  </w:style>
  <w:style w:type="paragraph" w:customStyle="1" w:styleId="Style1">
    <w:name w:val="Style1"/>
    <w:basedOn w:val="Heading1"/>
    <w:link w:val="Style1Char"/>
    <w:qFormat/>
    <w:rsid w:val="001910D3"/>
    <w:pPr>
      <w:numPr>
        <w:numId w:val="13"/>
      </w:numPr>
      <w:ind w:hanging="720"/>
    </w:pPr>
    <w:rPr>
      <w:rFonts w:cs="Arial"/>
      <w:szCs w:val="24"/>
    </w:rPr>
  </w:style>
  <w:style w:type="character" w:customStyle="1" w:styleId="Style1Char">
    <w:name w:val="Style1 Char"/>
    <w:basedOn w:val="Heading1Char"/>
    <w:link w:val="Style1"/>
    <w:rsid w:val="001910D3"/>
    <w:rPr>
      <w:rFonts w:ascii="Arial" w:eastAsiaTheme="majorEastAsia" w:hAnsi="Arial" w:cs="Arial"/>
      <w:b/>
      <w:bCs/>
      <w:color w:val="365F91"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2F5BBC"/>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2F5BBC"/>
    <w:rPr>
      <w:rFonts w:ascii="Arial" w:eastAsiaTheme="majorEastAsia" w:hAnsi="Arial" w:cstheme="majorBidi"/>
      <w:b/>
      <w:bCs/>
      <w:sz w:val="24"/>
      <w:szCs w:val="28"/>
    </w:rPr>
  </w:style>
  <w:style w:type="paragraph" w:styleId="Title">
    <w:name w:val="Title"/>
    <w:basedOn w:val="Normal"/>
    <w:next w:val="Normal"/>
    <w:link w:val="TitleChar"/>
    <w:qFormat/>
    <w:rsid w:val="00060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609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99"/>
    <w:qFormat/>
    <w:rsid w:val="003568CA"/>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unhideWhenUsed/>
    <w:qFormat/>
    <w:rsid w:val="00FF3077"/>
    <w:pPr>
      <w:keepNext/>
      <w:jc w:val="both"/>
      <w:outlineLvl w:val="4"/>
    </w:pPr>
    <w:rPr>
      <w:rFonts w:ascii="Arial Narrow" w:hAnsi="Arial Narrow" w:cs="Arial"/>
      <w:b/>
      <w:bCs/>
      <w:iCs/>
      <w:sz w:val="20"/>
      <w:lang w:eastAsia="en-U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99"/>
    <w:rsid w:val="00FF3077"/>
    <w:rPr>
      <w:rFonts w:ascii="Arial Narrow" w:hAnsi="Arial Narrow" w:cs="Arial"/>
      <w:b/>
      <w:bCs/>
      <w:iCs/>
      <w:lang w:eastAsia="en-US"/>
    </w:rPr>
  </w:style>
  <w:style w:type="paragraph" w:customStyle="1" w:styleId="Default">
    <w:name w:val="Default"/>
    <w:rsid w:val="00765551"/>
    <w:pPr>
      <w:autoSpaceDE w:val="0"/>
      <w:autoSpaceDN w:val="0"/>
      <w:adjustRightInd w:val="0"/>
    </w:pPr>
    <w:rPr>
      <w:rFonts w:ascii="Arial" w:hAnsi="Arial" w:cs="Arial"/>
      <w:color w:val="000000"/>
      <w:sz w:val="24"/>
      <w:szCs w:val="24"/>
    </w:rPr>
  </w:style>
  <w:style w:type="paragraph" w:customStyle="1" w:styleId="Normalbeforebullet">
    <w:name w:val="Normal (before bullet)"/>
    <w:basedOn w:val="Normal"/>
    <w:rsid w:val="00765551"/>
    <w:pPr>
      <w:keepNext/>
      <w:spacing w:after="120"/>
      <w:ind w:left="720"/>
    </w:pPr>
    <w:rPr>
      <w:color w:val="000000"/>
      <w:sz w:val="23"/>
    </w:rPr>
  </w:style>
  <w:style w:type="paragraph" w:customStyle="1" w:styleId="Tabletext">
    <w:name w:val="Table text"/>
    <w:basedOn w:val="Normal"/>
    <w:link w:val="TabletextChar"/>
    <w:qFormat/>
    <w:rsid w:val="00094EC2"/>
    <w:rPr>
      <w:rFonts w:ascii="Arial Narrow" w:hAnsi="Arial Narrow"/>
      <w:sz w:val="20"/>
      <w:szCs w:val="24"/>
      <w:lang w:eastAsia="en-US"/>
    </w:rPr>
  </w:style>
  <w:style w:type="character" w:customStyle="1" w:styleId="TabletextChar">
    <w:name w:val="Table text Char"/>
    <w:basedOn w:val="DefaultParagraphFont"/>
    <w:link w:val="Tabletext"/>
    <w:rsid w:val="00094EC2"/>
    <w:rPr>
      <w:rFonts w:ascii="Arial Narrow" w:hAnsi="Arial Narrow"/>
      <w:szCs w:val="24"/>
      <w:lang w:eastAsia="en-US"/>
    </w:rPr>
  </w:style>
  <w:style w:type="paragraph" w:customStyle="1" w:styleId="Tabletextboldleft">
    <w:name w:val="Table text bold left"/>
    <w:basedOn w:val="Normal"/>
    <w:link w:val="TabletextboldleftChar"/>
    <w:qFormat/>
    <w:rsid w:val="00094EC2"/>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094EC2"/>
    <w:rPr>
      <w:rFonts w:ascii="Arial Narrow" w:hAnsi="Arial Narrow" w:cs="Arial"/>
      <w:b/>
      <w:lang w:eastAsia="en-US"/>
    </w:rPr>
  </w:style>
  <w:style w:type="paragraph" w:customStyle="1" w:styleId="Tabletextbold">
    <w:name w:val="Table text bold"/>
    <w:basedOn w:val="Normal"/>
    <w:link w:val="TabletextboldChar"/>
    <w:qFormat/>
    <w:rsid w:val="00094EC2"/>
    <w:pPr>
      <w:keepNext/>
      <w:jc w:val="center"/>
    </w:pPr>
    <w:rPr>
      <w:rFonts w:ascii="Arial Narrow" w:hAnsi="Arial Narrow" w:cs="Arial"/>
      <w:b/>
      <w:sz w:val="20"/>
      <w:lang w:eastAsia="en-US"/>
    </w:rPr>
  </w:style>
  <w:style w:type="character" w:customStyle="1" w:styleId="TabletextboldChar">
    <w:name w:val="Table text bold Char"/>
    <w:link w:val="Tabletextbold"/>
    <w:rsid w:val="00094EC2"/>
    <w:rPr>
      <w:rFonts w:ascii="Arial Narrow" w:hAnsi="Arial Narrow" w:cs="Arial"/>
      <w:b/>
      <w:lang w:eastAsia="en-US"/>
    </w:rPr>
  </w:style>
  <w:style w:type="paragraph" w:customStyle="1" w:styleId="Tabletextcentred">
    <w:name w:val="Table text centred"/>
    <w:basedOn w:val="Tabletext"/>
    <w:link w:val="TabletextcentredChar"/>
    <w:qFormat/>
    <w:rsid w:val="00094EC2"/>
    <w:pPr>
      <w:jc w:val="center"/>
    </w:pPr>
  </w:style>
  <w:style w:type="character" w:customStyle="1" w:styleId="TabletextcentredChar">
    <w:name w:val="Table text centred Char"/>
    <w:link w:val="Tabletextcentred"/>
    <w:rsid w:val="00094EC2"/>
    <w:rPr>
      <w:rFonts w:ascii="Arial Narrow" w:hAnsi="Arial Narrow"/>
      <w:szCs w:val="24"/>
      <w:lang w:eastAsia="en-US"/>
    </w:rPr>
  </w:style>
  <w:style w:type="paragraph" w:customStyle="1" w:styleId="Guidelines">
    <w:name w:val="Guidelines"/>
    <w:basedOn w:val="Normal"/>
    <w:qFormat/>
    <w:rsid w:val="00094EC2"/>
    <w:pPr>
      <w:numPr>
        <w:numId w:val="17"/>
      </w:numPr>
      <w:tabs>
        <w:tab w:val="clear" w:pos="720"/>
        <w:tab w:val="num" w:pos="1080"/>
      </w:tabs>
      <w:jc w:val="both"/>
    </w:pPr>
    <w:rPr>
      <w:rFonts w:ascii="Garamond" w:hAnsi="Garamond"/>
      <w:color w:val="548DD4"/>
      <w:szCs w:val="24"/>
      <w:lang w:eastAsia="en-US"/>
    </w:rPr>
  </w:style>
  <w:style w:type="paragraph" w:customStyle="1" w:styleId="Comment">
    <w:name w:val="Comment"/>
    <w:basedOn w:val="Guidelines"/>
    <w:link w:val="CommentChar"/>
    <w:qFormat/>
    <w:rsid w:val="00094EC2"/>
    <w:pPr>
      <w:tabs>
        <w:tab w:val="clear" w:pos="1080"/>
        <w:tab w:val="num" w:pos="720"/>
      </w:tabs>
    </w:pPr>
    <w:rPr>
      <w:i/>
    </w:rPr>
  </w:style>
  <w:style w:type="character" w:customStyle="1" w:styleId="CommentChar">
    <w:name w:val="Comment Char"/>
    <w:link w:val="Comment"/>
    <w:rsid w:val="00094EC2"/>
    <w:rPr>
      <w:rFonts w:ascii="Garamond" w:hAnsi="Garamond"/>
      <w:i/>
      <w:color w:val="548DD4"/>
      <w:sz w:val="24"/>
      <w:szCs w:val="24"/>
      <w:lang w:eastAsia="en-US"/>
    </w:rPr>
  </w:style>
  <w:style w:type="paragraph" w:customStyle="1" w:styleId="ESHeading2">
    <w:name w:val="ES Heading 2"/>
    <w:basedOn w:val="Heading2"/>
    <w:link w:val="ESHeading2Char"/>
    <w:qFormat/>
    <w:rsid w:val="00094EC2"/>
    <w:pPr>
      <w:spacing w:before="0" w:after="0"/>
      <w:ind w:left="576" w:hanging="576"/>
      <w:jc w:val="both"/>
    </w:pPr>
    <w:rPr>
      <w:rFonts w:ascii="Garamond" w:hAnsi="Garamond" w:cs="Times New Roman"/>
      <w:i w:val="0"/>
      <w:sz w:val="24"/>
      <w:lang w:eastAsia="en-US"/>
    </w:rPr>
  </w:style>
  <w:style w:type="character" w:customStyle="1" w:styleId="ESHeading2Char">
    <w:name w:val="ES Heading 2 Char"/>
    <w:link w:val="ESHeading2"/>
    <w:rsid w:val="00094EC2"/>
    <w:rPr>
      <w:rFonts w:ascii="Garamond" w:hAnsi="Garamond"/>
      <w:b/>
      <w:bCs/>
      <w:iCs/>
      <w:sz w:val="24"/>
      <w:szCs w:val="28"/>
      <w:lang w:eastAsia="en-US"/>
    </w:rPr>
  </w:style>
  <w:style w:type="character" w:customStyle="1" w:styleId="TableTextChar0">
    <w:name w:val="Table Text Char"/>
    <w:link w:val="TableText0"/>
    <w:locked/>
    <w:rsid w:val="008C31F5"/>
    <w:rPr>
      <w:rFonts w:ascii="Arial" w:hAnsi="Arial" w:cs="Arial"/>
    </w:rPr>
  </w:style>
  <w:style w:type="paragraph" w:customStyle="1" w:styleId="TableText0">
    <w:name w:val="Table Text"/>
    <w:basedOn w:val="Normal"/>
    <w:link w:val="TableTextChar0"/>
    <w:qFormat/>
    <w:rsid w:val="008C31F5"/>
    <w:pPr>
      <w:keepNext/>
      <w:keepLines/>
      <w:spacing w:after="120"/>
    </w:pPr>
    <w:rPr>
      <w:rFonts w:ascii="Arial" w:hAnsi="Arial" w:cs="Arial"/>
      <w:sz w:val="20"/>
    </w:rPr>
  </w:style>
  <w:style w:type="paragraph" w:customStyle="1" w:styleId="Style1">
    <w:name w:val="Style1"/>
    <w:basedOn w:val="Heading1"/>
    <w:link w:val="Style1Char"/>
    <w:qFormat/>
    <w:rsid w:val="001910D3"/>
    <w:pPr>
      <w:numPr>
        <w:numId w:val="13"/>
      </w:numPr>
      <w:ind w:hanging="720"/>
    </w:pPr>
    <w:rPr>
      <w:rFonts w:cs="Arial"/>
      <w:szCs w:val="24"/>
    </w:rPr>
  </w:style>
  <w:style w:type="character" w:customStyle="1" w:styleId="Style1Char">
    <w:name w:val="Style1 Char"/>
    <w:basedOn w:val="Heading1Char"/>
    <w:link w:val="Style1"/>
    <w:rsid w:val="001910D3"/>
    <w:rPr>
      <w:rFonts w:ascii="Arial" w:eastAsiaTheme="majorEastAsia" w:hAnsi="Arial" w:cs="Arial"/>
      <w:b/>
      <w:b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A8876-1626-4124-BA70-3BD5E843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5728</Words>
  <Characters>31707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37361</CharactersWithSpaces>
  <SharedDoc>false</SharedDoc>
  <HLinks>
    <vt:vector size="6" baseType="variant">
      <vt:variant>
        <vt:i4>3997744</vt:i4>
      </vt:variant>
      <vt:variant>
        <vt:i4>3</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janssd</dc:creator>
  <cp:lastModifiedBy>McCandless Sean</cp:lastModifiedBy>
  <cp:revision>3</cp:revision>
  <cp:lastPrinted>2014-09-03T01:37:00Z</cp:lastPrinted>
  <dcterms:created xsi:type="dcterms:W3CDTF">2014-09-01T08:41:00Z</dcterms:created>
  <dcterms:modified xsi:type="dcterms:W3CDTF">2014-09-03T01:39:00Z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