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11E4A" w14:textId="77777777"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17C78A33" wp14:editId="5D0D96D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DB0550A" w14:textId="77777777" w:rsidR="00BC1364" w:rsidRPr="007B32D1" w:rsidRDefault="00BF479B" w:rsidP="006E4A48">
      <w:pPr>
        <w:spacing w:before="720" w:after="360"/>
        <w:jc w:val="center"/>
        <w:rPr>
          <w:rFonts w:ascii="Arial" w:hAnsi="Arial" w:cs="Arial"/>
          <w:b/>
          <w:bCs/>
          <w:color w:val="000080"/>
          <w:sz w:val="36"/>
          <w:szCs w:val="36"/>
        </w:rPr>
      </w:pPr>
      <w:r>
        <w:rPr>
          <w:rFonts w:ascii="Arial" w:hAnsi="Arial" w:cs="Arial"/>
          <w:b/>
          <w:bCs/>
          <w:color w:val="000080"/>
          <w:sz w:val="36"/>
          <w:szCs w:val="36"/>
        </w:rPr>
        <w:t>Public Summary Document</w:t>
      </w:r>
    </w:p>
    <w:p w14:paraId="4096F15A" w14:textId="64494B8E" w:rsidR="00BC1364" w:rsidRPr="00F3088E" w:rsidRDefault="003F5DD6" w:rsidP="00F3088E">
      <w:pPr>
        <w:pStyle w:val="Heading1"/>
      </w:pPr>
      <w:r w:rsidRPr="003F5DD6">
        <w:rPr>
          <w:rStyle w:val="IntenseReference"/>
          <w:b/>
          <w:bCs/>
          <w:i w:val="0"/>
          <w:smallCaps w:val="0"/>
          <w:color w:val="auto"/>
          <w:spacing w:val="0"/>
        </w:rPr>
        <w:t xml:space="preserve">Report to the Medical Services Advisory Committee on </w:t>
      </w:r>
      <w:r w:rsidR="00464960" w:rsidRPr="00464960">
        <w:t>utilisation of MBS item 32023 following Application 1150: Insertion of colonic stents for the management of malignant bowel obstructions</w:t>
      </w:r>
    </w:p>
    <w:p w14:paraId="50BBDDE4" w14:textId="3D09F275" w:rsidR="00BC1364" w:rsidRPr="00D90A38" w:rsidRDefault="003F5DD6" w:rsidP="004617ED">
      <w:pPr>
        <w:spacing w:before="360"/>
        <w:ind w:left="3600" w:hanging="3600"/>
        <w:rPr>
          <w:rFonts w:ascii="Arial" w:hAnsi="Arial" w:cs="Arial"/>
          <w:b/>
          <w:szCs w:val="24"/>
        </w:rPr>
      </w:pPr>
      <w:r>
        <w:rPr>
          <w:rFonts w:ascii="Arial" w:hAnsi="Arial" w:cs="Arial"/>
          <w:b/>
          <w:szCs w:val="24"/>
        </w:rPr>
        <w:t>Medicare Benefits Schedule</w:t>
      </w:r>
      <w:r w:rsidR="001C1BE6">
        <w:rPr>
          <w:rFonts w:ascii="Arial" w:hAnsi="Arial" w:cs="Arial"/>
          <w:b/>
          <w:szCs w:val="24"/>
        </w:rPr>
        <w:t xml:space="preserve"> </w:t>
      </w:r>
      <w:r>
        <w:rPr>
          <w:rFonts w:ascii="Arial" w:hAnsi="Arial" w:cs="Arial"/>
          <w:b/>
          <w:szCs w:val="24"/>
        </w:rPr>
        <w:t>(MBS) item considered</w:t>
      </w:r>
      <w:r w:rsidR="00BC1364" w:rsidRPr="00D90A38">
        <w:rPr>
          <w:rFonts w:ascii="Arial" w:hAnsi="Arial" w:cs="Arial"/>
          <w:b/>
          <w:szCs w:val="24"/>
        </w:rPr>
        <w:t>:</w:t>
      </w:r>
      <w:r w:rsidR="00BC1364" w:rsidRPr="00D90A38">
        <w:rPr>
          <w:rFonts w:ascii="Arial" w:hAnsi="Arial" w:cs="Arial"/>
          <w:b/>
          <w:szCs w:val="24"/>
        </w:rPr>
        <w:tab/>
      </w:r>
      <w:r w:rsidR="00464960">
        <w:rPr>
          <w:rFonts w:ascii="Arial" w:hAnsi="Arial" w:cs="Arial"/>
          <w:b/>
          <w:szCs w:val="24"/>
        </w:rPr>
        <w:t>32023</w:t>
      </w:r>
    </w:p>
    <w:p w14:paraId="6F6DDFED" w14:textId="714F57D0" w:rsidR="00BC1364" w:rsidRPr="00D90A38" w:rsidRDefault="004617ED" w:rsidP="004617ED">
      <w:pPr>
        <w:spacing w:before="360"/>
        <w:ind w:left="3600" w:hanging="3600"/>
        <w:rPr>
          <w:rFonts w:ascii="Arial" w:hAnsi="Arial" w:cs="Arial"/>
          <w:b/>
          <w:szCs w:val="24"/>
        </w:rPr>
      </w:pPr>
      <w:r>
        <w:rPr>
          <w:rFonts w:ascii="Arial" w:hAnsi="Arial" w:cs="Arial"/>
          <w:b/>
          <w:szCs w:val="24"/>
        </w:rPr>
        <w:t>D</w:t>
      </w:r>
      <w:r w:rsidR="00BC1364" w:rsidRPr="00D90A38">
        <w:rPr>
          <w:rFonts w:ascii="Arial" w:hAnsi="Arial" w:cs="Arial"/>
          <w:b/>
          <w:szCs w:val="24"/>
        </w:rPr>
        <w:t>ate of MSAC consideration:</w:t>
      </w:r>
      <w:r w:rsidR="00BC1364" w:rsidRPr="00D90A38">
        <w:rPr>
          <w:rFonts w:ascii="Arial" w:hAnsi="Arial" w:cs="Arial"/>
          <w:b/>
          <w:szCs w:val="24"/>
        </w:rPr>
        <w:tab/>
      </w:r>
      <w:r w:rsidR="00464960">
        <w:rPr>
          <w:rFonts w:ascii="Arial" w:hAnsi="Arial" w:cs="Arial"/>
          <w:b/>
          <w:szCs w:val="24"/>
        </w:rPr>
        <w:t>23</w:t>
      </w:r>
      <w:r w:rsidR="00DB1FC4">
        <w:rPr>
          <w:rFonts w:ascii="Arial" w:hAnsi="Arial" w:cs="Arial"/>
          <w:b/>
          <w:szCs w:val="24"/>
        </w:rPr>
        <w:t xml:space="preserve"> November 201</w:t>
      </w:r>
      <w:r w:rsidR="00464960">
        <w:rPr>
          <w:rFonts w:ascii="Arial" w:hAnsi="Arial" w:cs="Arial"/>
          <w:b/>
          <w:szCs w:val="24"/>
        </w:rPr>
        <w:t>7</w:t>
      </w:r>
    </w:p>
    <w:p w14:paraId="46790F2B" w14:textId="628DE527" w:rsidR="0041758C" w:rsidRDefault="006A0D97" w:rsidP="007A3D70">
      <w:pPr>
        <w:spacing w:before="240"/>
        <w:rPr>
          <w:szCs w:val="24"/>
        </w:rPr>
      </w:pPr>
      <w:r>
        <w:rPr>
          <w:szCs w:val="24"/>
        </w:rPr>
        <w:t xml:space="preserve">Context for decision: MSAC makes its advice in accordance with its Terms of Reference, see </w:t>
      </w:r>
      <w:r w:rsidR="009B433F">
        <w:rPr>
          <w:szCs w:val="24"/>
        </w:rPr>
        <w:t xml:space="preserve">the </w:t>
      </w:r>
      <w:hyperlink r:id="rId10" w:tooltip="Link to MSAC website" w:history="1">
        <w:r w:rsidR="009B433F" w:rsidRPr="009B433F">
          <w:rPr>
            <w:rStyle w:val="Hyperlink"/>
            <w:szCs w:val="24"/>
          </w:rPr>
          <w:t xml:space="preserve">MSAC </w:t>
        </w:r>
        <w:r w:rsidR="0048056B">
          <w:rPr>
            <w:rStyle w:val="Hyperlink"/>
            <w:szCs w:val="24"/>
          </w:rPr>
          <w:t>W</w:t>
        </w:r>
        <w:r w:rsidR="009B433F" w:rsidRPr="009B433F">
          <w:rPr>
            <w:rStyle w:val="Hyperlink"/>
            <w:szCs w:val="24"/>
          </w:rPr>
          <w:t>ebsite</w:t>
        </w:r>
      </w:hyperlink>
      <w:r w:rsidR="009B433F">
        <w:t>.</w:t>
      </w:r>
    </w:p>
    <w:p w14:paraId="52C2A008" w14:textId="6B815BB5" w:rsidR="003F5DD6" w:rsidRPr="003F5DD6" w:rsidRDefault="003D7F29" w:rsidP="004617ED">
      <w:pPr>
        <w:pStyle w:val="Heading1"/>
        <w:numPr>
          <w:ilvl w:val="0"/>
          <w:numId w:val="23"/>
        </w:numPr>
        <w:tabs>
          <w:tab w:val="left" w:pos="720"/>
          <w:tab w:val="left" w:pos="1140"/>
        </w:tabs>
        <w:spacing w:before="360"/>
        <w:ind w:hanging="720"/>
      </w:pPr>
      <w:r w:rsidRPr="00D90A38">
        <w:t xml:space="preserve">Purpose </w:t>
      </w:r>
    </w:p>
    <w:p w14:paraId="088AE43C" w14:textId="0E242EF5" w:rsidR="003F5DD6" w:rsidRDefault="003F5DD6" w:rsidP="003F5DD6">
      <w:r>
        <w:t xml:space="preserve">The purpose of the report presented to the Medical Services Advisory Committee (MSAC) was to inform MSAC of the real world impacts on the outcomes of </w:t>
      </w:r>
      <w:r w:rsidR="00DB1FC4">
        <w:t>A</w:t>
      </w:r>
      <w:r w:rsidR="000E155F">
        <w:t>pplication 1150</w:t>
      </w:r>
      <w:r>
        <w:t>. The MSAC uses this information to ensure that</w:t>
      </w:r>
      <w:r w:rsidR="00A91AFD">
        <w:t xml:space="preserve"> the new item</w:t>
      </w:r>
      <w:r w:rsidR="00DB1FC4">
        <w:t>/s</w:t>
      </w:r>
      <w:r w:rsidR="00A91AFD">
        <w:t xml:space="preserve"> resulting from this application</w:t>
      </w:r>
      <w:r w:rsidR="00DB1FC4">
        <w:t>/s</w:t>
      </w:r>
      <w:r w:rsidR="00A91AFD">
        <w:t xml:space="preserve"> is being used as intended.</w:t>
      </w:r>
    </w:p>
    <w:p w14:paraId="53627D54" w14:textId="77777777" w:rsidR="003F5DD6" w:rsidRPr="00DB1935" w:rsidRDefault="003F5DD6" w:rsidP="004617ED">
      <w:pPr>
        <w:spacing w:before="240"/>
      </w:pPr>
      <w:r w:rsidRPr="00341476">
        <w:t xml:space="preserve">The </w:t>
      </w:r>
      <w:r>
        <w:t>report</w:t>
      </w:r>
      <w:r w:rsidRPr="00341476">
        <w:t xml:space="preserve"> is not intended to be a review of the clinical information covered during the application process.</w:t>
      </w:r>
    </w:p>
    <w:p w14:paraId="27459AA3" w14:textId="67CD699D" w:rsidR="007F35C8" w:rsidRPr="00F3088E" w:rsidRDefault="00E977EE" w:rsidP="004617ED">
      <w:pPr>
        <w:pStyle w:val="Heading1"/>
        <w:numPr>
          <w:ilvl w:val="0"/>
          <w:numId w:val="23"/>
        </w:numPr>
        <w:tabs>
          <w:tab w:val="left" w:pos="720"/>
          <w:tab w:val="left" w:pos="1140"/>
        </w:tabs>
        <w:spacing w:before="360"/>
        <w:ind w:hanging="720"/>
      </w:pPr>
      <w:r w:rsidRPr="008D5885">
        <w:t xml:space="preserve">MSAC’s advice </w:t>
      </w:r>
    </w:p>
    <w:p w14:paraId="344A310A" w14:textId="1950005D" w:rsidR="007F35C8" w:rsidRPr="004617ED" w:rsidRDefault="00F3088E" w:rsidP="004617ED">
      <w:r>
        <w:t>After considering the real world imp</w:t>
      </w:r>
      <w:r w:rsidR="000E155F">
        <w:t>acts of the outcomes of Application 1150</w:t>
      </w:r>
      <w:r>
        <w:t xml:space="preserve"> for the </w:t>
      </w:r>
      <w:r w:rsidR="000E155F">
        <w:t>i</w:t>
      </w:r>
      <w:r w:rsidR="000E155F" w:rsidRPr="000E155F">
        <w:t xml:space="preserve">nsertion of colonic stents for the management </w:t>
      </w:r>
      <w:r w:rsidR="000E155F">
        <w:t>of malignant bowel obstructions</w:t>
      </w:r>
      <w:r w:rsidR="000E155F" w:rsidRPr="000E155F">
        <w:t xml:space="preserve"> </w:t>
      </w:r>
      <w:r>
        <w:t>(</w:t>
      </w:r>
      <w:r w:rsidR="000E155F" w:rsidRPr="000E155F">
        <w:t>MBS item 32023</w:t>
      </w:r>
      <w:r>
        <w:t xml:space="preserve">), MSAC </w:t>
      </w:r>
      <w:r w:rsidR="00F92897" w:rsidRPr="00F92897">
        <w:t>considered actual utilisation data and compared it with prior utilisation predictions following MSAC’s support for insertion of colonic stents for the management of malignant bowel obstructions. MSAC noted there was lower than expected utilisation of this item and recommended no further action.</w:t>
      </w:r>
    </w:p>
    <w:p w14:paraId="1D480D99" w14:textId="77777777" w:rsidR="007F35C8" w:rsidRPr="00E35CDB" w:rsidRDefault="007F35C8" w:rsidP="004617ED">
      <w:pPr>
        <w:pStyle w:val="Heading1"/>
        <w:numPr>
          <w:ilvl w:val="0"/>
          <w:numId w:val="23"/>
        </w:numPr>
        <w:tabs>
          <w:tab w:val="left" w:pos="720"/>
          <w:tab w:val="left" w:pos="1140"/>
        </w:tabs>
        <w:spacing w:before="360"/>
        <w:ind w:hanging="720"/>
      </w:pPr>
      <w:r w:rsidRPr="00E35CDB">
        <w:t>Summary of consideration and rationale for MSAC’s advice</w:t>
      </w:r>
    </w:p>
    <w:p w14:paraId="4181B6C9" w14:textId="52BF4314" w:rsidR="00F3088E" w:rsidRPr="00F92897" w:rsidRDefault="00F3088E" w:rsidP="00BD1F63">
      <w:pPr>
        <w:pStyle w:val="BodyText"/>
        <w:spacing w:before="0" w:line="240" w:lineRule="auto"/>
        <w:rPr>
          <w:rFonts w:ascii="Times New Roman" w:hAnsi="Times New Roman"/>
          <w:sz w:val="24"/>
          <w:szCs w:val="20"/>
        </w:rPr>
      </w:pPr>
      <w:r w:rsidRPr="00F92897">
        <w:rPr>
          <w:rFonts w:ascii="Times New Roman" w:hAnsi="Times New Roman"/>
          <w:sz w:val="24"/>
          <w:szCs w:val="20"/>
        </w:rPr>
        <w:t xml:space="preserve">MSAC considered the real world impacts of the outcome of </w:t>
      </w:r>
      <w:r w:rsidR="000E155F" w:rsidRPr="00F92897">
        <w:rPr>
          <w:rFonts w:ascii="Times New Roman" w:hAnsi="Times New Roman"/>
          <w:sz w:val="24"/>
          <w:szCs w:val="20"/>
        </w:rPr>
        <w:t xml:space="preserve">Application 1150 for the insertion of colonic stents for the management of malignant bowel obstructions (MBS item 32023) </w:t>
      </w:r>
      <w:r w:rsidRPr="00F92897">
        <w:rPr>
          <w:rFonts w:ascii="Times New Roman" w:hAnsi="Times New Roman"/>
          <w:sz w:val="24"/>
          <w:szCs w:val="20"/>
        </w:rPr>
        <w:t>by examining the available data for this item number.</w:t>
      </w:r>
    </w:p>
    <w:p w14:paraId="284E1D28" w14:textId="71E3A6A4" w:rsidR="00F3088E" w:rsidRPr="000E155F" w:rsidRDefault="00F92897" w:rsidP="004617ED">
      <w:pPr>
        <w:pStyle w:val="BodyText"/>
        <w:spacing w:before="240" w:line="240" w:lineRule="auto"/>
        <w:rPr>
          <w:rFonts w:ascii="Times New Roman" w:hAnsi="Times New Roman"/>
          <w:sz w:val="24"/>
          <w:szCs w:val="20"/>
          <w:highlight w:val="yellow"/>
        </w:rPr>
      </w:pPr>
      <w:r w:rsidRPr="00F92897">
        <w:rPr>
          <w:rFonts w:ascii="Times New Roman" w:hAnsi="Times New Roman"/>
          <w:sz w:val="24"/>
          <w:szCs w:val="20"/>
        </w:rPr>
        <w:t>MSAC recalled that it was predicted that there would be 614 self-expanding metallic stent (SEMS) insertions in the period 2012–13, gradually increasing to 650 services for 2016–17. MSAC noted that actual utilisation of MBS item 32023 is significantly lower than the estimations in Application 1150, amounting to approximately 13% of predicted utilisation services for 2014–16. MSAC noted that colonic stenting procedures provided in public hospitals could be a factor in lower than expected utilisation of MBS item 32023.</w:t>
      </w:r>
    </w:p>
    <w:p w14:paraId="57C13CBB" w14:textId="322833F0" w:rsidR="00F3088E" w:rsidRPr="000E155F" w:rsidRDefault="00F92897" w:rsidP="004617ED">
      <w:pPr>
        <w:pStyle w:val="BodyText"/>
        <w:spacing w:before="240" w:line="240" w:lineRule="auto"/>
        <w:rPr>
          <w:rFonts w:ascii="Times New Roman" w:hAnsi="Times New Roman"/>
          <w:sz w:val="24"/>
          <w:szCs w:val="20"/>
          <w:highlight w:val="yellow"/>
        </w:rPr>
      </w:pPr>
      <w:r w:rsidRPr="00F92897">
        <w:rPr>
          <w:rFonts w:ascii="Times New Roman" w:hAnsi="Times New Roman"/>
          <w:sz w:val="24"/>
          <w:szCs w:val="20"/>
        </w:rPr>
        <w:lastRenderedPageBreak/>
        <w:t>MSAC considered the possibility of acquiring sales data from the medical devices industry in order to derive the number of services that are provided in the public hospital setting versus private sector.</w:t>
      </w:r>
    </w:p>
    <w:p w14:paraId="2B43AA6D" w14:textId="0898FA96" w:rsidR="00F3088E" w:rsidRPr="000E155F" w:rsidRDefault="00F92897" w:rsidP="004617ED">
      <w:pPr>
        <w:pStyle w:val="BodyText"/>
        <w:spacing w:before="240" w:line="240" w:lineRule="auto"/>
        <w:rPr>
          <w:rFonts w:ascii="Times New Roman" w:hAnsi="Times New Roman"/>
          <w:sz w:val="24"/>
          <w:szCs w:val="20"/>
          <w:highlight w:val="yellow"/>
        </w:rPr>
      </w:pPr>
      <w:r w:rsidRPr="00F92897">
        <w:rPr>
          <w:rFonts w:ascii="Times New Roman" w:hAnsi="Times New Roman"/>
          <w:sz w:val="24"/>
          <w:szCs w:val="20"/>
        </w:rPr>
        <w:t xml:space="preserve">MSAC recalled that it was estimated that 10% of patients would require re-stenting under MBS item 32023. MSAC noted that actual utilisation matched predicted for re-stenting as 9% of patients required two stent procedures and that there were </w:t>
      </w:r>
      <w:r>
        <w:rPr>
          <w:rFonts w:ascii="Times New Roman" w:hAnsi="Times New Roman"/>
          <w:sz w:val="24"/>
          <w:szCs w:val="20"/>
        </w:rPr>
        <w:t>some</w:t>
      </w:r>
      <w:r w:rsidRPr="00F92897">
        <w:rPr>
          <w:rFonts w:ascii="Times New Roman" w:hAnsi="Times New Roman"/>
          <w:sz w:val="24"/>
          <w:szCs w:val="20"/>
        </w:rPr>
        <w:t xml:space="preserve"> patients who required three stents over the five year period.</w:t>
      </w:r>
    </w:p>
    <w:p w14:paraId="4D9CD337" w14:textId="77777777" w:rsidR="00F92897" w:rsidRDefault="00F92897" w:rsidP="004617ED">
      <w:pPr>
        <w:pStyle w:val="BodyText"/>
        <w:spacing w:before="240" w:line="240" w:lineRule="auto"/>
        <w:rPr>
          <w:rFonts w:ascii="Times New Roman" w:hAnsi="Times New Roman"/>
          <w:sz w:val="24"/>
          <w:szCs w:val="20"/>
        </w:rPr>
      </w:pPr>
      <w:r w:rsidRPr="00F92897">
        <w:rPr>
          <w:rFonts w:ascii="Times New Roman" w:hAnsi="Times New Roman"/>
          <w:sz w:val="24"/>
          <w:szCs w:val="20"/>
        </w:rPr>
        <w:t>MSAC noted that there has been a gradual increase in the number of practitioners providing services under MBS item 32023. There were 37 practitioners in 2013–14, increasing to 53 practitioners in 2015–16. MSAC noted that 8% of services are being provided by specialists outside of the approved specialities. MSAC considered the possibility that these services were provided by general physicians or other specialists (outside of indicated specialties) under the direction of colorectal surgeons and gastroenterologists. MSAC noted that MBS item 32023 is currently restricted to colorectal surgeons and gastroenterologists who have undergone recognised training in gastrointestinal endoscopy</w:t>
      </w:r>
    </w:p>
    <w:p w14:paraId="2AE20F8F" w14:textId="49F4F5B9" w:rsidR="003F5DD6" w:rsidRDefault="00F92897" w:rsidP="004617ED">
      <w:pPr>
        <w:pStyle w:val="BodyText"/>
        <w:spacing w:before="240" w:line="240" w:lineRule="auto"/>
        <w:rPr>
          <w:rFonts w:ascii="Times New Roman" w:hAnsi="Times New Roman"/>
          <w:sz w:val="24"/>
          <w:szCs w:val="20"/>
        </w:rPr>
      </w:pPr>
      <w:r w:rsidRPr="00F92897">
        <w:rPr>
          <w:rFonts w:ascii="Times New Roman" w:hAnsi="Times New Roman"/>
          <w:sz w:val="24"/>
          <w:szCs w:val="20"/>
        </w:rPr>
        <w:t xml:space="preserve">MSAC noted that the average fee charged for MBS item 32023 has increased from $702 in 2012–13 to $802 in 2016–17 and that private health insurance ‘no gap” or ‘known gap’ benefits may be utilised. MSAC also noted that </w:t>
      </w:r>
      <w:r w:rsidR="007B3BA8">
        <w:rPr>
          <w:rFonts w:ascii="Times New Roman" w:hAnsi="Times New Roman"/>
          <w:sz w:val="24"/>
          <w:szCs w:val="20"/>
        </w:rPr>
        <w:t xml:space="preserve">roughly </w:t>
      </w:r>
      <w:r w:rsidRPr="00F92897">
        <w:rPr>
          <w:rFonts w:ascii="Times New Roman" w:hAnsi="Times New Roman"/>
          <w:sz w:val="24"/>
          <w:szCs w:val="20"/>
        </w:rPr>
        <w:t xml:space="preserve">50% of the total </w:t>
      </w:r>
      <w:r w:rsidR="007B3BA8" w:rsidRPr="00F92897">
        <w:rPr>
          <w:rFonts w:ascii="Times New Roman" w:hAnsi="Times New Roman"/>
          <w:sz w:val="24"/>
          <w:szCs w:val="20"/>
        </w:rPr>
        <w:t xml:space="preserve">number of services </w:t>
      </w:r>
      <w:r w:rsidR="007B3BA8">
        <w:rPr>
          <w:rFonts w:ascii="Times New Roman" w:hAnsi="Times New Roman"/>
          <w:sz w:val="24"/>
          <w:szCs w:val="20"/>
        </w:rPr>
        <w:t xml:space="preserve">since implementation </w:t>
      </w:r>
      <w:r w:rsidR="007B3BA8" w:rsidRPr="00F92897">
        <w:rPr>
          <w:rFonts w:ascii="Times New Roman" w:hAnsi="Times New Roman"/>
          <w:sz w:val="24"/>
          <w:szCs w:val="20"/>
        </w:rPr>
        <w:t>was</w:t>
      </w:r>
      <w:r w:rsidRPr="00F92897">
        <w:rPr>
          <w:rFonts w:ascii="Times New Roman" w:hAnsi="Times New Roman"/>
          <w:sz w:val="24"/>
          <w:szCs w:val="20"/>
        </w:rPr>
        <w:t xml:space="preserve"> from New South Wales. MSAC noted that New South Wales had a significantly higher 95th percentile fee when compared with other States.</w:t>
      </w:r>
    </w:p>
    <w:p w14:paraId="0F3D751D" w14:textId="1D1B6379" w:rsidR="00F92897" w:rsidRDefault="00F92897" w:rsidP="004617ED">
      <w:pPr>
        <w:pStyle w:val="BodyText"/>
        <w:spacing w:before="240" w:line="240" w:lineRule="auto"/>
        <w:rPr>
          <w:rFonts w:ascii="Times New Roman" w:hAnsi="Times New Roman"/>
          <w:sz w:val="24"/>
          <w:szCs w:val="20"/>
        </w:rPr>
      </w:pPr>
      <w:r w:rsidRPr="00F92897">
        <w:rPr>
          <w:rFonts w:ascii="Times New Roman" w:hAnsi="Times New Roman"/>
          <w:sz w:val="24"/>
          <w:szCs w:val="20"/>
        </w:rPr>
        <w:t>MSAC noted that MBS consultation items 104, 105, 110, 116, 119 and 132 are the items most commonly co-claimed with MBS item 32023. MSAC considered that this co-claiming was of no concern from a clinical perspective and are there are likely to be legitimate reasons for occasional co-claiming of these MBS items.</w:t>
      </w:r>
    </w:p>
    <w:p w14:paraId="3EC3C8FD" w14:textId="71B8F11A" w:rsidR="00F92897" w:rsidRPr="004617ED" w:rsidRDefault="00F92897" w:rsidP="004617ED">
      <w:pPr>
        <w:pStyle w:val="BodyText"/>
        <w:spacing w:before="240" w:line="240" w:lineRule="auto"/>
        <w:rPr>
          <w:rFonts w:ascii="Times New Roman" w:hAnsi="Times New Roman"/>
          <w:sz w:val="24"/>
          <w:szCs w:val="20"/>
        </w:rPr>
      </w:pPr>
      <w:r w:rsidRPr="00F92897">
        <w:rPr>
          <w:rFonts w:ascii="Times New Roman" w:hAnsi="Times New Roman"/>
          <w:sz w:val="24"/>
          <w:szCs w:val="20"/>
        </w:rPr>
        <w:t>MSAC recommended no further action is required for MBS item 32023.</w:t>
      </w:r>
    </w:p>
    <w:p w14:paraId="08E2832D" w14:textId="24E7A918" w:rsidR="00550354" w:rsidRDefault="003F5DD6" w:rsidP="007A3D70">
      <w:pPr>
        <w:pStyle w:val="Heading1"/>
        <w:numPr>
          <w:ilvl w:val="0"/>
          <w:numId w:val="23"/>
        </w:numPr>
        <w:tabs>
          <w:tab w:val="left" w:pos="720"/>
          <w:tab w:val="left" w:pos="1140"/>
        </w:tabs>
        <w:spacing w:before="240"/>
        <w:ind w:hanging="720"/>
      </w:pPr>
      <w:r>
        <w:t>Methodology</w:t>
      </w:r>
    </w:p>
    <w:p w14:paraId="420601C9" w14:textId="297A7CBA" w:rsidR="001C1BE6" w:rsidRDefault="001C1BE6" w:rsidP="00550354">
      <w:pPr>
        <w:rPr>
          <w:szCs w:val="24"/>
        </w:rPr>
      </w:pPr>
      <w:r>
        <w:rPr>
          <w:szCs w:val="24"/>
        </w:rPr>
        <w:t xml:space="preserve">An application is selected for consideration if the resulting new item(s) </w:t>
      </w:r>
      <w:r w:rsidR="00026E58">
        <w:rPr>
          <w:szCs w:val="24"/>
        </w:rPr>
        <w:t>and/</w:t>
      </w:r>
      <w:r>
        <w:rPr>
          <w:szCs w:val="24"/>
        </w:rPr>
        <w:t xml:space="preserve">or item amendment(s) have been on the MBS for approximately 24 months or longer or if there were particular concerns about utilisation such that MSAC requested to consider it earlier. The specific applications for each MSAC meeting are selected by the MSAC Executive which is composed of the </w:t>
      </w:r>
      <w:r w:rsidR="00F3088E">
        <w:rPr>
          <w:szCs w:val="24"/>
        </w:rPr>
        <w:t>c</w:t>
      </w:r>
      <w:r>
        <w:rPr>
          <w:szCs w:val="24"/>
        </w:rPr>
        <w:t>hairs of MSAC and its sub-committees.</w:t>
      </w:r>
    </w:p>
    <w:p w14:paraId="5EF0EBE3" w14:textId="508C17D1" w:rsidR="001C1BE6" w:rsidRDefault="001C1BE6" w:rsidP="004617ED">
      <w:pPr>
        <w:spacing w:before="240"/>
        <w:rPr>
          <w:szCs w:val="24"/>
        </w:rPr>
      </w:pPr>
      <w:r>
        <w:rPr>
          <w:szCs w:val="24"/>
        </w:rPr>
        <w:t xml:space="preserve">A report on the utilisation is developed by the </w:t>
      </w:r>
      <w:r w:rsidR="00F3088E">
        <w:rPr>
          <w:szCs w:val="24"/>
        </w:rPr>
        <w:t>department</w:t>
      </w:r>
      <w:r>
        <w:rPr>
          <w:szCs w:val="24"/>
        </w:rPr>
        <w:t xml:space="preserve"> with information on a number of metrics including</w:t>
      </w:r>
      <w:r w:rsidR="00F3088E">
        <w:rPr>
          <w:szCs w:val="24"/>
        </w:rPr>
        <w:t>;</w:t>
      </w:r>
      <w:r>
        <w:rPr>
          <w:szCs w:val="24"/>
        </w:rPr>
        <w:t xml:space="preserve"> state variation, patient demographics, services per patient, practitioner’s providing the service, data on fees and co-claiming of services. The number of metrics included in a report is dependent on the annual service volume for the MBS item(s) under consideration i.e. an item with very low utilisation will have less data to analyse. Where service volumes are too low, information is suppressed to protect patient privacy.</w:t>
      </w:r>
    </w:p>
    <w:p w14:paraId="2DF32FA0" w14:textId="7FBEA9FC" w:rsidR="001C1BE6" w:rsidRDefault="001C1BE6" w:rsidP="004617ED">
      <w:pPr>
        <w:spacing w:before="240"/>
        <w:rPr>
          <w:szCs w:val="24"/>
        </w:rPr>
      </w:pPr>
      <w:r>
        <w:rPr>
          <w:szCs w:val="24"/>
        </w:rPr>
        <w:t>Where possible the report compares data on real world utilisation to the assumptions made during the MSAC assessment. Most of these assumptions are drawn from the assessment report.</w:t>
      </w:r>
    </w:p>
    <w:p w14:paraId="26E62F08" w14:textId="6CEDF436" w:rsidR="00B11472" w:rsidRDefault="001C1BE6" w:rsidP="004617ED">
      <w:pPr>
        <w:spacing w:before="240"/>
        <w:rPr>
          <w:szCs w:val="24"/>
        </w:rPr>
      </w:pPr>
      <w:r>
        <w:rPr>
          <w:szCs w:val="24"/>
        </w:rPr>
        <w:t>Relevant stakeholders are provided an opportunity to comment on the findings in the report before it is presented to the MSAC. It is intended that stakeholders are given at least three weeks to consider the reports.</w:t>
      </w:r>
    </w:p>
    <w:p w14:paraId="40C0C81F" w14:textId="4670B574" w:rsidR="001C1BE6" w:rsidRDefault="001C1BE6" w:rsidP="004617ED">
      <w:pPr>
        <w:spacing w:before="240"/>
        <w:rPr>
          <w:szCs w:val="24"/>
        </w:rPr>
      </w:pPr>
      <w:r>
        <w:rPr>
          <w:szCs w:val="24"/>
        </w:rPr>
        <w:lastRenderedPageBreak/>
        <w:t xml:space="preserve">The stakeholder version of the report does not contain information </w:t>
      </w:r>
      <w:r w:rsidR="00B11472">
        <w:rPr>
          <w:szCs w:val="24"/>
        </w:rPr>
        <w:t>on assumptions from the MSAC consideration if this information is not already publicly available. This is to protect the commercial in confidence of the original applicants. The same principle is applied to this document.</w:t>
      </w:r>
    </w:p>
    <w:p w14:paraId="604337F3" w14:textId="193DA686" w:rsidR="00D14EAB" w:rsidRPr="004617ED" w:rsidRDefault="00B11472" w:rsidP="004617ED">
      <w:pPr>
        <w:spacing w:before="240"/>
        <w:rPr>
          <w:szCs w:val="24"/>
        </w:rPr>
      </w:pPr>
      <w:r>
        <w:rPr>
          <w:szCs w:val="24"/>
        </w:rPr>
        <w:t>Once MSAC has considered the report</w:t>
      </w:r>
      <w:r w:rsidR="002D73A2">
        <w:rPr>
          <w:szCs w:val="24"/>
        </w:rPr>
        <w:t>,</w:t>
      </w:r>
      <w:r w:rsidR="00A91AFD">
        <w:rPr>
          <w:szCs w:val="24"/>
        </w:rPr>
        <w:t xml:space="preserve"> its advice is made available online </w:t>
      </w:r>
      <w:r w:rsidR="009B433F">
        <w:rPr>
          <w:szCs w:val="24"/>
        </w:rPr>
        <w:t xml:space="preserve">at the </w:t>
      </w:r>
      <w:hyperlink r:id="rId11" w:tooltip="Link to MSAC website" w:history="1">
        <w:r w:rsidR="009B433F" w:rsidRPr="009B433F">
          <w:rPr>
            <w:rStyle w:val="Hyperlink"/>
            <w:szCs w:val="24"/>
          </w:rPr>
          <w:t xml:space="preserve">MSAC </w:t>
        </w:r>
        <w:r w:rsidR="0048056B">
          <w:rPr>
            <w:rStyle w:val="Hyperlink"/>
            <w:szCs w:val="24"/>
          </w:rPr>
          <w:t>W</w:t>
        </w:r>
        <w:r w:rsidR="009B433F" w:rsidRPr="009B433F">
          <w:rPr>
            <w:rStyle w:val="Hyperlink"/>
            <w:szCs w:val="24"/>
          </w:rPr>
          <w:t>ebsite</w:t>
        </w:r>
      </w:hyperlink>
      <w:r w:rsidR="00A91AFD">
        <w:rPr>
          <w:szCs w:val="24"/>
        </w:rPr>
        <w:t>.</w:t>
      </w:r>
    </w:p>
    <w:p w14:paraId="09E8EE24" w14:textId="79069D80" w:rsidR="00BC1364" w:rsidRPr="00A91AFD" w:rsidRDefault="003F5DD6" w:rsidP="004617ED">
      <w:pPr>
        <w:pStyle w:val="Heading1"/>
        <w:numPr>
          <w:ilvl w:val="0"/>
          <w:numId w:val="23"/>
        </w:numPr>
        <w:tabs>
          <w:tab w:val="left" w:pos="720"/>
          <w:tab w:val="left" w:pos="1140"/>
        </w:tabs>
        <w:spacing w:before="360"/>
        <w:ind w:hanging="720"/>
      </w:pPr>
      <w:r>
        <w:t>Results</w:t>
      </w:r>
    </w:p>
    <w:p w14:paraId="759802B8" w14:textId="03C6E5D8" w:rsidR="004E015F" w:rsidRDefault="004E015F" w:rsidP="004E015F">
      <w:pPr>
        <w:pStyle w:val="Heading2"/>
      </w:pPr>
      <w:r>
        <w:t>Utilisation</w:t>
      </w:r>
    </w:p>
    <w:p w14:paraId="6EB3E3D7" w14:textId="24325A26" w:rsidR="008430A7" w:rsidRDefault="00A91AFD" w:rsidP="007A3D70">
      <w:pPr>
        <w:spacing w:after="240"/>
      </w:pPr>
      <w:r>
        <w:t xml:space="preserve">Item </w:t>
      </w:r>
      <w:r w:rsidR="000E155F">
        <w:t>32023</w:t>
      </w:r>
      <w:r>
        <w:t xml:space="preserve"> </w:t>
      </w:r>
      <w:r w:rsidR="000E155F">
        <w:t>had</w:t>
      </w:r>
      <w:r>
        <w:t xml:space="preserve"> </w:t>
      </w:r>
      <w:r w:rsidR="000E155F" w:rsidRPr="000E155F">
        <w:t xml:space="preserve">81 </w:t>
      </w:r>
      <w:r w:rsidR="000E155F">
        <w:t>services</w:t>
      </w:r>
      <w:r w:rsidR="000E155F" w:rsidRPr="000E155F">
        <w:t xml:space="preserve"> </w:t>
      </w:r>
      <w:r w:rsidR="005F0BD4">
        <w:t xml:space="preserve">claimed </w:t>
      </w:r>
      <w:r w:rsidR="000E155F" w:rsidRPr="000E155F">
        <w:t xml:space="preserve">in 2014-15 and 85 services </w:t>
      </w:r>
      <w:r w:rsidR="005F0BD4">
        <w:t xml:space="preserve">claimed </w:t>
      </w:r>
      <w:r w:rsidR="000E155F" w:rsidRPr="000E155F">
        <w:t>in 2015-16</w:t>
      </w:r>
      <w:r>
        <w:t xml:space="preserve">. Month to month growth in use of this item suggests this service </w:t>
      </w:r>
      <w:r w:rsidR="005F0BD4">
        <w:t>has reached a plateau</w:t>
      </w:r>
      <w:r>
        <w:t>.</w:t>
      </w:r>
    </w:p>
    <w:p w14:paraId="65EB8C9A" w14:textId="77777777" w:rsidR="005F0BD4" w:rsidRDefault="005F0BD4" w:rsidP="008430A7">
      <w:pPr>
        <w:rPr>
          <w:b/>
          <w:bCs/>
        </w:rPr>
      </w:pPr>
      <w:r w:rsidRPr="005F0BD4">
        <w:t>From 1 November 2012 to 31 March 2017, New South Wales had the highest utilisation with 149 services (approximately half of total services billed to the item).  There were 83 services in Queensland and 32 services in Victoria in the same period (Table 1).</w:t>
      </w:r>
    </w:p>
    <w:p w14:paraId="40A89E69" w14:textId="4465A1C0" w:rsidR="00A91AFD" w:rsidRPr="005E3F81" w:rsidRDefault="005F0BD4" w:rsidP="00753306">
      <w:pPr>
        <w:pStyle w:val="Heading3"/>
      </w:pPr>
      <w:r w:rsidRPr="005F0BD4">
        <w:t>Table 1: Service volume of MBS item 32023 between 2012-13 and 2016-17 (date of service)</w:t>
      </w:r>
    </w:p>
    <w:tbl>
      <w:tblPr>
        <w:tblW w:w="0" w:type="auto"/>
        <w:tblInd w:w="93" w:type="dxa"/>
        <w:tblLook w:val="04A0" w:firstRow="1" w:lastRow="0" w:firstColumn="1" w:lastColumn="0" w:noHBand="0" w:noVBand="1"/>
        <w:tblCaption w:val="Service volume of MBS item 32023 between 2012-13 and 2016-17"/>
        <w:tblDescription w:val="Figures show lower than anticipated service volume, with a majority of services in New South Wales and Queensland"/>
      </w:tblPr>
      <w:tblGrid>
        <w:gridCol w:w="1291"/>
        <w:gridCol w:w="851"/>
        <w:gridCol w:w="708"/>
        <w:gridCol w:w="709"/>
        <w:gridCol w:w="851"/>
        <w:gridCol w:w="708"/>
        <w:gridCol w:w="851"/>
        <w:gridCol w:w="709"/>
        <w:gridCol w:w="708"/>
        <w:gridCol w:w="851"/>
      </w:tblGrid>
      <w:tr w:rsidR="005F0BD4" w:rsidRPr="005F0BD4" w14:paraId="21D717AD" w14:textId="77777777" w:rsidTr="00036C20">
        <w:trPr>
          <w:trHeight w:val="255"/>
        </w:trPr>
        <w:tc>
          <w:tcPr>
            <w:tcW w:w="1291" w:type="dxa"/>
            <w:vMerge w:val="restart"/>
            <w:tcBorders>
              <w:bottom w:val="single" w:sz="4" w:space="0" w:color="auto"/>
              <w:right w:val="single" w:sz="4" w:space="0" w:color="auto"/>
            </w:tcBorders>
            <w:shd w:val="clear" w:color="auto" w:fill="auto"/>
            <w:noWrap/>
            <w:vAlign w:val="center"/>
            <w:hideMark/>
          </w:tcPr>
          <w:p w14:paraId="62B022CA" w14:textId="77777777" w:rsidR="005F0BD4" w:rsidRPr="005F0BD4" w:rsidRDefault="005F0BD4" w:rsidP="005F0BD4">
            <w:pPr>
              <w:jc w:val="center"/>
              <w:rPr>
                <w:rFonts w:ascii="Arial" w:hAnsi="Arial" w:cs="Arial"/>
                <w:b/>
                <w:bCs/>
                <w:color w:val="000000"/>
                <w:sz w:val="18"/>
                <w:szCs w:val="18"/>
                <w:lang w:eastAsia="en-US"/>
              </w:rPr>
            </w:pPr>
          </w:p>
        </w:tc>
        <w:tc>
          <w:tcPr>
            <w:tcW w:w="609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39758" w14:textId="77777777" w:rsidR="005F0BD4" w:rsidRPr="005F0BD4" w:rsidRDefault="005F0BD4" w:rsidP="005F0BD4">
            <w:pPr>
              <w:jc w:val="center"/>
              <w:rPr>
                <w:rFonts w:ascii="Arial" w:hAnsi="Arial" w:cs="Arial"/>
                <w:b/>
                <w:bCs/>
                <w:color w:val="000000"/>
                <w:sz w:val="18"/>
                <w:szCs w:val="18"/>
                <w:lang w:eastAsia="en-US"/>
              </w:rPr>
            </w:pPr>
            <w:r w:rsidRPr="005F0BD4">
              <w:rPr>
                <w:rFonts w:ascii="Arial" w:hAnsi="Arial" w:cs="Arial"/>
                <w:b/>
                <w:bCs/>
                <w:color w:val="000000"/>
                <w:sz w:val="18"/>
                <w:szCs w:val="18"/>
                <w:lang w:eastAsia="en-US"/>
              </w:rPr>
              <w:t>State/Territory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1DD64" w14:textId="77777777" w:rsidR="005F0BD4" w:rsidRPr="005F0BD4" w:rsidRDefault="005F0BD4" w:rsidP="005F0BD4">
            <w:pPr>
              <w:jc w:val="center"/>
              <w:rPr>
                <w:rFonts w:ascii="Arial" w:hAnsi="Arial" w:cs="Arial"/>
                <w:b/>
                <w:bCs/>
                <w:color w:val="000000"/>
                <w:sz w:val="18"/>
                <w:szCs w:val="18"/>
                <w:lang w:eastAsia="en-US"/>
              </w:rPr>
            </w:pPr>
            <w:r w:rsidRPr="005F0BD4">
              <w:rPr>
                <w:rFonts w:ascii="Arial" w:hAnsi="Arial" w:cs="Arial"/>
                <w:b/>
                <w:bCs/>
                <w:color w:val="000000"/>
                <w:sz w:val="18"/>
                <w:szCs w:val="18"/>
                <w:lang w:eastAsia="en-US"/>
              </w:rPr>
              <w:t>Total</w:t>
            </w:r>
          </w:p>
        </w:tc>
      </w:tr>
      <w:tr w:rsidR="005F0BD4" w:rsidRPr="005F0BD4" w14:paraId="6B5DD1FE" w14:textId="77777777" w:rsidTr="00036C20">
        <w:trPr>
          <w:trHeight w:val="255"/>
        </w:trPr>
        <w:tc>
          <w:tcPr>
            <w:tcW w:w="1291" w:type="dxa"/>
            <w:vMerge/>
            <w:tcBorders>
              <w:top w:val="single" w:sz="4" w:space="0" w:color="auto"/>
              <w:bottom w:val="single" w:sz="4" w:space="0" w:color="auto"/>
              <w:right w:val="single" w:sz="4" w:space="0" w:color="auto"/>
            </w:tcBorders>
            <w:vAlign w:val="center"/>
            <w:hideMark/>
          </w:tcPr>
          <w:p w14:paraId="53B4133A" w14:textId="77777777" w:rsidR="005F0BD4" w:rsidRPr="005F0BD4" w:rsidRDefault="005F0BD4" w:rsidP="005F0BD4">
            <w:pPr>
              <w:rPr>
                <w:rFonts w:ascii="Arial" w:hAnsi="Arial" w:cs="Arial"/>
                <w:b/>
                <w:bCs/>
                <w:color w:val="000000"/>
                <w:sz w:val="18"/>
                <w:szCs w:val="18"/>
                <w:lang w:eastAsia="en-US"/>
              </w:rPr>
            </w:pPr>
          </w:p>
        </w:tc>
        <w:tc>
          <w:tcPr>
            <w:tcW w:w="851" w:type="dxa"/>
            <w:tcBorders>
              <w:top w:val="nil"/>
              <w:left w:val="nil"/>
              <w:bottom w:val="single" w:sz="4" w:space="0" w:color="auto"/>
              <w:right w:val="single" w:sz="4" w:space="0" w:color="auto"/>
            </w:tcBorders>
            <w:shd w:val="clear" w:color="auto" w:fill="548DD4" w:themeFill="text2" w:themeFillTint="99"/>
            <w:noWrap/>
            <w:vAlign w:val="center"/>
            <w:hideMark/>
          </w:tcPr>
          <w:p w14:paraId="3E526792" w14:textId="77777777" w:rsidR="005F0BD4" w:rsidRPr="005F0BD4" w:rsidRDefault="005F0BD4"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NSW</w:t>
            </w:r>
          </w:p>
        </w:tc>
        <w:tc>
          <w:tcPr>
            <w:tcW w:w="708"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7A5C1B29" w14:textId="77777777" w:rsidR="005F0BD4" w:rsidRPr="005F0BD4" w:rsidRDefault="005F0BD4"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VIC</w:t>
            </w:r>
          </w:p>
        </w:tc>
        <w:tc>
          <w:tcPr>
            <w:tcW w:w="70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3A8AECE8" w14:textId="77777777" w:rsidR="005F0BD4" w:rsidRPr="005F0BD4" w:rsidRDefault="005F0BD4"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QLD</w:t>
            </w:r>
          </w:p>
        </w:tc>
        <w:tc>
          <w:tcPr>
            <w:tcW w:w="851"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7EAF413E" w14:textId="77777777" w:rsidR="005F0BD4" w:rsidRPr="005F0BD4" w:rsidRDefault="005F0BD4"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SA</w:t>
            </w:r>
          </w:p>
        </w:tc>
        <w:tc>
          <w:tcPr>
            <w:tcW w:w="708"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2466D3DF" w14:textId="77777777" w:rsidR="005F0BD4" w:rsidRPr="005F0BD4" w:rsidRDefault="005F0BD4"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WA</w:t>
            </w:r>
          </w:p>
        </w:tc>
        <w:tc>
          <w:tcPr>
            <w:tcW w:w="851"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17DADE84" w14:textId="77777777" w:rsidR="005F0BD4" w:rsidRPr="005F0BD4" w:rsidRDefault="005F0BD4"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TAS</w:t>
            </w:r>
          </w:p>
        </w:tc>
        <w:tc>
          <w:tcPr>
            <w:tcW w:w="70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429732E3" w14:textId="77777777" w:rsidR="005F0BD4" w:rsidRPr="005F0BD4" w:rsidRDefault="005F0BD4"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NT</w:t>
            </w:r>
          </w:p>
        </w:tc>
        <w:tc>
          <w:tcPr>
            <w:tcW w:w="708"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3D880C80" w14:textId="77777777" w:rsidR="005F0BD4" w:rsidRPr="005F0BD4" w:rsidRDefault="005F0BD4"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ACT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5462C4" w14:textId="77777777" w:rsidR="005F0BD4" w:rsidRPr="005F0BD4" w:rsidRDefault="005F0BD4" w:rsidP="005F0BD4">
            <w:pPr>
              <w:rPr>
                <w:rFonts w:ascii="Arial" w:hAnsi="Arial" w:cs="Arial"/>
                <w:b/>
                <w:bCs/>
                <w:color w:val="000000"/>
                <w:sz w:val="18"/>
                <w:szCs w:val="18"/>
                <w:lang w:eastAsia="en-US"/>
              </w:rPr>
            </w:pPr>
          </w:p>
        </w:tc>
      </w:tr>
      <w:tr w:rsidR="005F0BD4" w:rsidRPr="005F0BD4" w14:paraId="2FAF39BD" w14:textId="77777777" w:rsidTr="00036C20">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DE07B" w14:textId="77777777" w:rsidR="005F0BD4" w:rsidRPr="005F0BD4" w:rsidRDefault="005F0BD4" w:rsidP="005F0BD4">
            <w:pPr>
              <w:rPr>
                <w:rFonts w:ascii="Arial" w:hAnsi="Arial" w:cs="Arial"/>
                <w:bCs/>
                <w:color w:val="000000"/>
                <w:sz w:val="18"/>
                <w:szCs w:val="18"/>
                <w:lang w:eastAsia="en-US"/>
              </w:rPr>
            </w:pPr>
            <w:r w:rsidRPr="005F0BD4">
              <w:rPr>
                <w:rFonts w:ascii="Arial" w:hAnsi="Arial" w:cs="Arial"/>
                <w:bCs/>
                <w:color w:val="000000"/>
                <w:sz w:val="18"/>
                <w:szCs w:val="18"/>
                <w:lang w:eastAsia="en-US"/>
              </w:rPr>
              <w:t>2012-2013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BA9950B"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np </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3C78FFB"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np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9EB4084"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np </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16C17F"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np </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10A1229"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np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76D76" w14:textId="77777777" w:rsidR="005F0BD4" w:rsidRPr="005F0BD4" w:rsidRDefault="005F0BD4" w:rsidP="005F0BD4">
            <w:pPr>
              <w:jc w:val="right"/>
              <w:rPr>
                <w:rFonts w:ascii="Arial" w:hAnsi="Arial" w:cs="Arial"/>
                <w:bCs/>
                <w:color w:val="000000"/>
                <w:sz w:val="18"/>
                <w:szCs w:val="18"/>
                <w:lang w:eastAsia="en-US"/>
              </w:rPr>
            </w:pPr>
            <w:r w:rsidRPr="005F0BD4">
              <w:rPr>
                <w:rFonts w:ascii="Arial" w:hAnsi="Arial" w:cs="Arial"/>
                <w:bCs/>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F150A" w14:textId="77777777" w:rsidR="005F0BD4" w:rsidRPr="005F0BD4" w:rsidRDefault="005F0BD4" w:rsidP="005F0BD4">
            <w:pPr>
              <w:jc w:val="right"/>
              <w:rPr>
                <w:rFonts w:ascii="Arial" w:hAnsi="Arial" w:cs="Arial"/>
                <w:bCs/>
                <w:color w:val="000000"/>
                <w:sz w:val="18"/>
                <w:szCs w:val="18"/>
                <w:lang w:eastAsia="en-US"/>
              </w:rPr>
            </w:pPr>
            <w:r w:rsidRPr="005F0BD4">
              <w:rPr>
                <w:rFonts w:ascii="Arial" w:hAnsi="Arial" w:cs="Arial"/>
                <w:bCs/>
                <w:color w:val="000000"/>
                <w:sz w:val="18"/>
                <w:szCs w:val="18"/>
                <w:lang w:eastAsia="en-US"/>
              </w:rPr>
              <w:t>np</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72449" w14:textId="77777777" w:rsidR="005F0BD4" w:rsidRPr="005F0BD4" w:rsidRDefault="005F0BD4" w:rsidP="005F0BD4">
            <w:pPr>
              <w:jc w:val="right"/>
              <w:rPr>
                <w:rFonts w:ascii="Arial" w:hAnsi="Arial" w:cs="Arial"/>
                <w:bCs/>
                <w:color w:val="000000"/>
                <w:sz w:val="18"/>
                <w:szCs w:val="18"/>
                <w:lang w:eastAsia="en-US"/>
              </w:rPr>
            </w:pPr>
            <w:r w:rsidRPr="005F0BD4">
              <w:rPr>
                <w:rFonts w:ascii="Arial" w:hAnsi="Arial" w:cs="Arial"/>
                <w:bCs/>
                <w:color w:val="000000"/>
                <w:sz w:val="18"/>
                <w:szCs w:val="18"/>
                <w:lang w:eastAsia="en-US"/>
              </w:rPr>
              <w:t>np</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F77BD89" w14:textId="77777777" w:rsidR="005F0BD4" w:rsidRPr="005F0BD4" w:rsidRDefault="005F0BD4" w:rsidP="005F0BD4">
            <w:pPr>
              <w:jc w:val="right"/>
              <w:rPr>
                <w:rFonts w:ascii="Arial" w:hAnsi="Arial" w:cs="Arial"/>
                <w:b/>
                <w:sz w:val="18"/>
                <w:szCs w:val="24"/>
                <w:lang w:eastAsia="en-US"/>
              </w:rPr>
            </w:pPr>
            <w:r w:rsidRPr="005F0BD4">
              <w:rPr>
                <w:rFonts w:ascii="Arial" w:hAnsi="Arial" w:cs="Arial"/>
                <w:b/>
                <w:sz w:val="18"/>
                <w:szCs w:val="24"/>
                <w:lang w:eastAsia="en-US"/>
              </w:rPr>
              <w:t xml:space="preserve">12 </w:t>
            </w:r>
          </w:p>
        </w:tc>
      </w:tr>
      <w:tr w:rsidR="005F0BD4" w:rsidRPr="005F0BD4" w14:paraId="25C53C76" w14:textId="77777777" w:rsidTr="00036C20">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6E2FF" w14:textId="77777777" w:rsidR="005F0BD4" w:rsidRPr="005F0BD4" w:rsidRDefault="005F0BD4" w:rsidP="005F0BD4">
            <w:pPr>
              <w:rPr>
                <w:rFonts w:ascii="Arial" w:hAnsi="Arial" w:cs="Arial"/>
                <w:bCs/>
                <w:color w:val="000000"/>
                <w:sz w:val="18"/>
                <w:szCs w:val="18"/>
                <w:lang w:eastAsia="en-US"/>
              </w:rPr>
            </w:pPr>
            <w:r w:rsidRPr="005F0BD4">
              <w:rPr>
                <w:rFonts w:ascii="Arial" w:hAnsi="Arial" w:cs="Arial"/>
                <w:bCs/>
                <w:color w:val="000000"/>
                <w:sz w:val="18"/>
                <w:szCs w:val="18"/>
                <w:lang w:eastAsia="en-US"/>
              </w:rPr>
              <w:t>2013-2014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A7F3A95"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28 </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DF76030"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7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631E729"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16 </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37DBB94"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np </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991F2A2"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np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610D5" w14:textId="77777777" w:rsidR="005F0BD4" w:rsidRPr="005F0BD4" w:rsidRDefault="005F0BD4" w:rsidP="005F0BD4">
            <w:pPr>
              <w:jc w:val="right"/>
              <w:rPr>
                <w:rFonts w:ascii="Arial" w:hAnsi="Arial" w:cs="Arial"/>
                <w:bCs/>
                <w:color w:val="000000"/>
                <w:sz w:val="18"/>
                <w:szCs w:val="18"/>
                <w:lang w:eastAsia="en-US"/>
              </w:rPr>
            </w:pPr>
            <w:r w:rsidRPr="005F0BD4">
              <w:rPr>
                <w:rFonts w:ascii="Arial" w:hAnsi="Arial" w:cs="Arial"/>
                <w:bCs/>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0AF5F" w14:textId="77777777" w:rsidR="005F0BD4" w:rsidRPr="005F0BD4" w:rsidRDefault="005F0BD4" w:rsidP="005F0BD4">
            <w:pPr>
              <w:jc w:val="right"/>
              <w:rPr>
                <w:rFonts w:ascii="Arial" w:hAnsi="Arial" w:cs="Arial"/>
                <w:bCs/>
                <w:color w:val="000000"/>
                <w:sz w:val="18"/>
                <w:szCs w:val="18"/>
                <w:lang w:eastAsia="en-US"/>
              </w:rPr>
            </w:pPr>
            <w:r w:rsidRPr="005F0BD4">
              <w:rPr>
                <w:rFonts w:ascii="Arial" w:hAnsi="Arial" w:cs="Arial"/>
                <w:bCs/>
                <w:color w:val="000000"/>
                <w:sz w:val="18"/>
                <w:szCs w:val="18"/>
                <w:lang w:eastAsia="en-US"/>
              </w:rPr>
              <w:t>np</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489E2" w14:textId="77777777" w:rsidR="005F0BD4" w:rsidRPr="005F0BD4" w:rsidRDefault="005F0BD4" w:rsidP="005F0BD4">
            <w:pPr>
              <w:jc w:val="right"/>
              <w:rPr>
                <w:rFonts w:ascii="Arial" w:hAnsi="Arial" w:cs="Arial"/>
                <w:bCs/>
                <w:color w:val="000000"/>
                <w:sz w:val="18"/>
                <w:szCs w:val="18"/>
                <w:lang w:eastAsia="en-US"/>
              </w:rPr>
            </w:pPr>
            <w:r w:rsidRPr="005F0BD4">
              <w:rPr>
                <w:rFonts w:ascii="Arial" w:hAnsi="Arial" w:cs="Arial"/>
                <w:bCs/>
                <w:color w:val="000000"/>
                <w:sz w:val="18"/>
                <w:szCs w:val="18"/>
                <w:lang w:eastAsia="en-US"/>
              </w:rPr>
              <w:t>np</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44A69AF" w14:textId="77777777" w:rsidR="005F0BD4" w:rsidRPr="005F0BD4" w:rsidRDefault="005F0BD4" w:rsidP="005F0BD4">
            <w:pPr>
              <w:jc w:val="right"/>
              <w:rPr>
                <w:rFonts w:ascii="Arial" w:hAnsi="Arial" w:cs="Arial"/>
                <w:b/>
                <w:sz w:val="18"/>
                <w:szCs w:val="24"/>
                <w:lang w:eastAsia="en-US"/>
              </w:rPr>
            </w:pPr>
            <w:r w:rsidRPr="005F0BD4">
              <w:rPr>
                <w:rFonts w:ascii="Arial" w:hAnsi="Arial" w:cs="Arial"/>
                <w:b/>
                <w:sz w:val="18"/>
                <w:szCs w:val="24"/>
                <w:lang w:eastAsia="en-US"/>
              </w:rPr>
              <w:t xml:space="preserve">57 </w:t>
            </w:r>
          </w:p>
        </w:tc>
      </w:tr>
      <w:tr w:rsidR="005F0BD4" w:rsidRPr="005F0BD4" w14:paraId="5115DFCE" w14:textId="77777777" w:rsidTr="00036C20">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D4533" w14:textId="77777777" w:rsidR="005F0BD4" w:rsidRPr="005F0BD4" w:rsidRDefault="005F0BD4" w:rsidP="005F0BD4">
            <w:pPr>
              <w:rPr>
                <w:rFonts w:ascii="Arial" w:hAnsi="Arial" w:cs="Arial"/>
                <w:bCs/>
                <w:color w:val="000000"/>
                <w:sz w:val="18"/>
                <w:szCs w:val="18"/>
                <w:lang w:eastAsia="en-US"/>
              </w:rPr>
            </w:pPr>
            <w:r w:rsidRPr="005F0BD4">
              <w:rPr>
                <w:rFonts w:ascii="Arial" w:hAnsi="Arial" w:cs="Arial"/>
                <w:bCs/>
                <w:color w:val="000000"/>
                <w:sz w:val="18"/>
                <w:szCs w:val="18"/>
                <w:lang w:eastAsia="en-US"/>
              </w:rPr>
              <w:t>2014-2015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4447033"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43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091109F"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np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377129"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22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FD2416"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np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75E32F0"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np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4FDF3" w14:textId="77777777" w:rsidR="005F0BD4" w:rsidRPr="005F0BD4" w:rsidRDefault="005F0BD4" w:rsidP="005F0BD4">
            <w:pPr>
              <w:jc w:val="right"/>
              <w:rPr>
                <w:rFonts w:ascii="Arial" w:hAnsi="Arial" w:cs="Arial"/>
                <w:bCs/>
                <w:color w:val="000000"/>
                <w:sz w:val="18"/>
                <w:szCs w:val="18"/>
                <w:lang w:eastAsia="en-US"/>
              </w:rPr>
            </w:pPr>
            <w:r w:rsidRPr="005F0BD4">
              <w:rPr>
                <w:rFonts w:ascii="Arial" w:hAnsi="Arial" w:cs="Arial"/>
                <w:bCs/>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F282C" w14:textId="77777777" w:rsidR="005F0BD4" w:rsidRPr="005F0BD4" w:rsidRDefault="005F0BD4" w:rsidP="005F0BD4">
            <w:pPr>
              <w:jc w:val="right"/>
              <w:rPr>
                <w:rFonts w:ascii="Arial" w:hAnsi="Arial" w:cs="Arial"/>
                <w:bCs/>
                <w:color w:val="000000"/>
                <w:sz w:val="18"/>
                <w:szCs w:val="18"/>
                <w:lang w:eastAsia="en-US"/>
              </w:rPr>
            </w:pPr>
            <w:r w:rsidRPr="005F0BD4">
              <w:rPr>
                <w:rFonts w:ascii="Arial" w:hAnsi="Arial" w:cs="Arial"/>
                <w:bCs/>
                <w:color w:val="000000"/>
                <w:sz w:val="18"/>
                <w:szCs w:val="18"/>
                <w:lang w:eastAsia="en-US"/>
              </w:rPr>
              <w:t>np</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4F21C" w14:textId="77777777" w:rsidR="005F0BD4" w:rsidRPr="005F0BD4" w:rsidRDefault="005F0BD4" w:rsidP="005F0BD4">
            <w:pPr>
              <w:jc w:val="right"/>
              <w:rPr>
                <w:rFonts w:ascii="Arial" w:hAnsi="Arial" w:cs="Arial"/>
                <w:bCs/>
                <w:color w:val="000000"/>
                <w:sz w:val="18"/>
                <w:szCs w:val="18"/>
                <w:lang w:eastAsia="en-US"/>
              </w:rPr>
            </w:pPr>
            <w:r w:rsidRPr="005F0BD4">
              <w:rPr>
                <w:rFonts w:ascii="Arial" w:hAnsi="Arial" w:cs="Arial"/>
                <w:bCs/>
                <w:color w:val="000000"/>
                <w:sz w:val="18"/>
                <w:szCs w:val="18"/>
                <w:lang w:eastAsia="en-US"/>
              </w:rPr>
              <w:t>np</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8D8D2A6" w14:textId="77777777" w:rsidR="005F0BD4" w:rsidRPr="005F0BD4" w:rsidRDefault="005F0BD4" w:rsidP="005F0BD4">
            <w:pPr>
              <w:jc w:val="right"/>
              <w:rPr>
                <w:rFonts w:ascii="Arial" w:hAnsi="Arial" w:cs="Arial"/>
                <w:b/>
                <w:sz w:val="18"/>
                <w:szCs w:val="24"/>
                <w:lang w:eastAsia="en-US"/>
              </w:rPr>
            </w:pPr>
            <w:r w:rsidRPr="005F0BD4">
              <w:rPr>
                <w:rFonts w:ascii="Arial" w:hAnsi="Arial" w:cs="Arial"/>
                <w:b/>
                <w:sz w:val="18"/>
                <w:szCs w:val="24"/>
                <w:lang w:eastAsia="en-US"/>
              </w:rPr>
              <w:t xml:space="preserve">81 </w:t>
            </w:r>
          </w:p>
        </w:tc>
      </w:tr>
      <w:tr w:rsidR="005F0BD4" w:rsidRPr="005F0BD4" w14:paraId="2CF7DD1A" w14:textId="77777777" w:rsidTr="00036C20">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7AFD6" w14:textId="77777777" w:rsidR="005F0BD4" w:rsidRPr="005F0BD4" w:rsidRDefault="005F0BD4" w:rsidP="005F0BD4">
            <w:pPr>
              <w:rPr>
                <w:rFonts w:ascii="Arial" w:hAnsi="Arial" w:cs="Arial"/>
                <w:bCs/>
                <w:color w:val="000000"/>
                <w:sz w:val="18"/>
                <w:szCs w:val="18"/>
                <w:lang w:eastAsia="en-US"/>
              </w:rPr>
            </w:pPr>
            <w:r w:rsidRPr="005F0BD4">
              <w:rPr>
                <w:rFonts w:ascii="Arial" w:hAnsi="Arial" w:cs="Arial"/>
                <w:bCs/>
                <w:color w:val="000000"/>
                <w:sz w:val="18"/>
                <w:szCs w:val="18"/>
                <w:lang w:eastAsia="en-US"/>
              </w:rPr>
              <w:t>2015-2016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66181F4"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36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5C345FC"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13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F608DF1"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20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63235A3"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7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F4074F2"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353BD" w14:textId="77777777" w:rsidR="005F0BD4" w:rsidRPr="005F0BD4" w:rsidRDefault="005F0BD4" w:rsidP="005F0BD4">
            <w:pPr>
              <w:jc w:val="right"/>
              <w:rPr>
                <w:rFonts w:ascii="Arial" w:hAnsi="Arial" w:cs="Arial"/>
                <w:bCs/>
                <w:color w:val="000000"/>
                <w:sz w:val="18"/>
                <w:szCs w:val="18"/>
                <w:lang w:eastAsia="en-US"/>
              </w:rPr>
            </w:pPr>
            <w:r w:rsidRPr="005F0BD4">
              <w:rPr>
                <w:rFonts w:ascii="Arial" w:hAnsi="Arial" w:cs="Arial"/>
                <w:bCs/>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3BD2" w14:textId="77777777" w:rsidR="005F0BD4" w:rsidRPr="005F0BD4" w:rsidRDefault="005F0BD4" w:rsidP="005F0BD4">
            <w:pPr>
              <w:jc w:val="right"/>
              <w:rPr>
                <w:rFonts w:ascii="Arial" w:hAnsi="Arial" w:cs="Arial"/>
                <w:bCs/>
                <w:color w:val="000000"/>
                <w:sz w:val="18"/>
                <w:szCs w:val="18"/>
                <w:lang w:eastAsia="en-US"/>
              </w:rPr>
            </w:pPr>
            <w:r w:rsidRPr="005F0BD4">
              <w:rPr>
                <w:rFonts w:ascii="Arial" w:hAnsi="Arial" w:cs="Arial"/>
                <w:bCs/>
                <w:color w:val="000000"/>
                <w:sz w:val="18"/>
                <w:szCs w:val="18"/>
                <w:lang w:eastAsia="en-US"/>
              </w:rPr>
              <w:t>np</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3D009" w14:textId="77777777" w:rsidR="005F0BD4" w:rsidRPr="005F0BD4" w:rsidRDefault="005F0BD4" w:rsidP="005F0BD4">
            <w:pPr>
              <w:jc w:val="right"/>
              <w:rPr>
                <w:rFonts w:ascii="Arial" w:hAnsi="Arial" w:cs="Arial"/>
                <w:bCs/>
                <w:color w:val="000000"/>
                <w:sz w:val="18"/>
                <w:szCs w:val="18"/>
                <w:lang w:eastAsia="en-US"/>
              </w:rPr>
            </w:pPr>
            <w:r w:rsidRPr="005F0BD4">
              <w:rPr>
                <w:rFonts w:ascii="Arial" w:hAnsi="Arial" w:cs="Arial"/>
                <w:bCs/>
                <w:color w:val="000000"/>
                <w:sz w:val="18"/>
                <w:szCs w:val="18"/>
                <w:lang w:eastAsia="en-US"/>
              </w:rPr>
              <w:t>np</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790E6ED" w14:textId="77777777" w:rsidR="005F0BD4" w:rsidRPr="005F0BD4" w:rsidRDefault="005F0BD4" w:rsidP="005F0BD4">
            <w:pPr>
              <w:jc w:val="right"/>
              <w:rPr>
                <w:rFonts w:ascii="Arial" w:hAnsi="Arial" w:cs="Arial"/>
                <w:b/>
                <w:sz w:val="18"/>
                <w:szCs w:val="24"/>
                <w:lang w:eastAsia="en-US"/>
              </w:rPr>
            </w:pPr>
            <w:r w:rsidRPr="005F0BD4">
              <w:rPr>
                <w:rFonts w:ascii="Arial" w:hAnsi="Arial" w:cs="Arial"/>
                <w:b/>
                <w:sz w:val="18"/>
                <w:szCs w:val="24"/>
                <w:lang w:eastAsia="en-US"/>
              </w:rPr>
              <w:t xml:space="preserve">85 </w:t>
            </w:r>
          </w:p>
        </w:tc>
      </w:tr>
      <w:tr w:rsidR="005F0BD4" w:rsidRPr="005F0BD4" w14:paraId="40955838" w14:textId="77777777" w:rsidTr="00036C20">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A0177" w14:textId="77777777" w:rsidR="005F0BD4" w:rsidRPr="005F0BD4" w:rsidRDefault="005F0BD4" w:rsidP="005F0BD4">
            <w:pPr>
              <w:rPr>
                <w:rFonts w:ascii="Arial" w:hAnsi="Arial" w:cs="Arial"/>
                <w:bCs/>
                <w:color w:val="000000"/>
                <w:sz w:val="18"/>
                <w:szCs w:val="18"/>
                <w:lang w:eastAsia="en-US"/>
              </w:rPr>
            </w:pPr>
            <w:r w:rsidRPr="005F0BD4">
              <w:rPr>
                <w:rFonts w:ascii="Arial" w:hAnsi="Arial" w:cs="Arial"/>
                <w:bCs/>
                <w:color w:val="000000"/>
                <w:sz w:val="18"/>
                <w:szCs w:val="18"/>
                <w:lang w:eastAsia="en-US"/>
              </w:rPr>
              <w:t>2016-2017*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B4715F6"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37 </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1224F25"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7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C42EA92"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22 </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2DE2B7"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np </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15F741A" w14:textId="77777777" w:rsidR="005F0BD4" w:rsidRPr="005F0BD4" w:rsidRDefault="005F0BD4" w:rsidP="005F0BD4">
            <w:pPr>
              <w:jc w:val="right"/>
              <w:rPr>
                <w:rFonts w:ascii="Arial" w:hAnsi="Arial" w:cs="Arial"/>
                <w:sz w:val="18"/>
                <w:szCs w:val="24"/>
                <w:lang w:eastAsia="en-US"/>
              </w:rPr>
            </w:pPr>
            <w:r w:rsidRPr="005F0BD4">
              <w:rPr>
                <w:rFonts w:ascii="Arial" w:hAnsi="Arial" w:cs="Arial"/>
                <w:sz w:val="18"/>
                <w:szCs w:val="24"/>
                <w:lang w:eastAsia="en-US"/>
              </w:rPr>
              <w:t xml:space="preserve">np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5D951" w14:textId="77777777" w:rsidR="005F0BD4" w:rsidRPr="005F0BD4" w:rsidRDefault="005F0BD4" w:rsidP="005F0BD4">
            <w:pPr>
              <w:jc w:val="right"/>
              <w:rPr>
                <w:rFonts w:ascii="Arial" w:hAnsi="Arial" w:cs="Arial"/>
                <w:bCs/>
                <w:color w:val="000000"/>
                <w:sz w:val="18"/>
                <w:szCs w:val="18"/>
                <w:lang w:eastAsia="en-US"/>
              </w:rPr>
            </w:pPr>
            <w:r w:rsidRPr="005F0BD4">
              <w:rPr>
                <w:rFonts w:ascii="Arial" w:hAnsi="Arial" w:cs="Arial"/>
                <w:bCs/>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EEA65" w14:textId="77777777" w:rsidR="005F0BD4" w:rsidRPr="005F0BD4" w:rsidRDefault="005F0BD4" w:rsidP="005F0BD4">
            <w:pPr>
              <w:jc w:val="right"/>
              <w:rPr>
                <w:rFonts w:ascii="Arial" w:hAnsi="Arial" w:cs="Arial"/>
                <w:bCs/>
                <w:color w:val="000000"/>
                <w:sz w:val="18"/>
                <w:szCs w:val="18"/>
                <w:lang w:eastAsia="en-US"/>
              </w:rPr>
            </w:pPr>
            <w:r w:rsidRPr="005F0BD4">
              <w:rPr>
                <w:rFonts w:ascii="Arial" w:hAnsi="Arial" w:cs="Arial"/>
                <w:bCs/>
                <w:color w:val="000000"/>
                <w:sz w:val="18"/>
                <w:szCs w:val="18"/>
                <w:lang w:eastAsia="en-US"/>
              </w:rPr>
              <w:t>np</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2E2BC" w14:textId="77777777" w:rsidR="005F0BD4" w:rsidRPr="005F0BD4" w:rsidRDefault="005F0BD4" w:rsidP="005F0BD4">
            <w:pPr>
              <w:jc w:val="right"/>
              <w:rPr>
                <w:rFonts w:ascii="Arial" w:hAnsi="Arial" w:cs="Arial"/>
                <w:bCs/>
                <w:color w:val="000000"/>
                <w:sz w:val="18"/>
                <w:szCs w:val="18"/>
                <w:lang w:eastAsia="en-US"/>
              </w:rPr>
            </w:pPr>
            <w:r w:rsidRPr="005F0BD4">
              <w:rPr>
                <w:rFonts w:ascii="Arial" w:hAnsi="Arial" w:cs="Arial"/>
                <w:bCs/>
                <w:color w:val="000000"/>
                <w:sz w:val="18"/>
                <w:szCs w:val="18"/>
                <w:lang w:eastAsia="en-US"/>
              </w:rPr>
              <w:t>np</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811090E" w14:textId="77777777" w:rsidR="005F0BD4" w:rsidRPr="005F0BD4" w:rsidRDefault="005F0BD4" w:rsidP="005F0BD4">
            <w:pPr>
              <w:jc w:val="right"/>
              <w:rPr>
                <w:rFonts w:ascii="Arial" w:hAnsi="Arial" w:cs="Arial"/>
                <w:b/>
                <w:sz w:val="18"/>
                <w:szCs w:val="24"/>
                <w:lang w:eastAsia="en-US"/>
              </w:rPr>
            </w:pPr>
            <w:r w:rsidRPr="005F0BD4">
              <w:rPr>
                <w:rFonts w:ascii="Arial" w:hAnsi="Arial" w:cs="Arial"/>
                <w:b/>
                <w:sz w:val="18"/>
                <w:szCs w:val="24"/>
                <w:lang w:eastAsia="en-US"/>
              </w:rPr>
              <w:t xml:space="preserve">71 </w:t>
            </w:r>
          </w:p>
        </w:tc>
      </w:tr>
      <w:tr w:rsidR="005F0BD4" w:rsidRPr="005F0BD4" w14:paraId="3E855759" w14:textId="77777777" w:rsidTr="00036C20">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63908" w14:textId="77777777" w:rsidR="005F0BD4" w:rsidRPr="005F0BD4" w:rsidRDefault="005F0BD4" w:rsidP="005F0BD4">
            <w:pPr>
              <w:rPr>
                <w:rFonts w:ascii="Arial" w:hAnsi="Arial" w:cs="Arial"/>
                <w:b/>
                <w:bCs/>
                <w:color w:val="000000"/>
                <w:sz w:val="18"/>
                <w:szCs w:val="18"/>
                <w:lang w:eastAsia="en-US"/>
              </w:rPr>
            </w:pPr>
            <w:r w:rsidRPr="005F0BD4">
              <w:rPr>
                <w:rFonts w:ascii="Arial" w:hAnsi="Arial" w:cs="Arial"/>
                <w:b/>
                <w:bCs/>
                <w:color w:val="000000"/>
                <w:sz w:val="18"/>
                <w:szCs w:val="18"/>
                <w:lang w:eastAsia="en-US"/>
              </w:rPr>
              <w:t>All years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A6B5D5" w14:textId="77777777" w:rsidR="005F0BD4" w:rsidRPr="005F0BD4" w:rsidRDefault="005F0BD4" w:rsidP="005F0BD4">
            <w:pPr>
              <w:jc w:val="right"/>
              <w:rPr>
                <w:rFonts w:ascii="Arial" w:hAnsi="Arial" w:cs="Arial"/>
                <w:b/>
                <w:sz w:val="18"/>
                <w:szCs w:val="24"/>
                <w:lang w:eastAsia="en-US"/>
              </w:rPr>
            </w:pPr>
            <w:r w:rsidRPr="005F0BD4">
              <w:rPr>
                <w:rFonts w:ascii="Arial" w:hAnsi="Arial" w:cs="Arial"/>
                <w:b/>
                <w:sz w:val="18"/>
                <w:szCs w:val="24"/>
                <w:lang w:eastAsia="en-US"/>
              </w:rPr>
              <w:t>149</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E9A829E" w14:textId="77777777" w:rsidR="005F0BD4" w:rsidRPr="005F0BD4" w:rsidRDefault="005F0BD4" w:rsidP="005F0BD4">
            <w:pPr>
              <w:jc w:val="right"/>
              <w:rPr>
                <w:rFonts w:ascii="Arial" w:hAnsi="Arial" w:cs="Arial"/>
                <w:b/>
                <w:sz w:val="18"/>
                <w:szCs w:val="24"/>
                <w:lang w:eastAsia="en-US"/>
              </w:rPr>
            </w:pPr>
            <w:r w:rsidRPr="005F0BD4">
              <w:rPr>
                <w:rFonts w:ascii="Arial" w:hAnsi="Arial" w:cs="Arial"/>
                <w:b/>
                <w:sz w:val="18"/>
                <w:szCs w:val="24"/>
                <w:lang w:eastAsia="en-US"/>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891EA39" w14:textId="77777777" w:rsidR="005F0BD4" w:rsidRPr="005F0BD4" w:rsidRDefault="005F0BD4" w:rsidP="005F0BD4">
            <w:pPr>
              <w:jc w:val="right"/>
              <w:rPr>
                <w:rFonts w:ascii="Arial" w:hAnsi="Arial" w:cs="Arial"/>
                <w:b/>
                <w:sz w:val="18"/>
                <w:szCs w:val="24"/>
                <w:lang w:eastAsia="en-US"/>
              </w:rPr>
            </w:pPr>
            <w:r w:rsidRPr="005F0BD4">
              <w:rPr>
                <w:rFonts w:ascii="Arial" w:hAnsi="Arial" w:cs="Arial"/>
                <w:b/>
                <w:sz w:val="18"/>
                <w:szCs w:val="24"/>
                <w:lang w:eastAsia="en-US"/>
              </w:rPr>
              <w:t>83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0D36C17" w14:textId="77777777" w:rsidR="005F0BD4" w:rsidRPr="005F0BD4" w:rsidRDefault="005F0BD4" w:rsidP="005F0BD4">
            <w:pPr>
              <w:jc w:val="right"/>
              <w:rPr>
                <w:rFonts w:ascii="Arial" w:hAnsi="Arial" w:cs="Arial"/>
                <w:b/>
                <w:sz w:val="18"/>
                <w:szCs w:val="24"/>
                <w:lang w:eastAsia="en-US"/>
              </w:rPr>
            </w:pPr>
            <w:r w:rsidRPr="005F0BD4">
              <w:rPr>
                <w:rFonts w:ascii="Arial" w:hAnsi="Arial" w:cs="Arial"/>
                <w:b/>
                <w:sz w:val="18"/>
                <w:szCs w:val="24"/>
                <w:lang w:eastAsia="en-US"/>
              </w:rPr>
              <w:t>14</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9E690F6" w14:textId="77777777" w:rsidR="005F0BD4" w:rsidRPr="005F0BD4" w:rsidRDefault="005F0BD4" w:rsidP="005F0BD4">
            <w:pPr>
              <w:jc w:val="right"/>
              <w:rPr>
                <w:rFonts w:ascii="Arial" w:hAnsi="Arial" w:cs="Arial"/>
                <w:b/>
                <w:sz w:val="18"/>
                <w:szCs w:val="24"/>
                <w:lang w:eastAsia="en-US"/>
              </w:rPr>
            </w:pPr>
            <w:r w:rsidRPr="005F0BD4">
              <w:rPr>
                <w:rFonts w:ascii="Arial" w:hAnsi="Arial" w:cs="Arial"/>
                <w:b/>
                <w:sz w:val="18"/>
                <w:szCs w:val="24"/>
                <w:lang w:eastAsia="en-US"/>
              </w:rPr>
              <w:t>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408B4" w14:textId="77777777" w:rsidR="005F0BD4" w:rsidRPr="005F0BD4" w:rsidRDefault="005F0BD4" w:rsidP="005F0BD4">
            <w:pPr>
              <w:jc w:val="right"/>
              <w:rPr>
                <w:rFonts w:ascii="Arial" w:hAnsi="Arial" w:cs="Arial"/>
                <w:b/>
                <w:bCs/>
                <w:color w:val="000000"/>
                <w:sz w:val="18"/>
                <w:szCs w:val="18"/>
                <w:lang w:eastAsia="en-US"/>
              </w:rPr>
            </w:pPr>
            <w:r w:rsidRPr="005F0BD4">
              <w:rPr>
                <w:rFonts w:ascii="Arial" w:hAnsi="Arial" w:cs="Arial"/>
                <w:b/>
                <w:bCs/>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ECB57" w14:textId="77777777" w:rsidR="005F0BD4" w:rsidRPr="005F0BD4" w:rsidRDefault="005F0BD4" w:rsidP="005F0BD4">
            <w:pPr>
              <w:jc w:val="right"/>
              <w:rPr>
                <w:rFonts w:ascii="Arial" w:hAnsi="Arial" w:cs="Arial"/>
                <w:b/>
                <w:bCs/>
                <w:color w:val="000000"/>
                <w:sz w:val="18"/>
                <w:szCs w:val="18"/>
                <w:lang w:eastAsia="en-US"/>
              </w:rPr>
            </w:pPr>
            <w:r w:rsidRPr="005F0BD4">
              <w:rPr>
                <w:rFonts w:ascii="Arial" w:hAnsi="Arial" w:cs="Arial"/>
                <w:b/>
                <w:bCs/>
                <w:color w:val="000000"/>
                <w:sz w:val="18"/>
                <w:szCs w:val="18"/>
                <w:lang w:eastAsia="en-US"/>
              </w:rPr>
              <w:t>np</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B9C4D" w14:textId="77777777" w:rsidR="005F0BD4" w:rsidRPr="005F0BD4" w:rsidRDefault="005F0BD4" w:rsidP="005F0BD4">
            <w:pPr>
              <w:jc w:val="right"/>
              <w:rPr>
                <w:rFonts w:ascii="Arial" w:hAnsi="Arial" w:cs="Arial"/>
                <w:b/>
                <w:bCs/>
                <w:color w:val="000000"/>
                <w:sz w:val="18"/>
                <w:szCs w:val="18"/>
                <w:lang w:eastAsia="en-US"/>
              </w:rPr>
            </w:pPr>
            <w:r w:rsidRPr="005F0BD4">
              <w:rPr>
                <w:rFonts w:ascii="Arial" w:hAnsi="Arial" w:cs="Arial"/>
                <w:b/>
                <w:bCs/>
                <w:color w:val="000000"/>
                <w:sz w:val="18"/>
                <w:szCs w:val="18"/>
                <w:lang w:eastAsia="en-US"/>
              </w:rPr>
              <w:t>np</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D180BB1" w14:textId="77777777" w:rsidR="005F0BD4" w:rsidRPr="005F0BD4" w:rsidRDefault="005F0BD4" w:rsidP="005F0BD4">
            <w:pPr>
              <w:jc w:val="right"/>
              <w:rPr>
                <w:rFonts w:ascii="Arial" w:hAnsi="Arial" w:cs="Arial"/>
                <w:b/>
                <w:sz w:val="18"/>
                <w:szCs w:val="24"/>
                <w:lang w:eastAsia="en-US"/>
              </w:rPr>
            </w:pPr>
            <w:r w:rsidRPr="005F0BD4">
              <w:rPr>
                <w:rFonts w:ascii="Arial" w:hAnsi="Arial" w:cs="Arial"/>
                <w:b/>
                <w:sz w:val="18"/>
                <w:szCs w:val="24"/>
                <w:lang w:eastAsia="en-US"/>
              </w:rPr>
              <w:t>306</w:t>
            </w:r>
          </w:p>
        </w:tc>
      </w:tr>
    </w:tbl>
    <w:p w14:paraId="1C74C734" w14:textId="77777777" w:rsidR="005F0BD4" w:rsidRPr="005F0BD4" w:rsidRDefault="005F0BD4" w:rsidP="005F0BD4">
      <w:pPr>
        <w:rPr>
          <w:bCs/>
          <w:sz w:val="18"/>
          <w:szCs w:val="18"/>
          <w:lang w:eastAsia="en-US"/>
        </w:rPr>
      </w:pPr>
      <w:r w:rsidRPr="005F0BD4">
        <w:rPr>
          <w:bCs/>
          <w:sz w:val="18"/>
          <w:szCs w:val="18"/>
          <w:lang w:eastAsia="en-US"/>
        </w:rPr>
        <w:t xml:space="preserve">Source: MBS Analytics Section – May 2017 </w:t>
      </w:r>
    </w:p>
    <w:p w14:paraId="470ACF83" w14:textId="77777777" w:rsidR="005F0BD4" w:rsidRPr="005F0BD4" w:rsidRDefault="005F0BD4" w:rsidP="005F0BD4">
      <w:pPr>
        <w:rPr>
          <w:bCs/>
          <w:color w:val="000000"/>
          <w:sz w:val="18"/>
          <w:szCs w:val="24"/>
          <w:lang w:eastAsia="en-US"/>
        </w:rPr>
      </w:pPr>
      <w:r w:rsidRPr="005F0BD4">
        <w:rPr>
          <w:bCs/>
          <w:color w:val="000000"/>
          <w:sz w:val="18"/>
          <w:szCs w:val="24"/>
          <w:lang w:eastAsia="en-US"/>
        </w:rPr>
        <w:t xml:space="preserve">*2016-17 financial </w:t>
      </w:r>
      <w:proofErr w:type="gramStart"/>
      <w:r w:rsidRPr="005F0BD4">
        <w:rPr>
          <w:bCs/>
          <w:color w:val="000000"/>
          <w:sz w:val="18"/>
          <w:szCs w:val="24"/>
          <w:lang w:eastAsia="en-US"/>
        </w:rPr>
        <w:t>year</w:t>
      </w:r>
      <w:proofErr w:type="gramEnd"/>
      <w:r w:rsidRPr="005F0BD4">
        <w:rPr>
          <w:bCs/>
          <w:color w:val="000000"/>
          <w:sz w:val="18"/>
          <w:szCs w:val="24"/>
          <w:lang w:eastAsia="en-US"/>
        </w:rPr>
        <w:t xml:space="preserve"> includes data to 31 March 2017</w:t>
      </w:r>
    </w:p>
    <w:p w14:paraId="04C7A238" w14:textId="77777777" w:rsidR="005F0BD4" w:rsidRPr="005F0BD4" w:rsidRDefault="005F0BD4" w:rsidP="005F0BD4">
      <w:pPr>
        <w:rPr>
          <w:color w:val="000000"/>
          <w:sz w:val="18"/>
          <w:szCs w:val="24"/>
          <w:lang w:eastAsia="en-US"/>
        </w:rPr>
      </w:pPr>
      <w:r w:rsidRPr="005F0BD4">
        <w:rPr>
          <w:color w:val="000000"/>
          <w:sz w:val="18"/>
          <w:szCs w:val="24"/>
          <w:lang w:eastAsia="en-US"/>
        </w:rPr>
        <w:t>NP = not printed to protect privacy</w:t>
      </w:r>
    </w:p>
    <w:p w14:paraId="3C98A518" w14:textId="12C5981F" w:rsidR="004E015F" w:rsidRDefault="004E015F" w:rsidP="004E015F">
      <w:pPr>
        <w:pStyle w:val="Heading2"/>
      </w:pPr>
      <w:r>
        <w:t>Patient breakdown</w:t>
      </w:r>
    </w:p>
    <w:p w14:paraId="20A1DC1B" w14:textId="5CE435BD" w:rsidR="005F0BD4" w:rsidRPr="005F0BD4" w:rsidRDefault="005F0BD4" w:rsidP="007A3D70">
      <w:pPr>
        <w:spacing w:after="240"/>
        <w:ind w:right="-199"/>
        <w:rPr>
          <w:szCs w:val="24"/>
          <w:lang w:eastAsia="en-US"/>
        </w:rPr>
      </w:pPr>
      <w:r w:rsidRPr="005F0BD4">
        <w:rPr>
          <w:szCs w:val="24"/>
          <w:lang w:eastAsia="en-US"/>
        </w:rPr>
        <w:t xml:space="preserve">There were 80 patients who claimed </w:t>
      </w:r>
      <w:r>
        <w:rPr>
          <w:szCs w:val="24"/>
          <w:lang w:eastAsia="en-US"/>
        </w:rPr>
        <w:t xml:space="preserve">85 services for </w:t>
      </w:r>
      <w:r w:rsidRPr="005F0BD4">
        <w:rPr>
          <w:szCs w:val="24"/>
          <w:lang w:eastAsia="en-US"/>
        </w:rPr>
        <w:t xml:space="preserve">item 32023 in 2015-16.  Of these, 74 were new patients and 6 were continuing from the previous financial year.  Figures suggest these continued and the consequent additional services are consistent with the predictions made regarding re-stenting because of stent failure, re-obstruction or migration of the initial stent insertion (Table </w:t>
      </w:r>
      <w:r>
        <w:rPr>
          <w:szCs w:val="24"/>
          <w:lang w:eastAsia="en-US"/>
        </w:rPr>
        <w:t>2</w:t>
      </w:r>
      <w:r w:rsidRPr="005F0BD4">
        <w:rPr>
          <w:szCs w:val="24"/>
          <w:lang w:eastAsia="en-US"/>
        </w:rPr>
        <w:t>).  The minor submission to MSAC estimated that approximately 10% of patients would require re-stenting.</w:t>
      </w:r>
    </w:p>
    <w:p w14:paraId="7C85B1A6" w14:textId="79E6450C" w:rsidR="005F0BD4" w:rsidRPr="005F0BD4" w:rsidRDefault="005F0BD4" w:rsidP="005F0BD4">
      <w:pPr>
        <w:ind w:right="-199"/>
        <w:rPr>
          <w:szCs w:val="24"/>
          <w:lang w:eastAsia="en-US"/>
        </w:rPr>
      </w:pPr>
      <w:r w:rsidRPr="005F0BD4">
        <w:rPr>
          <w:szCs w:val="24"/>
          <w:lang w:eastAsia="en-US"/>
        </w:rPr>
        <w:t xml:space="preserve">In 2016-17, 11% of patients received two or more services under item 32023 (Table </w:t>
      </w:r>
      <w:r>
        <w:rPr>
          <w:szCs w:val="24"/>
          <w:lang w:eastAsia="en-US"/>
        </w:rPr>
        <w:t>3</w:t>
      </w:r>
      <w:r w:rsidRPr="005F0BD4">
        <w:rPr>
          <w:szCs w:val="24"/>
          <w:lang w:eastAsia="en-US"/>
        </w:rPr>
        <w:t xml:space="preserve">).  </w:t>
      </w:r>
    </w:p>
    <w:p w14:paraId="201516F9" w14:textId="21F4A85D" w:rsidR="005F0BD4" w:rsidRPr="005F0BD4" w:rsidRDefault="00036C20" w:rsidP="007A3D70">
      <w:pPr>
        <w:spacing w:after="240"/>
        <w:ind w:right="-199"/>
        <w:rPr>
          <w:szCs w:val="24"/>
          <w:lang w:eastAsia="en-US"/>
        </w:rPr>
      </w:pPr>
      <w:r>
        <w:rPr>
          <w:szCs w:val="24"/>
          <w:lang w:eastAsia="en-US"/>
        </w:rPr>
        <w:t xml:space="preserve">It is consistent that some </w:t>
      </w:r>
      <w:r w:rsidR="005F0BD4" w:rsidRPr="005F0BD4">
        <w:rPr>
          <w:szCs w:val="24"/>
          <w:lang w:eastAsia="en-US"/>
        </w:rPr>
        <w:t xml:space="preserve">patients have received </w:t>
      </w:r>
      <w:r>
        <w:rPr>
          <w:szCs w:val="24"/>
          <w:lang w:eastAsia="en-US"/>
        </w:rPr>
        <w:t>two</w:t>
      </w:r>
      <w:r w:rsidR="005F0BD4" w:rsidRPr="005F0BD4">
        <w:rPr>
          <w:szCs w:val="24"/>
          <w:lang w:eastAsia="en-US"/>
        </w:rPr>
        <w:t xml:space="preserve"> or more services since the listing of the item (Table </w:t>
      </w:r>
      <w:r w:rsidR="005F0BD4">
        <w:rPr>
          <w:szCs w:val="24"/>
          <w:lang w:eastAsia="en-US"/>
        </w:rPr>
        <w:t>4</w:t>
      </w:r>
      <w:r w:rsidR="005F0BD4" w:rsidRPr="005F0BD4">
        <w:rPr>
          <w:szCs w:val="24"/>
          <w:lang w:eastAsia="en-US"/>
        </w:rPr>
        <w:t>).</w:t>
      </w:r>
    </w:p>
    <w:p w14:paraId="641F1D21" w14:textId="0A95E85B" w:rsidR="005F0BD4" w:rsidRPr="005F0BD4" w:rsidRDefault="005F0BD4" w:rsidP="005F0BD4">
      <w:pPr>
        <w:rPr>
          <w:szCs w:val="24"/>
          <w:lang w:eastAsia="en-US"/>
        </w:rPr>
      </w:pPr>
      <w:r w:rsidRPr="005F0BD4">
        <w:rPr>
          <w:szCs w:val="24"/>
          <w:lang w:eastAsia="en-US"/>
        </w:rPr>
        <w:t xml:space="preserve">The service is predominantly claimed by patients aged 55-84. A small number of services have been provided to adults aged 24 or below (Figure </w:t>
      </w:r>
      <w:r w:rsidR="00036C20">
        <w:rPr>
          <w:szCs w:val="24"/>
          <w:lang w:eastAsia="en-US"/>
        </w:rPr>
        <w:t>1</w:t>
      </w:r>
      <w:r w:rsidRPr="005F0BD4">
        <w:rPr>
          <w:szCs w:val="24"/>
          <w:lang w:eastAsia="en-US"/>
        </w:rPr>
        <w:t>).</w:t>
      </w:r>
    </w:p>
    <w:p w14:paraId="50C3AAD6" w14:textId="13105EDD" w:rsidR="005F0BD4" w:rsidRPr="005F0BD4" w:rsidRDefault="005F0BD4" w:rsidP="008430A7">
      <w:pPr>
        <w:pStyle w:val="Heading3"/>
        <w:rPr>
          <w:lang w:eastAsia="en-US"/>
        </w:rPr>
      </w:pPr>
      <w:r w:rsidRPr="005F0BD4">
        <w:rPr>
          <w:lang w:eastAsia="en-US"/>
        </w:rPr>
        <w:t>Table 2: Number of new and continuing patients who received MBS item 32023 by financial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new and continuing patients who received MBS item 32023 from 2012 to 2017"/>
        <w:tblDescription w:val="Figures show that most patients are new, with limited patients recieving continued services."/>
      </w:tblPr>
      <w:tblGrid>
        <w:gridCol w:w="2116"/>
        <w:gridCol w:w="917"/>
        <w:gridCol w:w="957"/>
        <w:gridCol w:w="917"/>
        <w:gridCol w:w="957"/>
        <w:gridCol w:w="940"/>
        <w:gridCol w:w="1166"/>
      </w:tblGrid>
      <w:tr w:rsidR="00A63661" w:rsidRPr="005F0BD4" w14:paraId="4FCE4A19" w14:textId="77777777" w:rsidTr="00036C20">
        <w:trPr>
          <w:trHeight w:val="240"/>
        </w:trPr>
        <w:tc>
          <w:tcPr>
            <w:tcW w:w="2116" w:type="dxa"/>
            <w:vMerge w:val="restart"/>
            <w:shd w:val="clear" w:color="auto" w:fill="548DD4" w:themeFill="text2" w:themeFillTint="99"/>
            <w:vAlign w:val="center"/>
            <w:hideMark/>
          </w:tcPr>
          <w:p w14:paraId="333A3651" w14:textId="77777777" w:rsidR="00A63661" w:rsidRPr="005F0BD4" w:rsidRDefault="00A63661"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Financial</w:t>
            </w:r>
          </w:p>
          <w:p w14:paraId="7D7DB6DE" w14:textId="5B428B3B" w:rsidR="00A63661" w:rsidRPr="005F0BD4" w:rsidRDefault="00A63661"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Year</w:t>
            </w:r>
          </w:p>
        </w:tc>
        <w:tc>
          <w:tcPr>
            <w:tcW w:w="1874" w:type="dxa"/>
            <w:gridSpan w:val="2"/>
            <w:shd w:val="clear" w:color="auto" w:fill="548DD4" w:themeFill="text2" w:themeFillTint="99"/>
            <w:vAlign w:val="center"/>
            <w:hideMark/>
          </w:tcPr>
          <w:p w14:paraId="5ADD6EC3" w14:textId="77777777" w:rsidR="00A63661" w:rsidRPr="005F0BD4" w:rsidRDefault="00A63661"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Total</w:t>
            </w:r>
          </w:p>
        </w:tc>
        <w:tc>
          <w:tcPr>
            <w:tcW w:w="1874" w:type="dxa"/>
            <w:gridSpan w:val="2"/>
            <w:shd w:val="clear" w:color="auto" w:fill="548DD4" w:themeFill="text2" w:themeFillTint="99"/>
            <w:vAlign w:val="center"/>
            <w:hideMark/>
          </w:tcPr>
          <w:p w14:paraId="7BEF224D" w14:textId="77777777" w:rsidR="00A63661" w:rsidRPr="005F0BD4" w:rsidRDefault="00A63661"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New</w:t>
            </w:r>
          </w:p>
        </w:tc>
        <w:tc>
          <w:tcPr>
            <w:tcW w:w="2106" w:type="dxa"/>
            <w:gridSpan w:val="2"/>
            <w:shd w:val="clear" w:color="auto" w:fill="548DD4" w:themeFill="text2" w:themeFillTint="99"/>
            <w:vAlign w:val="center"/>
            <w:hideMark/>
          </w:tcPr>
          <w:p w14:paraId="2003E0A8" w14:textId="77777777" w:rsidR="00A63661" w:rsidRPr="005F0BD4" w:rsidRDefault="00A63661"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Continuing</w:t>
            </w:r>
          </w:p>
        </w:tc>
      </w:tr>
      <w:tr w:rsidR="00A63661" w:rsidRPr="005F0BD4" w14:paraId="02203C83" w14:textId="77777777" w:rsidTr="00036C20">
        <w:trPr>
          <w:trHeight w:val="240"/>
        </w:trPr>
        <w:tc>
          <w:tcPr>
            <w:tcW w:w="2116" w:type="dxa"/>
            <w:vMerge/>
            <w:shd w:val="clear" w:color="auto" w:fill="548DD4" w:themeFill="text2" w:themeFillTint="99"/>
            <w:vAlign w:val="center"/>
            <w:hideMark/>
          </w:tcPr>
          <w:p w14:paraId="37FD7C58" w14:textId="55D04D81" w:rsidR="00A63661" w:rsidRPr="005F0BD4" w:rsidRDefault="00A63661" w:rsidP="005F0BD4">
            <w:pPr>
              <w:jc w:val="center"/>
              <w:rPr>
                <w:rFonts w:ascii="Arial" w:hAnsi="Arial" w:cs="Arial"/>
                <w:b/>
                <w:bCs/>
                <w:color w:val="FFFFFF"/>
                <w:sz w:val="18"/>
                <w:szCs w:val="18"/>
                <w:lang w:eastAsia="en-US"/>
              </w:rPr>
            </w:pPr>
          </w:p>
        </w:tc>
        <w:tc>
          <w:tcPr>
            <w:tcW w:w="917" w:type="dxa"/>
            <w:shd w:val="clear" w:color="auto" w:fill="548DD4" w:themeFill="text2" w:themeFillTint="99"/>
            <w:vAlign w:val="center"/>
            <w:hideMark/>
          </w:tcPr>
          <w:p w14:paraId="12981EF4" w14:textId="77777777" w:rsidR="00A63661" w:rsidRPr="005F0BD4" w:rsidRDefault="00A63661"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Patients</w:t>
            </w:r>
          </w:p>
        </w:tc>
        <w:tc>
          <w:tcPr>
            <w:tcW w:w="957" w:type="dxa"/>
            <w:shd w:val="clear" w:color="auto" w:fill="548DD4" w:themeFill="text2" w:themeFillTint="99"/>
            <w:vAlign w:val="center"/>
            <w:hideMark/>
          </w:tcPr>
          <w:p w14:paraId="70E82817" w14:textId="77777777" w:rsidR="00A63661" w:rsidRPr="005F0BD4" w:rsidRDefault="00A63661"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Services</w:t>
            </w:r>
          </w:p>
        </w:tc>
        <w:tc>
          <w:tcPr>
            <w:tcW w:w="917" w:type="dxa"/>
            <w:shd w:val="clear" w:color="auto" w:fill="548DD4" w:themeFill="text2" w:themeFillTint="99"/>
            <w:vAlign w:val="center"/>
            <w:hideMark/>
          </w:tcPr>
          <w:p w14:paraId="1556F611" w14:textId="77777777" w:rsidR="00A63661" w:rsidRPr="005F0BD4" w:rsidRDefault="00A63661"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Patients</w:t>
            </w:r>
          </w:p>
        </w:tc>
        <w:tc>
          <w:tcPr>
            <w:tcW w:w="957" w:type="dxa"/>
            <w:shd w:val="clear" w:color="auto" w:fill="548DD4" w:themeFill="text2" w:themeFillTint="99"/>
            <w:vAlign w:val="center"/>
            <w:hideMark/>
          </w:tcPr>
          <w:p w14:paraId="442A9975" w14:textId="77777777" w:rsidR="00A63661" w:rsidRPr="005F0BD4" w:rsidRDefault="00A63661"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Services</w:t>
            </w:r>
          </w:p>
        </w:tc>
        <w:tc>
          <w:tcPr>
            <w:tcW w:w="940" w:type="dxa"/>
            <w:shd w:val="clear" w:color="auto" w:fill="548DD4" w:themeFill="text2" w:themeFillTint="99"/>
            <w:vAlign w:val="center"/>
            <w:hideMark/>
          </w:tcPr>
          <w:p w14:paraId="314DE895" w14:textId="77777777" w:rsidR="00A63661" w:rsidRPr="005F0BD4" w:rsidRDefault="00A63661"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Patients</w:t>
            </w:r>
          </w:p>
        </w:tc>
        <w:tc>
          <w:tcPr>
            <w:tcW w:w="1166" w:type="dxa"/>
            <w:shd w:val="clear" w:color="auto" w:fill="548DD4" w:themeFill="text2" w:themeFillTint="99"/>
          </w:tcPr>
          <w:p w14:paraId="14E0761F" w14:textId="77777777" w:rsidR="00A63661" w:rsidRPr="005F0BD4" w:rsidRDefault="00A63661"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Services</w:t>
            </w:r>
          </w:p>
        </w:tc>
      </w:tr>
      <w:tr w:rsidR="005F0BD4" w:rsidRPr="005F0BD4" w14:paraId="4236006E" w14:textId="77777777" w:rsidTr="00036C20">
        <w:trPr>
          <w:trHeight w:val="240"/>
        </w:trPr>
        <w:tc>
          <w:tcPr>
            <w:tcW w:w="2116" w:type="dxa"/>
            <w:shd w:val="clear" w:color="000000" w:fill="FFFFFF"/>
            <w:noWrap/>
            <w:vAlign w:val="bottom"/>
            <w:hideMark/>
          </w:tcPr>
          <w:p w14:paraId="29BE1860" w14:textId="77777777" w:rsidR="005F0BD4" w:rsidRPr="005F0BD4" w:rsidRDefault="005F0BD4" w:rsidP="005F0BD4">
            <w:pPr>
              <w:rPr>
                <w:rFonts w:ascii="Arial" w:hAnsi="Arial" w:cs="Arial"/>
                <w:color w:val="000000"/>
                <w:sz w:val="18"/>
                <w:szCs w:val="18"/>
                <w:lang w:eastAsia="en-US"/>
              </w:rPr>
            </w:pPr>
            <w:r w:rsidRPr="005F0BD4">
              <w:rPr>
                <w:rFonts w:ascii="Arial" w:hAnsi="Arial" w:cs="Arial"/>
                <w:color w:val="000000"/>
                <w:sz w:val="18"/>
                <w:szCs w:val="18"/>
                <w:lang w:eastAsia="en-US"/>
              </w:rPr>
              <w:t>Total</w:t>
            </w:r>
          </w:p>
        </w:tc>
        <w:tc>
          <w:tcPr>
            <w:tcW w:w="917" w:type="dxa"/>
            <w:shd w:val="clear" w:color="000000" w:fill="FFFFFF"/>
            <w:noWrap/>
            <w:vAlign w:val="bottom"/>
            <w:hideMark/>
          </w:tcPr>
          <w:p w14:paraId="7CB9E9D9"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272 </w:t>
            </w:r>
          </w:p>
        </w:tc>
        <w:tc>
          <w:tcPr>
            <w:tcW w:w="957" w:type="dxa"/>
            <w:shd w:val="clear" w:color="000000" w:fill="FFFFFF"/>
            <w:noWrap/>
            <w:vAlign w:val="bottom"/>
            <w:hideMark/>
          </w:tcPr>
          <w:p w14:paraId="034D2BE9"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306 </w:t>
            </w:r>
          </w:p>
        </w:tc>
        <w:tc>
          <w:tcPr>
            <w:tcW w:w="917" w:type="dxa"/>
            <w:shd w:val="clear" w:color="000000" w:fill="FFFFFF"/>
            <w:noWrap/>
            <w:vAlign w:val="bottom"/>
            <w:hideMark/>
          </w:tcPr>
          <w:p w14:paraId="429A49B5"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w:t>
            </w:r>
          </w:p>
        </w:tc>
        <w:tc>
          <w:tcPr>
            <w:tcW w:w="957" w:type="dxa"/>
            <w:shd w:val="clear" w:color="000000" w:fill="FFFFFF"/>
            <w:noWrap/>
            <w:vAlign w:val="bottom"/>
            <w:hideMark/>
          </w:tcPr>
          <w:p w14:paraId="340A8A36"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w:t>
            </w:r>
          </w:p>
        </w:tc>
        <w:tc>
          <w:tcPr>
            <w:tcW w:w="940" w:type="dxa"/>
            <w:shd w:val="clear" w:color="000000" w:fill="FFFFFF"/>
            <w:noWrap/>
            <w:vAlign w:val="bottom"/>
            <w:hideMark/>
          </w:tcPr>
          <w:p w14:paraId="136501DA"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w:t>
            </w:r>
          </w:p>
        </w:tc>
        <w:tc>
          <w:tcPr>
            <w:tcW w:w="1166" w:type="dxa"/>
            <w:shd w:val="clear" w:color="000000" w:fill="FFFFFF"/>
            <w:vAlign w:val="bottom"/>
          </w:tcPr>
          <w:p w14:paraId="2504BF92"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w:t>
            </w:r>
          </w:p>
        </w:tc>
      </w:tr>
      <w:tr w:rsidR="005F0BD4" w:rsidRPr="005F0BD4" w14:paraId="76E5A074" w14:textId="77777777" w:rsidTr="00036C20">
        <w:trPr>
          <w:trHeight w:val="240"/>
        </w:trPr>
        <w:tc>
          <w:tcPr>
            <w:tcW w:w="2116" w:type="dxa"/>
            <w:shd w:val="clear" w:color="000000" w:fill="FFFFFF"/>
            <w:noWrap/>
            <w:vAlign w:val="bottom"/>
            <w:hideMark/>
          </w:tcPr>
          <w:p w14:paraId="2CBB653D" w14:textId="77777777" w:rsidR="005F0BD4" w:rsidRPr="005F0BD4" w:rsidRDefault="005F0BD4" w:rsidP="005F0BD4">
            <w:pPr>
              <w:rPr>
                <w:rFonts w:ascii="Arial" w:hAnsi="Arial" w:cs="Arial"/>
                <w:color w:val="000000"/>
                <w:sz w:val="18"/>
                <w:szCs w:val="18"/>
                <w:lang w:eastAsia="en-US"/>
              </w:rPr>
            </w:pPr>
            <w:r w:rsidRPr="005F0BD4">
              <w:rPr>
                <w:rFonts w:ascii="Arial" w:hAnsi="Arial" w:cs="Arial"/>
                <w:color w:val="000000"/>
                <w:sz w:val="18"/>
                <w:szCs w:val="18"/>
                <w:lang w:eastAsia="en-US"/>
              </w:rPr>
              <w:t>2012-13</w:t>
            </w:r>
          </w:p>
        </w:tc>
        <w:tc>
          <w:tcPr>
            <w:tcW w:w="917" w:type="dxa"/>
            <w:shd w:val="clear" w:color="000000" w:fill="FFFFFF"/>
            <w:noWrap/>
            <w:vAlign w:val="bottom"/>
            <w:hideMark/>
          </w:tcPr>
          <w:p w14:paraId="2C279081"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11 </w:t>
            </w:r>
          </w:p>
        </w:tc>
        <w:tc>
          <w:tcPr>
            <w:tcW w:w="957" w:type="dxa"/>
            <w:shd w:val="clear" w:color="000000" w:fill="FFFFFF"/>
            <w:noWrap/>
            <w:vAlign w:val="bottom"/>
            <w:hideMark/>
          </w:tcPr>
          <w:p w14:paraId="04DF7950"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12 </w:t>
            </w:r>
          </w:p>
        </w:tc>
        <w:tc>
          <w:tcPr>
            <w:tcW w:w="917" w:type="dxa"/>
            <w:shd w:val="clear" w:color="000000" w:fill="FFFFFF"/>
            <w:noWrap/>
            <w:vAlign w:val="bottom"/>
            <w:hideMark/>
          </w:tcPr>
          <w:p w14:paraId="0C3D9A61"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11 </w:t>
            </w:r>
          </w:p>
        </w:tc>
        <w:tc>
          <w:tcPr>
            <w:tcW w:w="957" w:type="dxa"/>
            <w:shd w:val="clear" w:color="000000" w:fill="FFFFFF"/>
            <w:noWrap/>
            <w:vAlign w:val="bottom"/>
            <w:hideMark/>
          </w:tcPr>
          <w:p w14:paraId="32582413"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12 </w:t>
            </w:r>
          </w:p>
        </w:tc>
        <w:tc>
          <w:tcPr>
            <w:tcW w:w="940" w:type="dxa"/>
            <w:shd w:val="clear" w:color="000000" w:fill="FFFFFF"/>
            <w:noWrap/>
            <w:vAlign w:val="bottom"/>
            <w:hideMark/>
          </w:tcPr>
          <w:p w14:paraId="7A6CC683"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w:t>
            </w:r>
          </w:p>
        </w:tc>
        <w:tc>
          <w:tcPr>
            <w:tcW w:w="1166" w:type="dxa"/>
            <w:shd w:val="clear" w:color="000000" w:fill="FFFFFF"/>
            <w:vAlign w:val="bottom"/>
          </w:tcPr>
          <w:p w14:paraId="3A089915"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w:t>
            </w:r>
          </w:p>
        </w:tc>
      </w:tr>
      <w:tr w:rsidR="005F0BD4" w:rsidRPr="005F0BD4" w14:paraId="497A038C" w14:textId="77777777" w:rsidTr="00036C20">
        <w:trPr>
          <w:trHeight w:val="240"/>
        </w:trPr>
        <w:tc>
          <w:tcPr>
            <w:tcW w:w="2116" w:type="dxa"/>
            <w:shd w:val="clear" w:color="000000" w:fill="FFFFFF"/>
            <w:noWrap/>
            <w:vAlign w:val="bottom"/>
            <w:hideMark/>
          </w:tcPr>
          <w:p w14:paraId="62497C92" w14:textId="77777777" w:rsidR="005F0BD4" w:rsidRPr="005F0BD4" w:rsidRDefault="005F0BD4" w:rsidP="005F0BD4">
            <w:pPr>
              <w:rPr>
                <w:rFonts w:ascii="Arial" w:hAnsi="Arial" w:cs="Arial"/>
                <w:color w:val="000000"/>
                <w:sz w:val="18"/>
                <w:szCs w:val="18"/>
                <w:lang w:eastAsia="en-US"/>
              </w:rPr>
            </w:pPr>
            <w:r w:rsidRPr="005F0BD4">
              <w:rPr>
                <w:rFonts w:ascii="Arial" w:hAnsi="Arial" w:cs="Arial"/>
                <w:color w:val="000000"/>
                <w:sz w:val="18"/>
                <w:szCs w:val="18"/>
                <w:lang w:eastAsia="en-US"/>
              </w:rPr>
              <w:t>2013-14</w:t>
            </w:r>
          </w:p>
        </w:tc>
        <w:tc>
          <w:tcPr>
            <w:tcW w:w="917" w:type="dxa"/>
            <w:shd w:val="clear" w:color="000000" w:fill="FFFFFF"/>
            <w:noWrap/>
            <w:vAlign w:val="bottom"/>
            <w:hideMark/>
          </w:tcPr>
          <w:p w14:paraId="383CE599"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52 </w:t>
            </w:r>
          </w:p>
        </w:tc>
        <w:tc>
          <w:tcPr>
            <w:tcW w:w="957" w:type="dxa"/>
            <w:shd w:val="clear" w:color="000000" w:fill="FFFFFF"/>
            <w:noWrap/>
            <w:vAlign w:val="bottom"/>
            <w:hideMark/>
          </w:tcPr>
          <w:p w14:paraId="13410264"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57 </w:t>
            </w:r>
          </w:p>
        </w:tc>
        <w:tc>
          <w:tcPr>
            <w:tcW w:w="917" w:type="dxa"/>
            <w:shd w:val="clear" w:color="000000" w:fill="FFFFFF"/>
            <w:noWrap/>
            <w:vAlign w:val="bottom"/>
            <w:hideMark/>
          </w:tcPr>
          <w:p w14:paraId="400567B5"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52 </w:t>
            </w:r>
          </w:p>
        </w:tc>
        <w:tc>
          <w:tcPr>
            <w:tcW w:w="957" w:type="dxa"/>
            <w:shd w:val="clear" w:color="000000" w:fill="FFFFFF"/>
            <w:noWrap/>
            <w:vAlign w:val="bottom"/>
            <w:hideMark/>
          </w:tcPr>
          <w:p w14:paraId="2A685921"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57 </w:t>
            </w:r>
          </w:p>
        </w:tc>
        <w:tc>
          <w:tcPr>
            <w:tcW w:w="940" w:type="dxa"/>
            <w:shd w:val="clear" w:color="000000" w:fill="FFFFFF"/>
            <w:noWrap/>
            <w:vAlign w:val="bottom"/>
            <w:hideMark/>
          </w:tcPr>
          <w:p w14:paraId="003020AF"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w:t>
            </w:r>
          </w:p>
        </w:tc>
        <w:tc>
          <w:tcPr>
            <w:tcW w:w="1166" w:type="dxa"/>
            <w:shd w:val="clear" w:color="000000" w:fill="FFFFFF"/>
            <w:vAlign w:val="bottom"/>
          </w:tcPr>
          <w:p w14:paraId="516276F2"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w:t>
            </w:r>
          </w:p>
        </w:tc>
      </w:tr>
      <w:tr w:rsidR="005F0BD4" w:rsidRPr="005F0BD4" w14:paraId="26C7DCE3" w14:textId="77777777" w:rsidTr="00036C20">
        <w:trPr>
          <w:trHeight w:val="240"/>
        </w:trPr>
        <w:tc>
          <w:tcPr>
            <w:tcW w:w="2116" w:type="dxa"/>
            <w:shd w:val="clear" w:color="000000" w:fill="FFFFFF"/>
            <w:noWrap/>
            <w:vAlign w:val="bottom"/>
          </w:tcPr>
          <w:p w14:paraId="68E6EDB8" w14:textId="77777777" w:rsidR="005F0BD4" w:rsidRPr="005F0BD4" w:rsidRDefault="005F0BD4" w:rsidP="005F0BD4">
            <w:pPr>
              <w:rPr>
                <w:rFonts w:ascii="Arial" w:hAnsi="Arial" w:cs="Arial"/>
                <w:color w:val="000000"/>
                <w:sz w:val="18"/>
                <w:szCs w:val="18"/>
                <w:lang w:eastAsia="en-US"/>
              </w:rPr>
            </w:pPr>
            <w:r w:rsidRPr="005F0BD4">
              <w:rPr>
                <w:rFonts w:ascii="Arial" w:hAnsi="Arial" w:cs="Arial"/>
                <w:color w:val="000000"/>
                <w:sz w:val="18"/>
                <w:szCs w:val="18"/>
                <w:lang w:eastAsia="en-US"/>
              </w:rPr>
              <w:t>2014-15</w:t>
            </w:r>
          </w:p>
        </w:tc>
        <w:tc>
          <w:tcPr>
            <w:tcW w:w="917" w:type="dxa"/>
            <w:shd w:val="clear" w:color="000000" w:fill="FFFFFF"/>
            <w:noWrap/>
            <w:vAlign w:val="bottom"/>
          </w:tcPr>
          <w:p w14:paraId="7E3AA034"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78 </w:t>
            </w:r>
          </w:p>
        </w:tc>
        <w:tc>
          <w:tcPr>
            <w:tcW w:w="957" w:type="dxa"/>
            <w:shd w:val="clear" w:color="000000" w:fill="FFFFFF"/>
            <w:noWrap/>
            <w:vAlign w:val="bottom"/>
          </w:tcPr>
          <w:p w14:paraId="2A20EE77"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81 </w:t>
            </w:r>
          </w:p>
        </w:tc>
        <w:tc>
          <w:tcPr>
            <w:tcW w:w="917" w:type="dxa"/>
            <w:shd w:val="clear" w:color="000000" w:fill="FFFFFF"/>
            <w:noWrap/>
            <w:vAlign w:val="bottom"/>
          </w:tcPr>
          <w:p w14:paraId="4C692392"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78 </w:t>
            </w:r>
          </w:p>
        </w:tc>
        <w:tc>
          <w:tcPr>
            <w:tcW w:w="957" w:type="dxa"/>
            <w:shd w:val="clear" w:color="000000" w:fill="FFFFFF"/>
            <w:noWrap/>
            <w:vAlign w:val="bottom"/>
          </w:tcPr>
          <w:p w14:paraId="788677CB"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81 </w:t>
            </w:r>
          </w:p>
        </w:tc>
        <w:tc>
          <w:tcPr>
            <w:tcW w:w="940" w:type="dxa"/>
            <w:shd w:val="clear" w:color="000000" w:fill="FFFFFF"/>
            <w:noWrap/>
            <w:vAlign w:val="bottom"/>
          </w:tcPr>
          <w:p w14:paraId="59AEAC31"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w:t>
            </w:r>
          </w:p>
        </w:tc>
        <w:tc>
          <w:tcPr>
            <w:tcW w:w="1166" w:type="dxa"/>
            <w:shd w:val="clear" w:color="000000" w:fill="FFFFFF"/>
            <w:vAlign w:val="bottom"/>
          </w:tcPr>
          <w:p w14:paraId="1D10C0F9"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w:t>
            </w:r>
          </w:p>
        </w:tc>
      </w:tr>
      <w:tr w:rsidR="005F0BD4" w:rsidRPr="005F0BD4" w14:paraId="1EEC9BEA" w14:textId="77777777" w:rsidTr="00036C20">
        <w:trPr>
          <w:trHeight w:val="240"/>
        </w:trPr>
        <w:tc>
          <w:tcPr>
            <w:tcW w:w="2116" w:type="dxa"/>
            <w:shd w:val="clear" w:color="000000" w:fill="FFFFFF"/>
            <w:noWrap/>
            <w:vAlign w:val="bottom"/>
          </w:tcPr>
          <w:p w14:paraId="5C71AE6E" w14:textId="77777777" w:rsidR="005F0BD4" w:rsidRPr="005F0BD4" w:rsidRDefault="005F0BD4" w:rsidP="005F0BD4">
            <w:pPr>
              <w:rPr>
                <w:rFonts w:ascii="Arial" w:hAnsi="Arial" w:cs="Arial"/>
                <w:color w:val="000000"/>
                <w:sz w:val="18"/>
                <w:szCs w:val="18"/>
                <w:lang w:eastAsia="en-US"/>
              </w:rPr>
            </w:pPr>
            <w:r w:rsidRPr="005F0BD4">
              <w:rPr>
                <w:rFonts w:ascii="Arial" w:hAnsi="Arial" w:cs="Arial"/>
                <w:color w:val="000000"/>
                <w:sz w:val="18"/>
                <w:szCs w:val="18"/>
                <w:lang w:eastAsia="en-US"/>
              </w:rPr>
              <w:t>2015-16</w:t>
            </w:r>
          </w:p>
        </w:tc>
        <w:tc>
          <w:tcPr>
            <w:tcW w:w="917" w:type="dxa"/>
            <w:shd w:val="clear" w:color="000000" w:fill="FFFFFF"/>
            <w:noWrap/>
            <w:vAlign w:val="bottom"/>
          </w:tcPr>
          <w:p w14:paraId="103D941F"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80 </w:t>
            </w:r>
          </w:p>
        </w:tc>
        <w:tc>
          <w:tcPr>
            <w:tcW w:w="957" w:type="dxa"/>
            <w:shd w:val="clear" w:color="000000" w:fill="FFFFFF"/>
            <w:noWrap/>
            <w:vAlign w:val="bottom"/>
          </w:tcPr>
          <w:p w14:paraId="25681ACB"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85 </w:t>
            </w:r>
          </w:p>
        </w:tc>
        <w:tc>
          <w:tcPr>
            <w:tcW w:w="917" w:type="dxa"/>
            <w:shd w:val="clear" w:color="000000" w:fill="FFFFFF"/>
            <w:noWrap/>
            <w:vAlign w:val="bottom"/>
          </w:tcPr>
          <w:p w14:paraId="25D893B2"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74 </w:t>
            </w:r>
          </w:p>
        </w:tc>
        <w:tc>
          <w:tcPr>
            <w:tcW w:w="957" w:type="dxa"/>
            <w:shd w:val="clear" w:color="000000" w:fill="FFFFFF"/>
            <w:noWrap/>
            <w:vAlign w:val="bottom"/>
          </w:tcPr>
          <w:p w14:paraId="00A6E51E"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77 </w:t>
            </w:r>
          </w:p>
        </w:tc>
        <w:tc>
          <w:tcPr>
            <w:tcW w:w="940" w:type="dxa"/>
            <w:shd w:val="clear" w:color="000000" w:fill="FFFFFF"/>
            <w:noWrap/>
            <w:vAlign w:val="bottom"/>
          </w:tcPr>
          <w:p w14:paraId="1DB04E06"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6 </w:t>
            </w:r>
          </w:p>
        </w:tc>
        <w:tc>
          <w:tcPr>
            <w:tcW w:w="1166" w:type="dxa"/>
            <w:shd w:val="clear" w:color="000000" w:fill="FFFFFF"/>
            <w:vAlign w:val="bottom"/>
          </w:tcPr>
          <w:p w14:paraId="0FADF069"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8 </w:t>
            </w:r>
          </w:p>
        </w:tc>
      </w:tr>
      <w:tr w:rsidR="005F0BD4" w:rsidRPr="005F0BD4" w14:paraId="23536BC6" w14:textId="77777777" w:rsidTr="00036C20">
        <w:trPr>
          <w:trHeight w:val="240"/>
        </w:trPr>
        <w:tc>
          <w:tcPr>
            <w:tcW w:w="2116" w:type="dxa"/>
            <w:shd w:val="clear" w:color="000000" w:fill="FFFFFF"/>
            <w:noWrap/>
            <w:vAlign w:val="bottom"/>
          </w:tcPr>
          <w:p w14:paraId="76261ED5" w14:textId="77777777" w:rsidR="005F0BD4" w:rsidRPr="005F0BD4" w:rsidRDefault="005F0BD4" w:rsidP="005F0BD4">
            <w:pPr>
              <w:rPr>
                <w:rFonts w:ascii="Arial" w:hAnsi="Arial" w:cs="Arial"/>
                <w:color w:val="000000"/>
                <w:sz w:val="18"/>
                <w:szCs w:val="18"/>
                <w:lang w:eastAsia="en-US"/>
              </w:rPr>
            </w:pPr>
            <w:r w:rsidRPr="005F0BD4">
              <w:rPr>
                <w:rFonts w:ascii="Arial" w:hAnsi="Arial" w:cs="Arial"/>
                <w:color w:val="000000"/>
                <w:sz w:val="18"/>
                <w:szCs w:val="18"/>
                <w:lang w:eastAsia="en-US"/>
              </w:rPr>
              <w:t>2016-17*</w:t>
            </w:r>
          </w:p>
        </w:tc>
        <w:tc>
          <w:tcPr>
            <w:tcW w:w="917" w:type="dxa"/>
            <w:shd w:val="clear" w:color="000000" w:fill="FFFFFF"/>
            <w:noWrap/>
            <w:vAlign w:val="bottom"/>
          </w:tcPr>
          <w:p w14:paraId="2F79CA21"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64 </w:t>
            </w:r>
          </w:p>
        </w:tc>
        <w:tc>
          <w:tcPr>
            <w:tcW w:w="957" w:type="dxa"/>
            <w:shd w:val="clear" w:color="000000" w:fill="FFFFFF"/>
            <w:noWrap/>
            <w:vAlign w:val="bottom"/>
          </w:tcPr>
          <w:p w14:paraId="6E4C0FB4"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71 </w:t>
            </w:r>
          </w:p>
        </w:tc>
        <w:tc>
          <w:tcPr>
            <w:tcW w:w="917" w:type="dxa"/>
            <w:shd w:val="clear" w:color="000000" w:fill="FFFFFF"/>
            <w:noWrap/>
            <w:vAlign w:val="bottom"/>
          </w:tcPr>
          <w:p w14:paraId="770363AC"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57 </w:t>
            </w:r>
          </w:p>
        </w:tc>
        <w:tc>
          <w:tcPr>
            <w:tcW w:w="957" w:type="dxa"/>
            <w:shd w:val="clear" w:color="000000" w:fill="FFFFFF"/>
            <w:noWrap/>
            <w:vAlign w:val="bottom"/>
          </w:tcPr>
          <w:p w14:paraId="5813C447"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62 </w:t>
            </w:r>
          </w:p>
        </w:tc>
        <w:tc>
          <w:tcPr>
            <w:tcW w:w="940" w:type="dxa"/>
            <w:shd w:val="clear" w:color="000000" w:fill="FFFFFF"/>
            <w:noWrap/>
            <w:vAlign w:val="bottom"/>
          </w:tcPr>
          <w:p w14:paraId="095DCF4F"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7 </w:t>
            </w:r>
          </w:p>
        </w:tc>
        <w:tc>
          <w:tcPr>
            <w:tcW w:w="1166" w:type="dxa"/>
            <w:shd w:val="clear" w:color="000000" w:fill="FFFFFF"/>
            <w:vAlign w:val="bottom"/>
          </w:tcPr>
          <w:p w14:paraId="6EE6B24F"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 xml:space="preserve">9 </w:t>
            </w:r>
          </w:p>
        </w:tc>
      </w:tr>
    </w:tbl>
    <w:p w14:paraId="6E5A87F2" w14:textId="1EDAE23A" w:rsidR="005F0BD4" w:rsidRPr="005F0BD4" w:rsidRDefault="005F0BD4" w:rsidP="008430A7">
      <w:pPr>
        <w:pStyle w:val="Heading3"/>
        <w:rPr>
          <w:lang w:eastAsia="en-US"/>
        </w:rPr>
      </w:pPr>
      <w:r w:rsidRPr="005F0BD4">
        <w:rPr>
          <w:lang w:eastAsia="en-US"/>
        </w:rPr>
        <w:lastRenderedPageBreak/>
        <w:t xml:space="preserve">Table </w:t>
      </w:r>
      <w:r w:rsidR="00036C20" w:rsidRPr="00036C20">
        <w:rPr>
          <w:lang w:eastAsia="en-US"/>
        </w:rPr>
        <w:t>3</w:t>
      </w:r>
      <w:r w:rsidRPr="005F0BD4">
        <w:rPr>
          <w:lang w:eastAsia="en-US"/>
        </w:rPr>
        <w:t>: Number of services per patient in 2015-16 and 2016-17*</w:t>
      </w:r>
    </w:p>
    <w:tbl>
      <w:tblPr>
        <w:tblW w:w="4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services per patient from 2015 to 2017"/>
        <w:tblDescription w:val="An distinct majority of patients receive one services, and figures numbers of re-stenting to be consistent with estimates"/>
      </w:tblPr>
      <w:tblGrid>
        <w:gridCol w:w="1371"/>
        <w:gridCol w:w="960"/>
        <w:gridCol w:w="960"/>
        <w:gridCol w:w="1187"/>
      </w:tblGrid>
      <w:tr w:rsidR="005F0BD4" w:rsidRPr="005F0BD4" w14:paraId="462D9D79" w14:textId="77777777" w:rsidTr="00036C20">
        <w:trPr>
          <w:trHeight w:val="305"/>
        </w:trPr>
        <w:tc>
          <w:tcPr>
            <w:tcW w:w="1371" w:type="dxa"/>
            <w:shd w:val="clear" w:color="auto" w:fill="548DD4" w:themeFill="text2" w:themeFillTint="99"/>
            <w:vAlign w:val="center"/>
            <w:hideMark/>
          </w:tcPr>
          <w:p w14:paraId="221E48D3" w14:textId="77777777" w:rsidR="005F0BD4" w:rsidRPr="005F0BD4" w:rsidRDefault="005F0BD4"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Financial</w:t>
            </w:r>
          </w:p>
        </w:tc>
        <w:tc>
          <w:tcPr>
            <w:tcW w:w="960" w:type="dxa"/>
            <w:shd w:val="clear" w:color="auto" w:fill="548DD4" w:themeFill="text2" w:themeFillTint="99"/>
            <w:vAlign w:val="center"/>
            <w:hideMark/>
          </w:tcPr>
          <w:p w14:paraId="7EDC8E81" w14:textId="77777777" w:rsidR="005F0BD4" w:rsidRPr="005F0BD4" w:rsidRDefault="005F0BD4"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Services</w:t>
            </w:r>
          </w:p>
        </w:tc>
        <w:tc>
          <w:tcPr>
            <w:tcW w:w="960" w:type="dxa"/>
            <w:shd w:val="clear" w:color="auto" w:fill="548DD4" w:themeFill="text2" w:themeFillTint="99"/>
            <w:vAlign w:val="center"/>
            <w:hideMark/>
          </w:tcPr>
          <w:p w14:paraId="6E53F27B" w14:textId="77777777" w:rsidR="005F0BD4" w:rsidRPr="005F0BD4" w:rsidRDefault="005F0BD4"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Count</w:t>
            </w:r>
          </w:p>
        </w:tc>
        <w:tc>
          <w:tcPr>
            <w:tcW w:w="1187" w:type="dxa"/>
            <w:shd w:val="clear" w:color="auto" w:fill="548DD4" w:themeFill="text2" w:themeFillTint="99"/>
            <w:vAlign w:val="center"/>
            <w:hideMark/>
          </w:tcPr>
          <w:p w14:paraId="258A500C" w14:textId="77777777" w:rsidR="005F0BD4" w:rsidRPr="005F0BD4" w:rsidRDefault="005F0BD4"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Percentage</w:t>
            </w:r>
          </w:p>
        </w:tc>
      </w:tr>
      <w:tr w:rsidR="005F0BD4" w:rsidRPr="005F0BD4" w14:paraId="5D52D718" w14:textId="77777777" w:rsidTr="00036C20">
        <w:trPr>
          <w:trHeight w:val="238"/>
        </w:trPr>
        <w:tc>
          <w:tcPr>
            <w:tcW w:w="1371" w:type="dxa"/>
            <w:vMerge w:val="restart"/>
            <w:shd w:val="clear" w:color="000000" w:fill="FFFFFF"/>
            <w:noWrap/>
            <w:vAlign w:val="center"/>
            <w:hideMark/>
          </w:tcPr>
          <w:p w14:paraId="5EFEFEE0" w14:textId="77777777" w:rsidR="005F0BD4" w:rsidRPr="005F0BD4" w:rsidRDefault="005F0BD4" w:rsidP="005F0BD4">
            <w:pPr>
              <w:rPr>
                <w:rFonts w:ascii="Arial" w:hAnsi="Arial" w:cs="Arial"/>
                <w:color w:val="000000"/>
                <w:sz w:val="18"/>
                <w:szCs w:val="18"/>
                <w:lang w:eastAsia="en-US"/>
              </w:rPr>
            </w:pPr>
            <w:r w:rsidRPr="005F0BD4">
              <w:rPr>
                <w:rFonts w:ascii="Arial" w:hAnsi="Arial" w:cs="Arial"/>
                <w:color w:val="000000"/>
                <w:sz w:val="18"/>
                <w:szCs w:val="18"/>
                <w:lang w:eastAsia="en-US"/>
              </w:rPr>
              <w:t>2015-16</w:t>
            </w:r>
          </w:p>
        </w:tc>
        <w:tc>
          <w:tcPr>
            <w:tcW w:w="960" w:type="dxa"/>
            <w:shd w:val="clear" w:color="000000" w:fill="FFFFFF"/>
            <w:noWrap/>
            <w:vAlign w:val="center"/>
            <w:hideMark/>
          </w:tcPr>
          <w:p w14:paraId="7784C1FF" w14:textId="77777777" w:rsidR="005F0BD4" w:rsidRPr="005F0BD4" w:rsidRDefault="005F0BD4" w:rsidP="005F0BD4">
            <w:pPr>
              <w:rPr>
                <w:rFonts w:ascii="Arial" w:hAnsi="Arial" w:cs="Arial"/>
                <w:color w:val="000000"/>
                <w:sz w:val="18"/>
                <w:szCs w:val="18"/>
                <w:lang w:eastAsia="en-US"/>
              </w:rPr>
            </w:pPr>
            <w:r w:rsidRPr="005F0BD4">
              <w:rPr>
                <w:rFonts w:ascii="Arial" w:hAnsi="Arial" w:cs="Arial"/>
                <w:color w:val="000000"/>
                <w:sz w:val="18"/>
                <w:szCs w:val="18"/>
                <w:lang w:eastAsia="en-US"/>
              </w:rPr>
              <w:t>1</w:t>
            </w:r>
          </w:p>
        </w:tc>
        <w:tc>
          <w:tcPr>
            <w:tcW w:w="960" w:type="dxa"/>
            <w:shd w:val="clear" w:color="000000" w:fill="FFFFFF"/>
            <w:noWrap/>
            <w:vAlign w:val="center"/>
            <w:hideMark/>
          </w:tcPr>
          <w:p w14:paraId="3B133FAF"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75</w:t>
            </w:r>
          </w:p>
        </w:tc>
        <w:tc>
          <w:tcPr>
            <w:tcW w:w="1187" w:type="dxa"/>
            <w:shd w:val="clear" w:color="000000" w:fill="FFFFFF"/>
            <w:noWrap/>
            <w:vAlign w:val="center"/>
            <w:hideMark/>
          </w:tcPr>
          <w:p w14:paraId="6C7EF390"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94%</w:t>
            </w:r>
          </w:p>
        </w:tc>
      </w:tr>
      <w:tr w:rsidR="005F0BD4" w:rsidRPr="005F0BD4" w14:paraId="246CB2BB" w14:textId="77777777" w:rsidTr="00036C20">
        <w:trPr>
          <w:trHeight w:val="238"/>
        </w:trPr>
        <w:tc>
          <w:tcPr>
            <w:tcW w:w="1371" w:type="dxa"/>
            <w:vMerge/>
            <w:vAlign w:val="center"/>
            <w:hideMark/>
          </w:tcPr>
          <w:p w14:paraId="4E129041" w14:textId="77777777" w:rsidR="005F0BD4" w:rsidRPr="005F0BD4" w:rsidRDefault="005F0BD4" w:rsidP="005F0BD4">
            <w:pPr>
              <w:rPr>
                <w:rFonts w:ascii="Arial" w:hAnsi="Arial" w:cs="Arial"/>
                <w:color w:val="000000"/>
                <w:sz w:val="18"/>
                <w:szCs w:val="18"/>
                <w:lang w:eastAsia="en-US"/>
              </w:rPr>
            </w:pPr>
          </w:p>
        </w:tc>
        <w:tc>
          <w:tcPr>
            <w:tcW w:w="960" w:type="dxa"/>
            <w:shd w:val="clear" w:color="000000" w:fill="FFFFFF"/>
            <w:noWrap/>
            <w:vAlign w:val="center"/>
            <w:hideMark/>
          </w:tcPr>
          <w:p w14:paraId="3934F3F7" w14:textId="77777777" w:rsidR="005F0BD4" w:rsidRPr="005F0BD4" w:rsidRDefault="005F0BD4" w:rsidP="005F0BD4">
            <w:pPr>
              <w:rPr>
                <w:rFonts w:ascii="Arial" w:hAnsi="Arial" w:cs="Arial"/>
                <w:color w:val="000000"/>
                <w:sz w:val="18"/>
                <w:szCs w:val="18"/>
                <w:lang w:eastAsia="en-US"/>
              </w:rPr>
            </w:pPr>
            <w:r w:rsidRPr="005F0BD4">
              <w:rPr>
                <w:rFonts w:ascii="Arial" w:hAnsi="Arial" w:cs="Arial"/>
                <w:color w:val="000000"/>
                <w:sz w:val="18"/>
                <w:szCs w:val="18"/>
                <w:lang w:eastAsia="en-US"/>
              </w:rPr>
              <w:t>2</w:t>
            </w:r>
          </w:p>
        </w:tc>
        <w:tc>
          <w:tcPr>
            <w:tcW w:w="960" w:type="dxa"/>
            <w:shd w:val="clear" w:color="000000" w:fill="FFFFFF"/>
            <w:noWrap/>
            <w:vAlign w:val="center"/>
            <w:hideMark/>
          </w:tcPr>
          <w:p w14:paraId="3F802937"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5</w:t>
            </w:r>
          </w:p>
        </w:tc>
        <w:tc>
          <w:tcPr>
            <w:tcW w:w="1187" w:type="dxa"/>
            <w:shd w:val="clear" w:color="000000" w:fill="FFFFFF"/>
            <w:noWrap/>
            <w:vAlign w:val="center"/>
            <w:hideMark/>
          </w:tcPr>
          <w:p w14:paraId="32B9FEB2"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6%</w:t>
            </w:r>
          </w:p>
        </w:tc>
      </w:tr>
      <w:tr w:rsidR="005F0BD4" w:rsidRPr="005F0BD4" w14:paraId="61CE8681" w14:textId="77777777" w:rsidTr="00036C20">
        <w:trPr>
          <w:trHeight w:val="238"/>
        </w:trPr>
        <w:tc>
          <w:tcPr>
            <w:tcW w:w="1371" w:type="dxa"/>
            <w:vMerge w:val="restart"/>
            <w:shd w:val="clear" w:color="000000" w:fill="FFFFFF"/>
            <w:noWrap/>
            <w:vAlign w:val="center"/>
            <w:hideMark/>
          </w:tcPr>
          <w:p w14:paraId="79116F05" w14:textId="77777777" w:rsidR="005F0BD4" w:rsidRPr="005F0BD4" w:rsidRDefault="005F0BD4" w:rsidP="005F0BD4">
            <w:pPr>
              <w:rPr>
                <w:rFonts w:ascii="Arial" w:hAnsi="Arial" w:cs="Arial"/>
                <w:color w:val="000000"/>
                <w:sz w:val="18"/>
                <w:szCs w:val="18"/>
                <w:lang w:eastAsia="en-US"/>
              </w:rPr>
            </w:pPr>
            <w:r w:rsidRPr="005F0BD4">
              <w:rPr>
                <w:rFonts w:ascii="Arial" w:hAnsi="Arial" w:cs="Arial"/>
                <w:color w:val="000000"/>
                <w:sz w:val="18"/>
                <w:szCs w:val="18"/>
                <w:lang w:eastAsia="en-US"/>
              </w:rPr>
              <w:t>2016-17*</w:t>
            </w:r>
          </w:p>
        </w:tc>
        <w:tc>
          <w:tcPr>
            <w:tcW w:w="960" w:type="dxa"/>
            <w:shd w:val="clear" w:color="000000" w:fill="FFFFFF"/>
            <w:noWrap/>
            <w:vAlign w:val="center"/>
            <w:hideMark/>
          </w:tcPr>
          <w:p w14:paraId="2CDD10C6" w14:textId="77777777" w:rsidR="005F0BD4" w:rsidRPr="005F0BD4" w:rsidRDefault="005F0BD4" w:rsidP="005F0BD4">
            <w:pPr>
              <w:rPr>
                <w:rFonts w:ascii="Arial" w:hAnsi="Arial" w:cs="Arial"/>
                <w:color w:val="000000"/>
                <w:sz w:val="18"/>
                <w:szCs w:val="18"/>
                <w:lang w:eastAsia="en-US"/>
              </w:rPr>
            </w:pPr>
            <w:r w:rsidRPr="005F0BD4">
              <w:rPr>
                <w:rFonts w:ascii="Arial" w:hAnsi="Arial" w:cs="Arial"/>
                <w:color w:val="000000"/>
                <w:sz w:val="18"/>
                <w:szCs w:val="18"/>
                <w:lang w:eastAsia="en-US"/>
              </w:rPr>
              <w:t>1</w:t>
            </w:r>
          </w:p>
        </w:tc>
        <w:tc>
          <w:tcPr>
            <w:tcW w:w="960" w:type="dxa"/>
            <w:shd w:val="clear" w:color="000000" w:fill="FFFFFF"/>
            <w:noWrap/>
            <w:vAlign w:val="center"/>
            <w:hideMark/>
          </w:tcPr>
          <w:p w14:paraId="37D93C72"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57</w:t>
            </w:r>
          </w:p>
        </w:tc>
        <w:tc>
          <w:tcPr>
            <w:tcW w:w="1187" w:type="dxa"/>
            <w:shd w:val="clear" w:color="000000" w:fill="FFFFFF"/>
            <w:noWrap/>
            <w:vAlign w:val="center"/>
            <w:hideMark/>
          </w:tcPr>
          <w:p w14:paraId="23F0A3F4"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89%</w:t>
            </w:r>
          </w:p>
        </w:tc>
      </w:tr>
      <w:tr w:rsidR="005F0BD4" w:rsidRPr="005F0BD4" w14:paraId="5509B18E" w14:textId="77777777" w:rsidTr="00036C20">
        <w:trPr>
          <w:trHeight w:val="238"/>
        </w:trPr>
        <w:tc>
          <w:tcPr>
            <w:tcW w:w="1371" w:type="dxa"/>
            <w:vMerge/>
            <w:vAlign w:val="center"/>
            <w:hideMark/>
          </w:tcPr>
          <w:p w14:paraId="4B0AEBEA" w14:textId="77777777" w:rsidR="005F0BD4" w:rsidRPr="005F0BD4" w:rsidRDefault="005F0BD4" w:rsidP="005F0BD4">
            <w:pPr>
              <w:rPr>
                <w:rFonts w:ascii="Arial" w:hAnsi="Arial" w:cs="Arial"/>
                <w:color w:val="000000"/>
                <w:sz w:val="18"/>
                <w:szCs w:val="18"/>
                <w:lang w:eastAsia="en-US"/>
              </w:rPr>
            </w:pPr>
          </w:p>
        </w:tc>
        <w:tc>
          <w:tcPr>
            <w:tcW w:w="960" w:type="dxa"/>
            <w:shd w:val="clear" w:color="000000" w:fill="FFFFFF"/>
            <w:noWrap/>
            <w:vAlign w:val="center"/>
            <w:hideMark/>
          </w:tcPr>
          <w:p w14:paraId="7D093CCE" w14:textId="77777777" w:rsidR="005F0BD4" w:rsidRPr="005F0BD4" w:rsidRDefault="005F0BD4" w:rsidP="005F0BD4">
            <w:pPr>
              <w:rPr>
                <w:rFonts w:ascii="Arial" w:hAnsi="Arial" w:cs="Arial"/>
                <w:color w:val="000000"/>
                <w:sz w:val="18"/>
                <w:szCs w:val="18"/>
                <w:lang w:eastAsia="en-US"/>
              </w:rPr>
            </w:pPr>
            <w:r w:rsidRPr="005F0BD4">
              <w:rPr>
                <w:rFonts w:ascii="Arial" w:hAnsi="Arial" w:cs="Arial"/>
                <w:color w:val="000000"/>
                <w:sz w:val="18"/>
                <w:szCs w:val="18"/>
                <w:lang w:eastAsia="en-US"/>
              </w:rPr>
              <w:t>2</w:t>
            </w:r>
          </w:p>
        </w:tc>
        <w:tc>
          <w:tcPr>
            <w:tcW w:w="960" w:type="dxa"/>
            <w:shd w:val="clear" w:color="000000" w:fill="FFFFFF"/>
            <w:noWrap/>
            <w:vAlign w:val="center"/>
            <w:hideMark/>
          </w:tcPr>
          <w:p w14:paraId="666EB201"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7</w:t>
            </w:r>
          </w:p>
        </w:tc>
        <w:tc>
          <w:tcPr>
            <w:tcW w:w="1187" w:type="dxa"/>
            <w:shd w:val="clear" w:color="000000" w:fill="FFFFFF"/>
            <w:noWrap/>
            <w:vAlign w:val="center"/>
            <w:hideMark/>
          </w:tcPr>
          <w:p w14:paraId="3FAFC447"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11%</w:t>
            </w:r>
          </w:p>
        </w:tc>
      </w:tr>
    </w:tbl>
    <w:p w14:paraId="6FED85A6" w14:textId="77777777" w:rsidR="005F0BD4" w:rsidRPr="005F0BD4" w:rsidRDefault="005F0BD4" w:rsidP="005F0BD4">
      <w:pPr>
        <w:spacing w:after="200"/>
        <w:rPr>
          <w:bCs/>
          <w:sz w:val="18"/>
          <w:szCs w:val="18"/>
          <w:lang w:eastAsia="en-US"/>
        </w:rPr>
      </w:pPr>
      <w:r w:rsidRPr="005F0BD4">
        <w:rPr>
          <w:bCs/>
          <w:sz w:val="18"/>
          <w:szCs w:val="18"/>
          <w:lang w:eastAsia="en-US"/>
        </w:rPr>
        <w:t>*2016-17 data until 31 march 2017, and does not constitute a complete financial year</w:t>
      </w:r>
    </w:p>
    <w:p w14:paraId="0F5DF391" w14:textId="0F69130D" w:rsidR="005F0BD4" w:rsidRPr="005F0BD4" w:rsidRDefault="005F0BD4" w:rsidP="008430A7">
      <w:pPr>
        <w:pStyle w:val="Heading3"/>
        <w:rPr>
          <w:lang w:eastAsia="en-US"/>
        </w:rPr>
      </w:pPr>
      <w:r w:rsidRPr="005F0BD4">
        <w:rPr>
          <w:lang w:eastAsia="en-US"/>
        </w:rPr>
        <w:t xml:space="preserve">Table </w:t>
      </w:r>
      <w:r w:rsidR="00036C20" w:rsidRPr="00036C20">
        <w:rPr>
          <w:lang w:eastAsia="en-US"/>
        </w:rPr>
        <w:t>4</w:t>
      </w:r>
      <w:r w:rsidRPr="005F0BD4">
        <w:rPr>
          <w:lang w:eastAsia="en-US"/>
        </w:rPr>
        <w:t>: Number of services per patient since service listed 1 November 2012 to 31 March 2017</w:t>
      </w:r>
    </w:p>
    <w:tbl>
      <w:tblPr>
        <w:tblW w:w="4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services per patient from 2012 to 2017"/>
        <w:tblDescription w:val="Figures are consistent with estimates, and show most patients receive one service. Re-stents occur in line with estimates."/>
      </w:tblPr>
      <w:tblGrid>
        <w:gridCol w:w="1360"/>
        <w:gridCol w:w="1360"/>
        <w:gridCol w:w="1360"/>
      </w:tblGrid>
      <w:tr w:rsidR="005F0BD4" w:rsidRPr="005F0BD4" w14:paraId="497D10C6" w14:textId="77777777" w:rsidTr="00036C20">
        <w:trPr>
          <w:trHeight w:val="240"/>
        </w:trPr>
        <w:tc>
          <w:tcPr>
            <w:tcW w:w="1360" w:type="dxa"/>
            <w:shd w:val="clear" w:color="auto" w:fill="548DD4" w:themeFill="text2" w:themeFillTint="99"/>
            <w:vAlign w:val="center"/>
            <w:hideMark/>
          </w:tcPr>
          <w:p w14:paraId="2255AA97" w14:textId="77777777" w:rsidR="005F0BD4" w:rsidRPr="005F0BD4" w:rsidRDefault="005F0BD4"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Services per Patient</w:t>
            </w:r>
          </w:p>
        </w:tc>
        <w:tc>
          <w:tcPr>
            <w:tcW w:w="1360" w:type="dxa"/>
            <w:shd w:val="clear" w:color="auto" w:fill="548DD4" w:themeFill="text2" w:themeFillTint="99"/>
            <w:vAlign w:val="center"/>
            <w:hideMark/>
          </w:tcPr>
          <w:p w14:paraId="4B7E1D13" w14:textId="77777777" w:rsidR="005F0BD4" w:rsidRPr="005F0BD4" w:rsidRDefault="005F0BD4"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Count</w:t>
            </w:r>
          </w:p>
        </w:tc>
        <w:tc>
          <w:tcPr>
            <w:tcW w:w="1360" w:type="dxa"/>
            <w:shd w:val="clear" w:color="auto" w:fill="548DD4" w:themeFill="text2" w:themeFillTint="99"/>
            <w:vAlign w:val="center"/>
            <w:hideMark/>
          </w:tcPr>
          <w:p w14:paraId="402E40E9" w14:textId="77777777" w:rsidR="005F0BD4" w:rsidRPr="005F0BD4" w:rsidRDefault="005F0BD4" w:rsidP="005F0BD4">
            <w:pPr>
              <w:jc w:val="center"/>
              <w:rPr>
                <w:rFonts w:ascii="Arial" w:hAnsi="Arial" w:cs="Arial"/>
                <w:b/>
                <w:bCs/>
                <w:color w:val="FFFFFF"/>
                <w:sz w:val="18"/>
                <w:szCs w:val="18"/>
                <w:lang w:eastAsia="en-US"/>
              </w:rPr>
            </w:pPr>
            <w:r w:rsidRPr="005F0BD4">
              <w:rPr>
                <w:rFonts w:ascii="Arial" w:hAnsi="Arial" w:cs="Arial"/>
                <w:b/>
                <w:bCs/>
                <w:color w:val="FFFFFF"/>
                <w:sz w:val="18"/>
                <w:szCs w:val="18"/>
                <w:lang w:eastAsia="en-US"/>
              </w:rPr>
              <w:t>Percentage</w:t>
            </w:r>
          </w:p>
        </w:tc>
      </w:tr>
      <w:tr w:rsidR="005F0BD4" w:rsidRPr="005F0BD4" w14:paraId="18BCD473" w14:textId="77777777" w:rsidTr="00036C20">
        <w:trPr>
          <w:trHeight w:val="240"/>
        </w:trPr>
        <w:tc>
          <w:tcPr>
            <w:tcW w:w="1360" w:type="dxa"/>
            <w:shd w:val="clear" w:color="000000" w:fill="FFFFFF"/>
            <w:noWrap/>
            <w:vAlign w:val="bottom"/>
            <w:hideMark/>
          </w:tcPr>
          <w:p w14:paraId="5DF94582" w14:textId="77777777" w:rsidR="005F0BD4" w:rsidRPr="005F0BD4" w:rsidRDefault="005F0BD4" w:rsidP="005F0BD4">
            <w:pPr>
              <w:rPr>
                <w:rFonts w:ascii="Arial" w:hAnsi="Arial" w:cs="Arial"/>
                <w:color w:val="000000"/>
                <w:sz w:val="18"/>
                <w:szCs w:val="18"/>
                <w:lang w:eastAsia="en-US"/>
              </w:rPr>
            </w:pPr>
            <w:r w:rsidRPr="005F0BD4">
              <w:rPr>
                <w:rFonts w:ascii="Arial" w:hAnsi="Arial" w:cs="Arial"/>
                <w:color w:val="000000"/>
                <w:sz w:val="18"/>
                <w:szCs w:val="18"/>
                <w:lang w:eastAsia="en-US"/>
              </w:rPr>
              <w:t>Total</w:t>
            </w:r>
          </w:p>
        </w:tc>
        <w:tc>
          <w:tcPr>
            <w:tcW w:w="1360" w:type="dxa"/>
            <w:shd w:val="clear" w:color="000000" w:fill="FFFFFF"/>
            <w:noWrap/>
            <w:vAlign w:val="bottom"/>
            <w:hideMark/>
          </w:tcPr>
          <w:p w14:paraId="3EEC744D"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272</w:t>
            </w:r>
          </w:p>
        </w:tc>
        <w:tc>
          <w:tcPr>
            <w:tcW w:w="1360" w:type="dxa"/>
            <w:shd w:val="clear" w:color="000000" w:fill="FFFFFF"/>
            <w:noWrap/>
            <w:vAlign w:val="bottom"/>
            <w:hideMark/>
          </w:tcPr>
          <w:p w14:paraId="10369347"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100%</w:t>
            </w:r>
          </w:p>
        </w:tc>
      </w:tr>
      <w:tr w:rsidR="005F0BD4" w:rsidRPr="005F0BD4" w14:paraId="50126D40" w14:textId="77777777" w:rsidTr="00036C20">
        <w:trPr>
          <w:trHeight w:val="240"/>
        </w:trPr>
        <w:tc>
          <w:tcPr>
            <w:tcW w:w="1360" w:type="dxa"/>
            <w:shd w:val="clear" w:color="000000" w:fill="FFFFFF"/>
            <w:noWrap/>
            <w:vAlign w:val="bottom"/>
            <w:hideMark/>
          </w:tcPr>
          <w:p w14:paraId="1F2F0876" w14:textId="77777777" w:rsidR="005F0BD4" w:rsidRPr="005F0BD4" w:rsidRDefault="005F0BD4" w:rsidP="005F0BD4">
            <w:pPr>
              <w:rPr>
                <w:rFonts w:ascii="Arial" w:hAnsi="Arial" w:cs="Arial"/>
                <w:color w:val="000000"/>
                <w:sz w:val="18"/>
                <w:szCs w:val="18"/>
                <w:lang w:eastAsia="en-US"/>
              </w:rPr>
            </w:pPr>
            <w:r w:rsidRPr="005F0BD4">
              <w:rPr>
                <w:rFonts w:ascii="Arial" w:hAnsi="Arial" w:cs="Arial"/>
                <w:color w:val="000000"/>
                <w:sz w:val="18"/>
                <w:szCs w:val="18"/>
                <w:lang w:eastAsia="en-US"/>
              </w:rPr>
              <w:t>1</w:t>
            </w:r>
          </w:p>
        </w:tc>
        <w:tc>
          <w:tcPr>
            <w:tcW w:w="1360" w:type="dxa"/>
            <w:shd w:val="clear" w:color="000000" w:fill="FFFFFF"/>
            <w:noWrap/>
            <w:vAlign w:val="bottom"/>
            <w:hideMark/>
          </w:tcPr>
          <w:p w14:paraId="6A6451AF"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243</w:t>
            </w:r>
          </w:p>
        </w:tc>
        <w:tc>
          <w:tcPr>
            <w:tcW w:w="1360" w:type="dxa"/>
            <w:shd w:val="clear" w:color="000000" w:fill="FFFFFF"/>
            <w:noWrap/>
            <w:vAlign w:val="bottom"/>
            <w:hideMark/>
          </w:tcPr>
          <w:p w14:paraId="259E96F8" w14:textId="77777777" w:rsidR="005F0BD4" w:rsidRPr="005F0BD4" w:rsidRDefault="005F0BD4" w:rsidP="005F0BD4">
            <w:pPr>
              <w:jc w:val="right"/>
              <w:rPr>
                <w:rFonts w:ascii="Arial" w:hAnsi="Arial" w:cs="Arial"/>
                <w:color w:val="000000"/>
                <w:sz w:val="18"/>
                <w:szCs w:val="18"/>
                <w:lang w:eastAsia="en-US"/>
              </w:rPr>
            </w:pPr>
            <w:r w:rsidRPr="005F0BD4">
              <w:rPr>
                <w:rFonts w:ascii="Arial" w:hAnsi="Arial" w:cs="Arial"/>
                <w:color w:val="000000"/>
                <w:sz w:val="18"/>
                <w:szCs w:val="18"/>
                <w:lang w:eastAsia="en-US"/>
              </w:rPr>
              <w:t>89%</w:t>
            </w:r>
          </w:p>
        </w:tc>
      </w:tr>
      <w:tr w:rsidR="005F0BD4" w:rsidRPr="005F0BD4" w14:paraId="69B239D8" w14:textId="77777777" w:rsidTr="00036C20">
        <w:trPr>
          <w:trHeight w:val="240"/>
        </w:trPr>
        <w:tc>
          <w:tcPr>
            <w:tcW w:w="1360" w:type="dxa"/>
            <w:shd w:val="clear" w:color="000000" w:fill="FFFFFF"/>
            <w:noWrap/>
            <w:vAlign w:val="bottom"/>
            <w:hideMark/>
          </w:tcPr>
          <w:p w14:paraId="6DF62330" w14:textId="420A2A7B" w:rsidR="005F0BD4" w:rsidRPr="005F0BD4" w:rsidRDefault="005F0BD4" w:rsidP="005F0BD4">
            <w:pPr>
              <w:rPr>
                <w:rFonts w:ascii="Arial" w:hAnsi="Arial" w:cs="Arial"/>
                <w:color w:val="000000"/>
                <w:sz w:val="18"/>
                <w:szCs w:val="18"/>
                <w:lang w:eastAsia="en-US"/>
              </w:rPr>
            </w:pPr>
            <w:r w:rsidRPr="005F0BD4">
              <w:rPr>
                <w:rFonts w:ascii="Arial" w:hAnsi="Arial" w:cs="Arial"/>
                <w:color w:val="000000"/>
                <w:sz w:val="18"/>
                <w:szCs w:val="18"/>
                <w:lang w:eastAsia="en-US"/>
              </w:rPr>
              <w:t>2</w:t>
            </w:r>
            <w:r w:rsidR="00036C20">
              <w:rPr>
                <w:rFonts w:ascii="Arial" w:hAnsi="Arial" w:cs="Arial"/>
                <w:color w:val="000000"/>
                <w:sz w:val="18"/>
                <w:szCs w:val="18"/>
                <w:lang w:eastAsia="en-US"/>
              </w:rPr>
              <w:t>+</w:t>
            </w:r>
          </w:p>
        </w:tc>
        <w:tc>
          <w:tcPr>
            <w:tcW w:w="1360" w:type="dxa"/>
            <w:shd w:val="clear" w:color="000000" w:fill="FFFFFF"/>
            <w:noWrap/>
            <w:vAlign w:val="bottom"/>
            <w:hideMark/>
          </w:tcPr>
          <w:p w14:paraId="16B0DAB5" w14:textId="2B1E9BEA" w:rsidR="005F0BD4" w:rsidRPr="005F0BD4" w:rsidRDefault="00036C20" w:rsidP="005F0BD4">
            <w:pPr>
              <w:jc w:val="right"/>
              <w:rPr>
                <w:rFonts w:ascii="Arial" w:hAnsi="Arial" w:cs="Arial"/>
                <w:color w:val="000000"/>
                <w:sz w:val="18"/>
                <w:szCs w:val="18"/>
                <w:lang w:eastAsia="en-US"/>
              </w:rPr>
            </w:pPr>
            <w:r>
              <w:rPr>
                <w:rFonts w:ascii="Arial" w:hAnsi="Arial" w:cs="Arial"/>
                <w:color w:val="000000"/>
                <w:sz w:val="18"/>
                <w:szCs w:val="18"/>
                <w:lang w:eastAsia="en-US"/>
              </w:rPr>
              <w:t>29</w:t>
            </w:r>
          </w:p>
        </w:tc>
        <w:tc>
          <w:tcPr>
            <w:tcW w:w="1360" w:type="dxa"/>
            <w:shd w:val="clear" w:color="000000" w:fill="FFFFFF"/>
            <w:noWrap/>
            <w:vAlign w:val="bottom"/>
            <w:hideMark/>
          </w:tcPr>
          <w:p w14:paraId="19C30562" w14:textId="05AC6778" w:rsidR="005F0BD4" w:rsidRPr="005F0BD4" w:rsidRDefault="00036C20" w:rsidP="005F0BD4">
            <w:pPr>
              <w:jc w:val="right"/>
              <w:rPr>
                <w:rFonts w:ascii="Arial" w:hAnsi="Arial" w:cs="Arial"/>
                <w:color w:val="000000"/>
                <w:sz w:val="18"/>
                <w:szCs w:val="18"/>
                <w:lang w:eastAsia="en-US"/>
              </w:rPr>
            </w:pPr>
            <w:r>
              <w:rPr>
                <w:rFonts w:ascii="Arial" w:hAnsi="Arial" w:cs="Arial"/>
                <w:color w:val="000000"/>
                <w:sz w:val="18"/>
                <w:szCs w:val="18"/>
                <w:lang w:eastAsia="en-US"/>
              </w:rPr>
              <w:t>11</w:t>
            </w:r>
            <w:r w:rsidR="005F0BD4" w:rsidRPr="005F0BD4">
              <w:rPr>
                <w:rFonts w:ascii="Arial" w:hAnsi="Arial" w:cs="Arial"/>
                <w:color w:val="000000"/>
                <w:sz w:val="18"/>
                <w:szCs w:val="18"/>
                <w:lang w:eastAsia="en-US"/>
              </w:rPr>
              <w:t>%</w:t>
            </w:r>
          </w:p>
        </w:tc>
      </w:tr>
    </w:tbl>
    <w:p w14:paraId="55EEFB51" w14:textId="3B05E4D2" w:rsidR="005F0BD4" w:rsidRDefault="005F0BD4" w:rsidP="005F0BD4">
      <w:pPr>
        <w:spacing w:after="120"/>
        <w:rPr>
          <w:bCs/>
          <w:sz w:val="18"/>
          <w:szCs w:val="18"/>
          <w:lang w:eastAsia="en-US"/>
        </w:rPr>
      </w:pPr>
      <w:r w:rsidRPr="005F0BD4">
        <w:rPr>
          <w:bCs/>
          <w:sz w:val="18"/>
          <w:szCs w:val="18"/>
          <w:lang w:eastAsia="en-US"/>
        </w:rPr>
        <w:t xml:space="preserve">Source for tables </w:t>
      </w:r>
      <w:r w:rsidR="00036C20">
        <w:rPr>
          <w:bCs/>
          <w:sz w:val="18"/>
          <w:szCs w:val="18"/>
          <w:lang w:eastAsia="en-US"/>
        </w:rPr>
        <w:t>2-4</w:t>
      </w:r>
      <w:r w:rsidRPr="005F0BD4">
        <w:rPr>
          <w:bCs/>
          <w:sz w:val="18"/>
          <w:szCs w:val="18"/>
          <w:lang w:eastAsia="en-US"/>
        </w:rPr>
        <w:t>: Department of Health, File: Q20784 Item 32023 utilisation.xlsx</w:t>
      </w:r>
    </w:p>
    <w:p w14:paraId="337DEAA1" w14:textId="77777777" w:rsidR="00036C20" w:rsidRPr="00036C20" w:rsidRDefault="00036C20" w:rsidP="00036C20">
      <w:pPr>
        <w:numPr>
          <w:ilvl w:val="0"/>
          <w:numId w:val="43"/>
        </w:numPr>
        <w:spacing w:before="240"/>
        <w:contextualSpacing/>
        <w:rPr>
          <w:rFonts w:ascii="Calibri" w:hAnsi="Calibri"/>
          <w:b/>
          <w:szCs w:val="24"/>
          <w:lang w:eastAsia="en-US"/>
        </w:rPr>
      </w:pPr>
      <w:r w:rsidRPr="00036C20">
        <w:rPr>
          <w:rFonts w:ascii="Calibri" w:hAnsi="Calibri"/>
          <w:b/>
          <w:szCs w:val="24"/>
          <w:lang w:eastAsia="en-US"/>
        </w:rPr>
        <w:t>2013-14</w:t>
      </w:r>
    </w:p>
    <w:p w14:paraId="009EF3DD" w14:textId="77777777" w:rsidR="00036C20" w:rsidRPr="00036C20" w:rsidRDefault="00036C20" w:rsidP="00036C20">
      <w:pPr>
        <w:rPr>
          <w:b/>
          <w:bCs/>
          <w:noProof/>
          <w:color w:val="4F81BD"/>
          <w:sz w:val="18"/>
          <w:szCs w:val="18"/>
        </w:rPr>
      </w:pPr>
      <w:r w:rsidRPr="00036C20">
        <w:rPr>
          <w:b/>
          <w:bCs/>
          <w:noProof/>
          <w:color w:val="4F81BD"/>
          <w:sz w:val="18"/>
          <w:szCs w:val="18"/>
        </w:rPr>
        <w:drawing>
          <wp:inline distT="0" distB="0" distL="0" distR="0" wp14:anchorId="259C2894" wp14:editId="45A20CCF">
            <wp:extent cx="5181600" cy="2943225"/>
            <wp:effectExtent l="0" t="0" r="0" b="9525"/>
            <wp:docPr id="3" name="Picture 3" descr="Patient demographics for 2013-14 show an even distribution between males and females, with a majority of services delivered to those aged between 35 and 84" title="Medicare Item 32023 processed from July 2013 to Jun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dicare Item 32023 processed from July 2013 to June 20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3075" cy="2944063"/>
                    </a:xfrm>
                    <a:prstGeom prst="rect">
                      <a:avLst/>
                    </a:prstGeom>
                    <a:noFill/>
                    <a:ln>
                      <a:noFill/>
                    </a:ln>
                  </pic:spPr>
                </pic:pic>
              </a:graphicData>
            </a:graphic>
          </wp:inline>
        </w:drawing>
      </w:r>
    </w:p>
    <w:p w14:paraId="02F66DDF" w14:textId="77777777" w:rsidR="00036C20" w:rsidRPr="00036C20" w:rsidRDefault="00036C20" w:rsidP="00036C20">
      <w:pPr>
        <w:numPr>
          <w:ilvl w:val="0"/>
          <w:numId w:val="43"/>
        </w:numPr>
        <w:contextualSpacing/>
        <w:rPr>
          <w:rFonts w:ascii="Calibri" w:hAnsi="Calibri"/>
          <w:b/>
          <w:szCs w:val="24"/>
          <w:lang w:eastAsia="en-US"/>
        </w:rPr>
      </w:pPr>
      <w:r w:rsidRPr="00036C20">
        <w:rPr>
          <w:rFonts w:ascii="Calibri" w:hAnsi="Calibri"/>
          <w:b/>
          <w:szCs w:val="24"/>
          <w:lang w:eastAsia="en-US"/>
        </w:rPr>
        <w:t>2014-15</w:t>
      </w:r>
    </w:p>
    <w:p w14:paraId="42E1B6BD" w14:textId="77777777" w:rsidR="00036C20" w:rsidRPr="00036C20" w:rsidRDefault="00036C20" w:rsidP="00036C20">
      <w:pPr>
        <w:rPr>
          <w:rFonts w:ascii="Calibri" w:hAnsi="Calibri"/>
          <w:b/>
          <w:szCs w:val="24"/>
          <w:lang w:eastAsia="en-US"/>
        </w:rPr>
      </w:pPr>
      <w:r w:rsidRPr="00036C20">
        <w:rPr>
          <w:noProof/>
          <w:szCs w:val="24"/>
        </w:rPr>
        <w:drawing>
          <wp:inline distT="0" distB="0" distL="0" distR="0" wp14:anchorId="50E8D78D" wp14:editId="3F90FCCA">
            <wp:extent cx="5181600" cy="3086100"/>
            <wp:effectExtent l="0" t="0" r="0" b="0"/>
            <wp:docPr id="4" name="Picture 4" descr="Patient demographics for 2014-15 show a majority distribution of services delivered to males aged between 55 and 84" title="Medicare Item 32023 processed from July 2014 to Jun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dicare Item 32023 processed from July 2014 to June 20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1965" cy="3086317"/>
                    </a:xfrm>
                    <a:prstGeom prst="rect">
                      <a:avLst/>
                    </a:prstGeom>
                    <a:noFill/>
                    <a:ln>
                      <a:noFill/>
                    </a:ln>
                  </pic:spPr>
                </pic:pic>
              </a:graphicData>
            </a:graphic>
          </wp:inline>
        </w:drawing>
      </w:r>
    </w:p>
    <w:p w14:paraId="0607DB1E" w14:textId="6CB0D238" w:rsidR="00036C20" w:rsidRPr="007A3D70" w:rsidRDefault="00036C20" w:rsidP="00036C20">
      <w:pPr>
        <w:rPr>
          <w:rFonts w:ascii="Calibri" w:hAnsi="Calibri"/>
          <w:b/>
          <w:szCs w:val="24"/>
          <w:lang w:eastAsia="en-US"/>
        </w:rPr>
      </w:pPr>
      <w:proofErr w:type="gramStart"/>
      <w:r w:rsidRPr="00036C20">
        <w:rPr>
          <w:rFonts w:ascii="Calibri" w:hAnsi="Calibri"/>
          <w:b/>
          <w:szCs w:val="24"/>
          <w:lang w:eastAsia="en-US"/>
        </w:rPr>
        <w:lastRenderedPageBreak/>
        <w:t>c</w:t>
      </w:r>
      <w:proofErr w:type="gramEnd"/>
      <w:r w:rsidRPr="00036C20">
        <w:rPr>
          <w:rFonts w:ascii="Calibri" w:hAnsi="Calibri"/>
          <w:b/>
          <w:szCs w:val="24"/>
          <w:lang w:eastAsia="en-US"/>
        </w:rPr>
        <w:t>) 2015-16</w:t>
      </w:r>
      <w:r w:rsidRPr="00036C20">
        <w:rPr>
          <w:noProof/>
          <w:szCs w:val="24"/>
        </w:rPr>
        <w:t xml:space="preserve"> </w:t>
      </w:r>
      <w:r w:rsidRPr="00036C20">
        <w:rPr>
          <w:noProof/>
          <w:szCs w:val="24"/>
        </w:rPr>
        <w:drawing>
          <wp:inline distT="0" distB="0" distL="0" distR="0" wp14:anchorId="5A7F9B1A" wp14:editId="12F6C237">
            <wp:extent cx="5295900" cy="2914650"/>
            <wp:effectExtent l="0" t="0" r="0" b="0"/>
            <wp:docPr id="5" name="Picture 5" descr="Patient demographics for 2015-16 show an even distribution between males and females, with a majority of services delivered to those aged between 55 and 84" title="Medicare Item 32023 processed from July 2015 to Ju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dicare Item 32023 processed from July 2015 to June 20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2572" cy="2918322"/>
                    </a:xfrm>
                    <a:prstGeom prst="rect">
                      <a:avLst/>
                    </a:prstGeom>
                    <a:noFill/>
                    <a:ln>
                      <a:noFill/>
                    </a:ln>
                  </pic:spPr>
                </pic:pic>
              </a:graphicData>
            </a:graphic>
          </wp:inline>
        </w:drawing>
      </w:r>
    </w:p>
    <w:p w14:paraId="766DCF4F" w14:textId="77777777" w:rsidR="00036C20" w:rsidRPr="00036C20" w:rsidRDefault="00036C20" w:rsidP="00036C20">
      <w:pPr>
        <w:rPr>
          <w:rFonts w:ascii="Calibri" w:hAnsi="Calibri"/>
          <w:b/>
          <w:szCs w:val="24"/>
          <w:lang w:eastAsia="en-US"/>
        </w:rPr>
      </w:pPr>
      <w:proofErr w:type="gramStart"/>
      <w:r w:rsidRPr="00036C20">
        <w:rPr>
          <w:rFonts w:ascii="Calibri" w:hAnsi="Calibri"/>
          <w:b/>
          <w:szCs w:val="24"/>
          <w:lang w:eastAsia="en-US"/>
        </w:rPr>
        <w:t>d</w:t>
      </w:r>
      <w:proofErr w:type="gramEnd"/>
      <w:r w:rsidRPr="00036C20">
        <w:rPr>
          <w:rFonts w:ascii="Calibri" w:hAnsi="Calibri"/>
          <w:b/>
          <w:szCs w:val="24"/>
          <w:lang w:eastAsia="en-US"/>
        </w:rPr>
        <w:t>) 2016-17</w:t>
      </w:r>
    </w:p>
    <w:p w14:paraId="6DB6F97D" w14:textId="77777777" w:rsidR="00036C20" w:rsidRPr="00036C20" w:rsidRDefault="00036C20" w:rsidP="00036C20">
      <w:pPr>
        <w:rPr>
          <w:szCs w:val="24"/>
          <w:lang w:eastAsia="en-US"/>
        </w:rPr>
      </w:pPr>
      <w:r w:rsidRPr="00036C20">
        <w:rPr>
          <w:noProof/>
          <w:szCs w:val="24"/>
        </w:rPr>
        <w:drawing>
          <wp:inline distT="0" distB="0" distL="0" distR="0" wp14:anchorId="55941347" wp14:editId="3E5893D0">
            <wp:extent cx="5273939" cy="3038475"/>
            <wp:effectExtent l="0" t="0" r="3175" b="0"/>
            <wp:docPr id="6" name="Picture 6" descr="Patient demographics for 2016-17 show an even distribution between males and females, with a majority of services delivered to those aged between 55 and 84" title="Medicare Item 32023 processed from July 2016 to April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dicare Item 32023 processed from July 2016 to April 20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3038689"/>
                    </a:xfrm>
                    <a:prstGeom prst="rect">
                      <a:avLst/>
                    </a:prstGeom>
                    <a:noFill/>
                    <a:ln>
                      <a:noFill/>
                    </a:ln>
                  </pic:spPr>
                </pic:pic>
              </a:graphicData>
            </a:graphic>
          </wp:inline>
        </w:drawing>
      </w:r>
    </w:p>
    <w:p w14:paraId="1F8E30EA" w14:textId="7154D539" w:rsidR="00036C20" w:rsidRPr="007A3D70" w:rsidRDefault="00036C20" w:rsidP="007A3D70">
      <w:pPr>
        <w:rPr>
          <w:b/>
          <w:sz w:val="18"/>
          <w:szCs w:val="18"/>
        </w:rPr>
      </w:pPr>
      <w:r w:rsidRPr="007A3D70">
        <w:rPr>
          <w:b/>
          <w:sz w:val="18"/>
          <w:szCs w:val="18"/>
        </w:rPr>
        <w:t xml:space="preserve">Figure 1: Demographic profile for MBS item 32023 for 2013-14 (a), 2014-15 (b), </w:t>
      </w:r>
      <w:proofErr w:type="gramStart"/>
      <w:r w:rsidRPr="007A3D70">
        <w:rPr>
          <w:b/>
          <w:sz w:val="18"/>
          <w:szCs w:val="18"/>
        </w:rPr>
        <w:t>2015</w:t>
      </w:r>
      <w:proofErr w:type="gramEnd"/>
      <w:r w:rsidRPr="007A3D70">
        <w:rPr>
          <w:b/>
          <w:sz w:val="18"/>
          <w:szCs w:val="18"/>
        </w:rPr>
        <w:t>-16 (c) and 2016-17 (d)</w:t>
      </w:r>
    </w:p>
    <w:p w14:paraId="70D8834C" w14:textId="4E7E6AD2" w:rsidR="00036C20" w:rsidRPr="00036C20" w:rsidRDefault="00036C20" w:rsidP="00036C20">
      <w:pPr>
        <w:rPr>
          <w:i/>
          <w:sz w:val="20"/>
          <w:lang w:eastAsia="en-US"/>
        </w:rPr>
      </w:pPr>
      <w:r w:rsidRPr="00036C20">
        <w:rPr>
          <w:i/>
          <w:sz w:val="20"/>
          <w:lang w:eastAsia="en-US"/>
        </w:rPr>
        <w:t>Sou</w:t>
      </w:r>
      <w:r>
        <w:rPr>
          <w:i/>
          <w:sz w:val="20"/>
          <w:lang w:eastAsia="en-US"/>
        </w:rPr>
        <w:t>rce: Medicare Statistics Online</w:t>
      </w:r>
      <w:r>
        <w:br w:type="page"/>
      </w:r>
    </w:p>
    <w:p w14:paraId="4ACBFCDC" w14:textId="29DBD073" w:rsidR="004E015F" w:rsidRDefault="004E015F" w:rsidP="004E015F">
      <w:pPr>
        <w:pStyle w:val="Heading2"/>
      </w:pPr>
      <w:r>
        <w:lastRenderedPageBreak/>
        <w:t>Practitioner breakdown</w:t>
      </w:r>
    </w:p>
    <w:p w14:paraId="66022F17" w14:textId="567DAAA6" w:rsidR="00036C20" w:rsidRPr="00036C20" w:rsidRDefault="00036C20" w:rsidP="007A3D70">
      <w:pPr>
        <w:spacing w:after="240"/>
        <w:rPr>
          <w:szCs w:val="24"/>
          <w:lang w:eastAsia="en-US"/>
        </w:rPr>
      </w:pPr>
      <w:bookmarkStart w:id="1" w:name="_Toc465347395"/>
      <w:r w:rsidRPr="00036C20">
        <w:rPr>
          <w:szCs w:val="24"/>
          <w:lang w:eastAsia="en-US"/>
        </w:rPr>
        <w:t>There has been a gradual increase in the number of practitioners providing services under item 32023</w:t>
      </w:r>
      <w:r>
        <w:rPr>
          <w:szCs w:val="24"/>
          <w:lang w:eastAsia="en-US"/>
        </w:rPr>
        <w:t xml:space="preserve">. </w:t>
      </w:r>
      <w:r w:rsidRPr="00036C20">
        <w:rPr>
          <w:szCs w:val="24"/>
          <w:lang w:eastAsia="en-US"/>
        </w:rPr>
        <w:t xml:space="preserve">There were 37 practitioners in 2013-14, increasing to 53 practitioners in 2015-16 (Table </w:t>
      </w:r>
      <w:r>
        <w:rPr>
          <w:szCs w:val="24"/>
          <w:lang w:eastAsia="en-US"/>
        </w:rPr>
        <w:t>5</w:t>
      </w:r>
      <w:r w:rsidRPr="00036C20">
        <w:rPr>
          <w:szCs w:val="24"/>
          <w:lang w:eastAsia="en-US"/>
        </w:rPr>
        <w:t xml:space="preserve">).  About 25% of practitioners have provided close to 60% of all services (Table </w:t>
      </w:r>
      <w:r>
        <w:rPr>
          <w:szCs w:val="24"/>
          <w:lang w:eastAsia="en-US"/>
        </w:rPr>
        <w:t>6</w:t>
      </w:r>
      <w:r w:rsidRPr="00036C20">
        <w:rPr>
          <w:szCs w:val="24"/>
          <w:lang w:eastAsia="en-US"/>
        </w:rPr>
        <w:t>).  Close to 55% of services were provided by Gastroenterology and Hepatology specialists, and 92% of services provided by gastroent</w:t>
      </w:r>
      <w:r>
        <w:rPr>
          <w:szCs w:val="24"/>
          <w:lang w:eastAsia="en-US"/>
        </w:rPr>
        <w:t>erologists and general surgeons</w:t>
      </w:r>
      <w:r w:rsidR="008430A7">
        <w:rPr>
          <w:szCs w:val="24"/>
          <w:lang w:eastAsia="en-US"/>
        </w:rPr>
        <w:t>.</w:t>
      </w:r>
    </w:p>
    <w:p w14:paraId="7CD579DE" w14:textId="77777777" w:rsidR="00036C20" w:rsidRPr="00036C20" w:rsidRDefault="00036C20" w:rsidP="00036C20">
      <w:pPr>
        <w:rPr>
          <w:szCs w:val="24"/>
          <w:lang w:eastAsia="en-US"/>
        </w:rPr>
      </w:pPr>
      <w:r w:rsidRPr="00036C20">
        <w:rPr>
          <w:szCs w:val="24"/>
          <w:lang w:eastAsia="en-US"/>
        </w:rPr>
        <w:t xml:space="preserve">While the item is restricted to colorectal surgeons and gastroenterologists with endoscopic training who are recognised by the Conjoint Committee for the Recognition of Training in Gastrointestinal Endoscopy only, data indicates a low volume of services are being provided by specialists in obstetrics and gynaecology. However, given the data is based on provider billing behaviour (i.e. derived specialty as opposed to registered specialty), it is possible that these services were provided by colorectal surgeons and gastroenterologists, but not classified as such in the data.  </w:t>
      </w:r>
    </w:p>
    <w:p w14:paraId="24B124CC" w14:textId="5B387823" w:rsidR="00036C20" w:rsidRPr="00036C20" w:rsidRDefault="00036C20" w:rsidP="008430A7">
      <w:pPr>
        <w:pStyle w:val="Heading3"/>
        <w:rPr>
          <w:lang w:eastAsia="en-US"/>
        </w:rPr>
      </w:pPr>
      <w:r w:rsidRPr="00036C20">
        <w:rPr>
          <w:lang w:eastAsia="en-US"/>
        </w:rPr>
        <w:t xml:space="preserve">Table </w:t>
      </w:r>
      <w:r>
        <w:rPr>
          <w:lang w:eastAsia="en-US"/>
        </w:rPr>
        <w:t>5</w:t>
      </w:r>
      <w:r w:rsidRPr="00036C20">
        <w:rPr>
          <w:lang w:eastAsia="en-US"/>
        </w:rPr>
        <w:t>: Number of practitioners providing services under item 32023 in 2012-13 to 2016-17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umber of practitioners providing services under item 32023 between 2012 and 2017"/>
        <w:tblDescription w:val="Figures show practitioners provide and average of roughly 2 services per year"/>
      </w:tblPr>
      <w:tblGrid>
        <w:gridCol w:w="2127"/>
        <w:gridCol w:w="1417"/>
        <w:gridCol w:w="1134"/>
        <w:gridCol w:w="1134"/>
      </w:tblGrid>
      <w:tr w:rsidR="00036C20" w:rsidRPr="00036C20" w14:paraId="2FD72B1E" w14:textId="77777777" w:rsidTr="00036C20">
        <w:trPr>
          <w:trHeight w:val="325"/>
        </w:trPr>
        <w:tc>
          <w:tcPr>
            <w:tcW w:w="2127" w:type="dxa"/>
            <w:shd w:val="clear" w:color="auto" w:fill="548DD4" w:themeFill="text2" w:themeFillTint="99"/>
            <w:vAlign w:val="center"/>
          </w:tcPr>
          <w:p w14:paraId="3ADD7635"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Financial year</w:t>
            </w:r>
          </w:p>
        </w:tc>
        <w:tc>
          <w:tcPr>
            <w:tcW w:w="1417" w:type="dxa"/>
            <w:shd w:val="clear" w:color="auto" w:fill="548DD4" w:themeFill="text2" w:themeFillTint="99"/>
            <w:vAlign w:val="center"/>
          </w:tcPr>
          <w:p w14:paraId="5D0CAFC3"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Practitioners</w:t>
            </w:r>
          </w:p>
        </w:tc>
        <w:tc>
          <w:tcPr>
            <w:tcW w:w="1134" w:type="dxa"/>
            <w:shd w:val="clear" w:color="auto" w:fill="548DD4" w:themeFill="text2" w:themeFillTint="99"/>
            <w:vAlign w:val="center"/>
          </w:tcPr>
          <w:p w14:paraId="4ABFA3E1"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Services</w:t>
            </w:r>
          </w:p>
        </w:tc>
        <w:tc>
          <w:tcPr>
            <w:tcW w:w="1134" w:type="dxa"/>
            <w:shd w:val="clear" w:color="auto" w:fill="548DD4" w:themeFill="text2" w:themeFillTint="99"/>
            <w:vAlign w:val="center"/>
          </w:tcPr>
          <w:p w14:paraId="34FED8FD"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Average</w:t>
            </w:r>
          </w:p>
        </w:tc>
      </w:tr>
      <w:tr w:rsidR="00036C20" w:rsidRPr="00036C20" w14:paraId="3997B8CD" w14:textId="77777777" w:rsidTr="00036C20">
        <w:trPr>
          <w:trHeight w:val="193"/>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6C9DE321" w14:textId="77777777" w:rsidR="00036C20" w:rsidRPr="00036C20" w:rsidRDefault="00036C20" w:rsidP="00036C20">
            <w:pPr>
              <w:rPr>
                <w:rFonts w:ascii="Arial" w:hAnsi="Arial" w:cs="Arial"/>
                <w:bCs/>
                <w:color w:val="000000"/>
                <w:sz w:val="18"/>
                <w:szCs w:val="18"/>
                <w:lang w:eastAsia="en-US"/>
              </w:rPr>
            </w:pPr>
            <w:r w:rsidRPr="00036C20">
              <w:rPr>
                <w:rFonts w:ascii="Arial" w:hAnsi="Arial" w:cs="Arial"/>
                <w:bCs/>
                <w:color w:val="000000"/>
                <w:sz w:val="18"/>
                <w:szCs w:val="18"/>
                <w:lang w:eastAsia="en-US"/>
              </w:rPr>
              <w:t>2012-13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01F62E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F21D96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609E726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1.1 </w:t>
            </w:r>
          </w:p>
        </w:tc>
      </w:tr>
      <w:tr w:rsidR="00036C20" w:rsidRPr="00036C20" w14:paraId="1CDCB82F" w14:textId="77777777" w:rsidTr="00036C20">
        <w:trPr>
          <w:trHeight w:val="193"/>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0C997315" w14:textId="77777777" w:rsidR="00036C20" w:rsidRPr="00036C20" w:rsidRDefault="00036C20" w:rsidP="00036C20">
            <w:pPr>
              <w:rPr>
                <w:rFonts w:ascii="Arial" w:hAnsi="Arial" w:cs="Arial"/>
                <w:bCs/>
                <w:color w:val="000000"/>
                <w:sz w:val="18"/>
                <w:szCs w:val="18"/>
                <w:lang w:eastAsia="en-US"/>
              </w:rPr>
            </w:pPr>
            <w:r w:rsidRPr="00036C20">
              <w:rPr>
                <w:rFonts w:ascii="Arial" w:hAnsi="Arial" w:cs="Arial"/>
                <w:bCs/>
                <w:color w:val="000000"/>
                <w:sz w:val="18"/>
                <w:szCs w:val="18"/>
                <w:lang w:eastAsia="en-US"/>
              </w:rPr>
              <w:t>2013-14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5E0A19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37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5A47AE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57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520B76E3"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1.5 </w:t>
            </w:r>
          </w:p>
        </w:tc>
      </w:tr>
      <w:tr w:rsidR="00036C20" w:rsidRPr="00036C20" w14:paraId="6D0B315C" w14:textId="77777777" w:rsidTr="00036C20">
        <w:trPr>
          <w:trHeight w:val="193"/>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5A92B51F" w14:textId="77777777" w:rsidR="00036C20" w:rsidRPr="00036C20" w:rsidRDefault="00036C20" w:rsidP="00036C20">
            <w:pPr>
              <w:rPr>
                <w:rFonts w:ascii="Arial" w:hAnsi="Arial" w:cs="Arial"/>
                <w:bCs/>
                <w:color w:val="000000"/>
                <w:sz w:val="18"/>
                <w:szCs w:val="18"/>
                <w:lang w:eastAsia="en-US"/>
              </w:rPr>
            </w:pPr>
            <w:r w:rsidRPr="00036C20">
              <w:rPr>
                <w:rFonts w:ascii="Arial" w:hAnsi="Arial" w:cs="Arial"/>
                <w:bCs/>
                <w:color w:val="000000"/>
                <w:sz w:val="18"/>
                <w:szCs w:val="18"/>
                <w:lang w:eastAsia="en-US"/>
              </w:rPr>
              <w:t>2014-15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93B3C21"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47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07E9DF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47F271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1.7 </w:t>
            </w:r>
          </w:p>
        </w:tc>
      </w:tr>
      <w:tr w:rsidR="00036C20" w:rsidRPr="00036C20" w14:paraId="1949BCBC" w14:textId="77777777" w:rsidTr="00036C20">
        <w:trPr>
          <w:trHeight w:val="193"/>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61718EDE" w14:textId="77777777" w:rsidR="00036C20" w:rsidRPr="00036C20" w:rsidRDefault="00036C20" w:rsidP="00036C20">
            <w:pPr>
              <w:rPr>
                <w:rFonts w:ascii="Arial" w:hAnsi="Arial" w:cs="Arial"/>
                <w:bCs/>
                <w:color w:val="000000"/>
                <w:sz w:val="18"/>
                <w:szCs w:val="18"/>
                <w:lang w:eastAsia="en-US"/>
              </w:rPr>
            </w:pPr>
            <w:r w:rsidRPr="00036C20">
              <w:rPr>
                <w:rFonts w:ascii="Arial" w:hAnsi="Arial" w:cs="Arial"/>
                <w:bCs/>
                <w:color w:val="000000"/>
                <w:sz w:val="18"/>
                <w:szCs w:val="18"/>
                <w:lang w:eastAsia="en-US"/>
              </w:rPr>
              <w:t>2015-16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C82C73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53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202190C1"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85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2BAF4A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1.6 </w:t>
            </w:r>
          </w:p>
        </w:tc>
      </w:tr>
      <w:tr w:rsidR="00036C20" w:rsidRPr="00036C20" w14:paraId="11B5287F" w14:textId="77777777" w:rsidTr="00036C20">
        <w:trPr>
          <w:trHeight w:val="193"/>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3CDA45FF" w14:textId="77777777" w:rsidR="00036C20" w:rsidRPr="00036C20" w:rsidRDefault="00036C20" w:rsidP="00036C20">
            <w:pPr>
              <w:rPr>
                <w:rFonts w:ascii="Arial" w:hAnsi="Arial" w:cs="Arial"/>
                <w:bCs/>
                <w:color w:val="000000"/>
                <w:sz w:val="18"/>
                <w:szCs w:val="18"/>
                <w:lang w:eastAsia="en-US"/>
              </w:rPr>
            </w:pPr>
            <w:r w:rsidRPr="00036C20">
              <w:rPr>
                <w:rFonts w:ascii="Arial" w:hAnsi="Arial" w:cs="Arial"/>
                <w:bCs/>
                <w:color w:val="000000"/>
                <w:sz w:val="18"/>
                <w:szCs w:val="18"/>
                <w:lang w:eastAsia="en-US"/>
              </w:rPr>
              <w:t>2016-17*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CBC2F5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42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A70DF1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71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572A6D6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1.7 </w:t>
            </w:r>
          </w:p>
        </w:tc>
      </w:tr>
      <w:tr w:rsidR="00036C20" w:rsidRPr="00036C20" w14:paraId="2F6D3CA4" w14:textId="77777777" w:rsidTr="00036C20">
        <w:trPr>
          <w:trHeight w:val="193"/>
        </w:trPr>
        <w:tc>
          <w:tcPr>
            <w:tcW w:w="2127" w:type="dxa"/>
            <w:shd w:val="clear" w:color="000000" w:fill="FFFFFF"/>
            <w:vAlign w:val="center"/>
          </w:tcPr>
          <w:p w14:paraId="6DDF5C90" w14:textId="77777777" w:rsidR="00036C20" w:rsidRPr="00036C20" w:rsidRDefault="00036C20" w:rsidP="00036C20">
            <w:pPr>
              <w:rPr>
                <w:rFonts w:ascii="Arial" w:hAnsi="Arial" w:cs="Arial"/>
                <w:b/>
                <w:bCs/>
                <w:color w:val="000000"/>
                <w:sz w:val="16"/>
                <w:szCs w:val="16"/>
                <w:lang w:eastAsia="en-US"/>
              </w:rPr>
            </w:pPr>
            <w:r w:rsidRPr="00036C20">
              <w:rPr>
                <w:rFonts w:ascii="Arial" w:hAnsi="Arial" w:cs="Arial"/>
                <w:b/>
                <w:bCs/>
                <w:color w:val="000000"/>
                <w:sz w:val="16"/>
                <w:szCs w:val="16"/>
                <w:lang w:eastAsia="en-US"/>
              </w:rPr>
              <w:t>All Years</w:t>
            </w:r>
          </w:p>
        </w:tc>
        <w:tc>
          <w:tcPr>
            <w:tcW w:w="1417" w:type="dxa"/>
            <w:shd w:val="clear" w:color="000000" w:fill="FFFFFF"/>
            <w:vAlign w:val="bottom"/>
          </w:tcPr>
          <w:p w14:paraId="2CEEE4A5" w14:textId="77777777" w:rsidR="00036C20" w:rsidRPr="00036C20" w:rsidRDefault="00036C20" w:rsidP="00036C20">
            <w:pPr>
              <w:jc w:val="right"/>
              <w:rPr>
                <w:rFonts w:ascii="Arial" w:hAnsi="Arial" w:cs="Arial"/>
                <w:b/>
                <w:color w:val="000000"/>
                <w:sz w:val="18"/>
                <w:szCs w:val="18"/>
                <w:lang w:eastAsia="en-US"/>
              </w:rPr>
            </w:pPr>
            <w:r w:rsidRPr="00036C20">
              <w:rPr>
                <w:rFonts w:ascii="Arial" w:hAnsi="Arial" w:cs="Arial"/>
                <w:b/>
                <w:color w:val="000000"/>
                <w:sz w:val="18"/>
                <w:szCs w:val="18"/>
                <w:lang w:eastAsia="en-US"/>
              </w:rPr>
              <w:t xml:space="preserve">118 </w:t>
            </w:r>
          </w:p>
        </w:tc>
        <w:tc>
          <w:tcPr>
            <w:tcW w:w="1134" w:type="dxa"/>
            <w:shd w:val="clear" w:color="000000" w:fill="FFFFFF"/>
            <w:vAlign w:val="bottom"/>
          </w:tcPr>
          <w:p w14:paraId="63C649CF" w14:textId="77777777" w:rsidR="00036C20" w:rsidRPr="00036C20" w:rsidRDefault="00036C20" w:rsidP="00036C20">
            <w:pPr>
              <w:jc w:val="right"/>
              <w:rPr>
                <w:rFonts w:ascii="Arial" w:hAnsi="Arial" w:cs="Arial"/>
                <w:b/>
                <w:color w:val="000000"/>
                <w:sz w:val="18"/>
                <w:szCs w:val="18"/>
                <w:lang w:eastAsia="en-US"/>
              </w:rPr>
            </w:pPr>
            <w:r w:rsidRPr="00036C20">
              <w:rPr>
                <w:rFonts w:ascii="Arial" w:hAnsi="Arial" w:cs="Arial"/>
                <w:b/>
                <w:color w:val="000000"/>
                <w:sz w:val="18"/>
                <w:szCs w:val="18"/>
                <w:lang w:eastAsia="en-US"/>
              </w:rPr>
              <w:t xml:space="preserve">306 </w:t>
            </w:r>
          </w:p>
        </w:tc>
        <w:tc>
          <w:tcPr>
            <w:tcW w:w="1134" w:type="dxa"/>
            <w:shd w:val="clear" w:color="000000" w:fill="FFFFFF"/>
            <w:vAlign w:val="bottom"/>
          </w:tcPr>
          <w:p w14:paraId="490A690F" w14:textId="77777777" w:rsidR="00036C20" w:rsidRPr="00036C20" w:rsidRDefault="00036C20" w:rsidP="00036C20">
            <w:pPr>
              <w:jc w:val="right"/>
              <w:rPr>
                <w:rFonts w:ascii="Arial" w:hAnsi="Arial" w:cs="Arial"/>
                <w:b/>
                <w:color w:val="000000"/>
                <w:sz w:val="18"/>
                <w:szCs w:val="18"/>
                <w:lang w:eastAsia="en-US"/>
              </w:rPr>
            </w:pPr>
            <w:r w:rsidRPr="00036C20">
              <w:rPr>
                <w:rFonts w:ascii="Arial" w:hAnsi="Arial" w:cs="Arial"/>
                <w:b/>
                <w:color w:val="000000"/>
                <w:sz w:val="18"/>
                <w:szCs w:val="18"/>
                <w:lang w:eastAsia="en-US"/>
              </w:rPr>
              <w:t xml:space="preserve">2.6 </w:t>
            </w:r>
          </w:p>
        </w:tc>
      </w:tr>
    </w:tbl>
    <w:p w14:paraId="0CBC3167" w14:textId="7B3B2656" w:rsidR="00036C20" w:rsidRPr="007A3D70" w:rsidRDefault="00036C20" w:rsidP="007A3D70">
      <w:pPr>
        <w:spacing w:before="240"/>
        <w:rPr>
          <w:b/>
          <w:sz w:val="18"/>
          <w:szCs w:val="18"/>
        </w:rPr>
      </w:pPr>
      <w:r w:rsidRPr="007A3D70">
        <w:rPr>
          <w:b/>
          <w:sz w:val="18"/>
          <w:szCs w:val="18"/>
        </w:rPr>
        <w:t>Table 6: Cumulative percentage of medical practitioners providing item 32023 and how many services each percentile accounts for in 2012-13 to 2016-17</w:t>
      </w:r>
    </w:p>
    <w:tbl>
      <w:tblPr>
        <w:tblW w:w="69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mulative percentage of practitioners providing item 32023 between 2012 to 2017"/>
        <w:tblDescription w:val="Figures show 25 per cent of practitioners provide roughly 60 per cent of services, with 75 per cent of practitioners providing roughly 90 per cent of all services"/>
      </w:tblPr>
      <w:tblGrid>
        <w:gridCol w:w="1187"/>
        <w:gridCol w:w="960"/>
        <w:gridCol w:w="960"/>
        <w:gridCol w:w="960"/>
        <w:gridCol w:w="960"/>
        <w:gridCol w:w="960"/>
        <w:gridCol w:w="960"/>
      </w:tblGrid>
      <w:tr w:rsidR="00036C20" w:rsidRPr="00036C20" w14:paraId="7D3C1C6C" w14:textId="77777777" w:rsidTr="00036C20">
        <w:trPr>
          <w:trHeight w:val="675"/>
        </w:trPr>
        <w:tc>
          <w:tcPr>
            <w:tcW w:w="1187" w:type="dxa"/>
            <w:shd w:val="clear" w:color="auto" w:fill="548DD4" w:themeFill="text2" w:themeFillTint="99"/>
            <w:vAlign w:val="center"/>
            <w:hideMark/>
          </w:tcPr>
          <w:p w14:paraId="2ABFFD62"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Provider Cumulative %</w:t>
            </w:r>
          </w:p>
        </w:tc>
        <w:tc>
          <w:tcPr>
            <w:tcW w:w="960" w:type="dxa"/>
            <w:shd w:val="clear" w:color="auto" w:fill="548DD4" w:themeFill="text2" w:themeFillTint="99"/>
            <w:vAlign w:val="center"/>
            <w:hideMark/>
          </w:tcPr>
          <w:p w14:paraId="22685E96"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2012-13</w:t>
            </w:r>
          </w:p>
        </w:tc>
        <w:tc>
          <w:tcPr>
            <w:tcW w:w="960" w:type="dxa"/>
            <w:shd w:val="clear" w:color="auto" w:fill="548DD4" w:themeFill="text2" w:themeFillTint="99"/>
            <w:vAlign w:val="center"/>
            <w:hideMark/>
          </w:tcPr>
          <w:p w14:paraId="19016CFF"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2013-14</w:t>
            </w:r>
          </w:p>
        </w:tc>
        <w:tc>
          <w:tcPr>
            <w:tcW w:w="960" w:type="dxa"/>
            <w:shd w:val="clear" w:color="auto" w:fill="548DD4" w:themeFill="text2" w:themeFillTint="99"/>
            <w:vAlign w:val="center"/>
          </w:tcPr>
          <w:p w14:paraId="66BF3792"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2014-15</w:t>
            </w:r>
          </w:p>
        </w:tc>
        <w:tc>
          <w:tcPr>
            <w:tcW w:w="960" w:type="dxa"/>
            <w:shd w:val="clear" w:color="auto" w:fill="548DD4" w:themeFill="text2" w:themeFillTint="99"/>
            <w:vAlign w:val="center"/>
          </w:tcPr>
          <w:p w14:paraId="50C3BA13"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2015-16</w:t>
            </w:r>
          </w:p>
        </w:tc>
        <w:tc>
          <w:tcPr>
            <w:tcW w:w="960" w:type="dxa"/>
            <w:shd w:val="clear" w:color="auto" w:fill="548DD4" w:themeFill="text2" w:themeFillTint="99"/>
            <w:vAlign w:val="center"/>
            <w:hideMark/>
          </w:tcPr>
          <w:p w14:paraId="7FC6432A"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2016-17 (to 31 Mar 17)</w:t>
            </w:r>
          </w:p>
        </w:tc>
        <w:tc>
          <w:tcPr>
            <w:tcW w:w="960" w:type="dxa"/>
            <w:shd w:val="clear" w:color="auto" w:fill="548DD4" w:themeFill="text2" w:themeFillTint="99"/>
            <w:vAlign w:val="center"/>
            <w:hideMark/>
          </w:tcPr>
          <w:p w14:paraId="740BA169"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All Years</w:t>
            </w:r>
          </w:p>
        </w:tc>
      </w:tr>
      <w:tr w:rsidR="00036C20" w:rsidRPr="00036C20" w14:paraId="4253BC62" w14:textId="77777777" w:rsidTr="00036C20">
        <w:trPr>
          <w:trHeight w:val="300"/>
        </w:trPr>
        <w:tc>
          <w:tcPr>
            <w:tcW w:w="1187" w:type="dxa"/>
            <w:shd w:val="clear" w:color="000000" w:fill="FFFFFF"/>
            <w:noWrap/>
            <w:vAlign w:val="bottom"/>
            <w:hideMark/>
          </w:tcPr>
          <w:p w14:paraId="061B4F01"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5%</w:t>
            </w:r>
          </w:p>
        </w:tc>
        <w:tc>
          <w:tcPr>
            <w:tcW w:w="960" w:type="dxa"/>
            <w:shd w:val="clear" w:color="000000" w:fill="FFFFFF"/>
            <w:noWrap/>
            <w:vAlign w:val="bottom"/>
            <w:hideMark/>
          </w:tcPr>
          <w:p w14:paraId="60B27EE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w:t>
            </w:r>
          </w:p>
        </w:tc>
        <w:tc>
          <w:tcPr>
            <w:tcW w:w="960" w:type="dxa"/>
            <w:shd w:val="clear" w:color="000000" w:fill="FFFFFF"/>
            <w:noWrap/>
            <w:vAlign w:val="bottom"/>
            <w:hideMark/>
          </w:tcPr>
          <w:p w14:paraId="3ABB3DD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21.2 </w:t>
            </w:r>
          </w:p>
        </w:tc>
        <w:tc>
          <w:tcPr>
            <w:tcW w:w="960" w:type="dxa"/>
            <w:shd w:val="clear" w:color="000000" w:fill="FFFFFF"/>
            <w:vAlign w:val="bottom"/>
          </w:tcPr>
          <w:p w14:paraId="3C3FED0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15.3 </w:t>
            </w:r>
          </w:p>
        </w:tc>
        <w:tc>
          <w:tcPr>
            <w:tcW w:w="960" w:type="dxa"/>
            <w:shd w:val="clear" w:color="000000" w:fill="FFFFFF"/>
            <w:vAlign w:val="bottom"/>
          </w:tcPr>
          <w:p w14:paraId="7B74AE1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17.2 </w:t>
            </w:r>
          </w:p>
        </w:tc>
        <w:tc>
          <w:tcPr>
            <w:tcW w:w="960" w:type="dxa"/>
            <w:shd w:val="clear" w:color="000000" w:fill="FFFFFF"/>
            <w:noWrap/>
            <w:vAlign w:val="bottom"/>
            <w:hideMark/>
          </w:tcPr>
          <w:p w14:paraId="4647509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13.2 </w:t>
            </w:r>
          </w:p>
        </w:tc>
        <w:tc>
          <w:tcPr>
            <w:tcW w:w="960" w:type="dxa"/>
            <w:shd w:val="clear" w:color="000000" w:fill="FFFFFF"/>
            <w:noWrap/>
            <w:vAlign w:val="bottom"/>
            <w:hideMark/>
          </w:tcPr>
          <w:p w14:paraId="38EB9F8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24.9 </w:t>
            </w:r>
          </w:p>
        </w:tc>
      </w:tr>
      <w:tr w:rsidR="00036C20" w:rsidRPr="00036C20" w14:paraId="6150C9C1" w14:textId="77777777" w:rsidTr="00036C20">
        <w:trPr>
          <w:trHeight w:val="300"/>
        </w:trPr>
        <w:tc>
          <w:tcPr>
            <w:tcW w:w="1187" w:type="dxa"/>
            <w:shd w:val="clear" w:color="000000" w:fill="FFFFFF"/>
            <w:noWrap/>
            <w:vAlign w:val="bottom"/>
            <w:hideMark/>
          </w:tcPr>
          <w:p w14:paraId="216EDA3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10%</w:t>
            </w:r>
          </w:p>
        </w:tc>
        <w:tc>
          <w:tcPr>
            <w:tcW w:w="960" w:type="dxa"/>
            <w:shd w:val="clear" w:color="000000" w:fill="FFFFFF"/>
            <w:noWrap/>
            <w:vAlign w:val="bottom"/>
            <w:hideMark/>
          </w:tcPr>
          <w:p w14:paraId="34B71972"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17.5 </w:t>
            </w:r>
          </w:p>
        </w:tc>
        <w:tc>
          <w:tcPr>
            <w:tcW w:w="960" w:type="dxa"/>
            <w:shd w:val="clear" w:color="000000" w:fill="FFFFFF"/>
            <w:noWrap/>
            <w:vAlign w:val="bottom"/>
            <w:hideMark/>
          </w:tcPr>
          <w:p w14:paraId="6F58089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30.5 </w:t>
            </w:r>
          </w:p>
        </w:tc>
        <w:tc>
          <w:tcPr>
            <w:tcW w:w="960" w:type="dxa"/>
            <w:shd w:val="clear" w:color="000000" w:fill="FFFFFF"/>
            <w:vAlign w:val="bottom"/>
          </w:tcPr>
          <w:p w14:paraId="1F4EBBC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26.9 </w:t>
            </w:r>
          </w:p>
        </w:tc>
        <w:tc>
          <w:tcPr>
            <w:tcW w:w="960" w:type="dxa"/>
            <w:shd w:val="clear" w:color="000000" w:fill="FFFFFF"/>
            <w:vAlign w:val="bottom"/>
          </w:tcPr>
          <w:p w14:paraId="2A86DE92"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28.1 </w:t>
            </w:r>
          </w:p>
        </w:tc>
        <w:tc>
          <w:tcPr>
            <w:tcW w:w="960" w:type="dxa"/>
            <w:shd w:val="clear" w:color="000000" w:fill="FFFFFF"/>
            <w:noWrap/>
            <w:vAlign w:val="bottom"/>
            <w:hideMark/>
          </w:tcPr>
          <w:p w14:paraId="131544A2"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24.8 </w:t>
            </w:r>
          </w:p>
        </w:tc>
        <w:tc>
          <w:tcPr>
            <w:tcW w:w="960" w:type="dxa"/>
            <w:shd w:val="clear" w:color="000000" w:fill="FFFFFF"/>
            <w:noWrap/>
            <w:vAlign w:val="bottom"/>
            <w:hideMark/>
          </w:tcPr>
          <w:p w14:paraId="31F6BA2B"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37.8 </w:t>
            </w:r>
          </w:p>
        </w:tc>
      </w:tr>
      <w:tr w:rsidR="00036C20" w:rsidRPr="00036C20" w14:paraId="1D5786CF" w14:textId="77777777" w:rsidTr="00036C20">
        <w:trPr>
          <w:trHeight w:val="300"/>
        </w:trPr>
        <w:tc>
          <w:tcPr>
            <w:tcW w:w="1187" w:type="dxa"/>
            <w:shd w:val="clear" w:color="000000" w:fill="FFFFFF"/>
            <w:noWrap/>
            <w:vAlign w:val="bottom"/>
            <w:hideMark/>
          </w:tcPr>
          <w:p w14:paraId="7358CB8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20%</w:t>
            </w:r>
          </w:p>
        </w:tc>
        <w:tc>
          <w:tcPr>
            <w:tcW w:w="960" w:type="dxa"/>
            <w:shd w:val="clear" w:color="000000" w:fill="FFFFFF"/>
            <w:noWrap/>
            <w:vAlign w:val="bottom"/>
            <w:hideMark/>
          </w:tcPr>
          <w:p w14:paraId="3085C34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26.7 </w:t>
            </w:r>
          </w:p>
        </w:tc>
        <w:tc>
          <w:tcPr>
            <w:tcW w:w="960" w:type="dxa"/>
            <w:shd w:val="clear" w:color="000000" w:fill="FFFFFF"/>
            <w:noWrap/>
            <w:vAlign w:val="bottom"/>
            <w:hideMark/>
          </w:tcPr>
          <w:p w14:paraId="16A1599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43.5 </w:t>
            </w:r>
          </w:p>
        </w:tc>
        <w:tc>
          <w:tcPr>
            <w:tcW w:w="960" w:type="dxa"/>
            <w:shd w:val="clear" w:color="000000" w:fill="FFFFFF"/>
            <w:vAlign w:val="bottom"/>
          </w:tcPr>
          <w:p w14:paraId="46F653F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46.7 </w:t>
            </w:r>
          </w:p>
        </w:tc>
        <w:tc>
          <w:tcPr>
            <w:tcW w:w="960" w:type="dxa"/>
            <w:shd w:val="clear" w:color="000000" w:fill="FFFFFF"/>
            <w:vAlign w:val="bottom"/>
          </w:tcPr>
          <w:p w14:paraId="7300E6D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41.4 </w:t>
            </w:r>
          </w:p>
        </w:tc>
        <w:tc>
          <w:tcPr>
            <w:tcW w:w="960" w:type="dxa"/>
            <w:shd w:val="clear" w:color="000000" w:fill="FFFFFF"/>
            <w:noWrap/>
            <w:vAlign w:val="bottom"/>
            <w:hideMark/>
          </w:tcPr>
          <w:p w14:paraId="04A5202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42.5 </w:t>
            </w:r>
          </w:p>
        </w:tc>
        <w:tc>
          <w:tcPr>
            <w:tcW w:w="960" w:type="dxa"/>
            <w:shd w:val="clear" w:color="000000" w:fill="FFFFFF"/>
            <w:noWrap/>
            <w:vAlign w:val="bottom"/>
            <w:hideMark/>
          </w:tcPr>
          <w:p w14:paraId="4DCF1B4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54.5 </w:t>
            </w:r>
          </w:p>
        </w:tc>
      </w:tr>
      <w:tr w:rsidR="00036C20" w:rsidRPr="00036C20" w14:paraId="6C24C670" w14:textId="77777777" w:rsidTr="00036C20">
        <w:trPr>
          <w:trHeight w:val="300"/>
        </w:trPr>
        <w:tc>
          <w:tcPr>
            <w:tcW w:w="1187" w:type="dxa"/>
            <w:shd w:val="clear" w:color="000000" w:fill="FFFFFF"/>
            <w:noWrap/>
            <w:vAlign w:val="bottom"/>
            <w:hideMark/>
          </w:tcPr>
          <w:p w14:paraId="41DB7643"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25%</w:t>
            </w:r>
          </w:p>
        </w:tc>
        <w:tc>
          <w:tcPr>
            <w:tcW w:w="960" w:type="dxa"/>
            <w:shd w:val="clear" w:color="000000" w:fill="FFFFFF"/>
            <w:noWrap/>
            <w:vAlign w:val="bottom"/>
            <w:hideMark/>
          </w:tcPr>
          <w:p w14:paraId="1B54B19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31.3 </w:t>
            </w:r>
          </w:p>
        </w:tc>
        <w:tc>
          <w:tcPr>
            <w:tcW w:w="960" w:type="dxa"/>
            <w:shd w:val="clear" w:color="000000" w:fill="FFFFFF"/>
            <w:noWrap/>
            <w:vAlign w:val="bottom"/>
            <w:hideMark/>
          </w:tcPr>
          <w:p w14:paraId="1B2EECF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50.0 </w:t>
            </w:r>
          </w:p>
        </w:tc>
        <w:tc>
          <w:tcPr>
            <w:tcW w:w="960" w:type="dxa"/>
            <w:shd w:val="clear" w:color="000000" w:fill="FFFFFF"/>
            <w:vAlign w:val="bottom"/>
          </w:tcPr>
          <w:p w14:paraId="72458F2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52.5 </w:t>
            </w:r>
          </w:p>
        </w:tc>
        <w:tc>
          <w:tcPr>
            <w:tcW w:w="960" w:type="dxa"/>
            <w:shd w:val="clear" w:color="000000" w:fill="FFFFFF"/>
            <w:vAlign w:val="bottom"/>
          </w:tcPr>
          <w:p w14:paraId="7191B9A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47.6 </w:t>
            </w:r>
          </w:p>
        </w:tc>
        <w:tc>
          <w:tcPr>
            <w:tcW w:w="960" w:type="dxa"/>
            <w:shd w:val="clear" w:color="000000" w:fill="FFFFFF"/>
            <w:noWrap/>
            <w:vAlign w:val="bottom"/>
            <w:hideMark/>
          </w:tcPr>
          <w:p w14:paraId="7E8D6BC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49.3 </w:t>
            </w:r>
          </w:p>
        </w:tc>
        <w:tc>
          <w:tcPr>
            <w:tcW w:w="960" w:type="dxa"/>
            <w:shd w:val="clear" w:color="000000" w:fill="FFFFFF"/>
            <w:noWrap/>
            <w:vAlign w:val="bottom"/>
            <w:hideMark/>
          </w:tcPr>
          <w:p w14:paraId="126C9F3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60.3 </w:t>
            </w:r>
          </w:p>
        </w:tc>
      </w:tr>
      <w:tr w:rsidR="00036C20" w:rsidRPr="00036C20" w14:paraId="2B73B9C4" w14:textId="77777777" w:rsidTr="00036C20">
        <w:trPr>
          <w:trHeight w:val="300"/>
        </w:trPr>
        <w:tc>
          <w:tcPr>
            <w:tcW w:w="1187" w:type="dxa"/>
            <w:shd w:val="clear" w:color="000000" w:fill="FFFFFF"/>
            <w:noWrap/>
            <w:vAlign w:val="bottom"/>
            <w:hideMark/>
          </w:tcPr>
          <w:p w14:paraId="59DD9F23"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30%</w:t>
            </w:r>
          </w:p>
        </w:tc>
        <w:tc>
          <w:tcPr>
            <w:tcW w:w="960" w:type="dxa"/>
            <w:shd w:val="clear" w:color="000000" w:fill="FFFFFF"/>
            <w:noWrap/>
            <w:vAlign w:val="bottom"/>
            <w:hideMark/>
          </w:tcPr>
          <w:p w14:paraId="262EE38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35.8 </w:t>
            </w:r>
          </w:p>
        </w:tc>
        <w:tc>
          <w:tcPr>
            <w:tcW w:w="960" w:type="dxa"/>
            <w:shd w:val="clear" w:color="000000" w:fill="FFFFFF"/>
            <w:noWrap/>
            <w:vAlign w:val="bottom"/>
            <w:hideMark/>
          </w:tcPr>
          <w:p w14:paraId="6FDA5A8C"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54.6 </w:t>
            </w:r>
          </w:p>
        </w:tc>
        <w:tc>
          <w:tcPr>
            <w:tcW w:w="960" w:type="dxa"/>
            <w:shd w:val="clear" w:color="000000" w:fill="FFFFFF"/>
            <w:vAlign w:val="bottom"/>
          </w:tcPr>
          <w:p w14:paraId="26D09DC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58.3 </w:t>
            </w:r>
          </w:p>
        </w:tc>
        <w:tc>
          <w:tcPr>
            <w:tcW w:w="960" w:type="dxa"/>
            <w:shd w:val="clear" w:color="000000" w:fill="FFFFFF"/>
            <w:vAlign w:val="bottom"/>
          </w:tcPr>
          <w:p w14:paraId="2C41AAF1"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53.9 </w:t>
            </w:r>
          </w:p>
        </w:tc>
        <w:tc>
          <w:tcPr>
            <w:tcW w:w="960" w:type="dxa"/>
            <w:shd w:val="clear" w:color="000000" w:fill="FFFFFF"/>
            <w:noWrap/>
            <w:vAlign w:val="bottom"/>
            <w:hideMark/>
          </w:tcPr>
          <w:p w14:paraId="6E47BC9C"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55.2 </w:t>
            </w:r>
          </w:p>
        </w:tc>
        <w:tc>
          <w:tcPr>
            <w:tcW w:w="960" w:type="dxa"/>
            <w:shd w:val="clear" w:color="000000" w:fill="FFFFFF"/>
            <w:noWrap/>
            <w:vAlign w:val="bottom"/>
            <w:hideMark/>
          </w:tcPr>
          <w:p w14:paraId="511B9D7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66.1 </w:t>
            </w:r>
          </w:p>
        </w:tc>
      </w:tr>
      <w:tr w:rsidR="00036C20" w:rsidRPr="00036C20" w14:paraId="6A6519E9" w14:textId="77777777" w:rsidTr="00036C20">
        <w:trPr>
          <w:trHeight w:val="300"/>
        </w:trPr>
        <w:tc>
          <w:tcPr>
            <w:tcW w:w="1187" w:type="dxa"/>
            <w:shd w:val="clear" w:color="000000" w:fill="FFFFFF"/>
            <w:noWrap/>
            <w:vAlign w:val="bottom"/>
            <w:hideMark/>
          </w:tcPr>
          <w:p w14:paraId="11AA532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40%</w:t>
            </w:r>
          </w:p>
        </w:tc>
        <w:tc>
          <w:tcPr>
            <w:tcW w:w="960" w:type="dxa"/>
            <w:shd w:val="clear" w:color="000000" w:fill="FFFFFF"/>
            <w:noWrap/>
            <w:vAlign w:val="bottom"/>
            <w:hideMark/>
          </w:tcPr>
          <w:p w14:paraId="4E447C1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45.0 </w:t>
            </w:r>
          </w:p>
        </w:tc>
        <w:tc>
          <w:tcPr>
            <w:tcW w:w="960" w:type="dxa"/>
            <w:shd w:val="clear" w:color="000000" w:fill="FFFFFF"/>
            <w:noWrap/>
            <w:vAlign w:val="bottom"/>
            <w:hideMark/>
          </w:tcPr>
          <w:p w14:paraId="345993C3"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61.1 </w:t>
            </w:r>
          </w:p>
        </w:tc>
        <w:tc>
          <w:tcPr>
            <w:tcW w:w="960" w:type="dxa"/>
            <w:shd w:val="clear" w:color="000000" w:fill="FFFFFF"/>
            <w:vAlign w:val="bottom"/>
          </w:tcPr>
          <w:p w14:paraId="6B86810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65.2 </w:t>
            </w:r>
          </w:p>
        </w:tc>
        <w:tc>
          <w:tcPr>
            <w:tcW w:w="960" w:type="dxa"/>
            <w:shd w:val="clear" w:color="000000" w:fill="FFFFFF"/>
            <w:vAlign w:val="bottom"/>
          </w:tcPr>
          <w:p w14:paraId="22108D3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62.6 </w:t>
            </w:r>
          </w:p>
        </w:tc>
        <w:tc>
          <w:tcPr>
            <w:tcW w:w="960" w:type="dxa"/>
            <w:shd w:val="clear" w:color="000000" w:fill="FFFFFF"/>
            <w:noWrap/>
            <w:vAlign w:val="bottom"/>
            <w:hideMark/>
          </w:tcPr>
          <w:p w14:paraId="700615C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64.5 </w:t>
            </w:r>
          </w:p>
        </w:tc>
        <w:tc>
          <w:tcPr>
            <w:tcW w:w="960" w:type="dxa"/>
            <w:shd w:val="clear" w:color="000000" w:fill="FFFFFF"/>
            <w:noWrap/>
            <w:vAlign w:val="bottom"/>
            <w:hideMark/>
          </w:tcPr>
          <w:p w14:paraId="347E3FD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74.0 </w:t>
            </w:r>
          </w:p>
        </w:tc>
      </w:tr>
      <w:tr w:rsidR="00036C20" w:rsidRPr="00036C20" w14:paraId="3E96AE00" w14:textId="77777777" w:rsidTr="00036C20">
        <w:trPr>
          <w:trHeight w:val="300"/>
        </w:trPr>
        <w:tc>
          <w:tcPr>
            <w:tcW w:w="1187" w:type="dxa"/>
            <w:shd w:val="clear" w:color="000000" w:fill="FFFFFF"/>
            <w:noWrap/>
            <w:vAlign w:val="bottom"/>
            <w:hideMark/>
          </w:tcPr>
          <w:p w14:paraId="439FFFEC"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50%</w:t>
            </w:r>
          </w:p>
        </w:tc>
        <w:tc>
          <w:tcPr>
            <w:tcW w:w="960" w:type="dxa"/>
            <w:shd w:val="clear" w:color="000000" w:fill="FFFFFF"/>
            <w:noWrap/>
            <w:vAlign w:val="bottom"/>
            <w:hideMark/>
          </w:tcPr>
          <w:p w14:paraId="6C29D95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54.2 </w:t>
            </w:r>
          </w:p>
        </w:tc>
        <w:tc>
          <w:tcPr>
            <w:tcW w:w="960" w:type="dxa"/>
            <w:shd w:val="clear" w:color="000000" w:fill="FFFFFF"/>
            <w:noWrap/>
            <w:vAlign w:val="bottom"/>
            <w:hideMark/>
          </w:tcPr>
          <w:p w14:paraId="1C850D2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67.5 </w:t>
            </w:r>
          </w:p>
        </w:tc>
        <w:tc>
          <w:tcPr>
            <w:tcW w:w="960" w:type="dxa"/>
            <w:shd w:val="clear" w:color="000000" w:fill="FFFFFF"/>
            <w:vAlign w:val="bottom"/>
          </w:tcPr>
          <w:p w14:paraId="3756130B"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71.0 </w:t>
            </w:r>
          </w:p>
        </w:tc>
        <w:tc>
          <w:tcPr>
            <w:tcW w:w="960" w:type="dxa"/>
            <w:shd w:val="clear" w:color="000000" w:fill="FFFFFF"/>
            <w:vAlign w:val="bottom"/>
          </w:tcPr>
          <w:p w14:paraId="7C25553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68.8 </w:t>
            </w:r>
          </w:p>
        </w:tc>
        <w:tc>
          <w:tcPr>
            <w:tcW w:w="960" w:type="dxa"/>
            <w:shd w:val="clear" w:color="000000" w:fill="FFFFFF"/>
            <w:noWrap/>
            <w:vAlign w:val="bottom"/>
            <w:hideMark/>
          </w:tcPr>
          <w:p w14:paraId="3F436FC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70.4 </w:t>
            </w:r>
          </w:p>
        </w:tc>
        <w:tc>
          <w:tcPr>
            <w:tcW w:w="960" w:type="dxa"/>
            <w:shd w:val="clear" w:color="000000" w:fill="FFFFFF"/>
            <w:noWrap/>
            <w:vAlign w:val="bottom"/>
            <w:hideMark/>
          </w:tcPr>
          <w:p w14:paraId="192514AB"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80.7 </w:t>
            </w:r>
          </w:p>
        </w:tc>
      </w:tr>
      <w:tr w:rsidR="00036C20" w:rsidRPr="00036C20" w14:paraId="0A5A9934" w14:textId="77777777" w:rsidTr="00036C20">
        <w:trPr>
          <w:trHeight w:val="300"/>
        </w:trPr>
        <w:tc>
          <w:tcPr>
            <w:tcW w:w="1187" w:type="dxa"/>
            <w:shd w:val="clear" w:color="000000" w:fill="FFFFFF"/>
            <w:noWrap/>
            <w:vAlign w:val="bottom"/>
            <w:hideMark/>
          </w:tcPr>
          <w:p w14:paraId="359E139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60%</w:t>
            </w:r>
          </w:p>
        </w:tc>
        <w:tc>
          <w:tcPr>
            <w:tcW w:w="960" w:type="dxa"/>
            <w:shd w:val="clear" w:color="000000" w:fill="FFFFFF"/>
            <w:noWrap/>
            <w:vAlign w:val="bottom"/>
            <w:hideMark/>
          </w:tcPr>
          <w:p w14:paraId="0C623651"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63.3 </w:t>
            </w:r>
          </w:p>
        </w:tc>
        <w:tc>
          <w:tcPr>
            <w:tcW w:w="960" w:type="dxa"/>
            <w:shd w:val="clear" w:color="000000" w:fill="FFFFFF"/>
            <w:noWrap/>
            <w:vAlign w:val="bottom"/>
            <w:hideMark/>
          </w:tcPr>
          <w:p w14:paraId="2ECA663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74.0 </w:t>
            </w:r>
          </w:p>
        </w:tc>
        <w:tc>
          <w:tcPr>
            <w:tcW w:w="960" w:type="dxa"/>
            <w:shd w:val="clear" w:color="000000" w:fill="FFFFFF"/>
            <w:vAlign w:val="bottom"/>
          </w:tcPr>
          <w:p w14:paraId="25C02CF1"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76.8 </w:t>
            </w:r>
          </w:p>
        </w:tc>
        <w:tc>
          <w:tcPr>
            <w:tcW w:w="960" w:type="dxa"/>
            <w:shd w:val="clear" w:color="000000" w:fill="FFFFFF"/>
            <w:vAlign w:val="bottom"/>
          </w:tcPr>
          <w:p w14:paraId="5888CEAC"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75.1 </w:t>
            </w:r>
          </w:p>
        </w:tc>
        <w:tc>
          <w:tcPr>
            <w:tcW w:w="960" w:type="dxa"/>
            <w:shd w:val="clear" w:color="000000" w:fill="FFFFFF"/>
            <w:noWrap/>
            <w:vAlign w:val="bottom"/>
            <w:hideMark/>
          </w:tcPr>
          <w:p w14:paraId="136D945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76.3 </w:t>
            </w:r>
          </w:p>
        </w:tc>
        <w:tc>
          <w:tcPr>
            <w:tcW w:w="960" w:type="dxa"/>
            <w:shd w:val="clear" w:color="000000" w:fill="FFFFFF"/>
            <w:noWrap/>
            <w:vAlign w:val="bottom"/>
            <w:hideMark/>
          </w:tcPr>
          <w:p w14:paraId="6DE1CBF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84.6 </w:t>
            </w:r>
          </w:p>
        </w:tc>
      </w:tr>
      <w:tr w:rsidR="00036C20" w:rsidRPr="00036C20" w14:paraId="39900758" w14:textId="77777777" w:rsidTr="00036C20">
        <w:trPr>
          <w:trHeight w:val="300"/>
        </w:trPr>
        <w:tc>
          <w:tcPr>
            <w:tcW w:w="1187" w:type="dxa"/>
            <w:shd w:val="clear" w:color="000000" w:fill="FFFFFF"/>
            <w:noWrap/>
            <w:vAlign w:val="bottom"/>
            <w:hideMark/>
          </w:tcPr>
          <w:p w14:paraId="50B4048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70%</w:t>
            </w:r>
          </w:p>
        </w:tc>
        <w:tc>
          <w:tcPr>
            <w:tcW w:w="960" w:type="dxa"/>
            <w:shd w:val="clear" w:color="000000" w:fill="FFFFFF"/>
            <w:noWrap/>
            <w:vAlign w:val="bottom"/>
            <w:hideMark/>
          </w:tcPr>
          <w:p w14:paraId="251EA86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72.5 </w:t>
            </w:r>
          </w:p>
        </w:tc>
        <w:tc>
          <w:tcPr>
            <w:tcW w:w="960" w:type="dxa"/>
            <w:shd w:val="clear" w:color="000000" w:fill="FFFFFF"/>
            <w:noWrap/>
            <w:vAlign w:val="bottom"/>
            <w:hideMark/>
          </w:tcPr>
          <w:p w14:paraId="24304154"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80.5 </w:t>
            </w:r>
          </w:p>
        </w:tc>
        <w:tc>
          <w:tcPr>
            <w:tcW w:w="960" w:type="dxa"/>
            <w:shd w:val="clear" w:color="000000" w:fill="FFFFFF"/>
            <w:vAlign w:val="bottom"/>
          </w:tcPr>
          <w:p w14:paraId="6A47044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82.6 </w:t>
            </w:r>
          </w:p>
        </w:tc>
        <w:tc>
          <w:tcPr>
            <w:tcW w:w="960" w:type="dxa"/>
            <w:shd w:val="clear" w:color="000000" w:fill="FFFFFF"/>
            <w:vAlign w:val="bottom"/>
          </w:tcPr>
          <w:p w14:paraId="417C5D61"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81.3 </w:t>
            </w:r>
          </w:p>
        </w:tc>
        <w:tc>
          <w:tcPr>
            <w:tcW w:w="960" w:type="dxa"/>
            <w:shd w:val="clear" w:color="000000" w:fill="FFFFFF"/>
            <w:noWrap/>
            <w:vAlign w:val="bottom"/>
            <w:hideMark/>
          </w:tcPr>
          <w:p w14:paraId="5B172B8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82.3 </w:t>
            </w:r>
          </w:p>
        </w:tc>
        <w:tc>
          <w:tcPr>
            <w:tcW w:w="960" w:type="dxa"/>
            <w:shd w:val="clear" w:color="000000" w:fill="FFFFFF"/>
            <w:noWrap/>
            <w:vAlign w:val="bottom"/>
            <w:hideMark/>
          </w:tcPr>
          <w:p w14:paraId="22EEADD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88.4 </w:t>
            </w:r>
          </w:p>
        </w:tc>
      </w:tr>
      <w:tr w:rsidR="00036C20" w:rsidRPr="00036C20" w14:paraId="1D73EC00" w14:textId="77777777" w:rsidTr="00036C20">
        <w:trPr>
          <w:trHeight w:val="300"/>
        </w:trPr>
        <w:tc>
          <w:tcPr>
            <w:tcW w:w="1187" w:type="dxa"/>
            <w:shd w:val="clear" w:color="000000" w:fill="FFFFFF"/>
            <w:noWrap/>
            <w:vAlign w:val="bottom"/>
            <w:hideMark/>
          </w:tcPr>
          <w:p w14:paraId="65768692"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75%</w:t>
            </w:r>
          </w:p>
        </w:tc>
        <w:tc>
          <w:tcPr>
            <w:tcW w:w="960" w:type="dxa"/>
            <w:shd w:val="clear" w:color="000000" w:fill="FFFFFF"/>
            <w:noWrap/>
            <w:vAlign w:val="bottom"/>
            <w:hideMark/>
          </w:tcPr>
          <w:p w14:paraId="0F157372"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77.1 </w:t>
            </w:r>
          </w:p>
        </w:tc>
        <w:tc>
          <w:tcPr>
            <w:tcW w:w="960" w:type="dxa"/>
            <w:shd w:val="clear" w:color="000000" w:fill="FFFFFF"/>
            <w:noWrap/>
            <w:vAlign w:val="bottom"/>
            <w:hideMark/>
          </w:tcPr>
          <w:p w14:paraId="44FA9F2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83.8 </w:t>
            </w:r>
          </w:p>
        </w:tc>
        <w:tc>
          <w:tcPr>
            <w:tcW w:w="960" w:type="dxa"/>
            <w:shd w:val="clear" w:color="000000" w:fill="FFFFFF"/>
            <w:vAlign w:val="bottom"/>
          </w:tcPr>
          <w:p w14:paraId="5DB9551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85.5 </w:t>
            </w:r>
          </w:p>
        </w:tc>
        <w:tc>
          <w:tcPr>
            <w:tcW w:w="960" w:type="dxa"/>
            <w:shd w:val="clear" w:color="000000" w:fill="FFFFFF"/>
            <w:vAlign w:val="bottom"/>
          </w:tcPr>
          <w:p w14:paraId="2A033C9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84.4 </w:t>
            </w:r>
          </w:p>
        </w:tc>
        <w:tc>
          <w:tcPr>
            <w:tcW w:w="960" w:type="dxa"/>
            <w:shd w:val="clear" w:color="000000" w:fill="FFFFFF"/>
            <w:noWrap/>
            <w:vAlign w:val="bottom"/>
            <w:hideMark/>
          </w:tcPr>
          <w:p w14:paraId="5938146B"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85.2 </w:t>
            </w:r>
          </w:p>
        </w:tc>
        <w:tc>
          <w:tcPr>
            <w:tcW w:w="960" w:type="dxa"/>
            <w:shd w:val="clear" w:color="000000" w:fill="FFFFFF"/>
            <w:noWrap/>
            <w:vAlign w:val="bottom"/>
            <w:hideMark/>
          </w:tcPr>
          <w:p w14:paraId="5774231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90.4 </w:t>
            </w:r>
          </w:p>
        </w:tc>
      </w:tr>
      <w:tr w:rsidR="00036C20" w:rsidRPr="00036C20" w14:paraId="4ACF3B01" w14:textId="77777777" w:rsidTr="00036C20">
        <w:trPr>
          <w:trHeight w:val="300"/>
        </w:trPr>
        <w:tc>
          <w:tcPr>
            <w:tcW w:w="1187" w:type="dxa"/>
            <w:shd w:val="clear" w:color="000000" w:fill="FFFFFF"/>
            <w:noWrap/>
            <w:vAlign w:val="bottom"/>
            <w:hideMark/>
          </w:tcPr>
          <w:p w14:paraId="0331750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80%</w:t>
            </w:r>
          </w:p>
        </w:tc>
        <w:tc>
          <w:tcPr>
            <w:tcW w:w="960" w:type="dxa"/>
            <w:shd w:val="clear" w:color="000000" w:fill="FFFFFF"/>
            <w:noWrap/>
            <w:vAlign w:val="bottom"/>
            <w:hideMark/>
          </w:tcPr>
          <w:p w14:paraId="1B63236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81.7 </w:t>
            </w:r>
          </w:p>
        </w:tc>
        <w:tc>
          <w:tcPr>
            <w:tcW w:w="960" w:type="dxa"/>
            <w:shd w:val="clear" w:color="000000" w:fill="FFFFFF"/>
            <w:noWrap/>
            <w:vAlign w:val="bottom"/>
            <w:hideMark/>
          </w:tcPr>
          <w:p w14:paraId="4552C193"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87.0 </w:t>
            </w:r>
          </w:p>
        </w:tc>
        <w:tc>
          <w:tcPr>
            <w:tcW w:w="960" w:type="dxa"/>
            <w:shd w:val="clear" w:color="000000" w:fill="FFFFFF"/>
            <w:vAlign w:val="bottom"/>
          </w:tcPr>
          <w:p w14:paraId="12D8FEF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88.4 </w:t>
            </w:r>
          </w:p>
        </w:tc>
        <w:tc>
          <w:tcPr>
            <w:tcW w:w="960" w:type="dxa"/>
            <w:shd w:val="clear" w:color="000000" w:fill="FFFFFF"/>
            <w:vAlign w:val="bottom"/>
          </w:tcPr>
          <w:p w14:paraId="29BB20E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87.5 </w:t>
            </w:r>
          </w:p>
        </w:tc>
        <w:tc>
          <w:tcPr>
            <w:tcW w:w="960" w:type="dxa"/>
            <w:shd w:val="clear" w:color="000000" w:fill="FFFFFF"/>
            <w:noWrap/>
            <w:vAlign w:val="bottom"/>
            <w:hideMark/>
          </w:tcPr>
          <w:p w14:paraId="0AEA147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88.2 </w:t>
            </w:r>
          </w:p>
        </w:tc>
        <w:tc>
          <w:tcPr>
            <w:tcW w:w="960" w:type="dxa"/>
            <w:shd w:val="clear" w:color="000000" w:fill="FFFFFF"/>
            <w:noWrap/>
            <w:vAlign w:val="bottom"/>
            <w:hideMark/>
          </w:tcPr>
          <w:p w14:paraId="511FC4D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92.3 </w:t>
            </w:r>
          </w:p>
        </w:tc>
      </w:tr>
      <w:tr w:rsidR="00036C20" w:rsidRPr="00036C20" w14:paraId="1790E324" w14:textId="77777777" w:rsidTr="00036C20">
        <w:trPr>
          <w:trHeight w:val="300"/>
        </w:trPr>
        <w:tc>
          <w:tcPr>
            <w:tcW w:w="1187" w:type="dxa"/>
            <w:shd w:val="clear" w:color="000000" w:fill="FFFFFF"/>
            <w:noWrap/>
            <w:vAlign w:val="bottom"/>
            <w:hideMark/>
          </w:tcPr>
          <w:p w14:paraId="0B17797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90%</w:t>
            </w:r>
          </w:p>
        </w:tc>
        <w:tc>
          <w:tcPr>
            <w:tcW w:w="960" w:type="dxa"/>
            <w:shd w:val="clear" w:color="000000" w:fill="FFFFFF"/>
            <w:noWrap/>
            <w:vAlign w:val="bottom"/>
            <w:hideMark/>
          </w:tcPr>
          <w:p w14:paraId="1E9BBDD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90.8 </w:t>
            </w:r>
          </w:p>
        </w:tc>
        <w:tc>
          <w:tcPr>
            <w:tcW w:w="960" w:type="dxa"/>
            <w:shd w:val="clear" w:color="000000" w:fill="FFFFFF"/>
            <w:noWrap/>
            <w:vAlign w:val="bottom"/>
            <w:hideMark/>
          </w:tcPr>
          <w:p w14:paraId="57CEEBB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93.5 </w:t>
            </w:r>
          </w:p>
        </w:tc>
        <w:tc>
          <w:tcPr>
            <w:tcW w:w="960" w:type="dxa"/>
            <w:shd w:val="clear" w:color="000000" w:fill="FFFFFF"/>
            <w:vAlign w:val="bottom"/>
          </w:tcPr>
          <w:p w14:paraId="3835F36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94.2 </w:t>
            </w:r>
          </w:p>
        </w:tc>
        <w:tc>
          <w:tcPr>
            <w:tcW w:w="960" w:type="dxa"/>
            <w:shd w:val="clear" w:color="000000" w:fill="FFFFFF"/>
            <w:vAlign w:val="bottom"/>
          </w:tcPr>
          <w:p w14:paraId="08C745B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93.8 </w:t>
            </w:r>
          </w:p>
        </w:tc>
        <w:tc>
          <w:tcPr>
            <w:tcW w:w="960" w:type="dxa"/>
            <w:shd w:val="clear" w:color="000000" w:fill="FFFFFF"/>
            <w:noWrap/>
            <w:vAlign w:val="bottom"/>
            <w:hideMark/>
          </w:tcPr>
          <w:p w14:paraId="5FC9E653"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94.1 </w:t>
            </w:r>
          </w:p>
        </w:tc>
        <w:tc>
          <w:tcPr>
            <w:tcW w:w="960" w:type="dxa"/>
            <w:shd w:val="clear" w:color="000000" w:fill="FFFFFF"/>
            <w:noWrap/>
            <w:vAlign w:val="bottom"/>
            <w:hideMark/>
          </w:tcPr>
          <w:p w14:paraId="5F95F97C"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96.1 </w:t>
            </w:r>
          </w:p>
        </w:tc>
      </w:tr>
      <w:tr w:rsidR="00036C20" w:rsidRPr="00036C20" w14:paraId="43BBA435" w14:textId="77777777" w:rsidTr="00036C20">
        <w:trPr>
          <w:trHeight w:val="300"/>
        </w:trPr>
        <w:tc>
          <w:tcPr>
            <w:tcW w:w="1187" w:type="dxa"/>
            <w:shd w:val="clear" w:color="000000" w:fill="FFFFFF"/>
            <w:noWrap/>
            <w:vAlign w:val="bottom"/>
            <w:hideMark/>
          </w:tcPr>
          <w:p w14:paraId="2C668E6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95%</w:t>
            </w:r>
          </w:p>
        </w:tc>
        <w:tc>
          <w:tcPr>
            <w:tcW w:w="960" w:type="dxa"/>
            <w:shd w:val="clear" w:color="000000" w:fill="FFFFFF"/>
            <w:noWrap/>
            <w:vAlign w:val="bottom"/>
            <w:hideMark/>
          </w:tcPr>
          <w:p w14:paraId="7572EE32"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95.4 </w:t>
            </w:r>
          </w:p>
        </w:tc>
        <w:tc>
          <w:tcPr>
            <w:tcW w:w="960" w:type="dxa"/>
            <w:shd w:val="clear" w:color="000000" w:fill="FFFFFF"/>
            <w:noWrap/>
            <w:vAlign w:val="bottom"/>
            <w:hideMark/>
          </w:tcPr>
          <w:p w14:paraId="5528E501"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96.8 </w:t>
            </w:r>
          </w:p>
        </w:tc>
        <w:tc>
          <w:tcPr>
            <w:tcW w:w="960" w:type="dxa"/>
            <w:shd w:val="clear" w:color="000000" w:fill="FFFFFF"/>
            <w:vAlign w:val="bottom"/>
          </w:tcPr>
          <w:p w14:paraId="1CE6465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97.1 </w:t>
            </w:r>
          </w:p>
        </w:tc>
        <w:tc>
          <w:tcPr>
            <w:tcW w:w="960" w:type="dxa"/>
            <w:shd w:val="clear" w:color="000000" w:fill="FFFFFF"/>
            <w:vAlign w:val="bottom"/>
          </w:tcPr>
          <w:p w14:paraId="4925051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96.9 </w:t>
            </w:r>
          </w:p>
        </w:tc>
        <w:tc>
          <w:tcPr>
            <w:tcW w:w="960" w:type="dxa"/>
            <w:shd w:val="clear" w:color="000000" w:fill="FFFFFF"/>
            <w:noWrap/>
            <w:vAlign w:val="bottom"/>
            <w:hideMark/>
          </w:tcPr>
          <w:p w14:paraId="2C4137D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97.0 </w:t>
            </w:r>
          </w:p>
        </w:tc>
        <w:tc>
          <w:tcPr>
            <w:tcW w:w="960" w:type="dxa"/>
            <w:shd w:val="clear" w:color="000000" w:fill="FFFFFF"/>
            <w:noWrap/>
            <w:vAlign w:val="bottom"/>
            <w:hideMark/>
          </w:tcPr>
          <w:p w14:paraId="5D092ACB"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98.1 </w:t>
            </w:r>
          </w:p>
        </w:tc>
      </w:tr>
      <w:tr w:rsidR="00036C20" w:rsidRPr="00036C20" w14:paraId="69268087" w14:textId="77777777" w:rsidTr="00036C20">
        <w:trPr>
          <w:trHeight w:val="300"/>
        </w:trPr>
        <w:tc>
          <w:tcPr>
            <w:tcW w:w="1187" w:type="dxa"/>
            <w:shd w:val="clear" w:color="000000" w:fill="FFFFFF"/>
            <w:noWrap/>
            <w:vAlign w:val="bottom"/>
            <w:hideMark/>
          </w:tcPr>
          <w:p w14:paraId="109765C4"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99%</w:t>
            </w:r>
          </w:p>
        </w:tc>
        <w:tc>
          <w:tcPr>
            <w:tcW w:w="960" w:type="dxa"/>
            <w:shd w:val="clear" w:color="000000" w:fill="FFFFFF"/>
            <w:noWrap/>
            <w:vAlign w:val="bottom"/>
            <w:hideMark/>
          </w:tcPr>
          <w:p w14:paraId="1B27C1E2"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99.1 </w:t>
            </w:r>
          </w:p>
        </w:tc>
        <w:tc>
          <w:tcPr>
            <w:tcW w:w="960" w:type="dxa"/>
            <w:shd w:val="clear" w:color="000000" w:fill="FFFFFF"/>
            <w:noWrap/>
            <w:vAlign w:val="bottom"/>
            <w:hideMark/>
          </w:tcPr>
          <w:p w14:paraId="5F45BEFC"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99.4 </w:t>
            </w:r>
          </w:p>
        </w:tc>
        <w:tc>
          <w:tcPr>
            <w:tcW w:w="960" w:type="dxa"/>
            <w:shd w:val="clear" w:color="000000" w:fill="FFFFFF"/>
            <w:vAlign w:val="bottom"/>
          </w:tcPr>
          <w:p w14:paraId="11BCB91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99.4 </w:t>
            </w:r>
          </w:p>
        </w:tc>
        <w:tc>
          <w:tcPr>
            <w:tcW w:w="960" w:type="dxa"/>
            <w:shd w:val="clear" w:color="000000" w:fill="FFFFFF"/>
            <w:vAlign w:val="bottom"/>
          </w:tcPr>
          <w:p w14:paraId="10167923"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99.4 </w:t>
            </w:r>
          </w:p>
        </w:tc>
        <w:tc>
          <w:tcPr>
            <w:tcW w:w="960" w:type="dxa"/>
            <w:shd w:val="clear" w:color="000000" w:fill="FFFFFF"/>
            <w:noWrap/>
            <w:vAlign w:val="bottom"/>
            <w:hideMark/>
          </w:tcPr>
          <w:p w14:paraId="4931E0E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99.4 </w:t>
            </w:r>
          </w:p>
        </w:tc>
        <w:tc>
          <w:tcPr>
            <w:tcW w:w="960" w:type="dxa"/>
            <w:shd w:val="clear" w:color="000000" w:fill="FFFFFF"/>
            <w:noWrap/>
            <w:vAlign w:val="bottom"/>
            <w:hideMark/>
          </w:tcPr>
          <w:p w14:paraId="198D9F5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99.6 </w:t>
            </w:r>
          </w:p>
        </w:tc>
      </w:tr>
    </w:tbl>
    <w:p w14:paraId="051DB687" w14:textId="0E7B0B40" w:rsidR="00036C20" w:rsidRPr="00036C20" w:rsidRDefault="00036C20" w:rsidP="00036C20">
      <w:pPr>
        <w:spacing w:after="120"/>
        <w:rPr>
          <w:bCs/>
          <w:sz w:val="18"/>
          <w:szCs w:val="18"/>
          <w:lang w:eastAsia="en-US"/>
        </w:rPr>
      </w:pPr>
      <w:r w:rsidRPr="00036C20">
        <w:rPr>
          <w:bCs/>
          <w:sz w:val="18"/>
          <w:szCs w:val="18"/>
          <w:lang w:eastAsia="en-US"/>
        </w:rPr>
        <w:t xml:space="preserve">Source for tables </w:t>
      </w:r>
      <w:r>
        <w:rPr>
          <w:bCs/>
          <w:sz w:val="18"/>
          <w:szCs w:val="18"/>
          <w:lang w:eastAsia="en-US"/>
        </w:rPr>
        <w:t>5-6</w:t>
      </w:r>
      <w:r w:rsidRPr="00036C20">
        <w:rPr>
          <w:bCs/>
          <w:sz w:val="18"/>
          <w:szCs w:val="18"/>
          <w:lang w:eastAsia="en-US"/>
        </w:rPr>
        <w:t>: Department of Health, File: Q20784 Item 32023 provider concentration.xlsx</w:t>
      </w:r>
    </w:p>
    <w:p w14:paraId="0952FEF9" w14:textId="5C1BB07C" w:rsidR="004E015F" w:rsidRPr="00457F5E" w:rsidRDefault="004E015F" w:rsidP="004E015F">
      <w:pPr>
        <w:pStyle w:val="Heading2"/>
      </w:pPr>
      <w:r w:rsidRPr="00457F5E">
        <w:t>Co-claiming</w:t>
      </w:r>
      <w:bookmarkEnd w:id="1"/>
    </w:p>
    <w:p w14:paraId="56C0D13B" w14:textId="3CE89CD9" w:rsidR="00036C20" w:rsidRPr="00036C20" w:rsidRDefault="00036C20" w:rsidP="007A3D70">
      <w:pPr>
        <w:spacing w:after="240"/>
        <w:rPr>
          <w:szCs w:val="24"/>
          <w:lang w:eastAsia="en-US"/>
        </w:rPr>
      </w:pPr>
      <w:r w:rsidRPr="00036C20">
        <w:rPr>
          <w:szCs w:val="24"/>
          <w:lang w:eastAsia="en-US"/>
        </w:rPr>
        <w:t xml:space="preserve">The service (approximately 65% of episodes) is commonly claimed with specialist consultation items 104, 105, 110, 116, 119, and 132 (Table </w:t>
      </w:r>
      <w:r>
        <w:rPr>
          <w:szCs w:val="24"/>
          <w:lang w:eastAsia="en-US"/>
        </w:rPr>
        <w:t>7-9</w:t>
      </w:r>
      <w:r w:rsidRPr="00036C20">
        <w:rPr>
          <w:szCs w:val="24"/>
          <w:lang w:eastAsia="en-US"/>
        </w:rPr>
        <w:t>).</w:t>
      </w:r>
    </w:p>
    <w:p w14:paraId="13373ADA" w14:textId="076C7E6B" w:rsidR="00036C20" w:rsidRPr="00036C20" w:rsidRDefault="00036C20" w:rsidP="007A3D70">
      <w:pPr>
        <w:spacing w:after="240"/>
        <w:rPr>
          <w:szCs w:val="24"/>
          <w:lang w:eastAsia="en-US"/>
        </w:rPr>
      </w:pPr>
      <w:r w:rsidRPr="00036C20">
        <w:rPr>
          <w:szCs w:val="24"/>
          <w:lang w:eastAsia="en-US"/>
        </w:rPr>
        <w:t xml:space="preserve">As of November 1 2017, Medical practitioners will no longer be able to claim MBS benefits for subsequent attendance items 105, 116, and 119 if they are claiming any Group T8 items with a schedule fee of equal to or greater than $300 on the same day.  Medical practitioners who are not claiming subsequent attendance items with Group T8 items will not be affected. Three new items will be introduced for subsequent attendances that are urgent and not able to </w:t>
      </w:r>
      <w:r w:rsidRPr="00036C20">
        <w:rPr>
          <w:szCs w:val="24"/>
          <w:lang w:eastAsia="en-US"/>
        </w:rPr>
        <w:lastRenderedPageBreak/>
        <w:t>be predicted.  These new items can be claimed on the same day as Group T8 items with schedule fees of equal to or greater than $300.</w:t>
      </w:r>
    </w:p>
    <w:p w14:paraId="48D977A4" w14:textId="77777777" w:rsidR="00036C20" w:rsidRPr="00036C20" w:rsidRDefault="00036C20" w:rsidP="00036C20">
      <w:pPr>
        <w:rPr>
          <w:szCs w:val="24"/>
          <w:lang w:eastAsia="en-US"/>
        </w:rPr>
      </w:pPr>
      <w:r w:rsidRPr="00036C20">
        <w:rPr>
          <w:szCs w:val="24"/>
          <w:lang w:eastAsia="en-US"/>
        </w:rPr>
        <w:t>Departmental medical advice noted there was no concern from a clinical perspective as to the other MBS items that were co-claimed in this dataset. The numbers were small and there are likely to be legitimate reasons for the MBS items when only utilised occasionally.</w:t>
      </w:r>
    </w:p>
    <w:p w14:paraId="59CF9C21" w14:textId="5DC82277" w:rsidR="00036C20" w:rsidRPr="00036C20" w:rsidRDefault="00036C20" w:rsidP="008430A7">
      <w:pPr>
        <w:pStyle w:val="Heading3"/>
        <w:rPr>
          <w:lang w:eastAsia="en-US"/>
        </w:rPr>
      </w:pPr>
      <w:r w:rsidRPr="00036C20">
        <w:rPr>
          <w:lang w:eastAsia="en-US"/>
        </w:rPr>
        <w:t xml:space="preserve">Table 7: Top 10 instances of co-claiming with MBS item 32023 in 2014-15 </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10 instances of co-claiming with item 32023 in 2014-15"/>
        <w:tblDescription w:val="Figures show that item 32023 is co-claimed with specialist consultation items in a majority of cases"/>
      </w:tblPr>
      <w:tblGrid>
        <w:gridCol w:w="426"/>
        <w:gridCol w:w="2455"/>
        <w:gridCol w:w="1017"/>
        <w:gridCol w:w="960"/>
        <w:gridCol w:w="1286"/>
        <w:gridCol w:w="1037"/>
        <w:gridCol w:w="960"/>
        <w:gridCol w:w="997"/>
      </w:tblGrid>
      <w:tr w:rsidR="00036C20" w:rsidRPr="00036C20" w14:paraId="3B8D1AF5" w14:textId="77777777" w:rsidTr="00036C20">
        <w:trPr>
          <w:trHeight w:val="721"/>
        </w:trPr>
        <w:tc>
          <w:tcPr>
            <w:tcW w:w="426" w:type="dxa"/>
            <w:shd w:val="clear" w:color="auto" w:fill="548DD4" w:themeFill="text2" w:themeFillTint="99"/>
            <w:vAlign w:val="center"/>
            <w:hideMark/>
          </w:tcPr>
          <w:p w14:paraId="0CA577C1"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w:t>
            </w:r>
          </w:p>
        </w:tc>
        <w:tc>
          <w:tcPr>
            <w:tcW w:w="2455" w:type="dxa"/>
            <w:shd w:val="clear" w:color="auto" w:fill="548DD4" w:themeFill="text2" w:themeFillTint="99"/>
            <w:vAlign w:val="center"/>
            <w:hideMark/>
          </w:tcPr>
          <w:p w14:paraId="42EFF1D1"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Items</w:t>
            </w:r>
          </w:p>
        </w:tc>
        <w:tc>
          <w:tcPr>
            <w:tcW w:w="1017" w:type="dxa"/>
            <w:shd w:val="clear" w:color="auto" w:fill="548DD4" w:themeFill="text2" w:themeFillTint="99"/>
            <w:vAlign w:val="center"/>
            <w:hideMark/>
          </w:tcPr>
          <w:p w14:paraId="0A1CBC71"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Episodes</w:t>
            </w:r>
          </w:p>
        </w:tc>
        <w:tc>
          <w:tcPr>
            <w:tcW w:w="960" w:type="dxa"/>
            <w:shd w:val="clear" w:color="auto" w:fill="548DD4" w:themeFill="text2" w:themeFillTint="99"/>
            <w:vAlign w:val="center"/>
            <w:hideMark/>
          </w:tcPr>
          <w:p w14:paraId="0B75E28B"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Services</w:t>
            </w:r>
          </w:p>
        </w:tc>
        <w:tc>
          <w:tcPr>
            <w:tcW w:w="1286" w:type="dxa"/>
            <w:shd w:val="clear" w:color="auto" w:fill="548DD4" w:themeFill="text2" w:themeFillTint="99"/>
            <w:vAlign w:val="center"/>
            <w:hideMark/>
          </w:tcPr>
          <w:p w14:paraId="44809768"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Schedule Fee for combination</w:t>
            </w:r>
          </w:p>
        </w:tc>
        <w:tc>
          <w:tcPr>
            <w:tcW w:w="1037" w:type="dxa"/>
            <w:shd w:val="clear" w:color="auto" w:fill="548DD4" w:themeFill="text2" w:themeFillTint="99"/>
            <w:vAlign w:val="center"/>
            <w:hideMark/>
          </w:tcPr>
          <w:p w14:paraId="143D515E"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Number of providers</w:t>
            </w:r>
          </w:p>
        </w:tc>
        <w:tc>
          <w:tcPr>
            <w:tcW w:w="960" w:type="dxa"/>
            <w:shd w:val="clear" w:color="auto" w:fill="548DD4" w:themeFill="text2" w:themeFillTint="99"/>
            <w:vAlign w:val="center"/>
            <w:hideMark/>
          </w:tcPr>
          <w:p w14:paraId="0F673BCC"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Number of patients</w:t>
            </w:r>
          </w:p>
        </w:tc>
        <w:tc>
          <w:tcPr>
            <w:tcW w:w="997" w:type="dxa"/>
            <w:shd w:val="clear" w:color="auto" w:fill="548DD4" w:themeFill="text2" w:themeFillTint="99"/>
            <w:vAlign w:val="center"/>
            <w:hideMark/>
          </w:tcPr>
          <w:p w14:paraId="066DC0E1"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 of episodes</w:t>
            </w:r>
          </w:p>
        </w:tc>
      </w:tr>
      <w:tr w:rsidR="00036C20" w:rsidRPr="00036C20" w14:paraId="3201C35E" w14:textId="77777777" w:rsidTr="00036C20">
        <w:trPr>
          <w:trHeight w:val="300"/>
        </w:trPr>
        <w:tc>
          <w:tcPr>
            <w:tcW w:w="426" w:type="dxa"/>
            <w:shd w:val="clear" w:color="000000" w:fill="FFFFFF"/>
            <w:noWrap/>
            <w:vAlign w:val="bottom"/>
            <w:hideMark/>
          </w:tcPr>
          <w:p w14:paraId="2F4FEAB8"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1</w:t>
            </w:r>
          </w:p>
        </w:tc>
        <w:tc>
          <w:tcPr>
            <w:tcW w:w="2455" w:type="dxa"/>
            <w:shd w:val="clear" w:color="000000" w:fill="FFFFFF"/>
            <w:noWrap/>
            <w:vAlign w:val="bottom"/>
            <w:hideMark/>
          </w:tcPr>
          <w:p w14:paraId="27EC53C9" w14:textId="77777777" w:rsidR="00036C20" w:rsidRPr="00036C20" w:rsidRDefault="00036C20" w:rsidP="00036C20">
            <w:pPr>
              <w:rPr>
                <w:rFonts w:ascii="Arial" w:hAnsi="Arial" w:cs="Arial"/>
                <w:b/>
                <w:color w:val="000000"/>
                <w:sz w:val="18"/>
                <w:szCs w:val="18"/>
                <w:lang w:eastAsia="en-US"/>
              </w:rPr>
            </w:pPr>
            <w:r w:rsidRPr="00036C20">
              <w:rPr>
                <w:rFonts w:ascii="Arial" w:hAnsi="Arial" w:cs="Arial"/>
                <w:b/>
                <w:color w:val="000000"/>
                <w:sz w:val="18"/>
                <w:szCs w:val="18"/>
                <w:lang w:eastAsia="en-US"/>
              </w:rPr>
              <w:t>32023</w:t>
            </w:r>
          </w:p>
        </w:tc>
        <w:tc>
          <w:tcPr>
            <w:tcW w:w="1017" w:type="dxa"/>
            <w:shd w:val="clear" w:color="000000" w:fill="FFFFFF"/>
            <w:noWrap/>
            <w:vAlign w:val="bottom"/>
            <w:hideMark/>
          </w:tcPr>
          <w:p w14:paraId="30570FA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31 </w:t>
            </w:r>
          </w:p>
        </w:tc>
        <w:tc>
          <w:tcPr>
            <w:tcW w:w="960" w:type="dxa"/>
            <w:shd w:val="clear" w:color="000000" w:fill="FFFFFF"/>
            <w:noWrap/>
            <w:vAlign w:val="bottom"/>
            <w:hideMark/>
          </w:tcPr>
          <w:p w14:paraId="1701288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31 </w:t>
            </w:r>
          </w:p>
        </w:tc>
        <w:tc>
          <w:tcPr>
            <w:tcW w:w="1286" w:type="dxa"/>
            <w:shd w:val="clear" w:color="000000" w:fill="FFFFFF"/>
            <w:noWrap/>
            <w:vAlign w:val="bottom"/>
            <w:hideMark/>
          </w:tcPr>
          <w:p w14:paraId="227CA43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w:t>
            </w:r>
            <w:r w:rsidRPr="00036C20">
              <w:rPr>
                <w:szCs w:val="24"/>
                <w:lang w:eastAsia="en-US"/>
              </w:rPr>
              <w:t xml:space="preserve"> </w:t>
            </w:r>
            <w:r w:rsidRPr="00036C20">
              <w:rPr>
                <w:rFonts w:ascii="Arial" w:hAnsi="Arial" w:cs="Arial"/>
                <w:color w:val="000000"/>
                <w:sz w:val="18"/>
                <w:szCs w:val="18"/>
                <w:lang w:eastAsia="en-US"/>
              </w:rPr>
              <w:t>17,216</w:t>
            </w:r>
          </w:p>
        </w:tc>
        <w:tc>
          <w:tcPr>
            <w:tcW w:w="1037" w:type="dxa"/>
            <w:shd w:val="clear" w:color="000000" w:fill="FFFFFF"/>
            <w:noWrap/>
            <w:vAlign w:val="bottom"/>
            <w:hideMark/>
          </w:tcPr>
          <w:p w14:paraId="22B50F1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22 </w:t>
            </w:r>
          </w:p>
        </w:tc>
        <w:tc>
          <w:tcPr>
            <w:tcW w:w="960" w:type="dxa"/>
            <w:shd w:val="clear" w:color="000000" w:fill="FFFFFF"/>
            <w:noWrap/>
            <w:vAlign w:val="bottom"/>
            <w:hideMark/>
          </w:tcPr>
          <w:p w14:paraId="17111D9B"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30 </w:t>
            </w:r>
          </w:p>
        </w:tc>
        <w:tc>
          <w:tcPr>
            <w:tcW w:w="997" w:type="dxa"/>
            <w:shd w:val="clear" w:color="000000" w:fill="FFFFFF"/>
            <w:noWrap/>
            <w:vAlign w:val="bottom"/>
            <w:hideMark/>
          </w:tcPr>
          <w:p w14:paraId="06A98FE4"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38.27% </w:t>
            </w:r>
          </w:p>
        </w:tc>
      </w:tr>
      <w:tr w:rsidR="00036C20" w:rsidRPr="00036C20" w14:paraId="27FC9505" w14:textId="77777777" w:rsidTr="00036C20">
        <w:trPr>
          <w:trHeight w:val="300"/>
        </w:trPr>
        <w:tc>
          <w:tcPr>
            <w:tcW w:w="426" w:type="dxa"/>
            <w:shd w:val="clear" w:color="000000" w:fill="FFFFFF"/>
            <w:noWrap/>
            <w:vAlign w:val="bottom"/>
          </w:tcPr>
          <w:p w14:paraId="08B0C711"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2</w:t>
            </w:r>
          </w:p>
        </w:tc>
        <w:tc>
          <w:tcPr>
            <w:tcW w:w="2455" w:type="dxa"/>
            <w:shd w:val="clear" w:color="000000" w:fill="FFFFFF"/>
            <w:noWrap/>
            <w:vAlign w:val="bottom"/>
            <w:hideMark/>
          </w:tcPr>
          <w:p w14:paraId="00D18975"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110</w:t>
            </w:r>
          </w:p>
        </w:tc>
        <w:tc>
          <w:tcPr>
            <w:tcW w:w="1017" w:type="dxa"/>
            <w:shd w:val="clear" w:color="000000" w:fill="FFFFFF"/>
            <w:noWrap/>
            <w:vAlign w:val="bottom"/>
            <w:hideMark/>
          </w:tcPr>
          <w:p w14:paraId="0192FC6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17</w:t>
            </w:r>
          </w:p>
        </w:tc>
        <w:tc>
          <w:tcPr>
            <w:tcW w:w="960" w:type="dxa"/>
            <w:shd w:val="clear" w:color="000000" w:fill="FFFFFF"/>
            <w:noWrap/>
            <w:vAlign w:val="bottom"/>
            <w:hideMark/>
          </w:tcPr>
          <w:p w14:paraId="7EEA16B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34 </w:t>
            </w:r>
          </w:p>
        </w:tc>
        <w:tc>
          <w:tcPr>
            <w:tcW w:w="1286" w:type="dxa"/>
            <w:shd w:val="clear" w:color="000000" w:fill="FFFFFF"/>
            <w:noWrap/>
            <w:vAlign w:val="bottom"/>
            <w:hideMark/>
          </w:tcPr>
          <w:p w14:paraId="7577711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$12,006</w:t>
            </w:r>
          </w:p>
        </w:tc>
        <w:tc>
          <w:tcPr>
            <w:tcW w:w="1037" w:type="dxa"/>
            <w:shd w:val="clear" w:color="000000" w:fill="FFFFFF"/>
            <w:noWrap/>
            <w:vAlign w:val="bottom"/>
            <w:hideMark/>
          </w:tcPr>
          <w:p w14:paraId="023B613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12 </w:t>
            </w:r>
          </w:p>
        </w:tc>
        <w:tc>
          <w:tcPr>
            <w:tcW w:w="960" w:type="dxa"/>
            <w:shd w:val="clear" w:color="000000" w:fill="FFFFFF"/>
            <w:noWrap/>
            <w:vAlign w:val="bottom"/>
            <w:hideMark/>
          </w:tcPr>
          <w:p w14:paraId="3B0E5D2B"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17 </w:t>
            </w:r>
          </w:p>
        </w:tc>
        <w:tc>
          <w:tcPr>
            <w:tcW w:w="997" w:type="dxa"/>
            <w:shd w:val="clear" w:color="000000" w:fill="FFFFFF"/>
            <w:noWrap/>
            <w:vAlign w:val="bottom"/>
            <w:hideMark/>
          </w:tcPr>
          <w:p w14:paraId="311905B4"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20.99% </w:t>
            </w:r>
          </w:p>
        </w:tc>
      </w:tr>
      <w:tr w:rsidR="00036C20" w:rsidRPr="00036C20" w14:paraId="657D9AE7" w14:textId="77777777" w:rsidTr="00036C20">
        <w:trPr>
          <w:trHeight w:val="300"/>
        </w:trPr>
        <w:tc>
          <w:tcPr>
            <w:tcW w:w="426" w:type="dxa"/>
            <w:shd w:val="clear" w:color="000000" w:fill="FFFFFF"/>
            <w:noWrap/>
            <w:vAlign w:val="bottom"/>
          </w:tcPr>
          <w:p w14:paraId="1FEDB75C"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3</w:t>
            </w:r>
          </w:p>
        </w:tc>
        <w:tc>
          <w:tcPr>
            <w:tcW w:w="2455" w:type="dxa"/>
            <w:shd w:val="clear" w:color="000000" w:fill="FFFFFF"/>
            <w:noWrap/>
            <w:vAlign w:val="bottom"/>
            <w:hideMark/>
          </w:tcPr>
          <w:p w14:paraId="7DA01664" w14:textId="77777777" w:rsidR="00036C20" w:rsidRPr="00036C20" w:rsidRDefault="00036C20" w:rsidP="00036C20">
            <w:pPr>
              <w:ind w:right="-62"/>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105</w:t>
            </w:r>
          </w:p>
        </w:tc>
        <w:tc>
          <w:tcPr>
            <w:tcW w:w="1017" w:type="dxa"/>
            <w:shd w:val="clear" w:color="000000" w:fill="FFFFFF"/>
            <w:noWrap/>
            <w:vAlign w:val="bottom"/>
            <w:hideMark/>
          </w:tcPr>
          <w:p w14:paraId="0187EF9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12</w:t>
            </w:r>
          </w:p>
        </w:tc>
        <w:tc>
          <w:tcPr>
            <w:tcW w:w="960" w:type="dxa"/>
            <w:shd w:val="clear" w:color="000000" w:fill="FFFFFF"/>
            <w:noWrap/>
            <w:vAlign w:val="bottom"/>
            <w:hideMark/>
          </w:tcPr>
          <w:p w14:paraId="56FF580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24</w:t>
            </w:r>
          </w:p>
        </w:tc>
        <w:tc>
          <w:tcPr>
            <w:tcW w:w="1286" w:type="dxa"/>
            <w:shd w:val="clear" w:color="000000" w:fill="FFFFFF"/>
            <w:noWrap/>
            <w:vAlign w:val="bottom"/>
            <w:hideMark/>
          </w:tcPr>
          <w:p w14:paraId="1CE1257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$7,180 </w:t>
            </w:r>
          </w:p>
        </w:tc>
        <w:tc>
          <w:tcPr>
            <w:tcW w:w="1037" w:type="dxa"/>
            <w:shd w:val="clear" w:color="000000" w:fill="FFFFFF"/>
            <w:noWrap/>
            <w:vAlign w:val="bottom"/>
            <w:hideMark/>
          </w:tcPr>
          <w:p w14:paraId="04681803"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 </w:t>
            </w:r>
          </w:p>
        </w:tc>
        <w:tc>
          <w:tcPr>
            <w:tcW w:w="960" w:type="dxa"/>
            <w:shd w:val="clear" w:color="000000" w:fill="FFFFFF"/>
            <w:noWrap/>
            <w:vAlign w:val="bottom"/>
            <w:hideMark/>
          </w:tcPr>
          <w:p w14:paraId="286DD84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12</w:t>
            </w:r>
          </w:p>
        </w:tc>
        <w:tc>
          <w:tcPr>
            <w:tcW w:w="997" w:type="dxa"/>
            <w:shd w:val="clear" w:color="000000" w:fill="FFFFFF"/>
            <w:noWrap/>
            <w:vAlign w:val="bottom"/>
            <w:hideMark/>
          </w:tcPr>
          <w:p w14:paraId="190EBD3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14.81% </w:t>
            </w:r>
          </w:p>
        </w:tc>
      </w:tr>
      <w:tr w:rsidR="00036C20" w:rsidRPr="00036C20" w14:paraId="1D5F4C6C" w14:textId="77777777" w:rsidTr="00036C20">
        <w:trPr>
          <w:trHeight w:val="300"/>
        </w:trPr>
        <w:tc>
          <w:tcPr>
            <w:tcW w:w="426" w:type="dxa"/>
            <w:shd w:val="clear" w:color="000000" w:fill="FFFFFF"/>
            <w:noWrap/>
            <w:vAlign w:val="bottom"/>
          </w:tcPr>
          <w:p w14:paraId="1EAC8B67"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4</w:t>
            </w:r>
          </w:p>
        </w:tc>
        <w:tc>
          <w:tcPr>
            <w:tcW w:w="2455" w:type="dxa"/>
            <w:shd w:val="clear" w:color="000000" w:fill="FFFFFF"/>
            <w:noWrap/>
            <w:vAlign w:val="bottom"/>
            <w:hideMark/>
          </w:tcPr>
          <w:p w14:paraId="5C6CAF14"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116</w:t>
            </w:r>
          </w:p>
        </w:tc>
        <w:tc>
          <w:tcPr>
            <w:tcW w:w="1017" w:type="dxa"/>
            <w:shd w:val="clear" w:color="000000" w:fill="FFFFFF"/>
            <w:noWrap/>
            <w:vAlign w:val="bottom"/>
            <w:hideMark/>
          </w:tcPr>
          <w:p w14:paraId="5085891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hideMark/>
          </w:tcPr>
          <w:p w14:paraId="2DE9876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14 </w:t>
            </w:r>
          </w:p>
        </w:tc>
        <w:tc>
          <w:tcPr>
            <w:tcW w:w="1286" w:type="dxa"/>
            <w:shd w:val="clear" w:color="000000" w:fill="FFFFFF"/>
            <w:noWrap/>
            <w:vAlign w:val="bottom"/>
            <w:hideMark/>
          </w:tcPr>
          <w:p w14:paraId="72FD70C2"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$4,416 </w:t>
            </w:r>
          </w:p>
        </w:tc>
        <w:tc>
          <w:tcPr>
            <w:tcW w:w="1037" w:type="dxa"/>
            <w:shd w:val="clear" w:color="000000" w:fill="FFFFFF"/>
            <w:noWrap/>
            <w:vAlign w:val="bottom"/>
            <w:hideMark/>
          </w:tcPr>
          <w:p w14:paraId="7FDBAE9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hideMark/>
          </w:tcPr>
          <w:p w14:paraId="29C6019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hideMark/>
          </w:tcPr>
          <w:p w14:paraId="2C38E2B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8.64% </w:t>
            </w:r>
          </w:p>
        </w:tc>
      </w:tr>
      <w:tr w:rsidR="00036C20" w:rsidRPr="00036C20" w14:paraId="0FD3DABD" w14:textId="77777777" w:rsidTr="00036C20">
        <w:trPr>
          <w:trHeight w:val="300"/>
        </w:trPr>
        <w:tc>
          <w:tcPr>
            <w:tcW w:w="426" w:type="dxa"/>
            <w:shd w:val="clear" w:color="000000" w:fill="FFFFFF"/>
            <w:noWrap/>
            <w:vAlign w:val="bottom"/>
          </w:tcPr>
          <w:p w14:paraId="6C0383F4"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5</w:t>
            </w:r>
          </w:p>
        </w:tc>
        <w:tc>
          <w:tcPr>
            <w:tcW w:w="2455" w:type="dxa"/>
            <w:shd w:val="clear" w:color="000000" w:fill="FFFFFF"/>
            <w:noWrap/>
            <w:vAlign w:val="bottom"/>
            <w:hideMark/>
          </w:tcPr>
          <w:p w14:paraId="5DEA14BC"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104</w:t>
            </w:r>
          </w:p>
        </w:tc>
        <w:tc>
          <w:tcPr>
            <w:tcW w:w="1017" w:type="dxa"/>
            <w:shd w:val="clear" w:color="000000" w:fill="FFFFFF"/>
            <w:noWrap/>
            <w:vAlign w:val="bottom"/>
            <w:hideMark/>
          </w:tcPr>
          <w:p w14:paraId="782A5C1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hideMark/>
          </w:tcPr>
          <w:p w14:paraId="0C1CD35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12 </w:t>
            </w:r>
          </w:p>
        </w:tc>
        <w:tc>
          <w:tcPr>
            <w:tcW w:w="1286" w:type="dxa"/>
            <w:shd w:val="clear" w:color="000000" w:fill="FFFFFF"/>
            <w:noWrap/>
            <w:vAlign w:val="bottom"/>
            <w:hideMark/>
          </w:tcPr>
          <w:p w14:paraId="48E4DF1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$3,845 </w:t>
            </w:r>
          </w:p>
        </w:tc>
        <w:tc>
          <w:tcPr>
            <w:tcW w:w="1037" w:type="dxa"/>
            <w:shd w:val="clear" w:color="000000" w:fill="FFFFFF"/>
            <w:noWrap/>
            <w:vAlign w:val="bottom"/>
            <w:hideMark/>
          </w:tcPr>
          <w:p w14:paraId="0F5036F3"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hideMark/>
          </w:tcPr>
          <w:p w14:paraId="1358D2D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hideMark/>
          </w:tcPr>
          <w:p w14:paraId="519D04F4"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7.41% </w:t>
            </w:r>
          </w:p>
        </w:tc>
      </w:tr>
      <w:tr w:rsidR="00036C20" w:rsidRPr="00036C20" w14:paraId="02460EF8" w14:textId="77777777" w:rsidTr="00036C20">
        <w:trPr>
          <w:trHeight w:val="300"/>
        </w:trPr>
        <w:tc>
          <w:tcPr>
            <w:tcW w:w="426" w:type="dxa"/>
            <w:shd w:val="clear" w:color="000000" w:fill="FFFFFF"/>
            <w:noWrap/>
            <w:vAlign w:val="bottom"/>
          </w:tcPr>
          <w:p w14:paraId="4D7B2CD2"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6</w:t>
            </w:r>
          </w:p>
        </w:tc>
        <w:tc>
          <w:tcPr>
            <w:tcW w:w="2455" w:type="dxa"/>
            <w:shd w:val="clear" w:color="000000" w:fill="FFFFFF"/>
            <w:noWrap/>
            <w:vAlign w:val="bottom"/>
            <w:hideMark/>
          </w:tcPr>
          <w:p w14:paraId="09735BEB"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119</w:t>
            </w:r>
          </w:p>
        </w:tc>
        <w:tc>
          <w:tcPr>
            <w:tcW w:w="1017" w:type="dxa"/>
            <w:shd w:val="clear" w:color="000000" w:fill="FFFFFF"/>
            <w:noWrap/>
            <w:vAlign w:val="bottom"/>
            <w:hideMark/>
          </w:tcPr>
          <w:p w14:paraId="299A01D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hideMark/>
          </w:tcPr>
          <w:p w14:paraId="14465DAB"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1286" w:type="dxa"/>
            <w:shd w:val="clear" w:color="000000" w:fill="FFFFFF"/>
            <w:noWrap/>
            <w:vAlign w:val="bottom"/>
            <w:hideMark/>
          </w:tcPr>
          <w:p w14:paraId="6A842F8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$1,197 </w:t>
            </w:r>
          </w:p>
        </w:tc>
        <w:tc>
          <w:tcPr>
            <w:tcW w:w="1037" w:type="dxa"/>
            <w:shd w:val="clear" w:color="000000" w:fill="FFFFFF"/>
            <w:noWrap/>
            <w:vAlign w:val="bottom"/>
            <w:hideMark/>
          </w:tcPr>
          <w:p w14:paraId="6C212A8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hideMark/>
          </w:tcPr>
          <w:p w14:paraId="4F699C5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hideMark/>
          </w:tcPr>
          <w:p w14:paraId="219F95E4"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2.47% </w:t>
            </w:r>
          </w:p>
        </w:tc>
      </w:tr>
      <w:tr w:rsidR="00036C20" w:rsidRPr="00036C20" w14:paraId="0B10BA33" w14:textId="77777777" w:rsidTr="00036C20">
        <w:trPr>
          <w:trHeight w:val="300"/>
        </w:trPr>
        <w:tc>
          <w:tcPr>
            <w:tcW w:w="426" w:type="dxa"/>
            <w:shd w:val="clear" w:color="000000" w:fill="FFFFFF"/>
            <w:noWrap/>
            <w:vAlign w:val="bottom"/>
          </w:tcPr>
          <w:p w14:paraId="54B8E9FA"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7</w:t>
            </w:r>
          </w:p>
        </w:tc>
        <w:tc>
          <w:tcPr>
            <w:tcW w:w="2455" w:type="dxa"/>
            <w:shd w:val="clear" w:color="000000" w:fill="FFFFFF"/>
            <w:noWrap/>
            <w:vAlign w:val="bottom"/>
            <w:hideMark/>
          </w:tcPr>
          <w:p w14:paraId="54F50A44"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104,105</w:t>
            </w:r>
          </w:p>
        </w:tc>
        <w:tc>
          <w:tcPr>
            <w:tcW w:w="1017" w:type="dxa"/>
            <w:shd w:val="clear" w:color="000000" w:fill="FFFFFF"/>
            <w:noWrap/>
            <w:vAlign w:val="bottom"/>
            <w:hideMark/>
          </w:tcPr>
          <w:p w14:paraId="5797B981"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hideMark/>
          </w:tcPr>
          <w:p w14:paraId="72B46BCB"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1286" w:type="dxa"/>
            <w:shd w:val="clear" w:color="000000" w:fill="FFFFFF"/>
            <w:noWrap/>
            <w:vAlign w:val="bottom"/>
            <w:hideMark/>
          </w:tcPr>
          <w:p w14:paraId="0E98341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$684 </w:t>
            </w:r>
          </w:p>
        </w:tc>
        <w:tc>
          <w:tcPr>
            <w:tcW w:w="1037" w:type="dxa"/>
            <w:shd w:val="clear" w:color="000000" w:fill="FFFFFF"/>
            <w:noWrap/>
            <w:vAlign w:val="bottom"/>
            <w:hideMark/>
          </w:tcPr>
          <w:p w14:paraId="0013656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hideMark/>
          </w:tcPr>
          <w:p w14:paraId="0325A40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hideMark/>
          </w:tcPr>
          <w:p w14:paraId="5611FC81"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1.23% </w:t>
            </w:r>
          </w:p>
        </w:tc>
      </w:tr>
      <w:tr w:rsidR="00036C20" w:rsidRPr="00036C20" w14:paraId="4CBD80E8" w14:textId="77777777" w:rsidTr="00036C20">
        <w:trPr>
          <w:trHeight w:val="300"/>
        </w:trPr>
        <w:tc>
          <w:tcPr>
            <w:tcW w:w="426" w:type="dxa"/>
            <w:shd w:val="clear" w:color="000000" w:fill="FFFFFF"/>
            <w:noWrap/>
            <w:vAlign w:val="bottom"/>
          </w:tcPr>
          <w:p w14:paraId="1BC3F5EB"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8</w:t>
            </w:r>
          </w:p>
        </w:tc>
        <w:tc>
          <w:tcPr>
            <w:tcW w:w="2455" w:type="dxa"/>
            <w:shd w:val="clear" w:color="000000" w:fill="FFFFFF"/>
            <w:noWrap/>
            <w:vAlign w:val="bottom"/>
            <w:hideMark/>
          </w:tcPr>
          <w:p w14:paraId="47BE0579"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104, 30473, 32072</w:t>
            </w:r>
          </w:p>
        </w:tc>
        <w:tc>
          <w:tcPr>
            <w:tcW w:w="1017" w:type="dxa"/>
            <w:shd w:val="clear" w:color="000000" w:fill="FFFFFF"/>
            <w:noWrap/>
            <w:vAlign w:val="bottom"/>
            <w:hideMark/>
          </w:tcPr>
          <w:p w14:paraId="5FE4C94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hideMark/>
          </w:tcPr>
          <w:p w14:paraId="670A65DC"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1286" w:type="dxa"/>
            <w:shd w:val="clear" w:color="000000" w:fill="FFFFFF"/>
            <w:noWrap/>
            <w:vAlign w:val="bottom"/>
            <w:hideMark/>
          </w:tcPr>
          <w:p w14:paraId="14F2843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$777 </w:t>
            </w:r>
          </w:p>
        </w:tc>
        <w:tc>
          <w:tcPr>
            <w:tcW w:w="1037" w:type="dxa"/>
            <w:shd w:val="clear" w:color="000000" w:fill="FFFFFF"/>
            <w:noWrap/>
            <w:vAlign w:val="bottom"/>
            <w:hideMark/>
          </w:tcPr>
          <w:p w14:paraId="36C5E20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hideMark/>
          </w:tcPr>
          <w:p w14:paraId="607E0AE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hideMark/>
          </w:tcPr>
          <w:p w14:paraId="5E751542"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1.23% </w:t>
            </w:r>
          </w:p>
        </w:tc>
      </w:tr>
      <w:tr w:rsidR="00036C20" w:rsidRPr="00036C20" w14:paraId="0B45250B" w14:textId="77777777" w:rsidTr="00036C20">
        <w:trPr>
          <w:trHeight w:val="300"/>
        </w:trPr>
        <w:tc>
          <w:tcPr>
            <w:tcW w:w="426" w:type="dxa"/>
            <w:shd w:val="clear" w:color="000000" w:fill="FFFFFF"/>
            <w:noWrap/>
            <w:vAlign w:val="bottom"/>
          </w:tcPr>
          <w:p w14:paraId="1D072EC2"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9</w:t>
            </w:r>
          </w:p>
        </w:tc>
        <w:tc>
          <w:tcPr>
            <w:tcW w:w="2455" w:type="dxa"/>
            <w:shd w:val="clear" w:color="000000" w:fill="FFFFFF"/>
            <w:noWrap/>
            <w:vAlign w:val="bottom"/>
            <w:hideMark/>
          </w:tcPr>
          <w:p w14:paraId="37998039"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105, 30473</w:t>
            </w:r>
          </w:p>
        </w:tc>
        <w:tc>
          <w:tcPr>
            <w:tcW w:w="1017" w:type="dxa"/>
            <w:shd w:val="clear" w:color="000000" w:fill="FFFFFF"/>
            <w:noWrap/>
            <w:vAlign w:val="bottom"/>
            <w:hideMark/>
          </w:tcPr>
          <w:p w14:paraId="16D8E9F2"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hideMark/>
          </w:tcPr>
          <w:p w14:paraId="1A93973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1286" w:type="dxa"/>
            <w:shd w:val="clear" w:color="000000" w:fill="FFFFFF"/>
            <w:noWrap/>
            <w:vAlign w:val="bottom"/>
            <w:hideMark/>
          </w:tcPr>
          <w:p w14:paraId="2B1D22E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$687 </w:t>
            </w:r>
          </w:p>
        </w:tc>
        <w:tc>
          <w:tcPr>
            <w:tcW w:w="1037" w:type="dxa"/>
            <w:shd w:val="clear" w:color="000000" w:fill="FFFFFF"/>
            <w:noWrap/>
            <w:vAlign w:val="bottom"/>
            <w:hideMark/>
          </w:tcPr>
          <w:p w14:paraId="17D1A0F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hideMark/>
          </w:tcPr>
          <w:p w14:paraId="6017CB9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hideMark/>
          </w:tcPr>
          <w:p w14:paraId="0BE92BE2"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1.23% </w:t>
            </w:r>
          </w:p>
        </w:tc>
      </w:tr>
      <w:tr w:rsidR="00036C20" w:rsidRPr="00036C20" w14:paraId="25F6ABE2" w14:textId="77777777" w:rsidTr="00036C20">
        <w:trPr>
          <w:trHeight w:val="300"/>
        </w:trPr>
        <w:tc>
          <w:tcPr>
            <w:tcW w:w="426" w:type="dxa"/>
            <w:shd w:val="clear" w:color="000000" w:fill="FFFFFF"/>
            <w:noWrap/>
            <w:vAlign w:val="bottom"/>
          </w:tcPr>
          <w:p w14:paraId="76AAC35A"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10</w:t>
            </w:r>
          </w:p>
        </w:tc>
        <w:tc>
          <w:tcPr>
            <w:tcW w:w="2455" w:type="dxa"/>
            <w:shd w:val="clear" w:color="000000" w:fill="FFFFFF"/>
            <w:noWrap/>
            <w:vAlign w:val="bottom"/>
            <w:hideMark/>
          </w:tcPr>
          <w:p w14:paraId="101541EB"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110, 30473</w:t>
            </w:r>
          </w:p>
        </w:tc>
        <w:tc>
          <w:tcPr>
            <w:tcW w:w="1017" w:type="dxa"/>
            <w:shd w:val="clear" w:color="000000" w:fill="FFFFFF"/>
            <w:noWrap/>
            <w:vAlign w:val="bottom"/>
            <w:hideMark/>
          </w:tcPr>
          <w:p w14:paraId="1A8E8F5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hideMark/>
          </w:tcPr>
          <w:p w14:paraId="6A1DD492"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1286" w:type="dxa"/>
            <w:shd w:val="clear" w:color="000000" w:fill="FFFFFF"/>
            <w:noWrap/>
            <w:vAlign w:val="bottom"/>
            <w:hideMark/>
          </w:tcPr>
          <w:p w14:paraId="1570C852"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$795 </w:t>
            </w:r>
          </w:p>
        </w:tc>
        <w:tc>
          <w:tcPr>
            <w:tcW w:w="1037" w:type="dxa"/>
            <w:shd w:val="clear" w:color="000000" w:fill="FFFFFF"/>
            <w:noWrap/>
            <w:vAlign w:val="bottom"/>
            <w:hideMark/>
          </w:tcPr>
          <w:p w14:paraId="22C1BF1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hideMark/>
          </w:tcPr>
          <w:p w14:paraId="7DCDA6C1"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hideMark/>
          </w:tcPr>
          <w:p w14:paraId="5583378B"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1.23% </w:t>
            </w:r>
          </w:p>
        </w:tc>
      </w:tr>
    </w:tbl>
    <w:p w14:paraId="6A080FAD" w14:textId="4870DAE9" w:rsidR="00036C20" w:rsidRPr="00036C20" w:rsidRDefault="00036C20" w:rsidP="008430A7">
      <w:pPr>
        <w:pStyle w:val="Heading3"/>
        <w:rPr>
          <w:lang w:eastAsia="en-US"/>
        </w:rPr>
      </w:pPr>
      <w:r w:rsidRPr="00036C20">
        <w:rPr>
          <w:lang w:eastAsia="en-US"/>
        </w:rPr>
        <w:t xml:space="preserve">Table 8: Top 10 instances of co-claiming with MBS item 32023 in 2015-16 </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10 instances of co-claiming with item 32023 in 2015-16"/>
        <w:tblDescription w:val="Figures show that item 32023 is co-claimed with specialist consultation items in a majority of cases"/>
      </w:tblPr>
      <w:tblGrid>
        <w:gridCol w:w="567"/>
        <w:gridCol w:w="2314"/>
        <w:gridCol w:w="1017"/>
        <w:gridCol w:w="960"/>
        <w:gridCol w:w="1286"/>
        <w:gridCol w:w="1037"/>
        <w:gridCol w:w="960"/>
        <w:gridCol w:w="997"/>
      </w:tblGrid>
      <w:tr w:rsidR="00036C20" w:rsidRPr="00036C20" w14:paraId="3B22FAF6" w14:textId="77777777" w:rsidTr="00036C20">
        <w:trPr>
          <w:trHeight w:val="721"/>
        </w:trPr>
        <w:tc>
          <w:tcPr>
            <w:tcW w:w="567" w:type="dxa"/>
            <w:shd w:val="clear" w:color="auto" w:fill="548DD4" w:themeFill="text2" w:themeFillTint="99"/>
            <w:vAlign w:val="center"/>
            <w:hideMark/>
          </w:tcPr>
          <w:p w14:paraId="524E612D"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w:t>
            </w:r>
          </w:p>
        </w:tc>
        <w:tc>
          <w:tcPr>
            <w:tcW w:w="2314" w:type="dxa"/>
            <w:shd w:val="clear" w:color="auto" w:fill="548DD4" w:themeFill="text2" w:themeFillTint="99"/>
            <w:vAlign w:val="center"/>
            <w:hideMark/>
          </w:tcPr>
          <w:p w14:paraId="23F2D976"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Items</w:t>
            </w:r>
          </w:p>
        </w:tc>
        <w:tc>
          <w:tcPr>
            <w:tcW w:w="1017" w:type="dxa"/>
            <w:shd w:val="clear" w:color="auto" w:fill="548DD4" w:themeFill="text2" w:themeFillTint="99"/>
            <w:vAlign w:val="center"/>
            <w:hideMark/>
          </w:tcPr>
          <w:p w14:paraId="368D3CBD"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Episodes</w:t>
            </w:r>
          </w:p>
        </w:tc>
        <w:tc>
          <w:tcPr>
            <w:tcW w:w="960" w:type="dxa"/>
            <w:shd w:val="clear" w:color="auto" w:fill="548DD4" w:themeFill="text2" w:themeFillTint="99"/>
            <w:vAlign w:val="center"/>
            <w:hideMark/>
          </w:tcPr>
          <w:p w14:paraId="635FF354"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Services</w:t>
            </w:r>
          </w:p>
        </w:tc>
        <w:tc>
          <w:tcPr>
            <w:tcW w:w="1286" w:type="dxa"/>
            <w:shd w:val="clear" w:color="auto" w:fill="548DD4" w:themeFill="text2" w:themeFillTint="99"/>
            <w:vAlign w:val="center"/>
            <w:hideMark/>
          </w:tcPr>
          <w:p w14:paraId="7306C118"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Schedule Fee for combination</w:t>
            </w:r>
          </w:p>
        </w:tc>
        <w:tc>
          <w:tcPr>
            <w:tcW w:w="1037" w:type="dxa"/>
            <w:shd w:val="clear" w:color="auto" w:fill="548DD4" w:themeFill="text2" w:themeFillTint="99"/>
            <w:vAlign w:val="center"/>
            <w:hideMark/>
          </w:tcPr>
          <w:p w14:paraId="652A9EEB"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Number of providers</w:t>
            </w:r>
          </w:p>
        </w:tc>
        <w:tc>
          <w:tcPr>
            <w:tcW w:w="960" w:type="dxa"/>
            <w:shd w:val="clear" w:color="auto" w:fill="548DD4" w:themeFill="text2" w:themeFillTint="99"/>
            <w:vAlign w:val="center"/>
            <w:hideMark/>
          </w:tcPr>
          <w:p w14:paraId="2F1F781C"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Number of patients</w:t>
            </w:r>
          </w:p>
        </w:tc>
        <w:tc>
          <w:tcPr>
            <w:tcW w:w="997" w:type="dxa"/>
            <w:shd w:val="clear" w:color="auto" w:fill="548DD4" w:themeFill="text2" w:themeFillTint="99"/>
            <w:vAlign w:val="center"/>
            <w:hideMark/>
          </w:tcPr>
          <w:p w14:paraId="654FA2BC"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 of episodes</w:t>
            </w:r>
          </w:p>
        </w:tc>
      </w:tr>
      <w:tr w:rsidR="00036C20" w:rsidRPr="00036C20" w14:paraId="6F5B7FF6" w14:textId="77777777" w:rsidTr="00036C20">
        <w:trPr>
          <w:trHeight w:val="300"/>
        </w:trPr>
        <w:tc>
          <w:tcPr>
            <w:tcW w:w="567" w:type="dxa"/>
            <w:shd w:val="clear" w:color="000000" w:fill="FFFFFF"/>
            <w:noWrap/>
            <w:vAlign w:val="bottom"/>
          </w:tcPr>
          <w:p w14:paraId="48028216"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1</w:t>
            </w:r>
          </w:p>
        </w:tc>
        <w:tc>
          <w:tcPr>
            <w:tcW w:w="2314" w:type="dxa"/>
            <w:shd w:val="clear" w:color="000000" w:fill="FFFFFF"/>
            <w:noWrap/>
            <w:vAlign w:val="bottom"/>
          </w:tcPr>
          <w:p w14:paraId="23457437" w14:textId="77777777" w:rsidR="00036C20" w:rsidRPr="00036C20" w:rsidRDefault="00036C20" w:rsidP="00036C20">
            <w:pPr>
              <w:rPr>
                <w:rFonts w:ascii="Arial" w:hAnsi="Arial" w:cs="Arial"/>
                <w:b/>
                <w:color w:val="000000"/>
                <w:sz w:val="18"/>
                <w:szCs w:val="18"/>
                <w:lang w:eastAsia="en-US"/>
              </w:rPr>
            </w:pPr>
            <w:r w:rsidRPr="00036C20">
              <w:rPr>
                <w:rFonts w:ascii="Arial" w:hAnsi="Arial" w:cs="Arial"/>
                <w:b/>
                <w:color w:val="000000"/>
                <w:sz w:val="18"/>
                <w:szCs w:val="18"/>
                <w:lang w:eastAsia="en-US"/>
              </w:rPr>
              <w:t>32023</w:t>
            </w:r>
          </w:p>
        </w:tc>
        <w:tc>
          <w:tcPr>
            <w:tcW w:w="1017" w:type="dxa"/>
            <w:shd w:val="clear" w:color="000000" w:fill="FFFFFF"/>
            <w:noWrap/>
            <w:vAlign w:val="bottom"/>
          </w:tcPr>
          <w:p w14:paraId="3A881CE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24 </w:t>
            </w:r>
          </w:p>
        </w:tc>
        <w:tc>
          <w:tcPr>
            <w:tcW w:w="960" w:type="dxa"/>
            <w:shd w:val="clear" w:color="000000" w:fill="FFFFFF"/>
            <w:noWrap/>
            <w:vAlign w:val="bottom"/>
          </w:tcPr>
          <w:p w14:paraId="12C88E6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24 </w:t>
            </w:r>
          </w:p>
        </w:tc>
        <w:tc>
          <w:tcPr>
            <w:tcW w:w="1286" w:type="dxa"/>
            <w:shd w:val="clear" w:color="000000" w:fill="FFFFFF"/>
            <w:noWrap/>
            <w:vAlign w:val="bottom"/>
          </w:tcPr>
          <w:p w14:paraId="330AB9E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$13,328 </w:t>
            </w:r>
          </w:p>
        </w:tc>
        <w:tc>
          <w:tcPr>
            <w:tcW w:w="1037" w:type="dxa"/>
            <w:shd w:val="clear" w:color="000000" w:fill="FFFFFF"/>
            <w:noWrap/>
            <w:vAlign w:val="bottom"/>
          </w:tcPr>
          <w:p w14:paraId="3D8B12F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19 </w:t>
            </w:r>
          </w:p>
        </w:tc>
        <w:tc>
          <w:tcPr>
            <w:tcW w:w="960" w:type="dxa"/>
            <w:shd w:val="clear" w:color="000000" w:fill="FFFFFF"/>
            <w:noWrap/>
            <w:vAlign w:val="bottom"/>
          </w:tcPr>
          <w:p w14:paraId="1B632FC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23 </w:t>
            </w:r>
          </w:p>
        </w:tc>
        <w:tc>
          <w:tcPr>
            <w:tcW w:w="997" w:type="dxa"/>
            <w:shd w:val="clear" w:color="000000" w:fill="FFFFFF"/>
            <w:noWrap/>
            <w:vAlign w:val="bottom"/>
          </w:tcPr>
          <w:p w14:paraId="472B9E0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28.24% </w:t>
            </w:r>
          </w:p>
        </w:tc>
      </w:tr>
      <w:tr w:rsidR="00036C20" w:rsidRPr="00036C20" w14:paraId="17042C39" w14:textId="77777777" w:rsidTr="00036C20">
        <w:trPr>
          <w:trHeight w:val="300"/>
        </w:trPr>
        <w:tc>
          <w:tcPr>
            <w:tcW w:w="567" w:type="dxa"/>
            <w:shd w:val="clear" w:color="000000" w:fill="FFFFFF"/>
            <w:noWrap/>
            <w:vAlign w:val="bottom"/>
          </w:tcPr>
          <w:p w14:paraId="2448EA65"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2</w:t>
            </w:r>
          </w:p>
        </w:tc>
        <w:tc>
          <w:tcPr>
            <w:tcW w:w="2314" w:type="dxa"/>
            <w:shd w:val="clear" w:color="000000" w:fill="FFFFFF"/>
            <w:noWrap/>
            <w:vAlign w:val="bottom"/>
          </w:tcPr>
          <w:p w14:paraId="1C54D912"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110</w:t>
            </w:r>
          </w:p>
        </w:tc>
        <w:tc>
          <w:tcPr>
            <w:tcW w:w="1017" w:type="dxa"/>
            <w:shd w:val="clear" w:color="000000" w:fill="FFFFFF"/>
            <w:noWrap/>
            <w:vAlign w:val="bottom"/>
          </w:tcPr>
          <w:p w14:paraId="7E1839B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21 </w:t>
            </w:r>
          </w:p>
        </w:tc>
        <w:tc>
          <w:tcPr>
            <w:tcW w:w="960" w:type="dxa"/>
            <w:shd w:val="clear" w:color="000000" w:fill="FFFFFF"/>
            <w:noWrap/>
            <w:vAlign w:val="bottom"/>
          </w:tcPr>
          <w:p w14:paraId="026BFC54"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42 </w:t>
            </w:r>
          </w:p>
        </w:tc>
        <w:tc>
          <w:tcPr>
            <w:tcW w:w="1286" w:type="dxa"/>
            <w:shd w:val="clear" w:color="000000" w:fill="FFFFFF"/>
            <w:noWrap/>
            <w:vAlign w:val="bottom"/>
          </w:tcPr>
          <w:p w14:paraId="03BBCEF4"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$14,831 </w:t>
            </w:r>
          </w:p>
        </w:tc>
        <w:tc>
          <w:tcPr>
            <w:tcW w:w="1037" w:type="dxa"/>
            <w:shd w:val="clear" w:color="000000" w:fill="FFFFFF"/>
            <w:noWrap/>
            <w:vAlign w:val="bottom"/>
          </w:tcPr>
          <w:p w14:paraId="56FF0F1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15 </w:t>
            </w:r>
          </w:p>
        </w:tc>
        <w:tc>
          <w:tcPr>
            <w:tcW w:w="960" w:type="dxa"/>
            <w:shd w:val="clear" w:color="000000" w:fill="FFFFFF"/>
            <w:noWrap/>
            <w:vAlign w:val="bottom"/>
          </w:tcPr>
          <w:p w14:paraId="11F34C9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21 </w:t>
            </w:r>
          </w:p>
        </w:tc>
        <w:tc>
          <w:tcPr>
            <w:tcW w:w="997" w:type="dxa"/>
            <w:shd w:val="clear" w:color="000000" w:fill="FFFFFF"/>
            <w:noWrap/>
            <w:vAlign w:val="bottom"/>
          </w:tcPr>
          <w:p w14:paraId="3DCDB0CB"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24.71% </w:t>
            </w:r>
          </w:p>
        </w:tc>
      </w:tr>
      <w:tr w:rsidR="00036C20" w:rsidRPr="00036C20" w14:paraId="3E2F7196" w14:textId="77777777" w:rsidTr="00036C20">
        <w:trPr>
          <w:trHeight w:val="300"/>
        </w:trPr>
        <w:tc>
          <w:tcPr>
            <w:tcW w:w="567" w:type="dxa"/>
            <w:shd w:val="clear" w:color="000000" w:fill="FFFFFF"/>
            <w:noWrap/>
            <w:vAlign w:val="bottom"/>
          </w:tcPr>
          <w:p w14:paraId="16213D55"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3</w:t>
            </w:r>
          </w:p>
        </w:tc>
        <w:tc>
          <w:tcPr>
            <w:tcW w:w="2314" w:type="dxa"/>
            <w:shd w:val="clear" w:color="000000" w:fill="FFFFFF"/>
            <w:noWrap/>
            <w:vAlign w:val="bottom"/>
          </w:tcPr>
          <w:p w14:paraId="143AA951"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116</w:t>
            </w:r>
          </w:p>
        </w:tc>
        <w:tc>
          <w:tcPr>
            <w:tcW w:w="1017" w:type="dxa"/>
            <w:shd w:val="clear" w:color="000000" w:fill="FFFFFF"/>
            <w:noWrap/>
            <w:vAlign w:val="bottom"/>
          </w:tcPr>
          <w:p w14:paraId="297E4E3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14 </w:t>
            </w:r>
          </w:p>
        </w:tc>
        <w:tc>
          <w:tcPr>
            <w:tcW w:w="960" w:type="dxa"/>
            <w:shd w:val="clear" w:color="000000" w:fill="FFFFFF"/>
            <w:noWrap/>
            <w:vAlign w:val="bottom"/>
          </w:tcPr>
          <w:p w14:paraId="6D8A3F0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28 </w:t>
            </w:r>
          </w:p>
        </w:tc>
        <w:tc>
          <w:tcPr>
            <w:tcW w:w="1286" w:type="dxa"/>
            <w:shd w:val="clear" w:color="000000" w:fill="FFFFFF"/>
            <w:noWrap/>
            <w:vAlign w:val="bottom"/>
          </w:tcPr>
          <w:p w14:paraId="6BA10D9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$8,832 </w:t>
            </w:r>
          </w:p>
        </w:tc>
        <w:tc>
          <w:tcPr>
            <w:tcW w:w="1037" w:type="dxa"/>
            <w:shd w:val="clear" w:color="000000" w:fill="FFFFFF"/>
            <w:noWrap/>
            <w:vAlign w:val="bottom"/>
          </w:tcPr>
          <w:p w14:paraId="1C9250A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11 </w:t>
            </w:r>
          </w:p>
        </w:tc>
        <w:tc>
          <w:tcPr>
            <w:tcW w:w="960" w:type="dxa"/>
            <w:shd w:val="clear" w:color="000000" w:fill="FFFFFF"/>
            <w:noWrap/>
            <w:vAlign w:val="bottom"/>
          </w:tcPr>
          <w:p w14:paraId="342D4D4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14 </w:t>
            </w:r>
          </w:p>
        </w:tc>
        <w:tc>
          <w:tcPr>
            <w:tcW w:w="997" w:type="dxa"/>
            <w:shd w:val="clear" w:color="000000" w:fill="FFFFFF"/>
            <w:noWrap/>
            <w:vAlign w:val="bottom"/>
          </w:tcPr>
          <w:p w14:paraId="48FA1CCB"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16.47% </w:t>
            </w:r>
          </w:p>
        </w:tc>
      </w:tr>
      <w:tr w:rsidR="00036C20" w:rsidRPr="00036C20" w14:paraId="2EABDAEB" w14:textId="77777777" w:rsidTr="00036C20">
        <w:trPr>
          <w:trHeight w:val="300"/>
        </w:trPr>
        <w:tc>
          <w:tcPr>
            <w:tcW w:w="567" w:type="dxa"/>
            <w:shd w:val="clear" w:color="000000" w:fill="FFFFFF"/>
            <w:noWrap/>
            <w:vAlign w:val="bottom"/>
          </w:tcPr>
          <w:p w14:paraId="3D25592A"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4</w:t>
            </w:r>
          </w:p>
        </w:tc>
        <w:tc>
          <w:tcPr>
            <w:tcW w:w="2314" w:type="dxa"/>
            <w:shd w:val="clear" w:color="000000" w:fill="FFFFFF"/>
            <w:noWrap/>
            <w:vAlign w:val="bottom"/>
          </w:tcPr>
          <w:p w14:paraId="5CDA79A5"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105</w:t>
            </w:r>
          </w:p>
        </w:tc>
        <w:tc>
          <w:tcPr>
            <w:tcW w:w="1017" w:type="dxa"/>
            <w:shd w:val="clear" w:color="000000" w:fill="FFFFFF"/>
            <w:noWrap/>
            <w:vAlign w:val="bottom"/>
          </w:tcPr>
          <w:p w14:paraId="4479A38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10 </w:t>
            </w:r>
          </w:p>
        </w:tc>
        <w:tc>
          <w:tcPr>
            <w:tcW w:w="960" w:type="dxa"/>
            <w:shd w:val="clear" w:color="000000" w:fill="FFFFFF"/>
            <w:noWrap/>
            <w:vAlign w:val="bottom"/>
          </w:tcPr>
          <w:p w14:paraId="0983642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21 </w:t>
            </w:r>
          </w:p>
        </w:tc>
        <w:tc>
          <w:tcPr>
            <w:tcW w:w="1286" w:type="dxa"/>
            <w:shd w:val="clear" w:color="000000" w:fill="FFFFFF"/>
            <w:noWrap/>
            <w:vAlign w:val="bottom"/>
          </w:tcPr>
          <w:p w14:paraId="10A644E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$6,027 </w:t>
            </w:r>
          </w:p>
        </w:tc>
        <w:tc>
          <w:tcPr>
            <w:tcW w:w="1037" w:type="dxa"/>
            <w:shd w:val="clear" w:color="000000" w:fill="FFFFFF"/>
            <w:noWrap/>
            <w:vAlign w:val="bottom"/>
          </w:tcPr>
          <w:p w14:paraId="55ACFFE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68E1C8B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 </w:t>
            </w:r>
          </w:p>
        </w:tc>
        <w:tc>
          <w:tcPr>
            <w:tcW w:w="997" w:type="dxa"/>
            <w:shd w:val="clear" w:color="000000" w:fill="FFFFFF"/>
            <w:noWrap/>
            <w:vAlign w:val="bottom"/>
          </w:tcPr>
          <w:p w14:paraId="38DDC3C3"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11.76% </w:t>
            </w:r>
          </w:p>
        </w:tc>
      </w:tr>
      <w:tr w:rsidR="00036C20" w:rsidRPr="00036C20" w14:paraId="7DA464FA" w14:textId="77777777" w:rsidTr="00036C20">
        <w:trPr>
          <w:trHeight w:val="300"/>
        </w:trPr>
        <w:tc>
          <w:tcPr>
            <w:tcW w:w="567" w:type="dxa"/>
            <w:shd w:val="clear" w:color="000000" w:fill="FFFFFF"/>
            <w:noWrap/>
            <w:vAlign w:val="bottom"/>
          </w:tcPr>
          <w:p w14:paraId="11FA435D"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5</w:t>
            </w:r>
          </w:p>
        </w:tc>
        <w:tc>
          <w:tcPr>
            <w:tcW w:w="2314" w:type="dxa"/>
            <w:shd w:val="clear" w:color="000000" w:fill="FFFFFF"/>
            <w:noWrap/>
            <w:vAlign w:val="bottom"/>
          </w:tcPr>
          <w:p w14:paraId="48F70008"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104</w:t>
            </w:r>
          </w:p>
        </w:tc>
        <w:tc>
          <w:tcPr>
            <w:tcW w:w="1017" w:type="dxa"/>
            <w:shd w:val="clear" w:color="000000" w:fill="FFFFFF"/>
            <w:noWrap/>
            <w:vAlign w:val="bottom"/>
          </w:tcPr>
          <w:p w14:paraId="46C9040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28AD5C1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10 </w:t>
            </w:r>
          </w:p>
        </w:tc>
        <w:tc>
          <w:tcPr>
            <w:tcW w:w="1286" w:type="dxa"/>
            <w:shd w:val="clear" w:color="000000" w:fill="FFFFFF"/>
            <w:noWrap/>
            <w:vAlign w:val="bottom"/>
          </w:tcPr>
          <w:p w14:paraId="1DB1968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$3,205 </w:t>
            </w:r>
          </w:p>
        </w:tc>
        <w:tc>
          <w:tcPr>
            <w:tcW w:w="1037" w:type="dxa"/>
            <w:shd w:val="clear" w:color="000000" w:fill="FFFFFF"/>
            <w:noWrap/>
            <w:vAlign w:val="bottom"/>
          </w:tcPr>
          <w:p w14:paraId="40E85BC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2D16F8D4"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tcPr>
          <w:p w14:paraId="6554B4A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5.88% </w:t>
            </w:r>
          </w:p>
        </w:tc>
      </w:tr>
      <w:tr w:rsidR="00036C20" w:rsidRPr="00036C20" w14:paraId="0749F8AA" w14:textId="77777777" w:rsidTr="00036C20">
        <w:trPr>
          <w:trHeight w:val="300"/>
        </w:trPr>
        <w:tc>
          <w:tcPr>
            <w:tcW w:w="567" w:type="dxa"/>
            <w:shd w:val="clear" w:color="000000" w:fill="FFFFFF"/>
            <w:noWrap/>
            <w:vAlign w:val="bottom"/>
          </w:tcPr>
          <w:p w14:paraId="26C2CEFF"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6</w:t>
            </w:r>
          </w:p>
        </w:tc>
        <w:tc>
          <w:tcPr>
            <w:tcW w:w="2314" w:type="dxa"/>
            <w:shd w:val="clear" w:color="000000" w:fill="FFFFFF"/>
            <w:noWrap/>
            <w:vAlign w:val="bottom"/>
          </w:tcPr>
          <w:p w14:paraId="1A8BD000"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132</w:t>
            </w:r>
          </w:p>
        </w:tc>
        <w:tc>
          <w:tcPr>
            <w:tcW w:w="1017" w:type="dxa"/>
            <w:shd w:val="clear" w:color="000000" w:fill="FFFFFF"/>
            <w:noWrap/>
            <w:vAlign w:val="bottom"/>
          </w:tcPr>
          <w:p w14:paraId="00B74ECB"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13567D7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 </w:t>
            </w:r>
          </w:p>
        </w:tc>
        <w:tc>
          <w:tcPr>
            <w:tcW w:w="1286" w:type="dxa"/>
            <w:shd w:val="clear" w:color="000000" w:fill="FFFFFF"/>
            <w:noWrap/>
            <w:vAlign w:val="bottom"/>
          </w:tcPr>
          <w:p w14:paraId="78180F2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$3,277 </w:t>
            </w:r>
          </w:p>
        </w:tc>
        <w:tc>
          <w:tcPr>
            <w:tcW w:w="1037" w:type="dxa"/>
            <w:shd w:val="clear" w:color="000000" w:fill="FFFFFF"/>
            <w:noWrap/>
            <w:vAlign w:val="bottom"/>
          </w:tcPr>
          <w:p w14:paraId="4E0A371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78F0C02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tcPr>
          <w:p w14:paraId="47078A1B"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4.71% </w:t>
            </w:r>
          </w:p>
        </w:tc>
      </w:tr>
      <w:tr w:rsidR="00036C20" w:rsidRPr="00036C20" w14:paraId="279B27EF" w14:textId="77777777" w:rsidTr="00036C20">
        <w:trPr>
          <w:trHeight w:val="300"/>
        </w:trPr>
        <w:tc>
          <w:tcPr>
            <w:tcW w:w="567" w:type="dxa"/>
            <w:shd w:val="clear" w:color="000000" w:fill="FFFFFF"/>
            <w:noWrap/>
            <w:vAlign w:val="bottom"/>
          </w:tcPr>
          <w:p w14:paraId="3BD556D8"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7</w:t>
            </w:r>
          </w:p>
        </w:tc>
        <w:tc>
          <w:tcPr>
            <w:tcW w:w="2314" w:type="dxa"/>
            <w:shd w:val="clear" w:color="000000" w:fill="FFFFFF"/>
            <w:noWrap/>
            <w:vAlign w:val="bottom"/>
          </w:tcPr>
          <w:p w14:paraId="02716215"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61109</w:t>
            </w:r>
          </w:p>
        </w:tc>
        <w:tc>
          <w:tcPr>
            <w:tcW w:w="1017" w:type="dxa"/>
            <w:shd w:val="clear" w:color="000000" w:fill="FFFFFF"/>
            <w:noWrap/>
            <w:vAlign w:val="bottom"/>
          </w:tcPr>
          <w:p w14:paraId="52CC694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06F0156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1286" w:type="dxa"/>
            <w:shd w:val="clear" w:color="000000" w:fill="FFFFFF"/>
            <w:noWrap/>
            <w:vAlign w:val="bottom"/>
          </w:tcPr>
          <w:p w14:paraId="4372C36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$1,619 </w:t>
            </w:r>
          </w:p>
        </w:tc>
        <w:tc>
          <w:tcPr>
            <w:tcW w:w="1037" w:type="dxa"/>
            <w:shd w:val="clear" w:color="000000" w:fill="FFFFFF"/>
            <w:noWrap/>
            <w:vAlign w:val="bottom"/>
          </w:tcPr>
          <w:p w14:paraId="24BF00D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4E90EBD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tcPr>
          <w:p w14:paraId="28B44A82"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2.35% </w:t>
            </w:r>
          </w:p>
        </w:tc>
      </w:tr>
      <w:tr w:rsidR="00036C20" w:rsidRPr="00036C20" w14:paraId="5C46CF50" w14:textId="77777777" w:rsidTr="00036C20">
        <w:trPr>
          <w:trHeight w:val="300"/>
        </w:trPr>
        <w:tc>
          <w:tcPr>
            <w:tcW w:w="567" w:type="dxa"/>
            <w:shd w:val="clear" w:color="000000" w:fill="FFFFFF"/>
            <w:noWrap/>
            <w:vAlign w:val="bottom"/>
          </w:tcPr>
          <w:p w14:paraId="0657B2FA"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8</w:t>
            </w:r>
          </w:p>
        </w:tc>
        <w:tc>
          <w:tcPr>
            <w:tcW w:w="2314" w:type="dxa"/>
            <w:shd w:val="clear" w:color="000000" w:fill="FFFFFF"/>
            <w:noWrap/>
            <w:vAlign w:val="bottom"/>
          </w:tcPr>
          <w:p w14:paraId="6D79C84E"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105, 34527</w:t>
            </w:r>
          </w:p>
        </w:tc>
        <w:tc>
          <w:tcPr>
            <w:tcW w:w="1017" w:type="dxa"/>
            <w:shd w:val="clear" w:color="000000" w:fill="FFFFFF"/>
            <w:noWrap/>
            <w:vAlign w:val="bottom"/>
          </w:tcPr>
          <w:p w14:paraId="74064DF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30EA2A0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1286" w:type="dxa"/>
            <w:shd w:val="clear" w:color="000000" w:fill="FFFFFF"/>
            <w:noWrap/>
            <w:vAlign w:val="bottom"/>
          </w:tcPr>
          <w:p w14:paraId="225BA0B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$874 </w:t>
            </w:r>
          </w:p>
        </w:tc>
        <w:tc>
          <w:tcPr>
            <w:tcW w:w="1037" w:type="dxa"/>
            <w:shd w:val="clear" w:color="000000" w:fill="FFFFFF"/>
            <w:noWrap/>
            <w:vAlign w:val="bottom"/>
          </w:tcPr>
          <w:p w14:paraId="30317994"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7511E83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tcPr>
          <w:p w14:paraId="4B06BB2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1.18% </w:t>
            </w:r>
          </w:p>
        </w:tc>
      </w:tr>
      <w:tr w:rsidR="00036C20" w:rsidRPr="00036C20" w14:paraId="5B65C074" w14:textId="77777777" w:rsidTr="00036C20">
        <w:trPr>
          <w:trHeight w:val="300"/>
        </w:trPr>
        <w:tc>
          <w:tcPr>
            <w:tcW w:w="567" w:type="dxa"/>
            <w:shd w:val="clear" w:color="000000" w:fill="FFFFFF"/>
            <w:noWrap/>
            <w:vAlign w:val="bottom"/>
          </w:tcPr>
          <w:p w14:paraId="238C0B7A"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9</w:t>
            </w:r>
          </w:p>
        </w:tc>
        <w:tc>
          <w:tcPr>
            <w:tcW w:w="2314" w:type="dxa"/>
            <w:shd w:val="clear" w:color="000000" w:fill="FFFFFF"/>
            <w:noWrap/>
            <w:vAlign w:val="bottom"/>
          </w:tcPr>
          <w:p w14:paraId="4EA111E0"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30473</w:t>
            </w:r>
          </w:p>
        </w:tc>
        <w:tc>
          <w:tcPr>
            <w:tcW w:w="1017" w:type="dxa"/>
            <w:shd w:val="clear" w:color="000000" w:fill="FFFFFF"/>
            <w:noWrap/>
            <w:vAlign w:val="bottom"/>
          </w:tcPr>
          <w:p w14:paraId="14378DF4"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324D795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1286" w:type="dxa"/>
            <w:shd w:val="clear" w:color="000000" w:fill="FFFFFF"/>
            <w:noWrap/>
            <w:vAlign w:val="bottom"/>
          </w:tcPr>
          <w:p w14:paraId="6136000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$644 </w:t>
            </w:r>
          </w:p>
        </w:tc>
        <w:tc>
          <w:tcPr>
            <w:tcW w:w="1037" w:type="dxa"/>
            <w:shd w:val="clear" w:color="000000" w:fill="FFFFFF"/>
            <w:noWrap/>
            <w:vAlign w:val="bottom"/>
          </w:tcPr>
          <w:p w14:paraId="6FAC40E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3E42730C"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tcPr>
          <w:p w14:paraId="164475B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1.18% </w:t>
            </w:r>
          </w:p>
        </w:tc>
      </w:tr>
      <w:tr w:rsidR="00036C20" w:rsidRPr="00036C20" w14:paraId="32840054" w14:textId="77777777" w:rsidTr="00036C20">
        <w:trPr>
          <w:trHeight w:val="300"/>
        </w:trPr>
        <w:tc>
          <w:tcPr>
            <w:tcW w:w="567" w:type="dxa"/>
            <w:shd w:val="clear" w:color="000000" w:fill="FFFFFF"/>
            <w:noWrap/>
            <w:vAlign w:val="bottom"/>
          </w:tcPr>
          <w:p w14:paraId="69951873"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10</w:t>
            </w:r>
          </w:p>
        </w:tc>
        <w:tc>
          <w:tcPr>
            <w:tcW w:w="2314" w:type="dxa"/>
            <w:shd w:val="clear" w:color="000000" w:fill="FFFFFF"/>
            <w:noWrap/>
            <w:vAlign w:val="bottom"/>
          </w:tcPr>
          <w:p w14:paraId="17D7ECB7"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32135</w:t>
            </w:r>
          </w:p>
        </w:tc>
        <w:tc>
          <w:tcPr>
            <w:tcW w:w="1017" w:type="dxa"/>
            <w:shd w:val="clear" w:color="000000" w:fill="FFFFFF"/>
            <w:noWrap/>
            <w:vAlign w:val="bottom"/>
          </w:tcPr>
          <w:p w14:paraId="51A0E26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241A4C8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1286" w:type="dxa"/>
            <w:shd w:val="clear" w:color="000000" w:fill="FFFFFF"/>
            <w:noWrap/>
            <w:vAlign w:val="bottom"/>
          </w:tcPr>
          <w:p w14:paraId="1FF7B3D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$589 </w:t>
            </w:r>
          </w:p>
        </w:tc>
        <w:tc>
          <w:tcPr>
            <w:tcW w:w="1037" w:type="dxa"/>
            <w:shd w:val="clear" w:color="000000" w:fill="FFFFFF"/>
            <w:noWrap/>
            <w:vAlign w:val="bottom"/>
          </w:tcPr>
          <w:p w14:paraId="7CBAE0D2"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284FCE74"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tcPr>
          <w:p w14:paraId="18AFFCD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1.18% </w:t>
            </w:r>
          </w:p>
        </w:tc>
      </w:tr>
    </w:tbl>
    <w:p w14:paraId="423E6B57" w14:textId="77777777" w:rsidR="00036C20" w:rsidRDefault="00036C20" w:rsidP="00036C20">
      <w:pPr>
        <w:keepNext/>
        <w:spacing w:before="240" w:after="60"/>
        <w:outlineLvl w:val="4"/>
        <w:rPr>
          <w:b/>
          <w:bCs/>
          <w:iCs/>
          <w:sz w:val="18"/>
          <w:szCs w:val="26"/>
          <w:lang w:eastAsia="en-US"/>
        </w:rPr>
      </w:pPr>
      <w:r>
        <w:rPr>
          <w:b/>
          <w:bCs/>
          <w:iCs/>
          <w:sz w:val="18"/>
          <w:szCs w:val="26"/>
          <w:lang w:eastAsia="en-US"/>
        </w:rPr>
        <w:br w:type="page"/>
      </w:r>
    </w:p>
    <w:p w14:paraId="1701BB90" w14:textId="5A1DBF3D" w:rsidR="00036C20" w:rsidRPr="00036C20" w:rsidRDefault="00036C20" w:rsidP="008430A7">
      <w:pPr>
        <w:pStyle w:val="Heading3"/>
        <w:rPr>
          <w:sz w:val="14"/>
          <w:lang w:eastAsia="en-US"/>
        </w:rPr>
      </w:pPr>
      <w:r w:rsidRPr="00036C20">
        <w:rPr>
          <w:lang w:eastAsia="en-US"/>
        </w:rPr>
        <w:lastRenderedPageBreak/>
        <w:t>Table 9: Top 10 instances of co-claiming with MBS item 32023 in 2016-17 (to 31 Mar 17)</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10 instances of co-claiming with item 32023 in 2016-17"/>
        <w:tblDescription w:val="Figures show that item 32023 is co-claimed with specialist consultation items in a majority of cases"/>
      </w:tblPr>
      <w:tblGrid>
        <w:gridCol w:w="567"/>
        <w:gridCol w:w="2314"/>
        <w:gridCol w:w="1017"/>
        <w:gridCol w:w="960"/>
        <w:gridCol w:w="1286"/>
        <w:gridCol w:w="1037"/>
        <w:gridCol w:w="960"/>
        <w:gridCol w:w="997"/>
      </w:tblGrid>
      <w:tr w:rsidR="00036C20" w:rsidRPr="00036C20" w14:paraId="5BC8A6A3" w14:textId="77777777" w:rsidTr="00036C20">
        <w:trPr>
          <w:trHeight w:val="721"/>
        </w:trPr>
        <w:tc>
          <w:tcPr>
            <w:tcW w:w="567" w:type="dxa"/>
            <w:shd w:val="clear" w:color="auto" w:fill="548DD4" w:themeFill="text2" w:themeFillTint="99"/>
            <w:vAlign w:val="center"/>
          </w:tcPr>
          <w:p w14:paraId="38853AC3"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w:t>
            </w:r>
          </w:p>
        </w:tc>
        <w:tc>
          <w:tcPr>
            <w:tcW w:w="2314" w:type="dxa"/>
            <w:shd w:val="clear" w:color="auto" w:fill="548DD4" w:themeFill="text2" w:themeFillTint="99"/>
            <w:vAlign w:val="center"/>
          </w:tcPr>
          <w:p w14:paraId="6A2C0E33"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Items</w:t>
            </w:r>
          </w:p>
        </w:tc>
        <w:tc>
          <w:tcPr>
            <w:tcW w:w="1017" w:type="dxa"/>
            <w:shd w:val="clear" w:color="auto" w:fill="548DD4" w:themeFill="text2" w:themeFillTint="99"/>
            <w:vAlign w:val="center"/>
          </w:tcPr>
          <w:p w14:paraId="37299FAE"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Episodes</w:t>
            </w:r>
          </w:p>
        </w:tc>
        <w:tc>
          <w:tcPr>
            <w:tcW w:w="960" w:type="dxa"/>
            <w:shd w:val="clear" w:color="auto" w:fill="548DD4" w:themeFill="text2" w:themeFillTint="99"/>
            <w:vAlign w:val="center"/>
          </w:tcPr>
          <w:p w14:paraId="52DFB84B"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Services</w:t>
            </w:r>
          </w:p>
        </w:tc>
        <w:tc>
          <w:tcPr>
            <w:tcW w:w="1286" w:type="dxa"/>
            <w:shd w:val="clear" w:color="auto" w:fill="548DD4" w:themeFill="text2" w:themeFillTint="99"/>
            <w:vAlign w:val="center"/>
          </w:tcPr>
          <w:p w14:paraId="6BADE62B"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Schedule Fee for combination</w:t>
            </w:r>
          </w:p>
        </w:tc>
        <w:tc>
          <w:tcPr>
            <w:tcW w:w="1037" w:type="dxa"/>
            <w:shd w:val="clear" w:color="auto" w:fill="548DD4" w:themeFill="text2" w:themeFillTint="99"/>
            <w:vAlign w:val="center"/>
          </w:tcPr>
          <w:p w14:paraId="0963E00F"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Number of providers</w:t>
            </w:r>
          </w:p>
        </w:tc>
        <w:tc>
          <w:tcPr>
            <w:tcW w:w="960" w:type="dxa"/>
            <w:shd w:val="clear" w:color="auto" w:fill="548DD4" w:themeFill="text2" w:themeFillTint="99"/>
            <w:vAlign w:val="center"/>
          </w:tcPr>
          <w:p w14:paraId="57974A3B"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Number of patients</w:t>
            </w:r>
          </w:p>
        </w:tc>
        <w:tc>
          <w:tcPr>
            <w:tcW w:w="997" w:type="dxa"/>
            <w:shd w:val="clear" w:color="auto" w:fill="548DD4" w:themeFill="text2" w:themeFillTint="99"/>
            <w:vAlign w:val="center"/>
          </w:tcPr>
          <w:p w14:paraId="6207AEC5" w14:textId="77777777" w:rsidR="00036C20" w:rsidRPr="00036C20" w:rsidRDefault="00036C20" w:rsidP="00036C20">
            <w:pPr>
              <w:jc w:val="center"/>
              <w:rPr>
                <w:rFonts w:ascii="Arial" w:hAnsi="Arial" w:cs="Arial"/>
                <w:b/>
                <w:bCs/>
                <w:color w:val="FFFFFF"/>
                <w:sz w:val="18"/>
                <w:szCs w:val="18"/>
                <w:lang w:eastAsia="en-US"/>
              </w:rPr>
            </w:pPr>
            <w:r w:rsidRPr="00036C20">
              <w:rPr>
                <w:rFonts w:ascii="Arial" w:hAnsi="Arial" w:cs="Arial"/>
                <w:b/>
                <w:bCs/>
                <w:color w:val="FFFFFF"/>
                <w:sz w:val="18"/>
                <w:szCs w:val="18"/>
                <w:lang w:eastAsia="en-US"/>
              </w:rPr>
              <w:t>% of episodes</w:t>
            </w:r>
          </w:p>
        </w:tc>
      </w:tr>
      <w:tr w:rsidR="00036C20" w:rsidRPr="00036C20" w14:paraId="70B6BDCC" w14:textId="77777777" w:rsidTr="00036C20">
        <w:trPr>
          <w:trHeight w:val="300"/>
        </w:trPr>
        <w:tc>
          <w:tcPr>
            <w:tcW w:w="567" w:type="dxa"/>
            <w:shd w:val="clear" w:color="000000" w:fill="FFFFFF"/>
            <w:noWrap/>
            <w:vAlign w:val="bottom"/>
          </w:tcPr>
          <w:p w14:paraId="3BADAAB5"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1</w:t>
            </w:r>
          </w:p>
        </w:tc>
        <w:tc>
          <w:tcPr>
            <w:tcW w:w="2314" w:type="dxa"/>
            <w:shd w:val="clear" w:color="000000" w:fill="FFFFFF"/>
            <w:noWrap/>
            <w:vAlign w:val="bottom"/>
          </w:tcPr>
          <w:p w14:paraId="107AC663" w14:textId="77777777" w:rsidR="00036C20" w:rsidRPr="00036C20" w:rsidRDefault="00036C20" w:rsidP="00036C20">
            <w:pPr>
              <w:rPr>
                <w:rFonts w:ascii="Arial" w:hAnsi="Arial" w:cs="Arial"/>
                <w:b/>
                <w:color w:val="000000"/>
                <w:sz w:val="18"/>
                <w:szCs w:val="18"/>
                <w:lang w:eastAsia="en-US"/>
              </w:rPr>
            </w:pPr>
            <w:r w:rsidRPr="00036C20">
              <w:rPr>
                <w:rFonts w:ascii="Arial" w:hAnsi="Arial" w:cs="Arial"/>
                <w:b/>
                <w:color w:val="000000"/>
                <w:sz w:val="18"/>
                <w:szCs w:val="18"/>
                <w:lang w:eastAsia="en-US"/>
              </w:rPr>
              <w:t>32023</w:t>
            </w:r>
          </w:p>
        </w:tc>
        <w:tc>
          <w:tcPr>
            <w:tcW w:w="1017" w:type="dxa"/>
            <w:shd w:val="clear" w:color="000000" w:fill="FFFFFF"/>
            <w:noWrap/>
            <w:vAlign w:val="bottom"/>
          </w:tcPr>
          <w:p w14:paraId="51197544"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24 </w:t>
            </w:r>
          </w:p>
        </w:tc>
        <w:tc>
          <w:tcPr>
            <w:tcW w:w="960" w:type="dxa"/>
            <w:shd w:val="clear" w:color="000000" w:fill="FFFFFF"/>
            <w:noWrap/>
            <w:vAlign w:val="bottom"/>
          </w:tcPr>
          <w:p w14:paraId="58B49F7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24 </w:t>
            </w:r>
          </w:p>
        </w:tc>
        <w:tc>
          <w:tcPr>
            <w:tcW w:w="1286" w:type="dxa"/>
            <w:shd w:val="clear" w:color="000000" w:fill="FFFFFF"/>
            <w:noWrap/>
            <w:vAlign w:val="bottom"/>
          </w:tcPr>
          <w:p w14:paraId="2456C2C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$13,328 </w:t>
            </w:r>
          </w:p>
        </w:tc>
        <w:tc>
          <w:tcPr>
            <w:tcW w:w="1037" w:type="dxa"/>
            <w:shd w:val="clear" w:color="000000" w:fill="FFFFFF"/>
            <w:noWrap/>
            <w:vAlign w:val="bottom"/>
          </w:tcPr>
          <w:p w14:paraId="2F7AC2E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17 </w:t>
            </w:r>
          </w:p>
        </w:tc>
        <w:tc>
          <w:tcPr>
            <w:tcW w:w="960" w:type="dxa"/>
            <w:shd w:val="clear" w:color="000000" w:fill="FFFFFF"/>
            <w:noWrap/>
            <w:vAlign w:val="bottom"/>
          </w:tcPr>
          <w:p w14:paraId="1394E341"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23 </w:t>
            </w:r>
          </w:p>
        </w:tc>
        <w:tc>
          <w:tcPr>
            <w:tcW w:w="997" w:type="dxa"/>
            <w:shd w:val="clear" w:color="000000" w:fill="FFFFFF"/>
            <w:noWrap/>
            <w:vAlign w:val="bottom"/>
          </w:tcPr>
          <w:p w14:paraId="51DEF05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33.80% </w:t>
            </w:r>
          </w:p>
        </w:tc>
      </w:tr>
      <w:tr w:rsidR="00036C20" w:rsidRPr="00036C20" w14:paraId="69263CDE" w14:textId="77777777" w:rsidTr="00036C20">
        <w:trPr>
          <w:trHeight w:val="300"/>
        </w:trPr>
        <w:tc>
          <w:tcPr>
            <w:tcW w:w="567" w:type="dxa"/>
            <w:shd w:val="clear" w:color="000000" w:fill="FFFFFF"/>
            <w:noWrap/>
            <w:vAlign w:val="bottom"/>
          </w:tcPr>
          <w:p w14:paraId="2D9C41E8"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2</w:t>
            </w:r>
          </w:p>
        </w:tc>
        <w:tc>
          <w:tcPr>
            <w:tcW w:w="2314" w:type="dxa"/>
            <w:shd w:val="clear" w:color="000000" w:fill="FFFFFF"/>
            <w:noWrap/>
            <w:vAlign w:val="bottom"/>
          </w:tcPr>
          <w:p w14:paraId="5E99326D"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110</w:t>
            </w:r>
          </w:p>
        </w:tc>
        <w:tc>
          <w:tcPr>
            <w:tcW w:w="1017" w:type="dxa"/>
            <w:shd w:val="clear" w:color="000000" w:fill="FFFFFF"/>
            <w:noWrap/>
            <w:vAlign w:val="bottom"/>
          </w:tcPr>
          <w:p w14:paraId="363074F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12 </w:t>
            </w:r>
          </w:p>
        </w:tc>
        <w:tc>
          <w:tcPr>
            <w:tcW w:w="960" w:type="dxa"/>
            <w:shd w:val="clear" w:color="000000" w:fill="FFFFFF"/>
            <w:noWrap/>
            <w:vAlign w:val="bottom"/>
          </w:tcPr>
          <w:p w14:paraId="7C02DFE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24 </w:t>
            </w:r>
          </w:p>
        </w:tc>
        <w:tc>
          <w:tcPr>
            <w:tcW w:w="1286" w:type="dxa"/>
            <w:shd w:val="clear" w:color="000000" w:fill="FFFFFF"/>
            <w:noWrap/>
            <w:vAlign w:val="bottom"/>
          </w:tcPr>
          <w:p w14:paraId="155443B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$8,475 </w:t>
            </w:r>
          </w:p>
        </w:tc>
        <w:tc>
          <w:tcPr>
            <w:tcW w:w="1037" w:type="dxa"/>
            <w:shd w:val="clear" w:color="000000" w:fill="FFFFFF"/>
            <w:noWrap/>
            <w:vAlign w:val="bottom"/>
          </w:tcPr>
          <w:p w14:paraId="5CB57534"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 </w:t>
            </w:r>
          </w:p>
        </w:tc>
        <w:tc>
          <w:tcPr>
            <w:tcW w:w="960" w:type="dxa"/>
            <w:shd w:val="clear" w:color="000000" w:fill="FFFFFF"/>
            <w:noWrap/>
            <w:vAlign w:val="bottom"/>
          </w:tcPr>
          <w:p w14:paraId="385E238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12 </w:t>
            </w:r>
          </w:p>
        </w:tc>
        <w:tc>
          <w:tcPr>
            <w:tcW w:w="997" w:type="dxa"/>
            <w:shd w:val="clear" w:color="000000" w:fill="FFFFFF"/>
            <w:noWrap/>
            <w:vAlign w:val="bottom"/>
          </w:tcPr>
          <w:p w14:paraId="0E86EC5C"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16.90% </w:t>
            </w:r>
          </w:p>
        </w:tc>
      </w:tr>
      <w:tr w:rsidR="00036C20" w:rsidRPr="00036C20" w14:paraId="7874022D" w14:textId="77777777" w:rsidTr="00036C20">
        <w:trPr>
          <w:trHeight w:val="300"/>
        </w:trPr>
        <w:tc>
          <w:tcPr>
            <w:tcW w:w="567" w:type="dxa"/>
            <w:shd w:val="clear" w:color="000000" w:fill="FFFFFF"/>
            <w:noWrap/>
            <w:vAlign w:val="bottom"/>
          </w:tcPr>
          <w:p w14:paraId="7AF9FA5E"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3</w:t>
            </w:r>
          </w:p>
        </w:tc>
        <w:tc>
          <w:tcPr>
            <w:tcW w:w="2314" w:type="dxa"/>
            <w:shd w:val="clear" w:color="000000" w:fill="FFFFFF"/>
            <w:noWrap/>
            <w:vAlign w:val="bottom"/>
          </w:tcPr>
          <w:p w14:paraId="6306F3AA"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105</w:t>
            </w:r>
          </w:p>
        </w:tc>
        <w:tc>
          <w:tcPr>
            <w:tcW w:w="1017" w:type="dxa"/>
            <w:shd w:val="clear" w:color="000000" w:fill="FFFFFF"/>
            <w:noWrap/>
            <w:vAlign w:val="bottom"/>
          </w:tcPr>
          <w:p w14:paraId="1CBEA2D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10 </w:t>
            </w:r>
          </w:p>
        </w:tc>
        <w:tc>
          <w:tcPr>
            <w:tcW w:w="960" w:type="dxa"/>
            <w:shd w:val="clear" w:color="000000" w:fill="FFFFFF"/>
            <w:noWrap/>
            <w:vAlign w:val="bottom"/>
          </w:tcPr>
          <w:p w14:paraId="5879E30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20 </w:t>
            </w:r>
          </w:p>
        </w:tc>
        <w:tc>
          <w:tcPr>
            <w:tcW w:w="1286" w:type="dxa"/>
            <w:shd w:val="clear" w:color="000000" w:fill="FFFFFF"/>
            <w:noWrap/>
            <w:vAlign w:val="bottom"/>
          </w:tcPr>
          <w:p w14:paraId="570763F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$5,984 </w:t>
            </w:r>
          </w:p>
        </w:tc>
        <w:tc>
          <w:tcPr>
            <w:tcW w:w="1037" w:type="dxa"/>
            <w:shd w:val="clear" w:color="000000" w:fill="FFFFFF"/>
            <w:noWrap/>
            <w:vAlign w:val="bottom"/>
          </w:tcPr>
          <w:p w14:paraId="51933EE4"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 </w:t>
            </w:r>
          </w:p>
        </w:tc>
        <w:tc>
          <w:tcPr>
            <w:tcW w:w="960" w:type="dxa"/>
            <w:shd w:val="clear" w:color="000000" w:fill="FFFFFF"/>
            <w:noWrap/>
            <w:vAlign w:val="bottom"/>
          </w:tcPr>
          <w:p w14:paraId="18E09F33"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 </w:t>
            </w:r>
          </w:p>
        </w:tc>
        <w:tc>
          <w:tcPr>
            <w:tcW w:w="997" w:type="dxa"/>
            <w:shd w:val="clear" w:color="000000" w:fill="FFFFFF"/>
            <w:noWrap/>
            <w:vAlign w:val="bottom"/>
          </w:tcPr>
          <w:p w14:paraId="7C48305B"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14.08% </w:t>
            </w:r>
          </w:p>
        </w:tc>
      </w:tr>
      <w:tr w:rsidR="00036C20" w:rsidRPr="00036C20" w14:paraId="0F06FAB9" w14:textId="77777777" w:rsidTr="00036C20">
        <w:trPr>
          <w:trHeight w:val="300"/>
        </w:trPr>
        <w:tc>
          <w:tcPr>
            <w:tcW w:w="567" w:type="dxa"/>
            <w:shd w:val="clear" w:color="000000" w:fill="FFFFFF"/>
            <w:noWrap/>
            <w:vAlign w:val="bottom"/>
          </w:tcPr>
          <w:p w14:paraId="15846093"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4</w:t>
            </w:r>
          </w:p>
        </w:tc>
        <w:tc>
          <w:tcPr>
            <w:tcW w:w="2314" w:type="dxa"/>
            <w:shd w:val="clear" w:color="000000" w:fill="FFFFFF"/>
            <w:noWrap/>
            <w:vAlign w:val="bottom"/>
          </w:tcPr>
          <w:p w14:paraId="1279B45B"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116</w:t>
            </w:r>
          </w:p>
        </w:tc>
        <w:tc>
          <w:tcPr>
            <w:tcW w:w="1017" w:type="dxa"/>
            <w:shd w:val="clear" w:color="000000" w:fill="FFFFFF"/>
            <w:noWrap/>
            <w:vAlign w:val="bottom"/>
          </w:tcPr>
          <w:p w14:paraId="6208CF7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 </w:t>
            </w:r>
          </w:p>
        </w:tc>
        <w:tc>
          <w:tcPr>
            <w:tcW w:w="960" w:type="dxa"/>
            <w:shd w:val="clear" w:color="000000" w:fill="FFFFFF"/>
            <w:noWrap/>
            <w:vAlign w:val="bottom"/>
          </w:tcPr>
          <w:p w14:paraId="070AE75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18 </w:t>
            </w:r>
          </w:p>
        </w:tc>
        <w:tc>
          <w:tcPr>
            <w:tcW w:w="1286" w:type="dxa"/>
            <w:shd w:val="clear" w:color="000000" w:fill="FFFFFF"/>
            <w:noWrap/>
            <w:vAlign w:val="bottom"/>
          </w:tcPr>
          <w:p w14:paraId="485A8EE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$5,678 </w:t>
            </w:r>
          </w:p>
        </w:tc>
        <w:tc>
          <w:tcPr>
            <w:tcW w:w="1037" w:type="dxa"/>
            <w:shd w:val="clear" w:color="000000" w:fill="FFFFFF"/>
            <w:noWrap/>
            <w:vAlign w:val="bottom"/>
          </w:tcPr>
          <w:p w14:paraId="552A50D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 </w:t>
            </w:r>
          </w:p>
        </w:tc>
        <w:tc>
          <w:tcPr>
            <w:tcW w:w="960" w:type="dxa"/>
            <w:shd w:val="clear" w:color="000000" w:fill="FFFFFF"/>
            <w:noWrap/>
            <w:vAlign w:val="bottom"/>
          </w:tcPr>
          <w:p w14:paraId="536C6F7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9 </w:t>
            </w:r>
          </w:p>
        </w:tc>
        <w:tc>
          <w:tcPr>
            <w:tcW w:w="997" w:type="dxa"/>
            <w:shd w:val="clear" w:color="000000" w:fill="FFFFFF"/>
            <w:noWrap/>
            <w:vAlign w:val="bottom"/>
          </w:tcPr>
          <w:p w14:paraId="01FE2CB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12.68% </w:t>
            </w:r>
          </w:p>
        </w:tc>
      </w:tr>
      <w:tr w:rsidR="00036C20" w:rsidRPr="00036C20" w14:paraId="0ECD7088" w14:textId="77777777" w:rsidTr="00036C20">
        <w:trPr>
          <w:trHeight w:val="300"/>
        </w:trPr>
        <w:tc>
          <w:tcPr>
            <w:tcW w:w="567" w:type="dxa"/>
            <w:shd w:val="clear" w:color="000000" w:fill="FFFFFF"/>
            <w:noWrap/>
            <w:vAlign w:val="bottom"/>
          </w:tcPr>
          <w:p w14:paraId="19CD3732"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5</w:t>
            </w:r>
          </w:p>
        </w:tc>
        <w:tc>
          <w:tcPr>
            <w:tcW w:w="2314" w:type="dxa"/>
            <w:shd w:val="clear" w:color="000000" w:fill="FFFFFF"/>
            <w:noWrap/>
            <w:vAlign w:val="bottom"/>
          </w:tcPr>
          <w:p w14:paraId="70CB352E"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104</w:t>
            </w:r>
          </w:p>
        </w:tc>
        <w:tc>
          <w:tcPr>
            <w:tcW w:w="1017" w:type="dxa"/>
            <w:shd w:val="clear" w:color="000000" w:fill="FFFFFF"/>
            <w:noWrap/>
            <w:vAlign w:val="bottom"/>
          </w:tcPr>
          <w:p w14:paraId="3EC41282"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 </w:t>
            </w:r>
          </w:p>
        </w:tc>
        <w:tc>
          <w:tcPr>
            <w:tcW w:w="960" w:type="dxa"/>
            <w:shd w:val="clear" w:color="000000" w:fill="FFFFFF"/>
            <w:noWrap/>
            <w:vAlign w:val="bottom"/>
          </w:tcPr>
          <w:p w14:paraId="0306D52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16 </w:t>
            </w:r>
          </w:p>
        </w:tc>
        <w:tc>
          <w:tcPr>
            <w:tcW w:w="1286" w:type="dxa"/>
            <w:shd w:val="clear" w:color="000000" w:fill="FFFFFF"/>
            <w:noWrap/>
            <w:vAlign w:val="bottom"/>
          </w:tcPr>
          <w:p w14:paraId="382CF1EB"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$5,127 </w:t>
            </w:r>
          </w:p>
        </w:tc>
        <w:tc>
          <w:tcPr>
            <w:tcW w:w="1037" w:type="dxa"/>
            <w:shd w:val="clear" w:color="000000" w:fill="FFFFFF"/>
            <w:noWrap/>
            <w:vAlign w:val="bottom"/>
          </w:tcPr>
          <w:p w14:paraId="2F49A4A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373E9B2C"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 </w:t>
            </w:r>
          </w:p>
        </w:tc>
        <w:tc>
          <w:tcPr>
            <w:tcW w:w="997" w:type="dxa"/>
            <w:shd w:val="clear" w:color="000000" w:fill="FFFFFF"/>
            <w:noWrap/>
            <w:vAlign w:val="bottom"/>
          </w:tcPr>
          <w:p w14:paraId="77D3AE2A"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11.27% </w:t>
            </w:r>
          </w:p>
        </w:tc>
      </w:tr>
      <w:tr w:rsidR="00036C20" w:rsidRPr="00036C20" w14:paraId="4C39091D" w14:textId="77777777" w:rsidTr="00036C20">
        <w:trPr>
          <w:trHeight w:val="300"/>
        </w:trPr>
        <w:tc>
          <w:tcPr>
            <w:tcW w:w="567" w:type="dxa"/>
            <w:shd w:val="clear" w:color="000000" w:fill="FFFFFF"/>
            <w:noWrap/>
            <w:vAlign w:val="bottom"/>
          </w:tcPr>
          <w:p w14:paraId="7A62BAD7"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6</w:t>
            </w:r>
          </w:p>
        </w:tc>
        <w:tc>
          <w:tcPr>
            <w:tcW w:w="2314" w:type="dxa"/>
            <w:shd w:val="clear" w:color="000000" w:fill="FFFFFF"/>
            <w:noWrap/>
            <w:vAlign w:val="bottom"/>
          </w:tcPr>
          <w:p w14:paraId="38A6B51B"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105, 30473</w:t>
            </w:r>
          </w:p>
        </w:tc>
        <w:tc>
          <w:tcPr>
            <w:tcW w:w="1017" w:type="dxa"/>
            <w:shd w:val="clear" w:color="000000" w:fill="FFFFFF"/>
            <w:noWrap/>
            <w:vAlign w:val="bottom"/>
          </w:tcPr>
          <w:p w14:paraId="6E7E8EF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083FA8D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1286" w:type="dxa"/>
            <w:shd w:val="clear" w:color="000000" w:fill="FFFFFF"/>
            <w:noWrap/>
            <w:vAlign w:val="bottom"/>
          </w:tcPr>
          <w:p w14:paraId="0D3D3DC3"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$687 </w:t>
            </w:r>
          </w:p>
        </w:tc>
        <w:tc>
          <w:tcPr>
            <w:tcW w:w="1037" w:type="dxa"/>
            <w:shd w:val="clear" w:color="000000" w:fill="FFFFFF"/>
            <w:noWrap/>
            <w:vAlign w:val="bottom"/>
          </w:tcPr>
          <w:p w14:paraId="01772CC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53FD4D9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tcPr>
          <w:p w14:paraId="37978E4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1.41% </w:t>
            </w:r>
          </w:p>
        </w:tc>
      </w:tr>
      <w:tr w:rsidR="00036C20" w:rsidRPr="00036C20" w14:paraId="489AE39D" w14:textId="77777777" w:rsidTr="00036C20">
        <w:trPr>
          <w:trHeight w:val="300"/>
        </w:trPr>
        <w:tc>
          <w:tcPr>
            <w:tcW w:w="567" w:type="dxa"/>
            <w:shd w:val="clear" w:color="000000" w:fill="FFFFFF"/>
            <w:noWrap/>
            <w:vAlign w:val="bottom"/>
          </w:tcPr>
          <w:p w14:paraId="431F6B89"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7</w:t>
            </w:r>
          </w:p>
        </w:tc>
        <w:tc>
          <w:tcPr>
            <w:tcW w:w="2314" w:type="dxa"/>
            <w:shd w:val="clear" w:color="000000" w:fill="FFFFFF"/>
            <w:noWrap/>
            <w:vAlign w:val="bottom"/>
          </w:tcPr>
          <w:p w14:paraId="276D43FB"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32030, 35720</w:t>
            </w:r>
          </w:p>
        </w:tc>
        <w:tc>
          <w:tcPr>
            <w:tcW w:w="1017" w:type="dxa"/>
            <w:shd w:val="clear" w:color="000000" w:fill="FFFFFF"/>
            <w:noWrap/>
            <w:vAlign w:val="bottom"/>
          </w:tcPr>
          <w:p w14:paraId="25D5CC8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16141071"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1286" w:type="dxa"/>
            <w:shd w:val="clear" w:color="000000" w:fill="FFFFFF"/>
            <w:noWrap/>
            <w:vAlign w:val="bottom"/>
          </w:tcPr>
          <w:p w14:paraId="1AC777C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$2,010 </w:t>
            </w:r>
          </w:p>
        </w:tc>
        <w:tc>
          <w:tcPr>
            <w:tcW w:w="1037" w:type="dxa"/>
            <w:shd w:val="clear" w:color="000000" w:fill="FFFFFF"/>
            <w:noWrap/>
            <w:vAlign w:val="bottom"/>
          </w:tcPr>
          <w:p w14:paraId="714AADA9"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58F5183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tcPr>
          <w:p w14:paraId="4DAEDE81"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1.41% </w:t>
            </w:r>
          </w:p>
        </w:tc>
      </w:tr>
      <w:tr w:rsidR="00036C20" w:rsidRPr="00036C20" w14:paraId="2E9B032D" w14:textId="77777777" w:rsidTr="00036C20">
        <w:trPr>
          <w:trHeight w:val="300"/>
        </w:trPr>
        <w:tc>
          <w:tcPr>
            <w:tcW w:w="567" w:type="dxa"/>
            <w:shd w:val="clear" w:color="000000" w:fill="FFFFFF"/>
            <w:noWrap/>
            <w:vAlign w:val="bottom"/>
          </w:tcPr>
          <w:p w14:paraId="791AD553"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8</w:t>
            </w:r>
          </w:p>
        </w:tc>
        <w:tc>
          <w:tcPr>
            <w:tcW w:w="2314" w:type="dxa"/>
            <w:shd w:val="clear" w:color="000000" w:fill="FFFFFF"/>
            <w:noWrap/>
            <w:vAlign w:val="bottom"/>
          </w:tcPr>
          <w:p w14:paraId="1576C272"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105, 34527</w:t>
            </w:r>
          </w:p>
        </w:tc>
        <w:tc>
          <w:tcPr>
            <w:tcW w:w="1017" w:type="dxa"/>
            <w:shd w:val="clear" w:color="000000" w:fill="FFFFFF"/>
            <w:noWrap/>
            <w:vAlign w:val="bottom"/>
          </w:tcPr>
          <w:p w14:paraId="080E5B7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29D7CC1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1286" w:type="dxa"/>
            <w:shd w:val="clear" w:color="000000" w:fill="FFFFFF"/>
            <w:noWrap/>
            <w:vAlign w:val="bottom"/>
          </w:tcPr>
          <w:p w14:paraId="56BD120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$874 </w:t>
            </w:r>
          </w:p>
        </w:tc>
        <w:tc>
          <w:tcPr>
            <w:tcW w:w="1037" w:type="dxa"/>
            <w:shd w:val="clear" w:color="000000" w:fill="FFFFFF"/>
            <w:noWrap/>
            <w:vAlign w:val="bottom"/>
          </w:tcPr>
          <w:p w14:paraId="2E696C9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1D7697D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tcPr>
          <w:p w14:paraId="69AD0B65"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1.41% </w:t>
            </w:r>
          </w:p>
        </w:tc>
      </w:tr>
      <w:tr w:rsidR="00036C20" w:rsidRPr="00036C20" w14:paraId="7B8F5EA5" w14:textId="77777777" w:rsidTr="00036C20">
        <w:trPr>
          <w:trHeight w:val="300"/>
        </w:trPr>
        <w:tc>
          <w:tcPr>
            <w:tcW w:w="567" w:type="dxa"/>
            <w:shd w:val="clear" w:color="000000" w:fill="FFFFFF"/>
            <w:noWrap/>
            <w:vAlign w:val="bottom"/>
          </w:tcPr>
          <w:p w14:paraId="0BD594E4"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9</w:t>
            </w:r>
          </w:p>
        </w:tc>
        <w:tc>
          <w:tcPr>
            <w:tcW w:w="2314" w:type="dxa"/>
            <w:shd w:val="clear" w:color="000000" w:fill="FFFFFF"/>
            <w:noWrap/>
            <w:vAlign w:val="bottom"/>
          </w:tcPr>
          <w:p w14:paraId="1BBDA381"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116, 30473</w:t>
            </w:r>
          </w:p>
        </w:tc>
        <w:tc>
          <w:tcPr>
            <w:tcW w:w="1017" w:type="dxa"/>
            <w:shd w:val="clear" w:color="000000" w:fill="FFFFFF"/>
            <w:noWrap/>
            <w:vAlign w:val="bottom"/>
          </w:tcPr>
          <w:p w14:paraId="553659F0"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2125305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1286" w:type="dxa"/>
            <w:shd w:val="clear" w:color="000000" w:fill="FFFFFF"/>
            <w:noWrap/>
            <w:vAlign w:val="bottom"/>
          </w:tcPr>
          <w:p w14:paraId="2ABD5A5F"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$719 </w:t>
            </w:r>
          </w:p>
        </w:tc>
        <w:tc>
          <w:tcPr>
            <w:tcW w:w="1037" w:type="dxa"/>
            <w:shd w:val="clear" w:color="000000" w:fill="FFFFFF"/>
            <w:noWrap/>
            <w:vAlign w:val="bottom"/>
          </w:tcPr>
          <w:p w14:paraId="3D40A848"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7484ADB7"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tcPr>
          <w:p w14:paraId="2109445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1.41% </w:t>
            </w:r>
          </w:p>
        </w:tc>
      </w:tr>
      <w:tr w:rsidR="00036C20" w:rsidRPr="00036C20" w14:paraId="11BD86FB" w14:textId="77777777" w:rsidTr="00036C20">
        <w:trPr>
          <w:trHeight w:val="300"/>
        </w:trPr>
        <w:tc>
          <w:tcPr>
            <w:tcW w:w="567" w:type="dxa"/>
            <w:shd w:val="clear" w:color="000000" w:fill="FFFFFF"/>
            <w:noWrap/>
            <w:vAlign w:val="bottom"/>
          </w:tcPr>
          <w:p w14:paraId="462EE41D" w14:textId="77777777" w:rsidR="00036C20" w:rsidRPr="00036C20" w:rsidRDefault="00036C20" w:rsidP="00036C20">
            <w:pPr>
              <w:rPr>
                <w:rFonts w:ascii="Arial" w:hAnsi="Arial" w:cs="Arial"/>
                <w:color w:val="000000"/>
                <w:sz w:val="18"/>
                <w:szCs w:val="18"/>
                <w:lang w:eastAsia="en-US"/>
              </w:rPr>
            </w:pPr>
            <w:r w:rsidRPr="00036C20">
              <w:rPr>
                <w:rFonts w:ascii="Arial" w:hAnsi="Arial" w:cs="Arial"/>
                <w:color w:val="000000"/>
                <w:sz w:val="18"/>
                <w:szCs w:val="18"/>
                <w:lang w:eastAsia="en-US"/>
              </w:rPr>
              <w:t>10</w:t>
            </w:r>
          </w:p>
        </w:tc>
        <w:tc>
          <w:tcPr>
            <w:tcW w:w="2314" w:type="dxa"/>
            <w:shd w:val="clear" w:color="000000" w:fill="FFFFFF"/>
            <w:noWrap/>
            <w:vAlign w:val="bottom"/>
          </w:tcPr>
          <w:p w14:paraId="0FF21643" w14:textId="77777777" w:rsidR="00036C20" w:rsidRPr="00036C20" w:rsidRDefault="00036C20" w:rsidP="00036C20">
            <w:pPr>
              <w:rPr>
                <w:rFonts w:ascii="Arial" w:hAnsi="Arial" w:cs="Arial"/>
                <w:color w:val="000000"/>
                <w:sz w:val="18"/>
                <w:szCs w:val="18"/>
                <w:lang w:eastAsia="en-US"/>
              </w:rPr>
            </w:pPr>
            <w:r w:rsidRPr="00036C20">
              <w:rPr>
                <w:rFonts w:ascii="Arial" w:hAnsi="Arial" w:cs="Arial"/>
                <w:b/>
                <w:color w:val="000000"/>
                <w:sz w:val="18"/>
                <w:szCs w:val="18"/>
                <w:lang w:eastAsia="en-US"/>
              </w:rPr>
              <w:t>32023</w:t>
            </w:r>
            <w:r w:rsidRPr="00036C20">
              <w:rPr>
                <w:rFonts w:ascii="Arial" w:hAnsi="Arial" w:cs="Arial"/>
                <w:color w:val="000000"/>
                <w:sz w:val="18"/>
                <w:szCs w:val="18"/>
                <w:lang w:eastAsia="en-US"/>
              </w:rPr>
              <w:t>, 133</w:t>
            </w:r>
          </w:p>
        </w:tc>
        <w:tc>
          <w:tcPr>
            <w:tcW w:w="1017" w:type="dxa"/>
            <w:shd w:val="clear" w:color="000000" w:fill="FFFFFF"/>
            <w:noWrap/>
            <w:vAlign w:val="bottom"/>
          </w:tcPr>
          <w:p w14:paraId="554CC721"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7D801F11"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1286" w:type="dxa"/>
            <w:shd w:val="clear" w:color="000000" w:fill="FFFFFF"/>
            <w:noWrap/>
            <w:vAlign w:val="bottom"/>
          </w:tcPr>
          <w:p w14:paraId="3734C676"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$687 </w:t>
            </w:r>
          </w:p>
        </w:tc>
        <w:tc>
          <w:tcPr>
            <w:tcW w:w="1037" w:type="dxa"/>
            <w:shd w:val="clear" w:color="000000" w:fill="FFFFFF"/>
            <w:noWrap/>
            <w:vAlign w:val="bottom"/>
          </w:tcPr>
          <w:p w14:paraId="7EAE7D4C"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60" w:type="dxa"/>
            <w:shd w:val="clear" w:color="000000" w:fill="FFFFFF"/>
            <w:noWrap/>
            <w:vAlign w:val="bottom"/>
          </w:tcPr>
          <w:p w14:paraId="0709C40D"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np </w:t>
            </w:r>
          </w:p>
        </w:tc>
        <w:tc>
          <w:tcPr>
            <w:tcW w:w="997" w:type="dxa"/>
            <w:shd w:val="clear" w:color="000000" w:fill="FFFFFF"/>
            <w:noWrap/>
            <w:vAlign w:val="bottom"/>
          </w:tcPr>
          <w:p w14:paraId="1CB2C85E" w14:textId="77777777" w:rsidR="00036C20" w:rsidRPr="00036C20" w:rsidRDefault="00036C20" w:rsidP="00036C20">
            <w:pPr>
              <w:jc w:val="right"/>
              <w:rPr>
                <w:rFonts w:ascii="Arial" w:hAnsi="Arial" w:cs="Arial"/>
                <w:color w:val="000000"/>
                <w:sz w:val="18"/>
                <w:szCs w:val="18"/>
                <w:lang w:eastAsia="en-US"/>
              </w:rPr>
            </w:pPr>
            <w:r w:rsidRPr="00036C20">
              <w:rPr>
                <w:rFonts w:ascii="Arial" w:hAnsi="Arial" w:cs="Arial"/>
                <w:color w:val="000000"/>
                <w:sz w:val="18"/>
                <w:szCs w:val="18"/>
                <w:lang w:eastAsia="en-US"/>
              </w:rPr>
              <w:t xml:space="preserve">1.41% </w:t>
            </w:r>
          </w:p>
        </w:tc>
      </w:tr>
    </w:tbl>
    <w:p w14:paraId="2EF013F1" w14:textId="32193B42" w:rsidR="00036C20" w:rsidRPr="00036C20" w:rsidRDefault="00036C20" w:rsidP="00036C20">
      <w:pPr>
        <w:rPr>
          <w:bCs/>
          <w:sz w:val="18"/>
          <w:szCs w:val="18"/>
          <w:lang w:eastAsia="en-US"/>
        </w:rPr>
      </w:pPr>
      <w:r w:rsidRPr="00036C20">
        <w:rPr>
          <w:bCs/>
          <w:sz w:val="18"/>
          <w:szCs w:val="18"/>
          <w:lang w:eastAsia="en-US"/>
        </w:rPr>
        <w:t xml:space="preserve">Source for Tables </w:t>
      </w:r>
      <w:r w:rsidR="009B650A">
        <w:rPr>
          <w:bCs/>
          <w:sz w:val="18"/>
          <w:szCs w:val="18"/>
          <w:lang w:eastAsia="en-US"/>
        </w:rPr>
        <w:t>7-9</w:t>
      </w:r>
      <w:r w:rsidRPr="00036C20">
        <w:rPr>
          <w:bCs/>
          <w:sz w:val="18"/>
          <w:szCs w:val="18"/>
          <w:lang w:eastAsia="en-US"/>
        </w:rPr>
        <w:t>: Department of Health, File: Q20784 Item 32023 combination.xlsx</w:t>
      </w:r>
    </w:p>
    <w:p w14:paraId="643E227E" w14:textId="77777777" w:rsidR="00036C20" w:rsidRDefault="00036C20" w:rsidP="00036C20">
      <w:pPr>
        <w:pStyle w:val="Heading2"/>
        <w:spacing w:before="0"/>
        <w:rPr>
          <w:rFonts w:ascii="Times New Roman" w:eastAsia="Times New Roman" w:hAnsi="Times New Roman" w:cs="Times New Roman"/>
          <w:b w:val="0"/>
          <w:bCs w:val="0"/>
          <w:color w:val="000000"/>
          <w:sz w:val="18"/>
          <w:szCs w:val="24"/>
          <w:lang w:eastAsia="en-US"/>
        </w:rPr>
      </w:pPr>
      <w:r w:rsidRPr="00036C20">
        <w:rPr>
          <w:rFonts w:ascii="Times New Roman" w:eastAsia="Times New Roman" w:hAnsi="Times New Roman" w:cs="Times New Roman"/>
          <w:b w:val="0"/>
          <w:bCs w:val="0"/>
          <w:color w:val="000000"/>
          <w:sz w:val="18"/>
          <w:szCs w:val="24"/>
          <w:lang w:eastAsia="en-US"/>
        </w:rPr>
        <w:t>NP = not printed to protect privacy</w:t>
      </w:r>
    </w:p>
    <w:p w14:paraId="42A4BC07" w14:textId="3EBE2340" w:rsidR="00A91AFD" w:rsidRDefault="004E015F" w:rsidP="00036C20">
      <w:pPr>
        <w:pStyle w:val="Heading2"/>
      </w:pPr>
      <w:r>
        <w:t>Data on fee charged</w:t>
      </w:r>
    </w:p>
    <w:p w14:paraId="09223EC3" w14:textId="5D9498CE" w:rsidR="00A73760" w:rsidRPr="00A73760" w:rsidRDefault="00A73760" w:rsidP="007A3D70">
      <w:pPr>
        <w:spacing w:after="240"/>
        <w:rPr>
          <w:szCs w:val="24"/>
          <w:lang w:eastAsia="en-US"/>
        </w:rPr>
      </w:pPr>
      <w:r w:rsidRPr="00A73760">
        <w:rPr>
          <w:szCs w:val="24"/>
          <w:lang w:eastAsia="en-US"/>
        </w:rPr>
        <w:t>The information provided on fees below is a snapshot of how the item is being claimed in practice. Data has not been printed for states and terri</w:t>
      </w:r>
      <w:r w:rsidR="008430A7">
        <w:rPr>
          <w:szCs w:val="24"/>
          <w:lang w:eastAsia="en-US"/>
        </w:rPr>
        <w:t>tories with low service volumes.</w:t>
      </w:r>
    </w:p>
    <w:p w14:paraId="678FF455" w14:textId="7E95C1E6" w:rsidR="00A73760" w:rsidRPr="00A73760" w:rsidRDefault="00A73760" w:rsidP="007A3D70">
      <w:pPr>
        <w:spacing w:after="240"/>
        <w:rPr>
          <w:color w:val="000000"/>
          <w:szCs w:val="24"/>
          <w:lang w:eastAsia="en-US"/>
        </w:rPr>
      </w:pPr>
      <w:r w:rsidRPr="00A73760">
        <w:rPr>
          <w:color w:val="000000"/>
          <w:szCs w:val="24"/>
          <w:lang w:eastAsia="en-US"/>
        </w:rPr>
        <w:t>The 75% benefit for item 32023 is $416.55.</w:t>
      </w:r>
    </w:p>
    <w:p w14:paraId="77D0384B" w14:textId="0C7E867D" w:rsidR="00A73760" w:rsidRPr="007A3D70" w:rsidRDefault="00A73760" w:rsidP="007A3D70">
      <w:pPr>
        <w:rPr>
          <w:color w:val="000000"/>
          <w:szCs w:val="24"/>
          <w:lang w:eastAsia="en-US"/>
        </w:rPr>
      </w:pPr>
      <w:r w:rsidRPr="00A73760">
        <w:rPr>
          <w:color w:val="000000"/>
          <w:szCs w:val="24"/>
          <w:lang w:eastAsia="en-US"/>
        </w:rPr>
        <w:t xml:space="preserve">The average fee charged for item 32023 has increased from $702 in 2012-13 to $802 in 2016-17 (Table </w:t>
      </w:r>
      <w:r>
        <w:rPr>
          <w:color w:val="000000"/>
          <w:szCs w:val="24"/>
          <w:lang w:eastAsia="en-US"/>
        </w:rPr>
        <w:t>10</w:t>
      </w:r>
      <w:r w:rsidRPr="00A73760">
        <w:rPr>
          <w:color w:val="000000"/>
          <w:szCs w:val="24"/>
          <w:lang w:eastAsia="en-US"/>
        </w:rPr>
        <w:t>).  The 95</w:t>
      </w:r>
      <w:r w:rsidRPr="00A73760">
        <w:rPr>
          <w:color w:val="000000"/>
          <w:szCs w:val="24"/>
          <w:vertAlign w:val="superscript"/>
          <w:lang w:eastAsia="en-US"/>
        </w:rPr>
        <w:t>th</w:t>
      </w:r>
      <w:r w:rsidRPr="00A73760">
        <w:rPr>
          <w:color w:val="000000"/>
          <w:szCs w:val="24"/>
          <w:lang w:eastAsia="en-US"/>
        </w:rPr>
        <w:t xml:space="preserve"> percentile fee charged in NSW which was $1,000 in 2014-15 and $1420 in 2016-17, significantly higher than other states, which ranged from $751 to $855.  Services are generally not bulk billed, although in NSW in</w:t>
      </w:r>
      <w:r w:rsidR="00C12F71">
        <w:rPr>
          <w:color w:val="000000"/>
          <w:szCs w:val="24"/>
          <w:lang w:eastAsia="en-US"/>
        </w:rPr>
        <w:t xml:space="preserve"> </w:t>
      </w:r>
      <w:r w:rsidRPr="00A73760">
        <w:rPr>
          <w:color w:val="000000"/>
          <w:szCs w:val="24"/>
          <w:lang w:eastAsia="en-US"/>
        </w:rPr>
        <w:t>2014-15</w:t>
      </w:r>
      <w:r w:rsidR="00C12F71">
        <w:rPr>
          <w:color w:val="000000"/>
          <w:szCs w:val="24"/>
          <w:lang w:eastAsia="en-US"/>
        </w:rPr>
        <w:t>,</w:t>
      </w:r>
      <w:r w:rsidRPr="00A73760">
        <w:rPr>
          <w:color w:val="000000"/>
          <w:szCs w:val="24"/>
          <w:lang w:eastAsia="en-US"/>
        </w:rPr>
        <w:t xml:space="preserve"> 2.3% of services were. It is likely that Private Health Insurance and “no gap” or “known gap” arrangements may be utilised for this service.</w:t>
      </w:r>
      <w:r>
        <w:br w:type="page"/>
      </w:r>
    </w:p>
    <w:p w14:paraId="652C2018" w14:textId="1B26580A" w:rsidR="00E60FC1" w:rsidRDefault="00DE60F6" w:rsidP="00753306">
      <w:pPr>
        <w:pStyle w:val="Heading3"/>
      </w:pPr>
      <w:r w:rsidRPr="005E3F81">
        <w:lastRenderedPageBreak/>
        <w:t>Table 1</w:t>
      </w:r>
      <w:r w:rsidR="00A73760">
        <w:t>0</w:t>
      </w:r>
      <w:r w:rsidRPr="005E3F81">
        <w:t xml:space="preserve">: </w:t>
      </w:r>
      <w:r w:rsidR="00A73760" w:rsidRPr="00A73760">
        <w:t>Statistics on fees charged for MBS item 32023 for 2014-15 to 2016-17 by date of service</w:t>
      </w:r>
    </w:p>
    <w:tbl>
      <w:tblPr>
        <w:tblW w:w="9497" w:type="dxa"/>
        <w:tblInd w:w="108" w:type="dxa"/>
        <w:tblLayout w:type="fixed"/>
        <w:tblLook w:val="04A0" w:firstRow="1" w:lastRow="0" w:firstColumn="1" w:lastColumn="0" w:noHBand="0" w:noVBand="1"/>
        <w:tblCaption w:val="Statistics on fees charged for item 32023 between 2014 to 2017 by state"/>
        <w:tblDescription w:val="Figures show the average fee charged is above the MBS schedule fee, with a majority of services being billed at roughly $750. Data shows an increase in average fee charged over the 3 years, and the 95th percentile chanrging significantly higher in 2016-17."/>
      </w:tblPr>
      <w:tblGrid>
        <w:gridCol w:w="852"/>
        <w:gridCol w:w="1253"/>
        <w:gridCol w:w="1017"/>
        <w:gridCol w:w="867"/>
        <w:gridCol w:w="867"/>
        <w:gridCol w:w="867"/>
        <w:gridCol w:w="867"/>
        <w:gridCol w:w="640"/>
        <w:gridCol w:w="566"/>
        <w:gridCol w:w="709"/>
        <w:gridCol w:w="992"/>
      </w:tblGrid>
      <w:tr w:rsidR="00A73760" w:rsidRPr="00A73760" w14:paraId="7AFD11CB" w14:textId="77777777" w:rsidTr="00F95332">
        <w:trPr>
          <w:trHeight w:val="255"/>
        </w:trPr>
        <w:tc>
          <w:tcPr>
            <w:tcW w:w="2105" w:type="dxa"/>
            <w:gridSpan w:val="2"/>
            <w:vMerge w:val="restart"/>
            <w:tcBorders>
              <w:top w:val="nil"/>
              <w:left w:val="nil"/>
              <w:bottom w:val="nil"/>
              <w:right w:val="single" w:sz="4" w:space="0" w:color="auto"/>
            </w:tcBorders>
            <w:shd w:val="clear" w:color="auto" w:fill="auto"/>
            <w:noWrap/>
            <w:vAlign w:val="bottom"/>
            <w:hideMark/>
          </w:tcPr>
          <w:p w14:paraId="1C8B980C" w14:textId="77777777" w:rsidR="00A73760" w:rsidRPr="00A73760" w:rsidRDefault="00A73760" w:rsidP="00A73760">
            <w:pPr>
              <w:jc w:val="center"/>
              <w:rPr>
                <w:rFonts w:ascii="Arial" w:hAnsi="Arial" w:cs="Arial"/>
                <w:color w:val="000000"/>
                <w:sz w:val="18"/>
                <w:szCs w:val="18"/>
                <w:lang w:eastAsia="en-US"/>
              </w:rPr>
            </w:pPr>
          </w:p>
        </w:tc>
        <w:tc>
          <w:tcPr>
            <w:tcW w:w="7392" w:type="dxa"/>
            <w:gridSpan w:val="9"/>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254D1B0" w14:textId="77777777" w:rsidR="00A73760" w:rsidRPr="00A73760" w:rsidRDefault="00A73760" w:rsidP="00A73760">
            <w:pPr>
              <w:jc w:val="center"/>
              <w:rPr>
                <w:rFonts w:ascii="Arial" w:hAnsi="Arial" w:cs="Arial"/>
                <w:b/>
                <w:bCs/>
                <w:color w:val="FFFFFF"/>
                <w:sz w:val="18"/>
                <w:szCs w:val="18"/>
                <w:lang w:eastAsia="en-US"/>
              </w:rPr>
            </w:pPr>
            <w:r w:rsidRPr="00A73760">
              <w:rPr>
                <w:rFonts w:ascii="Arial" w:hAnsi="Arial" w:cs="Arial"/>
                <w:b/>
                <w:bCs/>
                <w:color w:val="FFFFFF"/>
                <w:sz w:val="18"/>
                <w:szCs w:val="18"/>
                <w:lang w:eastAsia="en-US"/>
              </w:rPr>
              <w:t>Provider State/Territory</w:t>
            </w:r>
          </w:p>
        </w:tc>
      </w:tr>
      <w:tr w:rsidR="00A73760" w:rsidRPr="00A73760" w14:paraId="3BCE75AC" w14:textId="77777777" w:rsidTr="00F95332">
        <w:trPr>
          <w:trHeight w:val="255"/>
        </w:trPr>
        <w:tc>
          <w:tcPr>
            <w:tcW w:w="2105" w:type="dxa"/>
            <w:gridSpan w:val="2"/>
            <w:vMerge/>
            <w:tcBorders>
              <w:top w:val="nil"/>
              <w:left w:val="nil"/>
              <w:bottom w:val="single" w:sz="4" w:space="0" w:color="auto"/>
              <w:right w:val="single" w:sz="4" w:space="0" w:color="auto"/>
            </w:tcBorders>
            <w:vAlign w:val="center"/>
            <w:hideMark/>
          </w:tcPr>
          <w:p w14:paraId="59A0962D" w14:textId="77777777" w:rsidR="00A73760" w:rsidRPr="00A73760" w:rsidRDefault="00A73760" w:rsidP="00A73760">
            <w:pPr>
              <w:rPr>
                <w:rFonts w:ascii="Arial" w:hAnsi="Arial" w:cs="Arial"/>
                <w:color w:val="000000"/>
                <w:sz w:val="18"/>
                <w:szCs w:val="18"/>
                <w:lang w:eastAsia="en-US"/>
              </w:rPr>
            </w:pPr>
          </w:p>
        </w:tc>
        <w:tc>
          <w:tcPr>
            <w:tcW w:w="101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0AE18BD" w14:textId="77777777" w:rsidR="00A73760" w:rsidRPr="00A73760" w:rsidRDefault="00A73760" w:rsidP="00A73760">
            <w:pPr>
              <w:jc w:val="center"/>
              <w:rPr>
                <w:rFonts w:ascii="Arial" w:hAnsi="Arial" w:cs="Arial"/>
                <w:b/>
                <w:bCs/>
                <w:color w:val="FFFFFF"/>
                <w:sz w:val="18"/>
                <w:szCs w:val="18"/>
                <w:lang w:eastAsia="en-US"/>
              </w:rPr>
            </w:pPr>
            <w:r w:rsidRPr="00A73760">
              <w:rPr>
                <w:rFonts w:ascii="Arial" w:hAnsi="Arial" w:cs="Arial"/>
                <w:b/>
                <w:bCs/>
                <w:color w:val="FFFFFF"/>
                <w:sz w:val="18"/>
                <w:szCs w:val="18"/>
                <w:lang w:eastAsia="en-US"/>
              </w:rPr>
              <w:t>NSW</w:t>
            </w:r>
          </w:p>
        </w:tc>
        <w:tc>
          <w:tcPr>
            <w:tcW w:w="86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1F7BCB7" w14:textId="77777777" w:rsidR="00A73760" w:rsidRPr="00A73760" w:rsidRDefault="00A73760" w:rsidP="00A73760">
            <w:pPr>
              <w:jc w:val="center"/>
              <w:rPr>
                <w:rFonts w:ascii="Arial" w:hAnsi="Arial" w:cs="Arial"/>
                <w:b/>
                <w:bCs/>
                <w:color w:val="FFFFFF"/>
                <w:sz w:val="18"/>
                <w:szCs w:val="18"/>
                <w:lang w:eastAsia="en-US"/>
              </w:rPr>
            </w:pPr>
            <w:r w:rsidRPr="00A73760">
              <w:rPr>
                <w:rFonts w:ascii="Arial" w:hAnsi="Arial" w:cs="Arial"/>
                <w:b/>
                <w:bCs/>
                <w:color w:val="FFFFFF"/>
                <w:sz w:val="18"/>
                <w:szCs w:val="18"/>
                <w:lang w:eastAsia="en-US"/>
              </w:rPr>
              <w:t>Vic</w:t>
            </w:r>
          </w:p>
        </w:tc>
        <w:tc>
          <w:tcPr>
            <w:tcW w:w="86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80F78D9" w14:textId="77777777" w:rsidR="00A73760" w:rsidRPr="00A73760" w:rsidRDefault="00A73760" w:rsidP="00A73760">
            <w:pPr>
              <w:jc w:val="center"/>
              <w:rPr>
                <w:rFonts w:ascii="Arial" w:hAnsi="Arial" w:cs="Arial"/>
                <w:b/>
                <w:bCs/>
                <w:color w:val="FFFFFF"/>
                <w:sz w:val="18"/>
                <w:szCs w:val="18"/>
                <w:lang w:eastAsia="en-US"/>
              </w:rPr>
            </w:pPr>
            <w:r w:rsidRPr="00A73760">
              <w:rPr>
                <w:rFonts w:ascii="Arial" w:hAnsi="Arial" w:cs="Arial"/>
                <w:b/>
                <w:bCs/>
                <w:color w:val="FFFFFF"/>
                <w:sz w:val="18"/>
                <w:szCs w:val="18"/>
                <w:lang w:eastAsia="en-US"/>
              </w:rPr>
              <w:t>Qld</w:t>
            </w:r>
          </w:p>
        </w:tc>
        <w:tc>
          <w:tcPr>
            <w:tcW w:w="86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49BDCEF" w14:textId="77777777" w:rsidR="00A73760" w:rsidRPr="00A73760" w:rsidRDefault="00A73760" w:rsidP="00A73760">
            <w:pPr>
              <w:jc w:val="center"/>
              <w:rPr>
                <w:rFonts w:ascii="Arial" w:hAnsi="Arial" w:cs="Arial"/>
                <w:b/>
                <w:bCs/>
                <w:color w:val="FFFFFF"/>
                <w:sz w:val="18"/>
                <w:szCs w:val="18"/>
                <w:lang w:eastAsia="en-US"/>
              </w:rPr>
            </w:pPr>
            <w:r w:rsidRPr="00A73760">
              <w:rPr>
                <w:rFonts w:ascii="Arial" w:hAnsi="Arial" w:cs="Arial"/>
                <w:b/>
                <w:bCs/>
                <w:color w:val="FFFFFF"/>
                <w:sz w:val="18"/>
                <w:szCs w:val="18"/>
                <w:lang w:eastAsia="en-US"/>
              </w:rPr>
              <w:t>SA</w:t>
            </w:r>
          </w:p>
        </w:tc>
        <w:tc>
          <w:tcPr>
            <w:tcW w:w="86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A779294" w14:textId="77777777" w:rsidR="00A73760" w:rsidRPr="00A73760" w:rsidRDefault="00A73760" w:rsidP="00A73760">
            <w:pPr>
              <w:jc w:val="center"/>
              <w:rPr>
                <w:rFonts w:ascii="Arial" w:hAnsi="Arial" w:cs="Arial"/>
                <w:b/>
                <w:bCs/>
                <w:color w:val="FFFFFF"/>
                <w:sz w:val="18"/>
                <w:szCs w:val="18"/>
                <w:lang w:eastAsia="en-US"/>
              </w:rPr>
            </w:pPr>
            <w:r w:rsidRPr="00A73760">
              <w:rPr>
                <w:rFonts w:ascii="Arial" w:hAnsi="Arial" w:cs="Arial"/>
                <w:b/>
                <w:bCs/>
                <w:color w:val="FFFFFF"/>
                <w:sz w:val="18"/>
                <w:szCs w:val="18"/>
                <w:lang w:eastAsia="en-US"/>
              </w:rPr>
              <w:t>WA</w:t>
            </w:r>
          </w:p>
        </w:tc>
        <w:tc>
          <w:tcPr>
            <w:tcW w:w="64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83F2084" w14:textId="77777777" w:rsidR="00A73760" w:rsidRPr="00A73760" w:rsidRDefault="00A73760" w:rsidP="00A73760">
            <w:pPr>
              <w:jc w:val="center"/>
              <w:rPr>
                <w:rFonts w:ascii="Arial" w:hAnsi="Arial" w:cs="Arial"/>
                <w:b/>
                <w:bCs/>
                <w:color w:val="FFFFFF"/>
                <w:sz w:val="18"/>
                <w:szCs w:val="18"/>
                <w:lang w:eastAsia="en-US"/>
              </w:rPr>
            </w:pPr>
            <w:r w:rsidRPr="00A73760">
              <w:rPr>
                <w:rFonts w:ascii="Arial" w:hAnsi="Arial" w:cs="Arial"/>
                <w:b/>
                <w:bCs/>
                <w:color w:val="FFFFFF"/>
                <w:sz w:val="18"/>
                <w:szCs w:val="18"/>
                <w:lang w:eastAsia="en-US"/>
              </w:rPr>
              <w:t>TAS</w:t>
            </w:r>
          </w:p>
        </w:tc>
        <w:tc>
          <w:tcPr>
            <w:tcW w:w="56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8CF3F40" w14:textId="77777777" w:rsidR="00A73760" w:rsidRPr="00A73760" w:rsidRDefault="00A73760" w:rsidP="00A73760">
            <w:pPr>
              <w:jc w:val="center"/>
              <w:rPr>
                <w:rFonts w:ascii="Arial" w:hAnsi="Arial" w:cs="Arial"/>
                <w:b/>
                <w:bCs/>
                <w:color w:val="FFFFFF"/>
                <w:sz w:val="18"/>
                <w:szCs w:val="18"/>
                <w:lang w:eastAsia="en-US"/>
              </w:rPr>
            </w:pPr>
            <w:r w:rsidRPr="00A73760">
              <w:rPr>
                <w:rFonts w:ascii="Arial" w:hAnsi="Arial" w:cs="Arial"/>
                <w:b/>
                <w:bCs/>
                <w:color w:val="FFFFFF"/>
                <w:sz w:val="18"/>
                <w:szCs w:val="18"/>
                <w:lang w:eastAsia="en-US"/>
              </w:rPr>
              <w:t>NT</w:t>
            </w:r>
          </w:p>
        </w:tc>
        <w:tc>
          <w:tcPr>
            <w:tcW w:w="70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11BA1ED1" w14:textId="77777777" w:rsidR="00A73760" w:rsidRPr="00A73760" w:rsidRDefault="00A73760" w:rsidP="00A73760">
            <w:pPr>
              <w:jc w:val="center"/>
              <w:rPr>
                <w:rFonts w:ascii="Arial" w:hAnsi="Arial" w:cs="Arial"/>
                <w:b/>
                <w:bCs/>
                <w:color w:val="FFFFFF"/>
                <w:sz w:val="18"/>
                <w:szCs w:val="18"/>
                <w:lang w:eastAsia="en-US"/>
              </w:rPr>
            </w:pPr>
            <w:r w:rsidRPr="00A73760">
              <w:rPr>
                <w:rFonts w:ascii="Arial" w:hAnsi="Arial" w:cs="Arial"/>
                <w:b/>
                <w:bCs/>
                <w:color w:val="FFFFFF"/>
                <w:sz w:val="18"/>
                <w:szCs w:val="18"/>
                <w:lang w:eastAsia="en-US"/>
              </w:rPr>
              <w:t>ACT</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C3D03FB" w14:textId="77777777" w:rsidR="00A73760" w:rsidRPr="00A73760" w:rsidRDefault="00A73760" w:rsidP="00A73760">
            <w:pPr>
              <w:jc w:val="center"/>
              <w:rPr>
                <w:rFonts w:ascii="Arial" w:hAnsi="Arial" w:cs="Arial"/>
                <w:b/>
                <w:bCs/>
                <w:color w:val="FFFFFF"/>
                <w:sz w:val="18"/>
                <w:szCs w:val="18"/>
                <w:lang w:eastAsia="en-US"/>
              </w:rPr>
            </w:pPr>
            <w:r w:rsidRPr="00A73760">
              <w:rPr>
                <w:rFonts w:ascii="Arial" w:hAnsi="Arial" w:cs="Arial"/>
                <w:b/>
                <w:bCs/>
                <w:color w:val="FFFFFF"/>
                <w:sz w:val="18"/>
                <w:szCs w:val="18"/>
                <w:lang w:eastAsia="en-US"/>
              </w:rPr>
              <w:t>AUS</w:t>
            </w:r>
          </w:p>
        </w:tc>
      </w:tr>
      <w:tr w:rsidR="00A73760" w:rsidRPr="00A73760" w14:paraId="47DCB765" w14:textId="77777777" w:rsidTr="00F95332">
        <w:trPr>
          <w:trHeight w:val="255"/>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8517E1"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2014-15</w:t>
            </w: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5EF20F1E"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 xml:space="preserve">Average Fee Charged </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3ADFD2"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$752.42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A940AB" w14:textId="77777777" w:rsidR="00A73760" w:rsidRPr="00A73760" w:rsidRDefault="00A73760" w:rsidP="00A73760">
            <w:pPr>
              <w:jc w:val="right"/>
              <w:rPr>
                <w:rFonts w:ascii="Arial" w:hAnsi="Arial" w:cs="Arial"/>
                <w:sz w:val="18"/>
                <w:szCs w:val="24"/>
                <w:lang w:eastAsia="en-US"/>
              </w:rPr>
            </w:pPr>
            <w:r w:rsidRPr="00A73760">
              <w:rPr>
                <w:rFonts w:ascii="Arial" w:hAnsi="Arial" w:cs="Arial"/>
                <w:sz w:val="18"/>
                <w:szCs w:val="24"/>
                <w:lang w:eastAsia="en-US"/>
              </w:rPr>
              <w:t>$679.63</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22E7F8" w14:textId="77777777" w:rsidR="00A73760" w:rsidRPr="00A73760" w:rsidRDefault="00A73760" w:rsidP="00A73760">
            <w:pPr>
              <w:jc w:val="right"/>
              <w:rPr>
                <w:rFonts w:ascii="Arial" w:hAnsi="Arial" w:cs="Arial"/>
                <w:sz w:val="18"/>
                <w:szCs w:val="24"/>
                <w:lang w:eastAsia="en-US"/>
              </w:rPr>
            </w:pPr>
            <w:r w:rsidRPr="00A73760">
              <w:rPr>
                <w:rFonts w:ascii="Arial" w:hAnsi="Arial" w:cs="Arial"/>
                <w:sz w:val="18"/>
                <w:szCs w:val="24"/>
                <w:lang w:eastAsia="en-US"/>
              </w:rPr>
              <w:t>$755.94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29D4B6" w14:textId="77777777" w:rsidR="00A73760" w:rsidRPr="00A73760" w:rsidRDefault="00A73760" w:rsidP="00A73760">
            <w:pPr>
              <w:jc w:val="right"/>
              <w:rPr>
                <w:rFonts w:ascii="Arial" w:hAnsi="Arial" w:cs="Arial"/>
                <w:sz w:val="18"/>
                <w:szCs w:val="24"/>
                <w:lang w:eastAsia="en-US"/>
              </w:rPr>
            </w:pPr>
            <w:r w:rsidRPr="00A73760">
              <w:rPr>
                <w:rFonts w:ascii="Arial" w:hAnsi="Arial" w:cs="Arial"/>
                <w:sz w:val="18"/>
                <w:szCs w:val="24"/>
                <w:lang w:eastAsia="en-US"/>
              </w:rPr>
              <w:t>$800.25</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D205C3" w14:textId="77777777" w:rsidR="00A73760" w:rsidRPr="00A73760" w:rsidRDefault="00A73760" w:rsidP="00A73760">
            <w:pPr>
              <w:jc w:val="right"/>
              <w:rPr>
                <w:rFonts w:ascii="Arial" w:hAnsi="Arial" w:cs="Arial"/>
                <w:sz w:val="18"/>
                <w:szCs w:val="24"/>
                <w:lang w:eastAsia="en-US"/>
              </w:rPr>
            </w:pPr>
            <w:r w:rsidRPr="00A73760">
              <w:rPr>
                <w:rFonts w:ascii="Arial" w:hAnsi="Arial" w:cs="Arial"/>
                <w:sz w:val="18"/>
                <w:szCs w:val="24"/>
                <w:lang w:eastAsia="en-US"/>
              </w:rPr>
              <w:t>$701.01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3D3CB"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0F74C"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C15AB"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483317"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$750.78</w:t>
            </w:r>
          </w:p>
        </w:tc>
      </w:tr>
      <w:tr w:rsidR="00A73760" w:rsidRPr="00A73760" w14:paraId="37D67EBB" w14:textId="77777777" w:rsidTr="00F95332">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97486D0" w14:textId="77777777" w:rsidR="00A73760" w:rsidRPr="00A73760" w:rsidRDefault="00A73760" w:rsidP="00A73760">
            <w:pPr>
              <w:rPr>
                <w:rFonts w:ascii="Arial" w:hAnsi="Arial" w:cs="Arial"/>
                <w:b/>
                <w:bCs/>
                <w:sz w:val="18"/>
                <w:szCs w:val="18"/>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0664D3B3"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Standard</w:t>
            </w:r>
            <w:r w:rsidRPr="00A73760">
              <w:rPr>
                <w:rFonts w:ascii="Arial" w:hAnsi="Arial" w:cs="Arial"/>
                <w:b/>
                <w:bCs/>
                <w:sz w:val="18"/>
                <w:szCs w:val="18"/>
                <w:lang w:eastAsia="en-US"/>
              </w:rPr>
              <w:br/>
              <w:t>Deviation</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1A3059"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$167.28</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BDBA9F" w14:textId="77777777" w:rsidR="00A73760" w:rsidRPr="00A73760" w:rsidRDefault="00A73760" w:rsidP="00A73760">
            <w:pPr>
              <w:jc w:val="right"/>
              <w:rPr>
                <w:rFonts w:ascii="Arial" w:hAnsi="Arial" w:cs="Arial"/>
                <w:sz w:val="18"/>
                <w:szCs w:val="24"/>
                <w:lang w:eastAsia="en-US"/>
              </w:rPr>
            </w:pPr>
            <w:r w:rsidRPr="00A73760">
              <w:rPr>
                <w:rFonts w:ascii="Arial" w:hAnsi="Arial" w:cs="Arial"/>
                <w:sz w:val="18"/>
                <w:szCs w:val="24"/>
                <w:lang w:eastAsia="en-US"/>
              </w:rPr>
              <w:t>$217.20</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AD3C01" w14:textId="77777777" w:rsidR="00A73760" w:rsidRPr="00A73760" w:rsidRDefault="00A73760" w:rsidP="00A73760">
            <w:pPr>
              <w:jc w:val="right"/>
              <w:rPr>
                <w:rFonts w:ascii="Arial" w:hAnsi="Arial" w:cs="Arial"/>
                <w:sz w:val="18"/>
                <w:szCs w:val="24"/>
                <w:lang w:eastAsia="en-US"/>
              </w:rPr>
            </w:pPr>
            <w:r w:rsidRPr="00A73760">
              <w:rPr>
                <w:rFonts w:ascii="Arial" w:hAnsi="Arial" w:cs="Arial"/>
                <w:sz w:val="18"/>
                <w:szCs w:val="24"/>
                <w:lang w:eastAsia="en-US"/>
              </w:rPr>
              <w:t>$157.88</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E3CED3" w14:textId="77777777" w:rsidR="00A73760" w:rsidRPr="00A73760" w:rsidRDefault="00A73760" w:rsidP="00A73760">
            <w:pPr>
              <w:jc w:val="right"/>
              <w:rPr>
                <w:rFonts w:ascii="Arial" w:hAnsi="Arial" w:cs="Arial"/>
                <w:sz w:val="18"/>
                <w:szCs w:val="24"/>
                <w:lang w:eastAsia="en-US"/>
              </w:rPr>
            </w:pPr>
            <w:r w:rsidRPr="00A73760">
              <w:rPr>
                <w:rFonts w:ascii="Arial" w:hAnsi="Arial" w:cs="Arial"/>
                <w:sz w:val="18"/>
                <w:szCs w:val="24"/>
                <w:lang w:eastAsia="en-US"/>
              </w:rPr>
              <w:t>$57.17</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825409" w14:textId="77777777" w:rsidR="00A73760" w:rsidRPr="00A73760" w:rsidRDefault="00A73760" w:rsidP="00A73760">
            <w:pPr>
              <w:jc w:val="right"/>
              <w:rPr>
                <w:rFonts w:ascii="Arial" w:hAnsi="Arial" w:cs="Arial"/>
                <w:sz w:val="18"/>
                <w:szCs w:val="24"/>
                <w:lang w:eastAsia="en-US"/>
              </w:rPr>
            </w:pPr>
            <w:r w:rsidRPr="00A73760">
              <w:rPr>
                <w:rFonts w:ascii="Arial" w:hAnsi="Arial" w:cs="Arial"/>
                <w:sz w:val="18"/>
                <w:szCs w:val="24"/>
                <w:lang w:eastAsia="en-US"/>
              </w:rPr>
              <w:t>$95.47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EBFE1"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3CFB7"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46311"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8956DF"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$152.91</w:t>
            </w:r>
          </w:p>
        </w:tc>
      </w:tr>
      <w:tr w:rsidR="00A73760" w:rsidRPr="00A73760" w14:paraId="4615120C" w14:textId="77777777" w:rsidTr="00F95332">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AC89DFB" w14:textId="77777777" w:rsidR="00A73760" w:rsidRPr="00A73760" w:rsidRDefault="00A73760" w:rsidP="00A73760">
            <w:pPr>
              <w:rPr>
                <w:rFonts w:ascii="Arial" w:hAnsi="Arial" w:cs="Arial"/>
                <w:b/>
                <w:bCs/>
                <w:sz w:val="18"/>
                <w:szCs w:val="18"/>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3D617C0D"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Median</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E0DEB4"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$742.25</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CC9361"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3ED0F8"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E3A70B"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8C0884"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n/a (4)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FA0A5"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2BAF9"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BC4E9"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FE1268" w14:textId="77777777" w:rsidR="00A73760" w:rsidRPr="00A73760" w:rsidRDefault="00A73760" w:rsidP="00A73760">
            <w:pPr>
              <w:jc w:val="right"/>
              <w:rPr>
                <w:rFonts w:ascii="Arial" w:hAnsi="Arial" w:cs="Arial"/>
                <w:sz w:val="18"/>
                <w:szCs w:val="24"/>
                <w:lang w:eastAsia="en-US"/>
              </w:rPr>
            </w:pPr>
            <w:r w:rsidRPr="00A73760">
              <w:rPr>
                <w:rFonts w:ascii="Arial" w:hAnsi="Arial" w:cs="Arial"/>
                <w:sz w:val="18"/>
                <w:szCs w:val="24"/>
                <w:lang w:eastAsia="en-US"/>
              </w:rPr>
              <w:t xml:space="preserve">$766.20 </w:t>
            </w:r>
          </w:p>
        </w:tc>
      </w:tr>
      <w:tr w:rsidR="00A73760" w:rsidRPr="00A73760" w14:paraId="5F113D98" w14:textId="77777777" w:rsidTr="00F95332">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1623059" w14:textId="77777777" w:rsidR="00A73760" w:rsidRPr="00A73760" w:rsidRDefault="00A73760" w:rsidP="00A73760">
            <w:pPr>
              <w:rPr>
                <w:rFonts w:ascii="Arial" w:hAnsi="Arial" w:cs="Arial"/>
                <w:b/>
                <w:bCs/>
                <w:sz w:val="18"/>
                <w:szCs w:val="18"/>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1EE5A5F1"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75th Percentile</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1BDFB2"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$777.50</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61A501"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03DC12"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1E8E08"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BAD88"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n/a (4)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D3884"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DC7F6"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D286B"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A47B0C" w14:textId="77777777" w:rsidR="00A73760" w:rsidRPr="00A73760" w:rsidRDefault="00A73760" w:rsidP="00A73760">
            <w:pPr>
              <w:jc w:val="right"/>
              <w:rPr>
                <w:rFonts w:ascii="Arial" w:hAnsi="Arial" w:cs="Arial"/>
                <w:sz w:val="18"/>
                <w:szCs w:val="24"/>
                <w:lang w:eastAsia="en-US"/>
              </w:rPr>
            </w:pPr>
            <w:r w:rsidRPr="00A73760">
              <w:rPr>
                <w:rFonts w:ascii="Arial" w:hAnsi="Arial" w:cs="Arial"/>
                <w:sz w:val="18"/>
                <w:szCs w:val="24"/>
                <w:lang w:eastAsia="en-US"/>
              </w:rPr>
              <w:t xml:space="preserve">$777.50 </w:t>
            </w:r>
          </w:p>
        </w:tc>
      </w:tr>
      <w:tr w:rsidR="00A73760" w:rsidRPr="00A73760" w14:paraId="3982CC88" w14:textId="77777777" w:rsidTr="00F95332">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374DFF0" w14:textId="77777777" w:rsidR="00A73760" w:rsidRPr="00A73760" w:rsidRDefault="00A73760" w:rsidP="00A73760">
            <w:pPr>
              <w:rPr>
                <w:rFonts w:ascii="Arial" w:hAnsi="Arial" w:cs="Arial"/>
                <w:b/>
                <w:bCs/>
                <w:sz w:val="18"/>
                <w:szCs w:val="18"/>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25BFCD5C"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95th Percentile</w:t>
            </w:r>
            <w:r w:rsidRPr="00A73760">
              <w:rPr>
                <w:rFonts w:ascii="Arial" w:hAnsi="Arial" w:cs="Arial"/>
                <w:b/>
                <w:bCs/>
                <w:sz w:val="18"/>
                <w:szCs w:val="18"/>
                <w:vertAlign w:val="superscript"/>
                <w:lang w:eastAsia="en-US"/>
              </w:rPr>
              <w:footnoteReference w:id="1"/>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360DB9"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$1,000.00</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B9611B"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CEF5B0"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B45992"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DD20CF"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n/a (4)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09F42"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A7CB2"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E8AB7"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1C3DFC" w14:textId="77777777" w:rsidR="00A73760" w:rsidRPr="00A73760" w:rsidRDefault="00A73760" w:rsidP="00A73760">
            <w:pPr>
              <w:jc w:val="right"/>
              <w:rPr>
                <w:rFonts w:ascii="Arial" w:hAnsi="Arial" w:cs="Arial"/>
                <w:sz w:val="18"/>
                <w:szCs w:val="24"/>
                <w:lang w:eastAsia="en-US"/>
              </w:rPr>
            </w:pPr>
            <w:r w:rsidRPr="00A73760">
              <w:rPr>
                <w:rFonts w:ascii="Arial" w:hAnsi="Arial" w:cs="Arial"/>
                <w:sz w:val="18"/>
                <w:szCs w:val="24"/>
                <w:lang w:eastAsia="en-US"/>
              </w:rPr>
              <w:t xml:space="preserve">$1000.00 </w:t>
            </w:r>
          </w:p>
        </w:tc>
      </w:tr>
      <w:tr w:rsidR="00A73760" w:rsidRPr="00A73760" w14:paraId="3988A5BE" w14:textId="77777777" w:rsidTr="00F95332">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9ED4B08" w14:textId="77777777" w:rsidR="00A73760" w:rsidRPr="00A73760" w:rsidRDefault="00A73760" w:rsidP="00A73760">
            <w:pPr>
              <w:rPr>
                <w:rFonts w:ascii="Arial" w:hAnsi="Arial" w:cs="Arial"/>
                <w:b/>
                <w:bCs/>
                <w:sz w:val="18"/>
                <w:szCs w:val="18"/>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4F6452A3"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Bulk Billed</w:t>
            </w:r>
            <w:r w:rsidRPr="00A73760">
              <w:rPr>
                <w:rFonts w:ascii="Arial" w:hAnsi="Arial" w:cs="Arial"/>
                <w:b/>
                <w:bCs/>
                <w:sz w:val="18"/>
                <w:szCs w:val="18"/>
                <w:lang w:eastAsia="en-US"/>
              </w:rPr>
              <w:br/>
              <w:t>Rate</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C32429"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2.3%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4F16C8"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29C0FC"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DD6494"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68643A"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9AC1C"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C7A00"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124F2"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8334AC"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1.2% </w:t>
            </w:r>
          </w:p>
        </w:tc>
      </w:tr>
      <w:tr w:rsidR="00A73760" w:rsidRPr="00A73760" w14:paraId="5B8952EE" w14:textId="77777777" w:rsidTr="00F95332">
        <w:trPr>
          <w:trHeight w:val="255"/>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4B3C38"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2015-16</w:t>
            </w: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43521426"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 xml:space="preserve">Average Fee Charged </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DBCD8C"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$712.34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69423D"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$735.51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1ED17D"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$800.91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576C25"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$818.92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DCA912"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$759.27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F0B62"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45B09"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53718"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AF70DA"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$750.47 </w:t>
            </w:r>
          </w:p>
        </w:tc>
      </w:tr>
      <w:tr w:rsidR="00A73760" w:rsidRPr="00A73760" w14:paraId="78101BFE" w14:textId="77777777" w:rsidTr="00F95332">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E3F5857" w14:textId="77777777" w:rsidR="00A73760" w:rsidRPr="00A73760" w:rsidRDefault="00A73760" w:rsidP="00A73760">
            <w:pPr>
              <w:rPr>
                <w:rFonts w:ascii="Arial" w:hAnsi="Arial" w:cs="Arial"/>
                <w:b/>
                <w:bCs/>
                <w:sz w:val="18"/>
                <w:szCs w:val="18"/>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1F2CE051"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Standard</w:t>
            </w:r>
            <w:r w:rsidRPr="00A73760">
              <w:rPr>
                <w:rFonts w:ascii="Arial" w:hAnsi="Arial" w:cs="Arial"/>
                <w:b/>
                <w:bCs/>
                <w:sz w:val="18"/>
                <w:szCs w:val="18"/>
                <w:lang w:eastAsia="en-US"/>
              </w:rPr>
              <w:br/>
              <w:t>Deviation</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A64DAF"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$138.92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FEE646"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$106.62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D4F203"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$138.15</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5503C1"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$66.00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7DD277"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$2.60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FE06B"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143C2"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14FFB"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86163F"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$126.31 </w:t>
            </w:r>
          </w:p>
        </w:tc>
      </w:tr>
      <w:tr w:rsidR="00A73760" w:rsidRPr="00A73760" w14:paraId="5C334F05" w14:textId="77777777" w:rsidTr="00F95332">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D0EC674" w14:textId="77777777" w:rsidR="00A73760" w:rsidRPr="00A73760" w:rsidRDefault="00A73760" w:rsidP="00A73760">
            <w:pPr>
              <w:rPr>
                <w:rFonts w:ascii="Arial" w:hAnsi="Arial" w:cs="Arial"/>
                <w:b/>
                <w:bCs/>
                <w:sz w:val="18"/>
                <w:szCs w:val="18"/>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5AE00843"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Median</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A9CE0D"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$730.80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52AF27"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162A42"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5FFD92"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8F8A7B"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n/a (4)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04C41"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A1C9A"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80241"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2B6E4D"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$758.40 </w:t>
            </w:r>
          </w:p>
        </w:tc>
      </w:tr>
      <w:tr w:rsidR="00A73760" w:rsidRPr="00A73760" w14:paraId="2C41391C" w14:textId="77777777" w:rsidTr="00F95332">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76B64DC" w14:textId="77777777" w:rsidR="00A73760" w:rsidRPr="00A73760" w:rsidRDefault="00A73760" w:rsidP="00A73760">
            <w:pPr>
              <w:rPr>
                <w:rFonts w:ascii="Arial" w:hAnsi="Arial" w:cs="Arial"/>
                <w:b/>
                <w:bCs/>
                <w:sz w:val="18"/>
                <w:szCs w:val="18"/>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2E0910EF"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75th Percentile</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DB5F77"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$766.20</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EA2C5F"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B5380B"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33B752"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0C768B"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n/a (4)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C7D59"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1AAC8"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18043"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F280BB"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$777.50 </w:t>
            </w:r>
          </w:p>
        </w:tc>
      </w:tr>
      <w:tr w:rsidR="00A73760" w:rsidRPr="00A73760" w14:paraId="3EF445C1" w14:textId="77777777" w:rsidTr="00F95332">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D38C356" w14:textId="77777777" w:rsidR="00A73760" w:rsidRPr="00A73760" w:rsidRDefault="00A73760" w:rsidP="00A73760">
            <w:pPr>
              <w:rPr>
                <w:rFonts w:ascii="Arial" w:hAnsi="Arial" w:cs="Arial"/>
                <w:b/>
                <w:bCs/>
                <w:sz w:val="18"/>
                <w:szCs w:val="18"/>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65AA94C1"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95th Percentile</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199A23"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$1,016.20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3B0B60"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3059D6"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F3392B"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E4D29B" w14:textId="77777777" w:rsidR="00A73760" w:rsidRPr="00A73760" w:rsidRDefault="00A73760" w:rsidP="00A73760">
            <w:pPr>
              <w:jc w:val="center"/>
              <w:rPr>
                <w:rFonts w:ascii="Arial" w:hAnsi="Arial" w:cs="Arial"/>
                <w:color w:val="000000"/>
                <w:sz w:val="18"/>
                <w:szCs w:val="18"/>
                <w:lang w:eastAsia="en-US"/>
              </w:rPr>
            </w:pPr>
            <w:r w:rsidRPr="00A73760">
              <w:rPr>
                <w:rFonts w:ascii="Arial" w:hAnsi="Arial" w:cs="Arial"/>
                <w:color w:val="000000"/>
                <w:sz w:val="18"/>
                <w:szCs w:val="18"/>
                <w:lang w:eastAsia="en-US"/>
              </w:rPr>
              <w:t>n/a (4)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04FB1"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DF970"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2A1C"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2747A5"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$879.55 </w:t>
            </w:r>
          </w:p>
        </w:tc>
      </w:tr>
      <w:tr w:rsidR="00A73760" w:rsidRPr="00A73760" w14:paraId="7112B12B" w14:textId="77777777" w:rsidTr="00F95332">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C24DB86" w14:textId="77777777" w:rsidR="00A73760" w:rsidRPr="00A73760" w:rsidRDefault="00A73760" w:rsidP="00A73760">
            <w:pPr>
              <w:rPr>
                <w:rFonts w:ascii="Arial" w:hAnsi="Arial" w:cs="Arial"/>
                <w:b/>
                <w:bCs/>
                <w:sz w:val="18"/>
                <w:szCs w:val="18"/>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6D06786C"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Bulk Billed</w:t>
            </w:r>
            <w:r w:rsidRPr="00A73760">
              <w:rPr>
                <w:rFonts w:ascii="Arial" w:hAnsi="Arial" w:cs="Arial"/>
                <w:b/>
                <w:bCs/>
                <w:sz w:val="18"/>
                <w:szCs w:val="18"/>
                <w:lang w:eastAsia="en-US"/>
              </w:rPr>
              <w:br/>
              <w:t>Rate</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6B1C9"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1F2ABC"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B74969"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881630"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C80F7E"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74FBC"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A959E"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AC2B0"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2BB02E"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0% </w:t>
            </w:r>
          </w:p>
        </w:tc>
      </w:tr>
      <w:tr w:rsidR="00A73760" w:rsidRPr="00A73760" w14:paraId="2E7AD52E" w14:textId="77777777" w:rsidTr="00F95332">
        <w:trPr>
          <w:trHeight w:val="255"/>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23C45D" w14:textId="77777777" w:rsidR="00A73760" w:rsidRPr="00A73760" w:rsidRDefault="00A73760" w:rsidP="00A73760">
            <w:pPr>
              <w:ind w:left="-108" w:right="-107"/>
              <w:rPr>
                <w:rFonts w:ascii="Arial" w:hAnsi="Arial" w:cs="Arial"/>
                <w:b/>
                <w:bCs/>
                <w:sz w:val="18"/>
                <w:szCs w:val="18"/>
                <w:lang w:eastAsia="en-US"/>
              </w:rPr>
            </w:pPr>
            <w:r w:rsidRPr="00A73760">
              <w:rPr>
                <w:rFonts w:ascii="Arial" w:hAnsi="Arial" w:cs="Arial"/>
                <w:b/>
                <w:bCs/>
                <w:sz w:val="18"/>
                <w:szCs w:val="18"/>
                <w:lang w:eastAsia="en-US"/>
              </w:rPr>
              <w:t xml:space="preserve"> 2016-17 </w:t>
            </w:r>
          </w:p>
          <w:p w14:paraId="1191A366" w14:textId="3FF712C7" w:rsidR="00A73760" w:rsidRPr="00A73760" w:rsidRDefault="00A73760" w:rsidP="008430A7">
            <w:pPr>
              <w:ind w:left="-108" w:right="-107"/>
              <w:rPr>
                <w:rFonts w:ascii="Arial" w:hAnsi="Arial" w:cs="Arial"/>
                <w:b/>
                <w:bCs/>
                <w:sz w:val="18"/>
                <w:szCs w:val="18"/>
                <w:lang w:eastAsia="en-US"/>
              </w:rPr>
            </w:pPr>
            <w:r w:rsidRPr="00A73760">
              <w:rPr>
                <w:rFonts w:ascii="Arial" w:hAnsi="Arial" w:cs="Arial"/>
                <w:b/>
                <w:bCs/>
                <w:sz w:val="18"/>
                <w:szCs w:val="18"/>
                <w:lang w:eastAsia="en-US"/>
              </w:rPr>
              <w:t xml:space="preserve"> (to 31</w:t>
            </w:r>
            <w:r w:rsidR="008430A7">
              <w:rPr>
                <w:rFonts w:ascii="Arial" w:hAnsi="Arial" w:cs="Arial"/>
                <w:b/>
                <w:bCs/>
                <w:sz w:val="18"/>
                <w:szCs w:val="18"/>
                <w:lang w:eastAsia="en-US"/>
              </w:rPr>
              <w:t xml:space="preserve"> </w:t>
            </w:r>
            <w:r w:rsidRPr="00A73760">
              <w:rPr>
                <w:rFonts w:ascii="Arial" w:hAnsi="Arial" w:cs="Arial"/>
                <w:b/>
                <w:bCs/>
                <w:sz w:val="18"/>
                <w:szCs w:val="18"/>
                <w:lang w:eastAsia="en-US"/>
              </w:rPr>
              <w:t>Mar 17)</w:t>
            </w: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1B364691"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 xml:space="preserve">Average Fee Charged </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3DD93C"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$846.07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C37AE2"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$745.51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4E10C2"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$762.74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E5C875"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47EC26"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B37C3"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6F208"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FED9A"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1B1ED6"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$802.14 </w:t>
            </w:r>
          </w:p>
        </w:tc>
      </w:tr>
      <w:tr w:rsidR="00A73760" w:rsidRPr="00A73760" w14:paraId="5B0AAF5E" w14:textId="77777777" w:rsidTr="00F95332">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9510C98" w14:textId="77777777" w:rsidR="00A73760" w:rsidRPr="00A73760" w:rsidRDefault="00A73760" w:rsidP="00A73760">
            <w:pPr>
              <w:rPr>
                <w:rFonts w:ascii="Arial" w:hAnsi="Arial" w:cs="Arial"/>
                <w:b/>
                <w:bCs/>
                <w:sz w:val="18"/>
                <w:szCs w:val="18"/>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755CF69C"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Standard</w:t>
            </w:r>
            <w:r w:rsidRPr="00A73760">
              <w:rPr>
                <w:rFonts w:ascii="Arial" w:hAnsi="Arial" w:cs="Arial"/>
                <w:b/>
                <w:bCs/>
                <w:sz w:val="18"/>
                <w:szCs w:val="18"/>
                <w:lang w:eastAsia="en-US"/>
              </w:rPr>
              <w:br/>
              <w:t>Deviation</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6DC53F"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$617.67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34BE0E"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$24.68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6BF374"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$51.00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679736"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20C603"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np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9414C"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AE324"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8B072"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75F37C"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$446.98 </w:t>
            </w:r>
          </w:p>
        </w:tc>
      </w:tr>
      <w:tr w:rsidR="00A73760" w:rsidRPr="00A73760" w14:paraId="2BB6EE89" w14:textId="77777777" w:rsidTr="00F95332">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3F68263" w14:textId="77777777" w:rsidR="00A73760" w:rsidRPr="00A73760" w:rsidRDefault="00A73760" w:rsidP="00A73760">
            <w:pPr>
              <w:rPr>
                <w:rFonts w:ascii="Arial" w:hAnsi="Arial" w:cs="Arial"/>
                <w:b/>
                <w:bCs/>
                <w:sz w:val="18"/>
                <w:szCs w:val="18"/>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62F4F69D"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Median</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A5DF64"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$730.80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77F0EB"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624F4C"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88EE0D"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214196"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E01AB"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2BF5C"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3F5C7"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18A676"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$760.85 </w:t>
            </w:r>
          </w:p>
        </w:tc>
      </w:tr>
      <w:tr w:rsidR="00A73760" w:rsidRPr="00A73760" w14:paraId="7D6B1BE5" w14:textId="77777777" w:rsidTr="00F95332">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23E9C661" w14:textId="77777777" w:rsidR="00A73760" w:rsidRPr="00A73760" w:rsidRDefault="00A73760" w:rsidP="00A73760">
            <w:pPr>
              <w:rPr>
                <w:rFonts w:ascii="Arial" w:hAnsi="Arial" w:cs="Arial"/>
                <w:b/>
                <w:bCs/>
                <w:sz w:val="18"/>
                <w:szCs w:val="18"/>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5A6C2B16"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75th Percentile</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BDDF82"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$766.20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344303"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FB9A30"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571AF2"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B1AB53"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68146"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001F"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366BF"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89A426"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$780.60 </w:t>
            </w:r>
          </w:p>
        </w:tc>
      </w:tr>
      <w:tr w:rsidR="00A73760" w:rsidRPr="00A73760" w14:paraId="442BFA0A" w14:textId="77777777" w:rsidTr="00F95332">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11A1515" w14:textId="77777777" w:rsidR="00A73760" w:rsidRPr="00A73760" w:rsidRDefault="00A73760" w:rsidP="00A73760">
            <w:pPr>
              <w:rPr>
                <w:rFonts w:ascii="Arial" w:hAnsi="Arial" w:cs="Arial"/>
                <w:b/>
                <w:bCs/>
                <w:sz w:val="18"/>
                <w:szCs w:val="18"/>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30A787E5"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95th Percentile</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1517B0"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$1,420.00</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3A76F5"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F25B6F"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AAA7A3"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EDEAC9" w14:textId="77777777" w:rsidR="00A73760" w:rsidRPr="00A73760" w:rsidRDefault="00A73760" w:rsidP="00A73760">
            <w:pPr>
              <w:jc w:val="center"/>
              <w:rPr>
                <w:rFonts w:ascii="Arial" w:hAnsi="Arial" w:cs="Arial"/>
                <w:sz w:val="18"/>
                <w:szCs w:val="24"/>
                <w:lang w:eastAsia="en-US"/>
              </w:rPr>
            </w:pPr>
            <w:r w:rsidRPr="00A73760">
              <w:rPr>
                <w:rFonts w:ascii="Arial" w:hAnsi="Arial" w:cs="Arial"/>
                <w:sz w:val="18"/>
                <w:szCs w:val="24"/>
                <w:lang w:eastAsia="en-US"/>
              </w:rPr>
              <w:t>n/a (4)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5014D"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FD078"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D8235"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C8F355"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$1110.85 </w:t>
            </w:r>
          </w:p>
        </w:tc>
      </w:tr>
      <w:tr w:rsidR="00A73760" w:rsidRPr="00A73760" w14:paraId="7CB07FB3" w14:textId="77777777" w:rsidTr="00F95332">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6243CB4" w14:textId="77777777" w:rsidR="00A73760" w:rsidRPr="00A73760" w:rsidRDefault="00A73760" w:rsidP="00A73760">
            <w:pPr>
              <w:rPr>
                <w:rFonts w:ascii="Arial" w:hAnsi="Arial" w:cs="Arial"/>
                <w:b/>
                <w:bCs/>
                <w:sz w:val="18"/>
                <w:szCs w:val="18"/>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1739B4E3" w14:textId="77777777" w:rsidR="00A73760" w:rsidRPr="00A73760" w:rsidRDefault="00A73760" w:rsidP="00A73760">
            <w:pPr>
              <w:rPr>
                <w:rFonts w:ascii="Arial" w:hAnsi="Arial" w:cs="Arial"/>
                <w:b/>
                <w:bCs/>
                <w:sz w:val="18"/>
                <w:szCs w:val="18"/>
                <w:lang w:eastAsia="en-US"/>
              </w:rPr>
            </w:pPr>
            <w:r w:rsidRPr="00A73760">
              <w:rPr>
                <w:rFonts w:ascii="Arial" w:hAnsi="Arial" w:cs="Arial"/>
                <w:b/>
                <w:bCs/>
                <w:sz w:val="18"/>
                <w:szCs w:val="18"/>
                <w:lang w:eastAsia="en-US"/>
              </w:rPr>
              <w:t>Bulk Billed</w:t>
            </w:r>
            <w:r w:rsidRPr="00A73760">
              <w:rPr>
                <w:rFonts w:ascii="Arial" w:hAnsi="Arial" w:cs="Arial"/>
                <w:b/>
                <w:bCs/>
                <w:sz w:val="18"/>
                <w:szCs w:val="18"/>
                <w:lang w:eastAsia="en-US"/>
              </w:rPr>
              <w:br/>
              <w:t>Rate</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DD26BC"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 </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23AB9A"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7AFA5B"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E32C81"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2F3A97"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771A5"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FA905"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41C2E" w14:textId="77777777" w:rsidR="00A73760" w:rsidRPr="00A73760" w:rsidRDefault="00A73760" w:rsidP="00A73760">
            <w:pPr>
              <w:rPr>
                <w:rFonts w:ascii="Arial" w:hAnsi="Arial" w:cs="Arial"/>
                <w:color w:val="000000"/>
                <w:sz w:val="18"/>
                <w:szCs w:val="18"/>
                <w:lang w:eastAsia="en-US"/>
              </w:rPr>
            </w:pPr>
            <w:r w:rsidRPr="00A73760">
              <w:rPr>
                <w:rFonts w:ascii="Arial" w:hAnsi="Arial" w:cs="Arial"/>
                <w:color w:val="000000"/>
                <w:sz w:val="18"/>
                <w:szCs w:val="18"/>
                <w:lang w:eastAsia="en-US"/>
              </w:rPr>
              <w:t>np</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B9D1C0" w14:textId="77777777" w:rsidR="00A73760" w:rsidRPr="00A73760" w:rsidRDefault="00A73760" w:rsidP="00A73760">
            <w:pPr>
              <w:jc w:val="right"/>
              <w:rPr>
                <w:rFonts w:ascii="Arial" w:hAnsi="Arial" w:cs="Arial"/>
                <w:color w:val="000000"/>
                <w:sz w:val="18"/>
                <w:szCs w:val="18"/>
                <w:lang w:eastAsia="en-US"/>
              </w:rPr>
            </w:pPr>
            <w:r w:rsidRPr="00A73760">
              <w:rPr>
                <w:rFonts w:ascii="Arial" w:hAnsi="Arial" w:cs="Arial"/>
                <w:color w:val="000000"/>
                <w:sz w:val="18"/>
                <w:szCs w:val="18"/>
                <w:lang w:eastAsia="en-US"/>
              </w:rPr>
              <w:t xml:space="preserve">0% </w:t>
            </w:r>
          </w:p>
        </w:tc>
      </w:tr>
    </w:tbl>
    <w:p w14:paraId="1A1FE4C6" w14:textId="77777777" w:rsidR="00A73760" w:rsidRPr="00A73760" w:rsidRDefault="00A73760" w:rsidP="00A73760">
      <w:pPr>
        <w:rPr>
          <w:bCs/>
          <w:sz w:val="18"/>
          <w:szCs w:val="18"/>
          <w:lang w:eastAsia="en-US"/>
        </w:rPr>
      </w:pPr>
      <w:r w:rsidRPr="00A73760">
        <w:rPr>
          <w:bCs/>
          <w:sz w:val="18"/>
          <w:szCs w:val="18"/>
          <w:lang w:eastAsia="en-US"/>
        </w:rPr>
        <w:t>Source: Department of Health, File: Q20784 Item 32023 utilisation 24 MAY 17.xls</w:t>
      </w:r>
    </w:p>
    <w:p w14:paraId="465D4212" w14:textId="77777777" w:rsidR="00E40BC5" w:rsidRDefault="00A73760" w:rsidP="00A73760">
      <w:pPr>
        <w:rPr>
          <w:color w:val="000000"/>
          <w:sz w:val="18"/>
          <w:szCs w:val="24"/>
          <w:lang w:eastAsia="en-US"/>
        </w:rPr>
      </w:pPr>
      <w:r w:rsidRPr="00A73760">
        <w:rPr>
          <w:color w:val="000000"/>
          <w:sz w:val="18"/>
          <w:szCs w:val="24"/>
          <w:lang w:eastAsia="en-US"/>
        </w:rPr>
        <w:t>NP = not printed to protect privacy</w:t>
      </w:r>
    </w:p>
    <w:p w14:paraId="5498453D" w14:textId="43FDF401" w:rsidR="00A73760" w:rsidRDefault="00E40BC5" w:rsidP="00A73760">
      <w:pPr>
        <w:rPr>
          <w:color w:val="000000"/>
          <w:sz w:val="18"/>
          <w:szCs w:val="24"/>
          <w:lang w:eastAsia="en-US"/>
        </w:rPr>
      </w:pPr>
      <w:r>
        <w:rPr>
          <w:color w:val="000000"/>
          <w:sz w:val="18"/>
          <w:szCs w:val="24"/>
          <w:lang w:eastAsia="en-US"/>
        </w:rPr>
        <w:t>n/</w:t>
      </w:r>
      <w:proofErr w:type="gramStart"/>
      <w:r>
        <w:rPr>
          <w:color w:val="000000"/>
          <w:sz w:val="18"/>
          <w:szCs w:val="24"/>
          <w:lang w:eastAsia="en-US"/>
        </w:rPr>
        <w:t>a(</w:t>
      </w:r>
      <w:proofErr w:type="gramEnd"/>
      <w:r>
        <w:rPr>
          <w:color w:val="000000"/>
          <w:sz w:val="18"/>
          <w:szCs w:val="24"/>
          <w:lang w:eastAsia="en-US"/>
        </w:rPr>
        <w:t>4) = data not included</w:t>
      </w:r>
      <w:r w:rsidR="00A73760">
        <w:rPr>
          <w:color w:val="000000"/>
          <w:sz w:val="18"/>
          <w:szCs w:val="24"/>
          <w:lang w:eastAsia="en-US"/>
        </w:rPr>
        <w:br w:type="page"/>
      </w:r>
    </w:p>
    <w:p w14:paraId="7BB63DAF" w14:textId="62A4864B" w:rsidR="00BC1364" w:rsidRPr="00D90A38" w:rsidRDefault="00A91AFD" w:rsidP="004617ED">
      <w:pPr>
        <w:pStyle w:val="Heading1"/>
        <w:numPr>
          <w:ilvl w:val="0"/>
          <w:numId w:val="23"/>
        </w:numPr>
        <w:tabs>
          <w:tab w:val="left" w:pos="720"/>
          <w:tab w:val="left" w:pos="1140"/>
        </w:tabs>
        <w:spacing w:before="360"/>
        <w:ind w:hanging="720"/>
      </w:pPr>
      <w:r>
        <w:lastRenderedPageBreak/>
        <w:t>Background</w:t>
      </w:r>
    </w:p>
    <w:p w14:paraId="77B37A15" w14:textId="65381FAD" w:rsidR="00A91AFD" w:rsidRDefault="00A91AFD" w:rsidP="00A91AFD">
      <w:r w:rsidRPr="00557E7B">
        <w:t xml:space="preserve">MBS item </w:t>
      </w:r>
      <w:r w:rsidR="00A73760">
        <w:t>32023</w:t>
      </w:r>
      <w:r>
        <w:t xml:space="preserve"> for the </w:t>
      </w:r>
      <w:r w:rsidR="00A73760" w:rsidRPr="00A73760">
        <w:t>insertion of colonic stents for the management of malignant bowel obstructions</w:t>
      </w:r>
      <w:r>
        <w:t xml:space="preserve"> was listed onto the MBS on 1 March 201</w:t>
      </w:r>
      <w:r w:rsidR="00A73760">
        <w:t>3</w:t>
      </w:r>
      <w:r>
        <w:t>.</w:t>
      </w:r>
    </w:p>
    <w:p w14:paraId="5FF32A23" w14:textId="4BDDD4E9" w:rsidR="00DE60F6" w:rsidRDefault="00A73760" w:rsidP="004617ED">
      <w:pPr>
        <w:spacing w:before="240"/>
        <w:rPr>
          <w:szCs w:val="24"/>
        </w:rPr>
      </w:pPr>
      <w:r w:rsidRPr="00A73760">
        <w:rPr>
          <w:spacing w:val="-3"/>
          <w:szCs w:val="24"/>
        </w:rPr>
        <w:t>In October 2010, the Department of Health and Ageing received an application from the Colorectal Surgical Society of Australia and New Zealand (CSSANZ) requesting Medicare Benefit Schedule (MBS) listing of colonic stents for the management of large bowel obstruction</w:t>
      </w:r>
      <w:r>
        <w:rPr>
          <w:szCs w:val="24"/>
        </w:rPr>
        <w:t>.</w:t>
      </w:r>
    </w:p>
    <w:p w14:paraId="5B76AA82" w14:textId="77777777" w:rsidR="00A73760" w:rsidRPr="00A73760" w:rsidRDefault="00A73760" w:rsidP="00A73760">
      <w:pPr>
        <w:spacing w:before="240"/>
        <w:rPr>
          <w:spacing w:val="-3"/>
          <w:szCs w:val="24"/>
        </w:rPr>
      </w:pPr>
      <w:r w:rsidRPr="00A73760">
        <w:rPr>
          <w:spacing w:val="-3"/>
          <w:szCs w:val="24"/>
        </w:rPr>
        <w:t xml:space="preserve">MSAC’s role was to assess the safety, effectiveness and efficacy, cost-effectiveness of insertion of colonic SEM stents. MSAC would also consider the wording of the MBS item descriptor, the MBS fee and the financial implications of publicly funding the surgical procedure. </w:t>
      </w:r>
    </w:p>
    <w:p w14:paraId="51830D65" w14:textId="35E39DE7" w:rsidR="00DE60F6" w:rsidRDefault="00A73760" w:rsidP="00A73760">
      <w:pPr>
        <w:spacing w:before="240"/>
        <w:rPr>
          <w:spacing w:val="-3"/>
          <w:szCs w:val="24"/>
        </w:rPr>
      </w:pPr>
      <w:r w:rsidRPr="00A73760">
        <w:rPr>
          <w:spacing w:val="-3"/>
          <w:szCs w:val="24"/>
        </w:rPr>
        <w:t>The applicant advised that if an obstruction or stenosis becomes reduced in size, a stent would simply fall out, as stents generally required an obstruction to stay in place. This may also occur in the case of stent migration, where re-intervention involving the removal of the migrated stent and the deployment of a new SEMS is required. Therefore, there was no need to have a specific MBS item number for stent removal. In the case of a failed attempt at stent insertion, existing MBS item 30001 (abandoned surgery), where 50 per cent of the usual fee is paid, may be claimed for the procedure.</w:t>
      </w:r>
    </w:p>
    <w:p w14:paraId="59C97B9B" w14:textId="77777777" w:rsidR="00A73760" w:rsidRDefault="00A73760" w:rsidP="00A73760">
      <w:pPr>
        <w:spacing w:before="240"/>
        <w:rPr>
          <w:szCs w:val="24"/>
        </w:rPr>
      </w:pPr>
      <w:r>
        <w:rPr>
          <w:szCs w:val="24"/>
        </w:rPr>
        <w:t>The MSAC supported the listing of the service onto the MBS at its November 2012 meeting.</w:t>
      </w:r>
    </w:p>
    <w:p w14:paraId="782D6DB9" w14:textId="1CB7367A" w:rsidR="00A73760" w:rsidRDefault="00A73760" w:rsidP="00A73760">
      <w:pPr>
        <w:spacing w:before="240"/>
        <w:rPr>
          <w:szCs w:val="24"/>
        </w:rPr>
      </w:pPr>
      <w:r w:rsidRPr="00A73760">
        <w:rPr>
          <w:szCs w:val="24"/>
        </w:rPr>
        <w:t>The MBS service is restricted to colorectal surgeons or gastroenterologists with endoscopic training who are recognised by the Conjoint Committee for the Recognition of Training in Gastrointestinal Endoscopy. However, this is in T8.17 of the explanatory notes and not a regulatory restriction in the General Medical Services Table.</w:t>
      </w:r>
    </w:p>
    <w:p w14:paraId="766FAB28" w14:textId="5EC8408C" w:rsidR="00DE60F6" w:rsidRDefault="00E60FC1" w:rsidP="004617ED">
      <w:pPr>
        <w:pStyle w:val="Heading1"/>
        <w:numPr>
          <w:ilvl w:val="0"/>
          <w:numId w:val="23"/>
        </w:numPr>
        <w:tabs>
          <w:tab w:val="left" w:pos="720"/>
          <w:tab w:val="left" w:pos="1140"/>
        </w:tabs>
        <w:spacing w:before="360"/>
        <w:ind w:hanging="720"/>
      </w:pPr>
      <w:r>
        <w:t>Item descriptor</w:t>
      </w:r>
    </w:p>
    <w:tbl>
      <w:tblPr>
        <w:tblW w:w="0" w:type="auto"/>
        <w:tblCellMar>
          <w:left w:w="60" w:type="dxa"/>
          <w:right w:w="60" w:type="dxa"/>
        </w:tblCellMar>
        <w:tblLook w:val="0000" w:firstRow="0" w:lastRow="0" w:firstColumn="0" w:lastColumn="0" w:noHBand="0" w:noVBand="0"/>
        <w:tblDescription w:val="This table contains the item descriptor for MBS item 18377. The table is split into two columns: 1) item number, 2) item descriptor text and fee information."/>
      </w:tblPr>
      <w:tblGrid>
        <w:gridCol w:w="769"/>
        <w:gridCol w:w="8377"/>
      </w:tblGrid>
      <w:tr w:rsidR="00DE60F6" w:rsidRPr="00806D78" w14:paraId="747D0C3F" w14:textId="77777777" w:rsidTr="007A3D70">
        <w:trPr>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5FF5327" w14:textId="79E1625B" w:rsidR="00DE60F6" w:rsidRDefault="00A73760" w:rsidP="00A73760">
            <w:pPr>
              <w:jc w:val="center"/>
            </w:pPr>
            <w:r>
              <w:t>32023</w:t>
            </w:r>
          </w:p>
        </w:tc>
        <w:tc>
          <w:tcPr>
            <w:tcW w:w="8377" w:type="dxa"/>
            <w:tcBorders>
              <w:top w:val="single" w:sz="4" w:space="0" w:color="auto"/>
              <w:left w:val="single" w:sz="4" w:space="0" w:color="auto"/>
              <w:bottom w:val="single" w:sz="4" w:space="0" w:color="auto"/>
              <w:right w:val="single" w:sz="4" w:space="0" w:color="auto"/>
            </w:tcBorders>
            <w:shd w:val="clear" w:color="auto" w:fill="auto"/>
          </w:tcPr>
          <w:p w14:paraId="4D00D98B" w14:textId="3D1EC3ED" w:rsidR="00A73760" w:rsidRPr="00A73760" w:rsidRDefault="00A73760" w:rsidP="007A3D70">
            <w:pPr>
              <w:autoSpaceDE w:val="0"/>
              <w:autoSpaceDN w:val="0"/>
              <w:adjustRightInd w:val="0"/>
              <w:spacing w:after="240"/>
              <w:jc w:val="both"/>
              <w:rPr>
                <w:szCs w:val="18"/>
              </w:rPr>
            </w:pPr>
            <w:r w:rsidRPr="00A73760">
              <w:rPr>
                <w:szCs w:val="18"/>
              </w:rPr>
              <w:t>Endoscopic insertion of stent or stents for large bowel obstruction, stricture or stenosis, including colonoscopy and any image intensification, w</w:t>
            </w:r>
            <w:r w:rsidR="007A3D70">
              <w:rPr>
                <w:szCs w:val="18"/>
              </w:rPr>
              <w:t>here the obstruction is due to:</w:t>
            </w:r>
          </w:p>
          <w:p w14:paraId="73204AE0" w14:textId="688EA3FA" w:rsidR="00A73760" w:rsidRPr="00A73760" w:rsidRDefault="00A73760" w:rsidP="007A3D70">
            <w:pPr>
              <w:autoSpaceDE w:val="0"/>
              <w:autoSpaceDN w:val="0"/>
              <w:adjustRightInd w:val="0"/>
              <w:spacing w:after="240"/>
              <w:jc w:val="both"/>
              <w:rPr>
                <w:szCs w:val="18"/>
              </w:rPr>
            </w:pPr>
            <w:r w:rsidRPr="00A73760">
              <w:rPr>
                <w:szCs w:val="18"/>
              </w:rPr>
              <w:t xml:space="preserve">a) a pre-diagnosed colorectal cancer, or cancer of an organ adjacent to the bowel; or </w:t>
            </w:r>
          </w:p>
          <w:p w14:paraId="564D7DFA" w14:textId="73D66CBB" w:rsidR="00A73760" w:rsidRPr="00A73760" w:rsidRDefault="00A73760" w:rsidP="007A3D70">
            <w:pPr>
              <w:autoSpaceDE w:val="0"/>
              <w:autoSpaceDN w:val="0"/>
              <w:adjustRightInd w:val="0"/>
              <w:spacing w:after="240"/>
              <w:jc w:val="both"/>
              <w:rPr>
                <w:szCs w:val="18"/>
              </w:rPr>
            </w:pPr>
            <w:r w:rsidRPr="00A73760">
              <w:rPr>
                <w:szCs w:val="18"/>
              </w:rPr>
              <w:t xml:space="preserve">b) an unknown diagnosis </w:t>
            </w:r>
          </w:p>
          <w:p w14:paraId="2FE334C4" w14:textId="73409891" w:rsidR="00A73760" w:rsidRPr="00A73760" w:rsidRDefault="00A73760" w:rsidP="007A3D70">
            <w:pPr>
              <w:autoSpaceDE w:val="0"/>
              <w:autoSpaceDN w:val="0"/>
              <w:adjustRightInd w:val="0"/>
              <w:spacing w:after="240"/>
              <w:jc w:val="both"/>
              <w:rPr>
                <w:szCs w:val="18"/>
              </w:rPr>
            </w:pPr>
            <w:r w:rsidRPr="00A73760">
              <w:rPr>
                <w:szCs w:val="18"/>
              </w:rPr>
              <w:t>Multiple Services Rule</w:t>
            </w:r>
          </w:p>
          <w:p w14:paraId="5E419C15" w14:textId="0F59321A" w:rsidR="00A73760" w:rsidRPr="00A73760" w:rsidRDefault="007A3D70" w:rsidP="007A3D70">
            <w:pPr>
              <w:autoSpaceDE w:val="0"/>
              <w:autoSpaceDN w:val="0"/>
              <w:adjustRightInd w:val="0"/>
              <w:spacing w:after="240"/>
              <w:jc w:val="both"/>
              <w:rPr>
                <w:szCs w:val="18"/>
              </w:rPr>
            </w:pPr>
            <w:r>
              <w:rPr>
                <w:szCs w:val="18"/>
              </w:rPr>
              <w:t>(</w:t>
            </w:r>
            <w:proofErr w:type="spellStart"/>
            <w:r>
              <w:rPr>
                <w:szCs w:val="18"/>
              </w:rPr>
              <w:t>Anaes</w:t>
            </w:r>
            <w:proofErr w:type="spellEnd"/>
            <w:r>
              <w:rPr>
                <w:szCs w:val="18"/>
              </w:rPr>
              <w:t>.)</w:t>
            </w:r>
          </w:p>
          <w:p w14:paraId="29D8F9D5" w14:textId="1D0FE001" w:rsidR="00A73760" w:rsidRPr="00A73760" w:rsidRDefault="00A73760" w:rsidP="007A3D70">
            <w:pPr>
              <w:autoSpaceDE w:val="0"/>
              <w:autoSpaceDN w:val="0"/>
              <w:adjustRightInd w:val="0"/>
              <w:spacing w:after="240"/>
              <w:jc w:val="both"/>
              <w:rPr>
                <w:szCs w:val="18"/>
              </w:rPr>
            </w:pPr>
            <w:r w:rsidRPr="00A73760">
              <w:rPr>
                <w:b/>
                <w:szCs w:val="18"/>
              </w:rPr>
              <w:t>Fee:</w:t>
            </w:r>
            <w:r w:rsidRPr="00A73760">
              <w:rPr>
                <w:szCs w:val="18"/>
              </w:rPr>
              <w:t xml:space="preserve"> $555.35 </w:t>
            </w:r>
            <w:r w:rsidRPr="00A73760">
              <w:rPr>
                <w:b/>
                <w:szCs w:val="18"/>
              </w:rPr>
              <w:t>Benefit:</w:t>
            </w:r>
            <w:r w:rsidRPr="00A73760">
              <w:rPr>
                <w:szCs w:val="18"/>
              </w:rPr>
              <w:t xml:space="preserve"> 75% = $416.55</w:t>
            </w:r>
          </w:p>
          <w:p w14:paraId="1FFAD2FE" w14:textId="03F51775" w:rsidR="00DE60F6" w:rsidRPr="00806D78" w:rsidRDefault="00A73760" w:rsidP="00A73760">
            <w:pPr>
              <w:tabs>
                <w:tab w:val="left" w:pos="2660"/>
                <w:tab w:val="left" w:pos="5040"/>
              </w:tabs>
            </w:pPr>
            <w:r w:rsidRPr="00A73760">
              <w:rPr>
                <w:szCs w:val="18"/>
              </w:rPr>
              <w:t>(See para T8.17 of explanatory notes to this Category)</w:t>
            </w:r>
          </w:p>
        </w:tc>
      </w:tr>
    </w:tbl>
    <w:p w14:paraId="7CF8E0FA" w14:textId="43613165" w:rsidR="00BC1364" w:rsidRDefault="000746BA" w:rsidP="004617ED">
      <w:pPr>
        <w:pStyle w:val="Heading1"/>
        <w:numPr>
          <w:ilvl w:val="0"/>
          <w:numId w:val="23"/>
        </w:numPr>
        <w:tabs>
          <w:tab w:val="left" w:pos="720"/>
          <w:tab w:val="left" w:pos="1140"/>
        </w:tabs>
        <w:spacing w:before="360"/>
        <w:ind w:hanging="720"/>
      </w:pPr>
      <w:r>
        <w:t xml:space="preserve">Applicant’s comments on </w:t>
      </w:r>
      <w:r w:rsidR="004A205B">
        <w:t xml:space="preserve">MSAC’s </w:t>
      </w:r>
      <w:r>
        <w:t>public summary document</w:t>
      </w:r>
    </w:p>
    <w:p w14:paraId="204BB439" w14:textId="266CED4B" w:rsidR="00775EF8" w:rsidRPr="00775EF8" w:rsidRDefault="00A63661" w:rsidP="00775EF8">
      <w:r>
        <w:t>The applicant had no comment</w:t>
      </w:r>
    </w:p>
    <w:p w14:paraId="06F15D02" w14:textId="77777777" w:rsidR="00BC1364" w:rsidRDefault="00271F18" w:rsidP="004617ED">
      <w:pPr>
        <w:pStyle w:val="Heading1"/>
        <w:numPr>
          <w:ilvl w:val="0"/>
          <w:numId w:val="23"/>
        </w:numPr>
        <w:tabs>
          <w:tab w:val="left" w:pos="720"/>
          <w:tab w:val="left" w:pos="1140"/>
        </w:tabs>
        <w:spacing w:before="360"/>
        <w:ind w:hanging="720"/>
      </w:pPr>
      <w:r>
        <w:t>Further information on MSAC</w:t>
      </w:r>
    </w:p>
    <w:p w14:paraId="64D3433E" w14:textId="4A691C7C"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6" w:tooltip="Link to MSAC website" w:history="1">
        <w:r w:rsidR="00BC1364" w:rsidRPr="007B3BA8">
          <w:rPr>
            <w:rStyle w:val="Hyperlink"/>
            <w:szCs w:val="24"/>
          </w:rPr>
          <w:t>www.msac.gov.au</w:t>
        </w:r>
      </w:hyperlink>
      <w:r w:rsidR="005D3322">
        <w:rPr>
          <w:szCs w:val="24"/>
        </w:rPr>
        <w:t>.</w:t>
      </w:r>
    </w:p>
    <w:sectPr w:rsidR="00BC1364" w:rsidRPr="00DD2858" w:rsidSect="00271F18">
      <w:headerReference w:type="default" r:id="rId17"/>
      <w:footerReference w:type="default" r:id="rId18"/>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05491" w15:done="0"/>
  <w15:commentEx w15:paraId="3F5903D6" w15:done="0"/>
  <w15:commentEx w15:paraId="54F4F5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B5151" w14:textId="77777777" w:rsidR="00193898" w:rsidRDefault="00193898" w:rsidP="00065623">
      <w:r>
        <w:separator/>
      </w:r>
    </w:p>
  </w:endnote>
  <w:endnote w:type="continuationSeparator" w:id="0">
    <w:p w14:paraId="2811E6D5" w14:textId="77777777" w:rsidR="00193898" w:rsidRDefault="0019389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378C3EDD" w14:textId="77777777" w:rsidR="00193898" w:rsidRDefault="00193898" w:rsidP="00716342">
        <w:pPr>
          <w:pStyle w:val="Footer"/>
          <w:spacing w:after="240"/>
          <w:jc w:val="right"/>
        </w:pPr>
        <w:r>
          <w:fldChar w:fldCharType="begin"/>
        </w:r>
        <w:r>
          <w:instrText xml:space="preserve"> PAGE   \* MERGEFORMAT </w:instrText>
        </w:r>
        <w:r>
          <w:fldChar w:fldCharType="separate"/>
        </w:r>
        <w:r w:rsidR="00E131B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99190" w14:textId="77777777" w:rsidR="00193898" w:rsidRDefault="00193898" w:rsidP="00065623">
      <w:r>
        <w:separator/>
      </w:r>
    </w:p>
  </w:footnote>
  <w:footnote w:type="continuationSeparator" w:id="0">
    <w:p w14:paraId="27382C39" w14:textId="77777777" w:rsidR="00193898" w:rsidRDefault="00193898" w:rsidP="00065623">
      <w:r>
        <w:continuationSeparator/>
      </w:r>
    </w:p>
  </w:footnote>
  <w:footnote w:id="1">
    <w:p w14:paraId="70A50FAC" w14:textId="743625B1" w:rsidR="00193898" w:rsidRDefault="00193898" w:rsidP="00A73760">
      <w:pPr>
        <w:pStyle w:val="FootnoteText"/>
      </w:pPr>
      <w:r>
        <w:rPr>
          <w:rStyle w:val="FootnoteReference"/>
        </w:rPr>
        <w:footnoteRef/>
      </w:r>
      <w:r>
        <w:t xml:space="preserve"> The 95</w:t>
      </w:r>
      <w:r w:rsidRPr="007D0C48">
        <w:rPr>
          <w:vertAlign w:val="superscript"/>
        </w:rPr>
        <w:t>th</w:t>
      </w:r>
      <w:r>
        <w:t xml:space="preserve"> percentile fee charged represents that 95% of the time the fee is at or below this amount but in 5% of cases</w:t>
      </w:r>
      <w:r w:rsidR="007A3D70">
        <w:t>, the fee is higher than this.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59C35" w14:textId="5B03CC32" w:rsidR="00193898" w:rsidRDefault="00193898">
    <w:pPr>
      <w:pStyle w:val="Header"/>
    </w:pPr>
    <w:r>
      <w:ptab w:relativeTo="margin" w:alignment="center" w:leader="none"/>
    </w:r>
    <w:r>
      <w:ptab w:relativeTo="margin" w:alignment="right" w:leader="none"/>
    </w:r>
    <w: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A6F"/>
    <w:multiLevelType w:val="hybridMultilevel"/>
    <w:tmpl w:val="92F2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5EE0FF9"/>
    <w:multiLevelType w:val="hybridMultilevel"/>
    <w:tmpl w:val="0B4A6024"/>
    <w:lvl w:ilvl="0" w:tplc="FA588B4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77B70"/>
    <w:multiLevelType w:val="hybridMultilevel"/>
    <w:tmpl w:val="A2CC10FA"/>
    <w:lvl w:ilvl="0" w:tplc="521C50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BFF3A35"/>
    <w:multiLevelType w:val="hybridMultilevel"/>
    <w:tmpl w:val="7DBE4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1A5EBA"/>
    <w:multiLevelType w:val="hybridMultilevel"/>
    <w:tmpl w:val="85DA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D53CA7"/>
    <w:multiLevelType w:val="hybridMultilevel"/>
    <w:tmpl w:val="3EB8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B80600"/>
    <w:multiLevelType w:val="hybridMultilevel"/>
    <w:tmpl w:val="9708A1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1535386"/>
    <w:multiLevelType w:val="multilevel"/>
    <w:tmpl w:val="D3EC8D5C"/>
    <w:styleLink w:val="TableListNumbers"/>
    <w:lvl w:ilvl="0">
      <w:start w:val="1"/>
      <w:numFmt w:val="lowerRoman"/>
      <w:pStyle w:val="TableListNumber"/>
      <w:lvlText w:val="(%1)"/>
      <w:lvlJc w:val="left"/>
      <w:pPr>
        <w:tabs>
          <w:tab w:val="num" w:pos="170"/>
        </w:tabs>
        <w:ind w:left="170" w:hanging="170"/>
      </w:pPr>
      <w:rPr>
        <w:rFonts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20612FA"/>
    <w:multiLevelType w:val="hybridMultilevel"/>
    <w:tmpl w:val="827AF080"/>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9D6B50"/>
    <w:multiLevelType w:val="hybridMultilevel"/>
    <w:tmpl w:val="5126B828"/>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4A3E7B"/>
    <w:multiLevelType w:val="hybridMultilevel"/>
    <w:tmpl w:val="13089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8064A2"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787896"/>
    <w:multiLevelType w:val="multilevel"/>
    <w:tmpl w:val="567ADE74"/>
    <w:numStyleLink w:val="TableListBullets"/>
  </w:abstractNum>
  <w:abstractNum w:abstractNumId="2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097700"/>
    <w:multiLevelType w:val="hybridMultilevel"/>
    <w:tmpl w:val="06822932"/>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FBA0B51"/>
    <w:multiLevelType w:val="hybridMultilevel"/>
    <w:tmpl w:val="0A8267A2"/>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8064A2"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8064A2"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AD63964"/>
    <w:multiLevelType w:val="hybridMultilevel"/>
    <w:tmpl w:val="FF3C5F34"/>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3A0DF8"/>
    <w:multiLevelType w:val="multilevel"/>
    <w:tmpl w:val="E6863C72"/>
    <w:lvl w:ilvl="0">
      <w:start w:val="1"/>
      <w:numFmt w:val="none"/>
      <w:lvlRestart w:val="0"/>
      <w:suff w:val="nothing"/>
      <w:lvlText w:val="%1"/>
      <w:lvlJc w:val="left"/>
      <w:pPr>
        <w:ind w:left="0" w:firstLine="0"/>
      </w:pPr>
      <w:rPr>
        <w:rFonts w:ascii="Calibri" w:hAnsi="Calibri" w:cs="Garamond" w:hint="default"/>
        <w:b/>
        <w:i w:val="0"/>
        <w:color w:val="9BBB59" w:themeColor="accent3"/>
        <w:position w:val="4"/>
      </w:rPr>
    </w:lvl>
    <w:lvl w:ilvl="1">
      <w:start w:val="1"/>
      <w:numFmt w:val="lowerLetter"/>
      <w:lvlText w:val="%1%2"/>
      <w:lvlJc w:val="left"/>
      <w:pPr>
        <w:tabs>
          <w:tab w:val="num" w:pos="170"/>
        </w:tabs>
        <w:ind w:left="170" w:hanging="170"/>
      </w:pPr>
      <w:rPr>
        <w:rFonts w:hint="default"/>
        <w:b/>
        <w:i w:val="0"/>
        <w:color w:val="9BBB59"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42">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2"/>
  </w:num>
  <w:num w:numId="4">
    <w:abstractNumId w:val="28"/>
  </w:num>
  <w:num w:numId="5">
    <w:abstractNumId w:val="14"/>
  </w:num>
  <w:num w:numId="6">
    <w:abstractNumId w:val="26"/>
  </w:num>
  <w:num w:numId="7">
    <w:abstractNumId w:val="31"/>
  </w:num>
  <w:num w:numId="8">
    <w:abstractNumId w:val="21"/>
  </w:num>
  <w:num w:numId="9">
    <w:abstractNumId w:val="42"/>
  </w:num>
  <w:num w:numId="10">
    <w:abstractNumId w:val="1"/>
  </w:num>
  <w:num w:numId="11">
    <w:abstractNumId w:val="30"/>
  </w:num>
  <w:num w:numId="12">
    <w:abstractNumId w:val="32"/>
  </w:num>
  <w:num w:numId="13">
    <w:abstractNumId w:val="7"/>
  </w:num>
  <w:num w:numId="14">
    <w:abstractNumId w:val="37"/>
  </w:num>
  <w:num w:numId="15">
    <w:abstractNumId w:val="29"/>
  </w:num>
  <w:num w:numId="16">
    <w:abstractNumId w:val="33"/>
  </w:num>
  <w:num w:numId="17">
    <w:abstractNumId w:val="22"/>
  </w:num>
  <w:num w:numId="18">
    <w:abstractNumId w:val="23"/>
  </w:num>
  <w:num w:numId="19">
    <w:abstractNumId w:val="35"/>
  </w:num>
  <w:num w:numId="20">
    <w:abstractNumId w:val="34"/>
  </w:num>
  <w:num w:numId="21">
    <w:abstractNumId w:val="4"/>
  </w:num>
  <w:num w:numId="22">
    <w:abstractNumId w:val="13"/>
  </w:num>
  <w:num w:numId="23">
    <w:abstractNumId w:val="3"/>
  </w:num>
  <w:num w:numId="24">
    <w:abstractNumId w:val="12"/>
  </w:num>
  <w:num w:numId="25">
    <w:abstractNumId w:val="9"/>
  </w:num>
  <w:num w:numId="26">
    <w:abstractNumId w:val="0"/>
  </w:num>
  <w:num w:numId="27">
    <w:abstractNumId w:val="4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7"/>
  </w:num>
  <w:num w:numId="31">
    <w:abstractNumId w:val="25"/>
  </w:num>
  <w:num w:numId="32">
    <w:abstractNumId w:val="27"/>
  </w:num>
  <w:num w:numId="33">
    <w:abstractNumId w:val="39"/>
  </w:num>
  <w:num w:numId="34">
    <w:abstractNumId w:val="5"/>
  </w:num>
  <w:num w:numId="35">
    <w:abstractNumId w:val="18"/>
  </w:num>
  <w:num w:numId="36">
    <w:abstractNumId w:val="19"/>
  </w:num>
  <w:num w:numId="37">
    <w:abstractNumId w:val="36"/>
  </w:num>
  <w:num w:numId="38">
    <w:abstractNumId w:val="40"/>
  </w:num>
  <w:num w:numId="39">
    <w:abstractNumId w:val="15"/>
  </w:num>
  <w:num w:numId="40">
    <w:abstractNumId w:val="10"/>
  </w:num>
  <w:num w:numId="41">
    <w:abstractNumId w:val="20"/>
  </w:num>
  <w:num w:numId="42">
    <w:abstractNumId w:val="8"/>
  </w:num>
  <w:num w:numId="43">
    <w:abstractNumId w:val="16"/>
  </w:num>
  <w:num w:numId="4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26E58"/>
    <w:rsid w:val="00036C20"/>
    <w:rsid w:val="0003739B"/>
    <w:rsid w:val="00042F11"/>
    <w:rsid w:val="000452C7"/>
    <w:rsid w:val="00047606"/>
    <w:rsid w:val="00065623"/>
    <w:rsid w:val="000746BA"/>
    <w:rsid w:val="000756B9"/>
    <w:rsid w:val="000922FA"/>
    <w:rsid w:val="00096B67"/>
    <w:rsid w:val="00096DAF"/>
    <w:rsid w:val="000A11F9"/>
    <w:rsid w:val="000A51E4"/>
    <w:rsid w:val="000A5B70"/>
    <w:rsid w:val="000B6956"/>
    <w:rsid w:val="000C2F47"/>
    <w:rsid w:val="000C4BBA"/>
    <w:rsid w:val="000C6B40"/>
    <w:rsid w:val="000D1443"/>
    <w:rsid w:val="000D6C00"/>
    <w:rsid w:val="000E155F"/>
    <w:rsid w:val="000E3B33"/>
    <w:rsid w:val="000E48CF"/>
    <w:rsid w:val="000E4E04"/>
    <w:rsid w:val="000F14B4"/>
    <w:rsid w:val="000F391E"/>
    <w:rsid w:val="000F600C"/>
    <w:rsid w:val="000F75DF"/>
    <w:rsid w:val="00115C4F"/>
    <w:rsid w:val="001328FA"/>
    <w:rsid w:val="00147AAF"/>
    <w:rsid w:val="00150894"/>
    <w:rsid w:val="001552C0"/>
    <w:rsid w:val="001638D7"/>
    <w:rsid w:val="001640B1"/>
    <w:rsid w:val="00182148"/>
    <w:rsid w:val="0018435E"/>
    <w:rsid w:val="00190792"/>
    <w:rsid w:val="0019118C"/>
    <w:rsid w:val="00193898"/>
    <w:rsid w:val="001C1BE6"/>
    <w:rsid w:val="002041A1"/>
    <w:rsid w:val="002054F0"/>
    <w:rsid w:val="00210420"/>
    <w:rsid w:val="00230D6B"/>
    <w:rsid w:val="00232068"/>
    <w:rsid w:val="002330F2"/>
    <w:rsid w:val="00243D9E"/>
    <w:rsid w:val="00253B66"/>
    <w:rsid w:val="00261DF1"/>
    <w:rsid w:val="00271F18"/>
    <w:rsid w:val="00282779"/>
    <w:rsid w:val="0028334D"/>
    <w:rsid w:val="002B7FFA"/>
    <w:rsid w:val="002C2135"/>
    <w:rsid w:val="002C2BCF"/>
    <w:rsid w:val="002D73A2"/>
    <w:rsid w:val="002E4AF9"/>
    <w:rsid w:val="002F279D"/>
    <w:rsid w:val="002F43B8"/>
    <w:rsid w:val="003206F3"/>
    <w:rsid w:val="00320D06"/>
    <w:rsid w:val="00336856"/>
    <w:rsid w:val="00345167"/>
    <w:rsid w:val="0034554D"/>
    <w:rsid w:val="00352224"/>
    <w:rsid w:val="003671E6"/>
    <w:rsid w:val="00376575"/>
    <w:rsid w:val="00384272"/>
    <w:rsid w:val="00386D67"/>
    <w:rsid w:val="003945B8"/>
    <w:rsid w:val="003D7F29"/>
    <w:rsid w:val="003F36DA"/>
    <w:rsid w:val="003F5DD6"/>
    <w:rsid w:val="00402FA7"/>
    <w:rsid w:val="00405A6B"/>
    <w:rsid w:val="00407B1F"/>
    <w:rsid w:val="00414C57"/>
    <w:rsid w:val="0041758C"/>
    <w:rsid w:val="00420DE9"/>
    <w:rsid w:val="004372A7"/>
    <w:rsid w:val="00442254"/>
    <w:rsid w:val="004539DE"/>
    <w:rsid w:val="0045582A"/>
    <w:rsid w:val="00455E04"/>
    <w:rsid w:val="004617ED"/>
    <w:rsid w:val="00464960"/>
    <w:rsid w:val="004656CE"/>
    <w:rsid w:val="00471DF6"/>
    <w:rsid w:val="0048056B"/>
    <w:rsid w:val="004A205B"/>
    <w:rsid w:val="004A2CF1"/>
    <w:rsid w:val="004B2B03"/>
    <w:rsid w:val="004B41AD"/>
    <w:rsid w:val="004C3035"/>
    <w:rsid w:val="004C307F"/>
    <w:rsid w:val="004E015F"/>
    <w:rsid w:val="004E0D06"/>
    <w:rsid w:val="004E4BA8"/>
    <w:rsid w:val="004F340F"/>
    <w:rsid w:val="004F7B7C"/>
    <w:rsid w:val="0052243D"/>
    <w:rsid w:val="00531C81"/>
    <w:rsid w:val="00532435"/>
    <w:rsid w:val="0053288F"/>
    <w:rsid w:val="00532F68"/>
    <w:rsid w:val="00535E34"/>
    <w:rsid w:val="00550354"/>
    <w:rsid w:val="00552BBA"/>
    <w:rsid w:val="00564662"/>
    <w:rsid w:val="00571236"/>
    <w:rsid w:val="005840D3"/>
    <w:rsid w:val="0058426A"/>
    <w:rsid w:val="005953A1"/>
    <w:rsid w:val="005A012A"/>
    <w:rsid w:val="005A5929"/>
    <w:rsid w:val="005B43F1"/>
    <w:rsid w:val="005B52E3"/>
    <w:rsid w:val="005D0332"/>
    <w:rsid w:val="005D0D8C"/>
    <w:rsid w:val="005D3322"/>
    <w:rsid w:val="005D3670"/>
    <w:rsid w:val="005E3F81"/>
    <w:rsid w:val="005F0BD4"/>
    <w:rsid w:val="005F557C"/>
    <w:rsid w:val="00613AC3"/>
    <w:rsid w:val="00616256"/>
    <w:rsid w:val="006263B1"/>
    <w:rsid w:val="0066089A"/>
    <w:rsid w:val="006776AE"/>
    <w:rsid w:val="006A0D97"/>
    <w:rsid w:val="006B1F86"/>
    <w:rsid w:val="006C0A91"/>
    <w:rsid w:val="006E4A48"/>
    <w:rsid w:val="007054BB"/>
    <w:rsid w:val="0070665C"/>
    <w:rsid w:val="00707064"/>
    <w:rsid w:val="00716342"/>
    <w:rsid w:val="00730683"/>
    <w:rsid w:val="00732856"/>
    <w:rsid w:val="0075261F"/>
    <w:rsid w:val="00753306"/>
    <w:rsid w:val="007533C3"/>
    <w:rsid w:val="0075468E"/>
    <w:rsid w:val="007656A8"/>
    <w:rsid w:val="00765E44"/>
    <w:rsid w:val="007665D8"/>
    <w:rsid w:val="00766E36"/>
    <w:rsid w:val="007722BF"/>
    <w:rsid w:val="00775EF8"/>
    <w:rsid w:val="007765F4"/>
    <w:rsid w:val="00776633"/>
    <w:rsid w:val="00784D53"/>
    <w:rsid w:val="00797797"/>
    <w:rsid w:val="007A215B"/>
    <w:rsid w:val="007A3D70"/>
    <w:rsid w:val="007A63C9"/>
    <w:rsid w:val="007B32D1"/>
    <w:rsid w:val="007B3BA8"/>
    <w:rsid w:val="007B7095"/>
    <w:rsid w:val="007D24E1"/>
    <w:rsid w:val="007F35C8"/>
    <w:rsid w:val="007F4CE9"/>
    <w:rsid w:val="007F4E20"/>
    <w:rsid w:val="007F66B0"/>
    <w:rsid w:val="008156EC"/>
    <w:rsid w:val="00822C7E"/>
    <w:rsid w:val="00825661"/>
    <w:rsid w:val="00832590"/>
    <w:rsid w:val="00833EA2"/>
    <w:rsid w:val="008430A7"/>
    <w:rsid w:val="00847060"/>
    <w:rsid w:val="00856A33"/>
    <w:rsid w:val="00860499"/>
    <w:rsid w:val="008620D3"/>
    <w:rsid w:val="00875B33"/>
    <w:rsid w:val="00892620"/>
    <w:rsid w:val="008B104E"/>
    <w:rsid w:val="008C7D37"/>
    <w:rsid w:val="008D5885"/>
    <w:rsid w:val="008E027D"/>
    <w:rsid w:val="008E4152"/>
    <w:rsid w:val="009149D0"/>
    <w:rsid w:val="00916EBC"/>
    <w:rsid w:val="00923FA2"/>
    <w:rsid w:val="009461B5"/>
    <w:rsid w:val="0096060D"/>
    <w:rsid w:val="0096455F"/>
    <w:rsid w:val="00974A50"/>
    <w:rsid w:val="0097585A"/>
    <w:rsid w:val="009924B0"/>
    <w:rsid w:val="009942C9"/>
    <w:rsid w:val="009A2368"/>
    <w:rsid w:val="009B35C4"/>
    <w:rsid w:val="009B433F"/>
    <w:rsid w:val="009B650A"/>
    <w:rsid w:val="009C630A"/>
    <w:rsid w:val="009D5A48"/>
    <w:rsid w:val="009E0D98"/>
    <w:rsid w:val="009F4192"/>
    <w:rsid w:val="00A068A1"/>
    <w:rsid w:val="00A1207D"/>
    <w:rsid w:val="00A12FD8"/>
    <w:rsid w:val="00A346FC"/>
    <w:rsid w:val="00A44FBD"/>
    <w:rsid w:val="00A63661"/>
    <w:rsid w:val="00A73760"/>
    <w:rsid w:val="00A74D4C"/>
    <w:rsid w:val="00A76468"/>
    <w:rsid w:val="00A84F93"/>
    <w:rsid w:val="00A907A0"/>
    <w:rsid w:val="00A91AFD"/>
    <w:rsid w:val="00AB1AC5"/>
    <w:rsid w:val="00AB3BFC"/>
    <w:rsid w:val="00AB47DE"/>
    <w:rsid w:val="00AC4F2E"/>
    <w:rsid w:val="00AC58CB"/>
    <w:rsid w:val="00AC657D"/>
    <w:rsid w:val="00AD0C37"/>
    <w:rsid w:val="00AD385F"/>
    <w:rsid w:val="00AE6E2A"/>
    <w:rsid w:val="00B11472"/>
    <w:rsid w:val="00B16BD9"/>
    <w:rsid w:val="00B31E9C"/>
    <w:rsid w:val="00B35595"/>
    <w:rsid w:val="00B51C6D"/>
    <w:rsid w:val="00B55B8A"/>
    <w:rsid w:val="00B86D64"/>
    <w:rsid w:val="00B9099B"/>
    <w:rsid w:val="00B915E6"/>
    <w:rsid w:val="00B91882"/>
    <w:rsid w:val="00BA4AC5"/>
    <w:rsid w:val="00BB19D5"/>
    <w:rsid w:val="00BC1364"/>
    <w:rsid w:val="00BC7DE9"/>
    <w:rsid w:val="00BD1F63"/>
    <w:rsid w:val="00BD5323"/>
    <w:rsid w:val="00BF479B"/>
    <w:rsid w:val="00C00794"/>
    <w:rsid w:val="00C022A5"/>
    <w:rsid w:val="00C02577"/>
    <w:rsid w:val="00C03C9A"/>
    <w:rsid w:val="00C12F71"/>
    <w:rsid w:val="00C204FB"/>
    <w:rsid w:val="00C20BEE"/>
    <w:rsid w:val="00C2158D"/>
    <w:rsid w:val="00C231EE"/>
    <w:rsid w:val="00C238C8"/>
    <w:rsid w:val="00C65C25"/>
    <w:rsid w:val="00C66FD5"/>
    <w:rsid w:val="00C67DD2"/>
    <w:rsid w:val="00C725CB"/>
    <w:rsid w:val="00C76F5C"/>
    <w:rsid w:val="00C90F65"/>
    <w:rsid w:val="00C96BAD"/>
    <w:rsid w:val="00CA277C"/>
    <w:rsid w:val="00CA6944"/>
    <w:rsid w:val="00CB0F8E"/>
    <w:rsid w:val="00CB7E7D"/>
    <w:rsid w:val="00CC2911"/>
    <w:rsid w:val="00CF0C6D"/>
    <w:rsid w:val="00CF7307"/>
    <w:rsid w:val="00CF7C68"/>
    <w:rsid w:val="00D01A07"/>
    <w:rsid w:val="00D07239"/>
    <w:rsid w:val="00D124FA"/>
    <w:rsid w:val="00D14EAB"/>
    <w:rsid w:val="00D154DA"/>
    <w:rsid w:val="00D26292"/>
    <w:rsid w:val="00D340DE"/>
    <w:rsid w:val="00D36E7B"/>
    <w:rsid w:val="00D55723"/>
    <w:rsid w:val="00D62FAD"/>
    <w:rsid w:val="00D70450"/>
    <w:rsid w:val="00D734F2"/>
    <w:rsid w:val="00D83BFD"/>
    <w:rsid w:val="00D90A38"/>
    <w:rsid w:val="00DA0515"/>
    <w:rsid w:val="00DA171E"/>
    <w:rsid w:val="00DA56AA"/>
    <w:rsid w:val="00DB1FC4"/>
    <w:rsid w:val="00DB5833"/>
    <w:rsid w:val="00DB66AD"/>
    <w:rsid w:val="00DD2858"/>
    <w:rsid w:val="00DE60F6"/>
    <w:rsid w:val="00E03E33"/>
    <w:rsid w:val="00E131B7"/>
    <w:rsid w:val="00E23A30"/>
    <w:rsid w:val="00E3642A"/>
    <w:rsid w:val="00E40BC5"/>
    <w:rsid w:val="00E415C4"/>
    <w:rsid w:val="00E50016"/>
    <w:rsid w:val="00E50EAA"/>
    <w:rsid w:val="00E523B1"/>
    <w:rsid w:val="00E60FC1"/>
    <w:rsid w:val="00E61026"/>
    <w:rsid w:val="00E656D6"/>
    <w:rsid w:val="00E977EE"/>
    <w:rsid w:val="00EA67A2"/>
    <w:rsid w:val="00EA6A42"/>
    <w:rsid w:val="00EB1D77"/>
    <w:rsid w:val="00EB6B6F"/>
    <w:rsid w:val="00EC2B3C"/>
    <w:rsid w:val="00EC4F98"/>
    <w:rsid w:val="00ED3D0C"/>
    <w:rsid w:val="00ED5185"/>
    <w:rsid w:val="00ED556D"/>
    <w:rsid w:val="00EF4DEE"/>
    <w:rsid w:val="00EF60DD"/>
    <w:rsid w:val="00F03659"/>
    <w:rsid w:val="00F06FF9"/>
    <w:rsid w:val="00F12F02"/>
    <w:rsid w:val="00F21117"/>
    <w:rsid w:val="00F3088E"/>
    <w:rsid w:val="00F32E0D"/>
    <w:rsid w:val="00F35134"/>
    <w:rsid w:val="00F375CA"/>
    <w:rsid w:val="00F40DA6"/>
    <w:rsid w:val="00F41812"/>
    <w:rsid w:val="00F479DE"/>
    <w:rsid w:val="00F523B5"/>
    <w:rsid w:val="00F73333"/>
    <w:rsid w:val="00F85270"/>
    <w:rsid w:val="00F92897"/>
    <w:rsid w:val="00F93545"/>
    <w:rsid w:val="00F95332"/>
    <w:rsid w:val="00F95D8F"/>
    <w:rsid w:val="00FA5AC7"/>
    <w:rsid w:val="00FB1F0A"/>
    <w:rsid w:val="00FB350A"/>
    <w:rsid w:val="00FC5E86"/>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961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753306"/>
    <w:pPr>
      <w:keepNext/>
      <w:keepLines/>
      <w:spacing w:before="200"/>
      <w:outlineLvl w:val="2"/>
    </w:pPr>
    <w:rPr>
      <w:rFonts w:eastAsiaTheme="majorEastAsia" w:cstheme="majorBidi"/>
      <w:b/>
      <w:bCs/>
      <w:sz w:val="18"/>
    </w:rPr>
  </w:style>
  <w:style w:type="paragraph" w:styleId="Heading5">
    <w:name w:val="heading 5"/>
    <w:basedOn w:val="Normal"/>
    <w:next w:val="Normal"/>
    <w:link w:val="Heading5Char"/>
    <w:semiHidden/>
    <w:unhideWhenUsed/>
    <w:qFormat/>
    <w:locked/>
    <w:rsid w:val="000E15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customStyle="1" w:styleId="Heading3Char">
    <w:name w:val="Heading 3 Char"/>
    <w:basedOn w:val="DefaultParagraphFont"/>
    <w:link w:val="Heading3"/>
    <w:rsid w:val="00753306"/>
    <w:rPr>
      <w:rFonts w:eastAsiaTheme="majorEastAsia" w:cstheme="majorBidi"/>
      <w:b/>
      <w:bCs/>
      <w:sz w:val="18"/>
      <w:szCs w:val="20"/>
    </w:rPr>
  </w:style>
  <w:style w:type="character" w:customStyle="1" w:styleId="Heading5Char">
    <w:name w:val="Heading 5 Char"/>
    <w:basedOn w:val="DefaultParagraphFont"/>
    <w:link w:val="Heading5"/>
    <w:semiHidden/>
    <w:rsid w:val="000E155F"/>
    <w:rPr>
      <w:rFonts w:asciiTheme="majorHAnsi" w:eastAsiaTheme="majorEastAsia" w:hAnsiTheme="majorHAnsi" w:cstheme="majorBidi"/>
      <w:color w:val="243F60" w:themeColor="accent1" w:themeShade="7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753306"/>
    <w:pPr>
      <w:keepNext/>
      <w:keepLines/>
      <w:spacing w:before="200"/>
      <w:outlineLvl w:val="2"/>
    </w:pPr>
    <w:rPr>
      <w:rFonts w:eastAsiaTheme="majorEastAsia" w:cstheme="majorBidi"/>
      <w:b/>
      <w:bCs/>
      <w:sz w:val="18"/>
    </w:rPr>
  </w:style>
  <w:style w:type="paragraph" w:styleId="Heading5">
    <w:name w:val="heading 5"/>
    <w:basedOn w:val="Normal"/>
    <w:next w:val="Normal"/>
    <w:link w:val="Heading5Char"/>
    <w:semiHidden/>
    <w:unhideWhenUsed/>
    <w:qFormat/>
    <w:locked/>
    <w:rsid w:val="000E15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customStyle="1" w:styleId="Heading3Char">
    <w:name w:val="Heading 3 Char"/>
    <w:basedOn w:val="DefaultParagraphFont"/>
    <w:link w:val="Heading3"/>
    <w:rsid w:val="00753306"/>
    <w:rPr>
      <w:rFonts w:eastAsiaTheme="majorEastAsia" w:cstheme="majorBidi"/>
      <w:b/>
      <w:bCs/>
      <w:sz w:val="18"/>
      <w:szCs w:val="20"/>
    </w:rPr>
  </w:style>
  <w:style w:type="character" w:customStyle="1" w:styleId="Heading5Char">
    <w:name w:val="Heading 5 Char"/>
    <w:basedOn w:val="DefaultParagraphFont"/>
    <w:link w:val="Heading5"/>
    <w:semiHidden/>
    <w:rsid w:val="000E155F"/>
    <w:rPr>
      <w:rFonts w:asciiTheme="majorHAnsi" w:eastAsiaTheme="majorEastAsia" w:hAnsiTheme="majorHAnsi" w:cstheme="majorBidi"/>
      <w:color w:val="243F60"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372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Users\mccraj\AppData\Local\Microsoft\Windows\Temporary%20Internet%20Files\Content.Outlook\7M4OPGPH\www.msa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image" Target="media/image5.gif"/><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74250-AA93-4462-AD0E-55FB38B7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3129</Words>
  <Characters>15965</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1150 - PvA PSD - November 2017</dc:title>
  <dc:creator/>
  <cp:lastModifiedBy/>
  <cp:revision>1</cp:revision>
  <dcterms:created xsi:type="dcterms:W3CDTF">2018-03-22T04:25:00Z</dcterms:created>
  <dcterms:modified xsi:type="dcterms:W3CDTF">2018-04-11T23:20:00Z</dcterms:modified>
</cp:coreProperties>
</file>